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812"/>
        <w:spacing w:before="159" w:line="197" w:lineRule="auto"/>
        <w:rPr>
          <w:rFonts w:ascii="STZhongsong" w:hAnsi="STZhongsong" w:eastAsia="STZhongsong" w:cs="STZhongsong"/>
          <w:sz w:val="43"/>
          <w:szCs w:val="43"/>
        </w:rPr>
      </w:pPr>
      <w:r>
        <w:rPr>
          <w:rFonts w:ascii="STZhongsong" w:hAnsi="STZhongsong" w:eastAsia="STZhongsong" w:cs="STZhongsong"/>
          <w:sz w:val="43"/>
          <w:szCs w:val="43"/>
          <w:spacing w:val="99"/>
        </w:rPr>
        <w:t>兴县房产服务中心</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5 年</w:t>
      </w:r>
      <w:r>
        <w:rPr>
          <w:rFonts w:ascii="STZhongsong" w:hAnsi="STZhongsong" w:eastAsia="STZhongsong" w:cs="STZhongsong"/>
          <w:sz w:val="43"/>
          <w:szCs w:val="43"/>
          <w:spacing w:val="-12"/>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30"/>
          <w:position w:val="7"/>
        </w:rPr>
        <w:t xml:space="preserve"> </w:t>
      </w:r>
      <w:r>
        <w:rPr>
          <w:rFonts w:ascii="STZhongsong" w:hAnsi="STZhongsong" w:eastAsia="STZhongsong" w:cs="STZhongsong"/>
          <w:sz w:val="43"/>
          <w:szCs w:val="43"/>
          <w:spacing w:val="-11"/>
          <w:position w:val="7"/>
        </w:rPr>
        <w:t>预</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1"/>
        <w:spacing w:before="283" w:line="222" w:lineRule="auto"/>
        <w:rPr>
          <w:rFonts w:ascii="FangSong" w:hAnsi="FangSong" w:eastAsia="FangSong" w:cs="FangSong"/>
          <w:sz w:val="24"/>
          <w:szCs w:val="24"/>
        </w:rPr>
      </w:pPr>
      <w:r>
        <w:rPr>
          <w:rFonts w:ascii="FangSong" w:hAnsi="FangSong" w:eastAsia="FangSong" w:cs="FangSong"/>
          <w:sz w:val="24"/>
          <w:szCs w:val="24"/>
          <w:spacing w:val="-5"/>
        </w:rPr>
        <w:t>兴县房产服务中心的主要职责是：</w:t>
      </w:r>
    </w:p>
    <w:p>
      <w:pPr>
        <w:ind w:left="1515"/>
        <w:spacing w:before="116" w:line="220" w:lineRule="auto"/>
        <w:rPr>
          <w:rFonts w:ascii="FangSong" w:hAnsi="FangSong" w:eastAsia="FangSong" w:cs="FangSong"/>
          <w:sz w:val="24"/>
          <w:szCs w:val="24"/>
        </w:rPr>
      </w:pPr>
      <w:r>
        <w:rPr>
          <w:rFonts w:ascii="FangSong" w:hAnsi="FangSong" w:eastAsia="FangSong" w:cs="FangSong"/>
          <w:sz w:val="24"/>
          <w:szCs w:val="24"/>
          <w:spacing w:val="-1"/>
        </w:rPr>
        <w:t>（1）负责经济适用房、公（廉）租住房和其他保障性</w:t>
      </w:r>
      <w:r>
        <w:rPr>
          <w:rFonts w:ascii="FangSong" w:hAnsi="FangSong" w:eastAsia="FangSong" w:cs="FangSong"/>
          <w:sz w:val="24"/>
          <w:szCs w:val="24"/>
          <w:spacing w:val="-2"/>
        </w:rPr>
        <w:t>住房的建设、管理等工作。</w:t>
      </w:r>
    </w:p>
    <w:p>
      <w:pPr>
        <w:ind w:left="1518" w:right="1475" w:hanging="3"/>
        <w:spacing w:before="119" w:line="260" w:lineRule="auto"/>
        <w:rPr>
          <w:rFonts w:ascii="FangSong" w:hAnsi="FangSong" w:eastAsia="FangSong" w:cs="FangSong"/>
          <w:sz w:val="24"/>
          <w:szCs w:val="24"/>
        </w:rPr>
      </w:pPr>
      <w:r>
        <w:rPr>
          <w:rFonts w:ascii="FangSong" w:hAnsi="FangSong" w:eastAsia="FangSong" w:cs="FangSong"/>
          <w:sz w:val="24"/>
          <w:szCs w:val="24"/>
          <w:spacing w:val="4"/>
        </w:rPr>
        <w:t>（2）负责公（廉）租住房、经济适用住房保障对象的审核及档案管理，负责租金补</w:t>
      </w:r>
      <w:r>
        <w:rPr>
          <w:rFonts w:ascii="FangSong" w:hAnsi="FangSong" w:eastAsia="FangSong" w:cs="FangSong"/>
          <w:sz w:val="24"/>
          <w:szCs w:val="24"/>
          <w:spacing w:val="-7"/>
        </w:rPr>
        <w:t>贴的发放工作。</w:t>
      </w:r>
    </w:p>
    <w:p>
      <w:pPr>
        <w:ind w:left="1515"/>
        <w:spacing w:before="119" w:line="220" w:lineRule="auto"/>
        <w:rPr>
          <w:rFonts w:ascii="FangSong" w:hAnsi="FangSong" w:eastAsia="FangSong" w:cs="FangSong"/>
          <w:sz w:val="24"/>
          <w:szCs w:val="24"/>
        </w:rPr>
      </w:pPr>
      <w:r>
        <w:rPr>
          <w:rFonts w:ascii="FangSong" w:hAnsi="FangSong" w:eastAsia="FangSong" w:cs="FangSong"/>
          <w:sz w:val="24"/>
          <w:szCs w:val="24"/>
          <w:spacing w:val="-4"/>
        </w:rPr>
        <w:t>（3）指导全县物业管理工作。</w:t>
      </w:r>
    </w:p>
    <w:p>
      <w:pPr>
        <w:ind w:left="1515"/>
        <w:spacing w:before="118" w:line="222" w:lineRule="auto"/>
        <w:rPr>
          <w:rFonts w:ascii="FangSong" w:hAnsi="FangSong" w:eastAsia="FangSong" w:cs="FangSong"/>
          <w:sz w:val="24"/>
          <w:szCs w:val="24"/>
        </w:rPr>
      </w:pPr>
      <w:r>
        <w:rPr>
          <w:rFonts w:ascii="FangSong" w:hAnsi="FangSong" w:eastAsia="FangSong" w:cs="FangSong"/>
          <w:sz w:val="24"/>
          <w:szCs w:val="24"/>
          <w:spacing w:val="-2"/>
        </w:rPr>
        <w:t>（4）完成县委、县政府及现住房和城乡建设管理局交办的其他任务。</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5"/>
        <w:spacing w:before="116" w:line="219" w:lineRule="auto"/>
        <w:rPr>
          <w:rFonts w:ascii="FangSong" w:hAnsi="FangSong" w:eastAsia="FangSong" w:cs="FangSong"/>
          <w:sz w:val="24"/>
          <w:szCs w:val="24"/>
        </w:rPr>
      </w:pPr>
      <w:r>
        <w:rPr>
          <w:rFonts w:ascii="FangSong" w:hAnsi="FangSong" w:eastAsia="FangSong" w:cs="FangSong"/>
          <w:sz w:val="24"/>
          <w:szCs w:val="24"/>
          <w:spacing w:val="-3"/>
        </w:rPr>
        <w:t>（1）综合股。负责机关日常运转工作。</w:t>
      </w:r>
    </w:p>
    <w:p>
      <w:pPr>
        <w:ind w:left="1515" w:right="1474"/>
        <w:spacing w:before="120" w:line="278" w:lineRule="auto"/>
        <w:rPr>
          <w:rFonts w:ascii="FangSong" w:hAnsi="FangSong" w:eastAsia="FangSong" w:cs="FangSong"/>
          <w:sz w:val="24"/>
          <w:szCs w:val="24"/>
        </w:rPr>
      </w:pPr>
      <w:r>
        <w:rPr>
          <w:rFonts w:ascii="FangSong" w:hAnsi="FangSong" w:eastAsia="FangSong" w:cs="FangSong"/>
          <w:sz w:val="24"/>
          <w:szCs w:val="24"/>
          <w:spacing w:val="4"/>
        </w:rPr>
        <w:t>（2）住房保障股。负责保障性住房的建设管理工作；负责住房保障对象的审核和档</w:t>
      </w:r>
      <w:r>
        <w:rPr>
          <w:rFonts w:ascii="FangSong" w:hAnsi="FangSong" w:eastAsia="FangSong" w:cs="FangSong"/>
          <w:sz w:val="24"/>
          <w:szCs w:val="24"/>
          <w:spacing w:val="1"/>
        </w:rPr>
        <w:t>案管理及租金补贴的发放工作；负责商品房销售数据统计工作，</w:t>
      </w:r>
      <w:r>
        <w:rPr>
          <w:rFonts w:ascii="FangSong" w:hAnsi="FangSong" w:eastAsia="FangSong" w:cs="FangSong"/>
          <w:sz w:val="24"/>
          <w:szCs w:val="24"/>
        </w:rPr>
        <w:t>建立和完善房产市场</w:t>
      </w:r>
      <w:r>
        <w:rPr>
          <w:rFonts w:ascii="FangSong" w:hAnsi="FangSong" w:eastAsia="FangSong" w:cs="FangSong"/>
          <w:sz w:val="24"/>
          <w:szCs w:val="24"/>
          <w:spacing w:val="-11"/>
        </w:rPr>
        <w:t>信息。</w:t>
      </w:r>
    </w:p>
    <w:p>
      <w:pPr>
        <w:ind w:left="1515"/>
        <w:spacing w:before="117" w:line="220" w:lineRule="auto"/>
        <w:rPr>
          <w:rFonts w:ascii="FangSong" w:hAnsi="FangSong" w:eastAsia="FangSong" w:cs="FangSong"/>
          <w:sz w:val="24"/>
          <w:szCs w:val="24"/>
        </w:rPr>
      </w:pPr>
      <w:r>
        <w:rPr>
          <w:rFonts w:ascii="FangSong" w:hAnsi="FangSong" w:eastAsia="FangSong" w:cs="FangSong"/>
          <w:sz w:val="24"/>
          <w:szCs w:val="24"/>
          <w:spacing w:val="-3"/>
        </w:rPr>
        <w:t>（3）物业指导股。指导全县物业管理工作。</w:t>
      </w:r>
    </w:p>
    <w:p>
      <w:pPr>
        <w:ind w:left="1521"/>
        <w:spacing w:before="103" w:line="222" w:lineRule="auto"/>
        <w:rPr>
          <w:rFonts w:ascii="FangSong" w:hAnsi="FangSong" w:eastAsia="FangSong" w:cs="FangSong"/>
          <w:sz w:val="24"/>
          <w:szCs w:val="24"/>
        </w:rPr>
      </w:pPr>
      <w:r>
        <w:rPr>
          <w:rFonts w:ascii="FangSong" w:hAnsi="FangSong" w:eastAsia="FangSong" w:cs="FangSong"/>
          <w:sz w:val="24"/>
          <w:szCs w:val="24"/>
          <w:spacing w:val="-3"/>
        </w:rPr>
        <w:t>兴县房产服务中心财政拨款事业编制10名。</w:t>
      </w:r>
    </w:p>
    <w:p>
      <w:pPr>
        <w:spacing w:line="222"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单位名称：兴县房产服务中心</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277.77</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31.14</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31.14</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5.95</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5.95</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ind w:right="20"/>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186.23</w:t>
            </w:r>
          </w:p>
        </w:tc>
        <w:tc>
          <w:tcPr>
            <w:tcW w:w="1153"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186.23</w:t>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54.45</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54.45</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7"/>
              <w:spacing w:before="186" w:line="183" w:lineRule="auto"/>
              <w:rPr>
                <w:sz w:val="15"/>
                <w:szCs w:val="15"/>
              </w:rPr>
            </w:pPr>
            <w:r>
              <w:rPr>
                <w:sz w:val="15"/>
                <w:szCs w:val="15"/>
                <w:color w:val="212529"/>
                <w:spacing w:val="2"/>
              </w:rPr>
              <w:t>277.</w:t>
            </w:r>
            <w:r>
              <w:rPr>
                <w:sz w:val="15"/>
                <w:szCs w:val="15"/>
                <w:color w:val="212529"/>
                <w:spacing w:val="14"/>
              </w:rPr>
              <w:t xml:space="preserve"> </w:t>
            </w:r>
            <w:r>
              <w:rPr>
                <w:sz w:val="15"/>
                <w:szCs w:val="15"/>
                <w:color w:val="212529"/>
                <w:spacing w:val="2"/>
              </w:rPr>
              <w:t>77</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3" w:lineRule="auto"/>
              <w:rPr>
                <w:sz w:val="15"/>
                <w:szCs w:val="15"/>
              </w:rPr>
            </w:pPr>
            <w:r>
              <w:rPr>
                <w:sz w:val="15"/>
                <w:szCs w:val="15"/>
                <w:color w:val="212529"/>
                <w:spacing w:val="2"/>
              </w:rPr>
              <w:t>277.</w:t>
            </w:r>
            <w:r>
              <w:rPr>
                <w:sz w:val="15"/>
                <w:szCs w:val="15"/>
                <w:color w:val="212529"/>
                <w:spacing w:val="14"/>
              </w:rPr>
              <w:t xml:space="preserve"> </w:t>
            </w:r>
            <w:r>
              <w:rPr>
                <w:sz w:val="15"/>
                <w:szCs w:val="15"/>
                <w:color w:val="212529"/>
                <w:spacing w:val="2"/>
              </w:rPr>
              <w:t>77</w:t>
            </w:r>
          </w:p>
        </w:tc>
        <w:tc>
          <w:tcPr>
            <w:tcW w:w="1153" w:type="dxa"/>
            <w:vAlign w:val="top"/>
          </w:tcPr>
          <w:p>
            <w:pPr>
              <w:pStyle w:val="TableText"/>
              <w:ind w:left="577"/>
              <w:spacing w:before="186" w:line="183" w:lineRule="auto"/>
              <w:rPr>
                <w:sz w:val="15"/>
                <w:szCs w:val="15"/>
              </w:rPr>
            </w:pPr>
            <w:r>
              <w:rPr>
                <w:sz w:val="15"/>
                <w:szCs w:val="15"/>
                <w:color w:val="212529"/>
                <w:spacing w:val="1"/>
              </w:rPr>
              <w:t>277.</w:t>
            </w:r>
            <w:r>
              <w:rPr>
                <w:sz w:val="15"/>
                <w:szCs w:val="15"/>
                <w:color w:val="212529"/>
                <w:spacing w:val="20"/>
              </w:rPr>
              <w:t xml:space="preserve"> </w:t>
            </w:r>
            <w:r>
              <w:rPr>
                <w:sz w:val="15"/>
                <w:szCs w:val="15"/>
                <w:color w:val="212529"/>
                <w:spacing w:val="1"/>
              </w:rPr>
              <w:t>77</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7"/>
              <w:spacing w:before="188" w:line="183" w:lineRule="auto"/>
              <w:rPr>
                <w:sz w:val="15"/>
                <w:szCs w:val="15"/>
              </w:rPr>
            </w:pPr>
            <w:r>
              <w:rPr>
                <w:sz w:val="15"/>
                <w:szCs w:val="15"/>
                <w:color w:val="212529"/>
                <w:spacing w:val="2"/>
              </w:rPr>
              <w:t>277.</w:t>
            </w:r>
            <w:r>
              <w:rPr>
                <w:sz w:val="15"/>
                <w:szCs w:val="15"/>
                <w:color w:val="212529"/>
                <w:spacing w:val="14"/>
              </w:rPr>
              <w:t xml:space="preserve"> </w:t>
            </w:r>
            <w:r>
              <w:rPr>
                <w:sz w:val="15"/>
                <w:szCs w:val="15"/>
                <w:color w:val="212529"/>
                <w:spacing w:val="2"/>
              </w:rPr>
              <w:t>77</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3" w:lineRule="auto"/>
              <w:rPr>
                <w:sz w:val="15"/>
                <w:szCs w:val="15"/>
              </w:rPr>
            </w:pPr>
            <w:r>
              <w:rPr>
                <w:sz w:val="15"/>
                <w:szCs w:val="15"/>
                <w:color w:val="212529"/>
                <w:spacing w:val="2"/>
              </w:rPr>
              <w:t>277.</w:t>
            </w:r>
            <w:r>
              <w:rPr>
                <w:sz w:val="15"/>
                <w:szCs w:val="15"/>
                <w:color w:val="212529"/>
                <w:spacing w:val="14"/>
              </w:rPr>
              <w:t xml:space="preserve"> </w:t>
            </w:r>
            <w:r>
              <w:rPr>
                <w:sz w:val="15"/>
                <w:szCs w:val="15"/>
                <w:color w:val="212529"/>
                <w:spacing w:val="2"/>
              </w:rPr>
              <w:t>77</w:t>
            </w:r>
          </w:p>
        </w:tc>
        <w:tc>
          <w:tcPr>
            <w:tcW w:w="1153" w:type="dxa"/>
            <w:vAlign w:val="top"/>
          </w:tcPr>
          <w:p>
            <w:pPr>
              <w:pStyle w:val="TableText"/>
              <w:ind w:left="577"/>
              <w:spacing w:before="188" w:line="183" w:lineRule="auto"/>
              <w:rPr>
                <w:sz w:val="15"/>
                <w:szCs w:val="15"/>
              </w:rPr>
            </w:pPr>
            <w:r>
              <w:rPr>
                <w:sz w:val="15"/>
                <w:szCs w:val="15"/>
                <w:color w:val="212529"/>
                <w:spacing w:val="1"/>
              </w:rPr>
              <w:t>277.</w:t>
            </w:r>
            <w:r>
              <w:rPr>
                <w:sz w:val="15"/>
                <w:szCs w:val="15"/>
                <w:color w:val="212529"/>
                <w:spacing w:val="20"/>
              </w:rPr>
              <w:t xml:space="preserve"> </w:t>
            </w:r>
            <w:r>
              <w:rPr>
                <w:sz w:val="15"/>
                <w:szCs w:val="15"/>
                <w:color w:val="212529"/>
                <w:spacing w:val="1"/>
              </w:rPr>
              <w:t>77</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单位名称：兴县房产服务中心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3" w:lineRule="auto"/>
              <w:rPr>
                <w:sz w:val="15"/>
                <w:szCs w:val="15"/>
              </w:rPr>
            </w:pPr>
            <w:r>
              <w:rPr>
                <w:sz w:val="15"/>
                <w:szCs w:val="15"/>
                <w:color w:val="212529"/>
                <w:spacing w:val="2"/>
              </w:rPr>
              <w:t>277.</w:t>
            </w:r>
            <w:r>
              <w:rPr>
                <w:sz w:val="15"/>
                <w:szCs w:val="15"/>
                <w:color w:val="212529"/>
                <w:spacing w:val="14"/>
              </w:rPr>
              <w:t xml:space="preserve"> </w:t>
            </w:r>
            <w:r>
              <w:rPr>
                <w:sz w:val="15"/>
                <w:szCs w:val="15"/>
                <w:color w:val="212529"/>
                <w:spacing w:val="2"/>
              </w:rPr>
              <w:t>77</w:t>
            </w:r>
          </w:p>
        </w:tc>
        <w:tc>
          <w:tcPr>
            <w:tcW w:w="1274" w:type="dxa"/>
            <w:vAlign w:val="top"/>
          </w:tcPr>
          <w:p>
            <w:pPr>
              <w:pStyle w:val="TableText"/>
              <w:ind w:left="702"/>
              <w:spacing w:before="149" w:line="183" w:lineRule="auto"/>
              <w:rPr>
                <w:sz w:val="15"/>
                <w:szCs w:val="15"/>
              </w:rPr>
            </w:pPr>
            <w:r>
              <w:rPr>
                <w:sz w:val="15"/>
                <w:szCs w:val="15"/>
                <w:color w:val="212529"/>
                <w:spacing w:val="2"/>
              </w:rPr>
              <w:t>277.</w:t>
            </w:r>
            <w:r>
              <w:rPr>
                <w:sz w:val="15"/>
                <w:szCs w:val="15"/>
                <w:color w:val="212529"/>
                <w:spacing w:val="14"/>
              </w:rPr>
              <w:t xml:space="preserve"> </w:t>
            </w:r>
            <w:r>
              <w:rPr>
                <w:sz w:val="15"/>
                <w:szCs w:val="15"/>
                <w:color w:val="212529"/>
                <w:spacing w:val="2"/>
              </w:rPr>
              <w:t>77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31.14</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31.14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31.14</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31.14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3.67</w:t>
            </w:r>
          </w:p>
        </w:tc>
        <w:tc>
          <w:tcPr>
            <w:tcW w:w="1274"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3.67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14.46</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14.46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13.00</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13.00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5.95</w:t>
            </w:r>
          </w:p>
        </w:tc>
        <w:tc>
          <w:tcPr>
            <w:tcW w:w="1274"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5"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5.95</w:t>
            </w:r>
          </w:p>
        </w:tc>
        <w:tc>
          <w:tcPr>
            <w:tcW w:w="1274"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5.95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6"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5.94</w:t>
            </w:r>
          </w:p>
        </w:tc>
        <w:tc>
          <w:tcPr>
            <w:tcW w:w="1274"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5.94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7"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0.02</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0.02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212</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城乡社区支出</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186.23</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186.23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21201</w:t>
            </w:r>
          </w:p>
        </w:tc>
        <w:tc>
          <w:tcPr>
            <w:tcW w:w="2997"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1"/>
              </w:rPr>
              <w:t>城乡社区管理事务</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120.23</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120.23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2120199</w:t>
            </w:r>
          </w:p>
        </w:tc>
        <w:tc>
          <w:tcPr>
            <w:tcW w:w="2997"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其他城乡社区管理事务支出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120.23</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120.23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21203</w:t>
            </w:r>
          </w:p>
        </w:tc>
        <w:tc>
          <w:tcPr>
            <w:tcW w:w="2997"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1"/>
              </w:rPr>
              <w:t>城乡社区公共设施</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66.00</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66.00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2120399</w:t>
            </w:r>
          </w:p>
        </w:tc>
        <w:tc>
          <w:tcPr>
            <w:tcW w:w="2997"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其他城乡社区公共设施支出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66.00</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66.00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54.45</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54.45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22101</w:t>
            </w:r>
          </w:p>
        </w:tc>
        <w:tc>
          <w:tcPr>
            <w:tcW w:w="2997"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1"/>
              </w:rPr>
              <w:t>保障性安居工程支出</w:t>
            </w:r>
          </w:p>
        </w:tc>
        <w:tc>
          <w:tcPr>
            <w:tcW w:w="1438"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43.00</w:t>
            </w:r>
          </w:p>
        </w:tc>
        <w:tc>
          <w:tcPr>
            <w:tcW w:w="127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43.00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37"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2210111</w:t>
            </w:r>
          </w:p>
        </w:tc>
        <w:tc>
          <w:tcPr>
            <w:tcW w:w="2997" w:type="dxa"/>
            <w:vAlign w:val="top"/>
          </w:tcPr>
          <w:p>
            <w:pPr>
              <w:ind w:left="4"/>
              <w:spacing w:before="115" w:line="219" w:lineRule="auto"/>
              <w:rPr>
                <w:rFonts w:ascii="SimSun" w:hAnsi="SimSun" w:eastAsia="SimSun" w:cs="SimSun"/>
                <w:sz w:val="18"/>
                <w:szCs w:val="18"/>
              </w:rPr>
            </w:pPr>
            <w:r>
              <w:rPr>
                <w:rFonts w:ascii="SimSun" w:hAnsi="SimSun" w:eastAsia="SimSun" w:cs="SimSun"/>
                <w:sz w:val="18"/>
                <w:szCs w:val="18"/>
                <w:color w:val="212529"/>
                <w:spacing w:val="-1"/>
              </w:rPr>
              <w:t>配租型住房保障</w:t>
            </w:r>
          </w:p>
        </w:tc>
        <w:tc>
          <w:tcPr>
            <w:tcW w:w="1438"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43.00</w:t>
            </w:r>
          </w:p>
        </w:tc>
        <w:tc>
          <w:tcPr>
            <w:tcW w:w="1274"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43.00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0" w:hRule="atLeast"/>
        </w:trPr>
        <w:tc>
          <w:tcPr>
            <w:tcW w:w="143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11.45</w:t>
            </w:r>
          </w:p>
        </w:tc>
        <w:tc>
          <w:tcPr>
            <w:tcW w:w="1274" w:type="dxa"/>
            <w:vAlign w:val="top"/>
          </w:tcPr>
          <w:p>
            <w:pPr>
              <w:ind w:right="2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11.45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8" w:hRule="atLeast"/>
        </w:trPr>
        <w:tc>
          <w:tcPr>
            <w:tcW w:w="143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11.45</w:t>
            </w:r>
          </w:p>
        </w:tc>
        <w:tc>
          <w:tcPr>
            <w:tcW w:w="1274" w:type="dxa"/>
            <w:vAlign w:val="top"/>
          </w:tcPr>
          <w:p>
            <w:pPr>
              <w:ind w:right="21"/>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11.45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294"/>
        <w:gridCol w:w="1404"/>
        <w:gridCol w:w="1339"/>
        <w:gridCol w:w="1355"/>
      </w:tblGrid>
      <w:tr>
        <w:trPr>
          <w:trHeight w:val="319"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9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5" w:type="dxa"/>
            <w:vAlign w:val="top"/>
            <w:tcBorders>
              <w:bottom w:val="single" w:color="FFFFFF" w:sz="4" w:space="0"/>
              <w:top w:val="single" w:color="FFFFFF" w:sz="4" w:space="0"/>
              <w:left w:val="single" w:color="FFFFFF" w:sz="2" w:space="0"/>
              <w:right w:val="single" w:color="FFFFFF" w:sz="2" w:space="0"/>
            </w:tcBorders>
          </w:tcPr>
          <w:p>
            <w:pPr>
              <w:ind w:left="61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64"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55" w:type="dxa"/>
            <w:vAlign w:val="top"/>
            <w:tcBorders>
              <w:top w:val="single" w:color="FFFFFF" w:sz="4" w:space="0"/>
              <w:left w:val="single" w:color="FFFFFF" w:sz="2" w:space="0"/>
              <w:right w:val="single" w:color="FFFFFF" w:sz="2" w:space="0"/>
            </w:tcBorders>
          </w:tcPr>
          <w:p>
            <w:pPr>
              <w:ind w:left="68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60" w:type="dxa"/>
            <w:vAlign w:val="top"/>
            <w:gridSpan w:val="2"/>
          </w:tcPr>
          <w:p>
            <w:pPr>
              <w:ind w:left="2357"/>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3"/>
          </w:tcPr>
          <w:p>
            <w:pPr>
              <w:ind w:left="15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66" w:type="dxa"/>
            <w:vAlign w:val="top"/>
          </w:tcPr>
          <w:p>
            <w:pPr>
              <w:ind w:left="54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55" w:type="dxa"/>
            <w:vAlign w:val="top"/>
          </w:tcPr>
          <w:p>
            <w:pPr>
              <w:ind w:left="34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60" w:type="dxa"/>
            <w:vAlign w:val="top"/>
            <w:gridSpan w:val="2"/>
          </w:tcPr>
          <w:p>
            <w:pPr>
              <w:ind w:left="236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1"/>
              <w:spacing w:before="98" w:line="172" w:lineRule="auto"/>
              <w:rPr>
                <w:sz w:val="14"/>
                <w:szCs w:val="14"/>
              </w:rPr>
            </w:pPr>
            <w:r>
              <w:rPr>
                <w:sz w:val="14"/>
                <w:szCs w:val="14"/>
                <w:color w:val="212529"/>
              </w:rPr>
              <w:t>277.</w:t>
            </w:r>
            <w:r>
              <w:rPr>
                <w:sz w:val="14"/>
                <w:szCs w:val="14"/>
                <w:color w:val="212529"/>
                <w:spacing w:val="6"/>
              </w:rPr>
              <w:t xml:space="preserve"> </w:t>
            </w:r>
            <w:r>
              <w:rPr>
                <w:sz w:val="14"/>
                <w:szCs w:val="14"/>
                <w:color w:val="212529"/>
              </w:rPr>
              <w:t>77</w:t>
            </w:r>
          </w:p>
        </w:tc>
        <w:tc>
          <w:tcPr>
            <w:tcW w:w="1339" w:type="dxa"/>
            <w:vAlign w:val="top"/>
          </w:tcPr>
          <w:p>
            <w:pPr>
              <w:pStyle w:val="TableText"/>
              <w:ind w:left="845"/>
              <w:spacing w:before="98" w:line="186" w:lineRule="auto"/>
              <w:rPr>
                <w:sz w:val="13"/>
                <w:szCs w:val="13"/>
              </w:rPr>
            </w:pPr>
            <w:r>
              <w:rPr>
                <w:sz w:val="13"/>
                <w:szCs w:val="13"/>
                <w:color w:val="212529"/>
                <w:spacing w:val="2"/>
              </w:rPr>
              <w:t>168.</w:t>
            </w:r>
            <w:r>
              <w:rPr>
                <w:sz w:val="13"/>
                <w:szCs w:val="13"/>
                <w:color w:val="212529"/>
                <w:spacing w:val="17"/>
              </w:rPr>
              <w:t xml:space="preserve"> </w:t>
            </w:r>
            <w:r>
              <w:rPr>
                <w:sz w:val="13"/>
                <w:szCs w:val="13"/>
                <w:color w:val="212529"/>
                <w:spacing w:val="2"/>
              </w:rPr>
              <w:t>77</w:t>
            </w:r>
          </w:p>
        </w:tc>
        <w:tc>
          <w:tcPr>
            <w:tcW w:w="1355" w:type="dxa"/>
            <w:vAlign w:val="top"/>
          </w:tcPr>
          <w:p>
            <w:pPr>
              <w:pStyle w:val="TableText"/>
              <w:ind w:left="854"/>
              <w:spacing w:before="98" w:line="186" w:lineRule="auto"/>
              <w:rPr>
                <w:sz w:val="13"/>
                <w:szCs w:val="13"/>
              </w:rPr>
            </w:pPr>
            <w:r>
              <w:rPr>
                <w:sz w:val="13"/>
                <w:szCs w:val="13"/>
                <w:color w:val="212529"/>
                <w:spacing w:val="2"/>
              </w:rPr>
              <w:t>109.</w:t>
            </w:r>
            <w:r>
              <w:rPr>
                <w:sz w:val="13"/>
                <w:szCs w:val="13"/>
                <w:color w:val="212529"/>
                <w:spacing w:val="18"/>
                <w:w w:val="101"/>
              </w:rPr>
              <w:t xml:space="preserve"> </w:t>
            </w:r>
            <w:r>
              <w:rPr>
                <w:sz w:val="13"/>
                <w:szCs w:val="13"/>
                <w:color w:val="212529"/>
                <w:spacing w:val="2"/>
              </w:rPr>
              <w:t>00</w:t>
            </w:r>
          </w:p>
        </w:tc>
      </w:tr>
      <w:tr>
        <w:trPr>
          <w:trHeight w:val="314" w:hRule="atLeast"/>
        </w:trPr>
        <w:tc>
          <w:tcPr>
            <w:tcW w:w="176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spacing w:before="7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2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1339" w:type="dxa"/>
            <w:vAlign w:val="top"/>
          </w:tcPr>
          <w:p>
            <w:pPr>
              <w:pStyle w:val="TableText"/>
              <w:ind w:right="16"/>
              <w:spacing w:before="98" w:line="187" w:lineRule="auto"/>
              <w:jc w:val="right"/>
              <w:rPr>
                <w:sz w:val="13"/>
                <w:szCs w:val="13"/>
              </w:rPr>
            </w:pPr>
            <w:r>
              <w:rPr>
                <w:sz w:val="13"/>
                <w:szCs w:val="13"/>
                <w:color w:val="212529"/>
                <w:spacing w:val="3"/>
              </w:rPr>
              <w:t>31.</w:t>
            </w:r>
            <w:r>
              <w:rPr>
                <w:sz w:val="13"/>
                <w:szCs w:val="13"/>
                <w:color w:val="212529"/>
                <w:spacing w:val="17"/>
                <w:w w:val="102"/>
              </w:rPr>
              <w:t xml:space="preserve"> </w:t>
            </w:r>
            <w:r>
              <w:rPr>
                <w:sz w:val="13"/>
                <w:szCs w:val="13"/>
                <w:color w:val="212529"/>
                <w:spacing w:val="3"/>
              </w:rPr>
              <w:t>14</w:t>
            </w:r>
          </w:p>
        </w:tc>
        <w:tc>
          <w:tcPr>
            <w:tcW w:w="1355" w:type="dxa"/>
            <w:vAlign w:val="top"/>
          </w:tcPr>
          <w:p>
            <w:pPr>
              <w:pStyle w:val="TableText"/>
              <w:rPr/>
            </w:pPr>
            <w:r/>
          </w:p>
        </w:tc>
      </w:tr>
      <w:tr>
        <w:trPr>
          <w:trHeight w:val="314" w:hRule="atLeast"/>
        </w:trPr>
        <w:tc>
          <w:tcPr>
            <w:tcW w:w="176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2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1339" w:type="dxa"/>
            <w:vAlign w:val="top"/>
          </w:tcPr>
          <w:p>
            <w:pPr>
              <w:pStyle w:val="TableText"/>
              <w:ind w:right="16"/>
              <w:spacing w:before="98" w:line="186" w:lineRule="auto"/>
              <w:jc w:val="right"/>
              <w:rPr>
                <w:sz w:val="13"/>
                <w:szCs w:val="13"/>
              </w:rPr>
            </w:pPr>
            <w:r>
              <w:rPr>
                <w:sz w:val="13"/>
                <w:szCs w:val="13"/>
                <w:color w:val="212529"/>
                <w:spacing w:val="3"/>
              </w:rPr>
              <w:t>31.</w:t>
            </w:r>
            <w:r>
              <w:rPr>
                <w:sz w:val="13"/>
                <w:szCs w:val="13"/>
                <w:color w:val="212529"/>
                <w:spacing w:val="17"/>
                <w:w w:val="102"/>
              </w:rPr>
              <w:t xml:space="preserve"> </w:t>
            </w:r>
            <w:r>
              <w:rPr>
                <w:sz w:val="13"/>
                <w:szCs w:val="13"/>
                <w:color w:val="212529"/>
                <w:spacing w:val="3"/>
              </w:rPr>
              <w:t>14</w:t>
            </w:r>
          </w:p>
        </w:tc>
        <w:tc>
          <w:tcPr>
            <w:tcW w:w="1355" w:type="dxa"/>
            <w:vAlign w:val="top"/>
          </w:tcPr>
          <w:p>
            <w:pPr>
              <w:pStyle w:val="TableText"/>
              <w:rPr/>
            </w:pPr>
            <w:r/>
          </w:p>
        </w:tc>
      </w:tr>
      <w:tr>
        <w:trPr>
          <w:trHeight w:val="314" w:hRule="atLeast"/>
        </w:trPr>
        <w:tc>
          <w:tcPr>
            <w:tcW w:w="1766"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94"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339"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355" w:type="dxa"/>
            <w:vAlign w:val="top"/>
          </w:tcPr>
          <w:p>
            <w:pPr>
              <w:pStyle w:val="TableText"/>
              <w:rPr/>
            </w:pPr>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spacing w:before="8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14.46</w:t>
            </w:r>
          </w:p>
        </w:tc>
        <w:tc>
          <w:tcPr>
            <w:tcW w:w="1339"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14.46</w:t>
            </w:r>
          </w:p>
        </w:tc>
        <w:tc>
          <w:tcPr>
            <w:tcW w:w="1355" w:type="dxa"/>
            <w:vAlign w:val="top"/>
          </w:tcPr>
          <w:p>
            <w:pPr>
              <w:pStyle w:val="TableText"/>
              <w:rPr/>
            </w:pPr>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94"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339"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355" w:type="dxa"/>
            <w:vAlign w:val="top"/>
          </w:tcPr>
          <w:p>
            <w:pPr>
              <w:pStyle w:val="TableText"/>
              <w:rPr/>
            </w:pPr>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1339" w:type="dxa"/>
            <w:vAlign w:val="top"/>
          </w:tcPr>
          <w:p>
            <w:pPr>
              <w:pStyle w:val="TableText"/>
              <w:ind w:left="998"/>
              <w:spacing w:before="100" w:line="186" w:lineRule="auto"/>
              <w:rPr>
                <w:sz w:val="13"/>
                <w:szCs w:val="13"/>
              </w:rPr>
            </w:pPr>
            <w:r>
              <w:rPr>
                <w:sz w:val="13"/>
                <w:szCs w:val="13"/>
                <w:color w:val="212529"/>
                <w:spacing w:val="2"/>
              </w:rPr>
              <w:t>5.</w:t>
            </w:r>
            <w:r>
              <w:rPr>
                <w:sz w:val="13"/>
                <w:szCs w:val="13"/>
                <w:color w:val="212529"/>
                <w:spacing w:val="11"/>
                <w:w w:val="102"/>
              </w:rPr>
              <w:t xml:space="preserve"> </w:t>
            </w:r>
            <w:r>
              <w:rPr>
                <w:sz w:val="13"/>
                <w:szCs w:val="13"/>
                <w:color w:val="212529"/>
                <w:spacing w:val="2"/>
              </w:rPr>
              <w:t>95</w:t>
            </w:r>
          </w:p>
        </w:tc>
        <w:tc>
          <w:tcPr>
            <w:tcW w:w="1355" w:type="dxa"/>
            <w:vAlign w:val="top"/>
          </w:tcPr>
          <w:p>
            <w:pPr>
              <w:pStyle w:val="TableText"/>
              <w:rPr/>
            </w:pPr>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1339" w:type="dxa"/>
            <w:vAlign w:val="top"/>
          </w:tcPr>
          <w:p>
            <w:pPr>
              <w:pStyle w:val="TableText"/>
              <w:ind w:left="998"/>
              <w:spacing w:before="100" w:line="186" w:lineRule="auto"/>
              <w:rPr>
                <w:sz w:val="13"/>
                <w:szCs w:val="13"/>
              </w:rPr>
            </w:pPr>
            <w:r>
              <w:rPr>
                <w:sz w:val="13"/>
                <w:szCs w:val="13"/>
                <w:color w:val="212529"/>
                <w:spacing w:val="2"/>
              </w:rPr>
              <w:t>5.</w:t>
            </w:r>
            <w:r>
              <w:rPr>
                <w:sz w:val="13"/>
                <w:szCs w:val="13"/>
                <w:color w:val="212529"/>
                <w:spacing w:val="11"/>
                <w:w w:val="102"/>
              </w:rPr>
              <w:t xml:space="preserve"> </w:t>
            </w:r>
            <w:r>
              <w:rPr>
                <w:sz w:val="13"/>
                <w:szCs w:val="13"/>
                <w:color w:val="212529"/>
                <w:spacing w:val="2"/>
              </w:rPr>
              <w:t>95</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25"/>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5.94</w:t>
            </w:r>
          </w:p>
        </w:tc>
        <w:tc>
          <w:tcPr>
            <w:tcW w:w="1339" w:type="dxa"/>
            <w:vAlign w:val="top"/>
          </w:tcPr>
          <w:p>
            <w:pPr>
              <w:ind w:right="17"/>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5.94</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94"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355" w:type="dxa"/>
            <w:vAlign w:val="top"/>
          </w:tcPr>
          <w:p>
            <w:pPr>
              <w:pStyle w:val="TableText"/>
              <w:rPr/>
            </w:pPr>
            <w:r/>
          </w:p>
        </w:tc>
      </w:tr>
      <w:tr>
        <w:trPr>
          <w:trHeight w:val="314" w:hRule="atLeast"/>
        </w:trPr>
        <w:tc>
          <w:tcPr>
            <w:tcW w:w="1766" w:type="dxa"/>
            <w:vAlign w:val="top"/>
          </w:tcPr>
          <w:p>
            <w:pPr>
              <w:ind w:left="8"/>
              <w:spacing w:before="82"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294"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186.23</w:t>
            </w:r>
          </w:p>
        </w:tc>
        <w:tc>
          <w:tcPr>
            <w:tcW w:w="1339" w:type="dxa"/>
            <w:vAlign w:val="top"/>
          </w:tcPr>
          <w:p>
            <w:pPr>
              <w:pStyle w:val="TableText"/>
              <w:ind w:left="845"/>
              <w:spacing w:before="101" w:line="186" w:lineRule="auto"/>
              <w:rPr>
                <w:sz w:val="13"/>
                <w:szCs w:val="13"/>
              </w:rPr>
            </w:pPr>
            <w:r>
              <w:rPr>
                <w:sz w:val="13"/>
                <w:szCs w:val="13"/>
                <w:color w:val="212529"/>
                <w:spacing w:val="2"/>
              </w:rPr>
              <w:t>120.</w:t>
            </w:r>
            <w:r>
              <w:rPr>
                <w:sz w:val="13"/>
                <w:szCs w:val="13"/>
                <w:color w:val="212529"/>
                <w:spacing w:val="16"/>
                <w:w w:val="101"/>
              </w:rPr>
              <w:t xml:space="preserve"> </w:t>
            </w:r>
            <w:r>
              <w:rPr>
                <w:sz w:val="13"/>
                <w:szCs w:val="13"/>
                <w:color w:val="212529"/>
                <w:spacing w:val="2"/>
              </w:rPr>
              <w:t>23</w:t>
            </w:r>
          </w:p>
        </w:tc>
        <w:tc>
          <w:tcPr>
            <w:tcW w:w="1355" w:type="dxa"/>
            <w:vAlign w:val="top"/>
          </w:tcPr>
          <w:p>
            <w:pPr>
              <w:pStyle w:val="TableText"/>
              <w:ind w:left="924"/>
              <w:spacing w:before="101" w:line="186" w:lineRule="auto"/>
              <w:rPr>
                <w:sz w:val="13"/>
                <w:szCs w:val="13"/>
              </w:rPr>
            </w:pPr>
            <w:r>
              <w:rPr>
                <w:sz w:val="13"/>
                <w:szCs w:val="13"/>
                <w:color w:val="212529"/>
                <w:spacing w:val="4"/>
              </w:rPr>
              <w:t>66.</w:t>
            </w:r>
            <w:r>
              <w:rPr>
                <w:sz w:val="13"/>
                <w:szCs w:val="13"/>
                <w:color w:val="212529"/>
                <w:spacing w:val="12"/>
              </w:rPr>
              <w:t xml:space="preserve"> </w:t>
            </w:r>
            <w:r>
              <w:rPr>
                <w:sz w:val="13"/>
                <w:szCs w:val="13"/>
                <w:color w:val="212529"/>
                <w:spacing w:val="4"/>
              </w:rPr>
              <w:t>00</w:t>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21201</w:t>
            </w:r>
          </w:p>
        </w:tc>
        <w:tc>
          <w:tcPr>
            <w:tcW w:w="3294"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城乡社区管理事务</w:t>
            </w:r>
          </w:p>
        </w:tc>
        <w:tc>
          <w:tcPr>
            <w:tcW w:w="1404" w:type="dxa"/>
            <w:vAlign w:val="top"/>
          </w:tcPr>
          <w:p>
            <w:pPr>
              <w:ind w:right="25"/>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339" w:type="dxa"/>
            <w:vAlign w:val="top"/>
          </w:tcPr>
          <w:p>
            <w:pPr>
              <w:pStyle w:val="TableText"/>
              <w:ind w:left="845"/>
              <w:spacing w:before="102" w:line="186" w:lineRule="auto"/>
              <w:rPr>
                <w:sz w:val="13"/>
                <w:szCs w:val="13"/>
              </w:rPr>
            </w:pPr>
            <w:r>
              <w:rPr>
                <w:sz w:val="13"/>
                <w:szCs w:val="13"/>
                <w:color w:val="212529"/>
                <w:spacing w:val="2"/>
              </w:rPr>
              <w:t>120.</w:t>
            </w:r>
            <w:r>
              <w:rPr>
                <w:sz w:val="13"/>
                <w:szCs w:val="13"/>
                <w:color w:val="212529"/>
                <w:spacing w:val="16"/>
                <w:w w:val="101"/>
              </w:rPr>
              <w:t xml:space="preserve"> </w:t>
            </w:r>
            <w:r>
              <w:rPr>
                <w:sz w:val="13"/>
                <w:szCs w:val="13"/>
                <w:color w:val="212529"/>
                <w:spacing w:val="2"/>
              </w:rPr>
              <w:t>23</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2120199</w:t>
            </w:r>
          </w:p>
        </w:tc>
        <w:tc>
          <w:tcPr>
            <w:tcW w:w="3294"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1"/>
              </w:rPr>
              <w:t>其他城乡社区管理事务支出</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339"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355" w:type="dxa"/>
            <w:vAlign w:val="top"/>
          </w:tcPr>
          <w:p>
            <w:pPr>
              <w:pStyle w:val="TableText"/>
              <w:rPr/>
            </w:pPr>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21203</w:t>
            </w:r>
          </w:p>
        </w:tc>
        <w:tc>
          <w:tcPr>
            <w:tcW w:w="3294"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城乡社区公共设施</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c>
          <w:tcPr>
            <w:tcW w:w="1339" w:type="dxa"/>
            <w:vAlign w:val="top"/>
          </w:tcPr>
          <w:p>
            <w:pPr>
              <w:pStyle w:val="TableText"/>
              <w:rPr/>
            </w:pPr>
            <w:r/>
          </w:p>
        </w:tc>
        <w:tc>
          <w:tcPr>
            <w:tcW w:w="1355" w:type="dxa"/>
            <w:vAlign w:val="top"/>
          </w:tcPr>
          <w:p>
            <w:pPr>
              <w:pStyle w:val="TableText"/>
              <w:ind w:left="924"/>
              <w:spacing w:before="102" w:line="186" w:lineRule="auto"/>
              <w:rPr>
                <w:sz w:val="13"/>
                <w:szCs w:val="13"/>
              </w:rPr>
            </w:pPr>
            <w:r>
              <w:rPr>
                <w:sz w:val="13"/>
                <w:szCs w:val="13"/>
                <w:color w:val="212529"/>
                <w:spacing w:val="4"/>
              </w:rPr>
              <w:t>66.</w:t>
            </w:r>
            <w:r>
              <w:rPr>
                <w:sz w:val="13"/>
                <w:szCs w:val="13"/>
                <w:color w:val="212529"/>
                <w:spacing w:val="12"/>
              </w:rPr>
              <w:t xml:space="preserve"> </w:t>
            </w:r>
            <w:r>
              <w:rPr>
                <w:sz w:val="13"/>
                <w:szCs w:val="13"/>
                <w:color w:val="212529"/>
                <w:spacing w:val="4"/>
              </w:rPr>
              <w:t>00</w:t>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2120399</w:t>
            </w:r>
          </w:p>
        </w:tc>
        <w:tc>
          <w:tcPr>
            <w:tcW w:w="3294"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其他城乡社区公共设施支出</w:t>
            </w:r>
          </w:p>
        </w:tc>
        <w:tc>
          <w:tcPr>
            <w:tcW w:w="1404"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c>
          <w:tcPr>
            <w:tcW w:w="1339" w:type="dxa"/>
            <w:vAlign w:val="top"/>
          </w:tcPr>
          <w:p>
            <w:pPr>
              <w:pStyle w:val="TableText"/>
              <w:rPr/>
            </w:pPr>
            <w:r/>
          </w:p>
        </w:tc>
        <w:tc>
          <w:tcPr>
            <w:tcW w:w="1355"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r>
      <w:tr>
        <w:trPr>
          <w:trHeight w:val="314" w:hRule="atLeast"/>
        </w:trPr>
        <w:tc>
          <w:tcPr>
            <w:tcW w:w="176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54.45</w:t>
            </w:r>
          </w:p>
        </w:tc>
        <w:tc>
          <w:tcPr>
            <w:tcW w:w="1339" w:type="dxa"/>
            <w:vAlign w:val="top"/>
          </w:tcPr>
          <w:p>
            <w:pPr>
              <w:pStyle w:val="TableText"/>
              <w:ind w:left="926"/>
              <w:spacing w:before="102" w:line="162" w:lineRule="auto"/>
              <w:rPr>
                <w:sz w:val="15"/>
                <w:szCs w:val="15"/>
              </w:rPr>
            </w:pPr>
            <w:r>
              <w:rPr>
                <w:sz w:val="15"/>
                <w:szCs w:val="15"/>
                <w:color w:val="212529"/>
                <w:spacing w:val="1"/>
              </w:rPr>
              <w:t>11.45</w:t>
            </w:r>
          </w:p>
        </w:tc>
        <w:tc>
          <w:tcPr>
            <w:tcW w:w="1355" w:type="dxa"/>
            <w:vAlign w:val="top"/>
          </w:tcPr>
          <w:p>
            <w:pPr>
              <w:pStyle w:val="TableText"/>
              <w:ind w:left="922"/>
              <w:spacing w:before="103" w:line="172" w:lineRule="auto"/>
              <w:rPr>
                <w:sz w:val="14"/>
                <w:szCs w:val="14"/>
              </w:rPr>
            </w:pPr>
            <w:r>
              <w:rPr>
                <w:sz w:val="14"/>
                <w:szCs w:val="14"/>
                <w:color w:val="212529"/>
              </w:rPr>
              <w:t>43.</w:t>
            </w:r>
            <w:r>
              <w:rPr>
                <w:sz w:val="14"/>
                <w:szCs w:val="14"/>
                <w:color w:val="212529"/>
                <w:spacing w:val="6"/>
              </w:rPr>
              <w:t xml:space="preserve"> </w:t>
            </w:r>
            <w:r>
              <w:rPr>
                <w:sz w:val="14"/>
                <w:szCs w:val="14"/>
                <w:color w:val="212529"/>
              </w:rPr>
              <w:t>00</w:t>
            </w:r>
          </w:p>
        </w:tc>
      </w:tr>
      <w:tr>
        <w:trPr>
          <w:trHeight w:val="314" w:hRule="atLeast"/>
        </w:trPr>
        <w:tc>
          <w:tcPr>
            <w:tcW w:w="176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22101</w:t>
            </w:r>
          </w:p>
        </w:tc>
        <w:tc>
          <w:tcPr>
            <w:tcW w:w="3294"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保障性安居工程支出</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1339" w:type="dxa"/>
            <w:vAlign w:val="top"/>
          </w:tcPr>
          <w:p>
            <w:pPr>
              <w:pStyle w:val="TableText"/>
              <w:rPr/>
            </w:pPr>
            <w:r/>
          </w:p>
        </w:tc>
        <w:tc>
          <w:tcPr>
            <w:tcW w:w="1355" w:type="dxa"/>
            <w:vAlign w:val="top"/>
          </w:tcPr>
          <w:p>
            <w:pPr>
              <w:pStyle w:val="TableText"/>
              <w:ind w:left="922"/>
              <w:spacing w:before="104" w:line="172" w:lineRule="auto"/>
              <w:rPr>
                <w:sz w:val="14"/>
                <w:szCs w:val="14"/>
              </w:rPr>
            </w:pPr>
            <w:r>
              <w:rPr>
                <w:sz w:val="14"/>
                <w:szCs w:val="14"/>
                <w:color w:val="212529"/>
              </w:rPr>
              <w:t>43.</w:t>
            </w:r>
            <w:r>
              <w:rPr>
                <w:sz w:val="14"/>
                <w:szCs w:val="14"/>
                <w:color w:val="212529"/>
                <w:spacing w:val="6"/>
              </w:rPr>
              <w:t xml:space="preserve"> </w:t>
            </w:r>
            <w:r>
              <w:rPr>
                <w:sz w:val="14"/>
                <w:szCs w:val="14"/>
                <w:color w:val="212529"/>
              </w:rPr>
              <w:t>00</w:t>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2210111</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配租型住房保障</w:t>
            </w:r>
          </w:p>
        </w:tc>
        <w:tc>
          <w:tcPr>
            <w:tcW w:w="1404" w:type="dxa"/>
            <w:vAlign w:val="top"/>
          </w:tcPr>
          <w:p>
            <w:pPr>
              <w:ind w:right="25"/>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1339" w:type="dxa"/>
            <w:vAlign w:val="top"/>
          </w:tcPr>
          <w:p>
            <w:pPr>
              <w:pStyle w:val="TableText"/>
              <w:rPr/>
            </w:pPr>
            <w:r/>
          </w:p>
        </w:tc>
        <w:tc>
          <w:tcPr>
            <w:tcW w:w="1355" w:type="dxa"/>
            <w:vAlign w:val="top"/>
          </w:tcPr>
          <w:p>
            <w:pPr>
              <w:ind w:right="24"/>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339" w:type="dxa"/>
            <w:vAlign w:val="top"/>
          </w:tcPr>
          <w:p>
            <w:pPr>
              <w:pStyle w:val="TableText"/>
              <w:ind w:left="926"/>
              <w:spacing w:before="103" w:line="162" w:lineRule="auto"/>
              <w:rPr>
                <w:sz w:val="15"/>
                <w:szCs w:val="15"/>
              </w:rPr>
            </w:pPr>
            <w:r>
              <w:rPr>
                <w:sz w:val="15"/>
                <w:szCs w:val="15"/>
                <w:color w:val="212529"/>
                <w:spacing w:val="1"/>
              </w:rPr>
              <w:t>11.45</w:t>
            </w:r>
          </w:p>
        </w:tc>
        <w:tc>
          <w:tcPr>
            <w:tcW w:w="1355" w:type="dxa"/>
            <w:vAlign w:val="top"/>
          </w:tcPr>
          <w:p>
            <w:pPr>
              <w:pStyle w:val="TableText"/>
              <w:rPr/>
            </w:pPr>
            <w:r/>
          </w:p>
        </w:tc>
      </w:tr>
      <w:tr>
        <w:trPr>
          <w:trHeight w:val="319"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339"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355" w:type="dxa"/>
            <w:vAlign w:val="top"/>
          </w:tcPr>
          <w:p>
            <w:pPr>
              <w:pStyle w:val="TableText"/>
              <w:rPr/>
            </w:pPr>
            <w:r/>
          </w:p>
        </w:tc>
      </w:tr>
    </w:tbl>
    <w:p>
      <w:pPr>
        <w:pStyle w:val="BodyText"/>
        <w:rPr/>
      </w:pPr>
      <w:r/>
    </w:p>
    <w:p>
      <w:pPr>
        <w:sectPr>
          <w:headerReference w:type="default" r:id="rId5"/>
          <w:footerReference w:type="default" r:id="rId15"/>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277.77</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186.23</w:t>
            </w:r>
          </w:p>
        </w:tc>
        <w:tc>
          <w:tcPr>
            <w:tcW w:w="106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186.23</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54.45</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54.45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3"/>
              <w:spacing w:before="138" w:line="172" w:lineRule="auto"/>
              <w:rPr>
                <w:sz w:val="14"/>
                <w:szCs w:val="14"/>
              </w:rPr>
            </w:pPr>
            <w:r>
              <w:rPr>
                <w:sz w:val="14"/>
                <w:szCs w:val="14"/>
                <w:color w:val="212529"/>
              </w:rPr>
              <w:t>277.</w:t>
            </w:r>
            <w:r>
              <w:rPr>
                <w:sz w:val="14"/>
                <w:szCs w:val="14"/>
                <w:color w:val="212529"/>
                <w:spacing w:val="6"/>
              </w:rPr>
              <w:t xml:space="preserve"> </w:t>
            </w:r>
            <w:r>
              <w:rPr>
                <w:sz w:val="14"/>
                <w:szCs w:val="14"/>
                <w:color w:val="212529"/>
              </w:rPr>
              <w:t>77</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1"/>
              <w:spacing w:before="138" w:line="172" w:lineRule="auto"/>
              <w:rPr>
                <w:sz w:val="14"/>
                <w:szCs w:val="14"/>
              </w:rPr>
            </w:pPr>
            <w:r>
              <w:rPr>
                <w:sz w:val="14"/>
                <w:szCs w:val="14"/>
                <w:color w:val="212529"/>
              </w:rPr>
              <w:t>277.</w:t>
            </w:r>
            <w:r>
              <w:rPr>
                <w:sz w:val="14"/>
                <w:szCs w:val="14"/>
                <w:color w:val="212529"/>
                <w:spacing w:val="6"/>
              </w:rPr>
              <w:t xml:space="preserve"> </w:t>
            </w:r>
            <w:r>
              <w:rPr>
                <w:sz w:val="14"/>
                <w:szCs w:val="14"/>
                <w:color w:val="212529"/>
              </w:rPr>
              <w:t>77</w:t>
            </w:r>
          </w:p>
        </w:tc>
        <w:tc>
          <w:tcPr>
            <w:tcW w:w="1069" w:type="dxa"/>
            <w:vAlign w:val="top"/>
          </w:tcPr>
          <w:p>
            <w:pPr>
              <w:pStyle w:val="TableText"/>
              <w:ind w:left="286"/>
              <w:spacing w:before="138" w:line="172" w:lineRule="auto"/>
              <w:rPr>
                <w:sz w:val="14"/>
                <w:szCs w:val="14"/>
              </w:rPr>
            </w:pPr>
            <w:r>
              <w:rPr>
                <w:sz w:val="14"/>
                <w:szCs w:val="14"/>
                <w:color w:val="212529"/>
              </w:rPr>
              <w:t>277.</w:t>
            </w:r>
            <w:r>
              <w:rPr>
                <w:sz w:val="14"/>
                <w:szCs w:val="14"/>
                <w:color w:val="212529"/>
                <w:spacing w:val="6"/>
              </w:rPr>
              <w:t xml:space="preserve"> </w:t>
            </w:r>
            <w:r>
              <w:rPr>
                <w:sz w:val="14"/>
                <w:szCs w:val="14"/>
                <w:color w:val="212529"/>
              </w:rPr>
              <w:t>77</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90"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3"/>
              <w:spacing w:before="136" w:line="172" w:lineRule="auto"/>
              <w:rPr>
                <w:sz w:val="14"/>
                <w:szCs w:val="14"/>
              </w:rPr>
            </w:pPr>
            <w:r>
              <w:rPr>
                <w:sz w:val="14"/>
                <w:szCs w:val="14"/>
                <w:color w:val="212529"/>
              </w:rPr>
              <w:t>277.</w:t>
            </w:r>
            <w:r>
              <w:rPr>
                <w:sz w:val="14"/>
                <w:szCs w:val="14"/>
                <w:color w:val="212529"/>
                <w:spacing w:val="6"/>
              </w:rPr>
              <w:t xml:space="preserve"> </w:t>
            </w:r>
            <w:r>
              <w:rPr>
                <w:sz w:val="14"/>
                <w:szCs w:val="14"/>
                <w:color w:val="212529"/>
              </w:rPr>
              <w:t>77</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1"/>
              <w:spacing w:before="136" w:line="186" w:lineRule="auto"/>
              <w:rPr>
                <w:sz w:val="13"/>
                <w:szCs w:val="13"/>
              </w:rPr>
            </w:pPr>
            <w:r>
              <w:rPr>
                <w:sz w:val="13"/>
                <w:szCs w:val="13"/>
                <w:color w:val="212529"/>
                <w:spacing w:val="4"/>
              </w:rPr>
              <w:t>277.</w:t>
            </w:r>
            <w:r>
              <w:rPr>
                <w:sz w:val="13"/>
                <w:szCs w:val="13"/>
                <w:color w:val="212529"/>
                <w:spacing w:val="15"/>
              </w:rPr>
              <w:t xml:space="preserve"> </w:t>
            </w:r>
            <w:r>
              <w:rPr>
                <w:sz w:val="13"/>
                <w:szCs w:val="13"/>
                <w:color w:val="212529"/>
                <w:spacing w:val="4"/>
              </w:rPr>
              <w:t>77</w:t>
            </w:r>
          </w:p>
        </w:tc>
        <w:tc>
          <w:tcPr>
            <w:tcW w:w="1069" w:type="dxa"/>
            <w:vAlign w:val="top"/>
          </w:tcPr>
          <w:p>
            <w:pPr>
              <w:pStyle w:val="TableText"/>
              <w:ind w:left="286"/>
              <w:spacing w:before="136" w:line="172" w:lineRule="auto"/>
              <w:rPr>
                <w:sz w:val="14"/>
                <w:szCs w:val="14"/>
              </w:rPr>
            </w:pPr>
            <w:r>
              <w:rPr>
                <w:sz w:val="14"/>
                <w:szCs w:val="14"/>
                <w:color w:val="212529"/>
              </w:rPr>
              <w:t>277.</w:t>
            </w:r>
            <w:r>
              <w:rPr>
                <w:sz w:val="14"/>
                <w:szCs w:val="14"/>
                <w:color w:val="212529"/>
                <w:spacing w:val="6"/>
              </w:rPr>
              <w:t xml:space="preserve"> </w:t>
            </w:r>
            <w:r>
              <w:rPr>
                <w:sz w:val="14"/>
                <w:szCs w:val="14"/>
                <w:color w:val="212529"/>
              </w:rPr>
              <w:t>77</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9"/>
              <w:spacing w:before="87" w:line="172" w:lineRule="auto"/>
              <w:rPr>
                <w:sz w:val="14"/>
                <w:szCs w:val="14"/>
              </w:rPr>
            </w:pPr>
            <w:r>
              <w:rPr>
                <w:sz w:val="14"/>
                <w:szCs w:val="14"/>
                <w:color w:val="212529"/>
              </w:rPr>
              <w:t>277.</w:t>
            </w:r>
            <w:r>
              <w:rPr>
                <w:sz w:val="14"/>
                <w:szCs w:val="14"/>
                <w:color w:val="212529"/>
                <w:spacing w:val="6"/>
              </w:rPr>
              <w:t xml:space="preserve"> </w:t>
            </w:r>
            <w:r>
              <w:rPr>
                <w:sz w:val="14"/>
                <w:szCs w:val="14"/>
                <w:color w:val="212529"/>
              </w:rPr>
              <w:t>77</w:t>
            </w:r>
          </w:p>
        </w:tc>
        <w:tc>
          <w:tcPr>
            <w:tcW w:w="1393" w:type="dxa"/>
            <w:vAlign w:val="top"/>
          </w:tcPr>
          <w:p>
            <w:pPr>
              <w:pStyle w:val="TableText"/>
              <w:ind w:left="899"/>
              <w:spacing w:before="87" w:line="186" w:lineRule="auto"/>
              <w:rPr>
                <w:sz w:val="13"/>
                <w:szCs w:val="13"/>
              </w:rPr>
            </w:pPr>
            <w:r>
              <w:rPr>
                <w:sz w:val="13"/>
                <w:szCs w:val="13"/>
                <w:color w:val="212529"/>
                <w:spacing w:val="2"/>
              </w:rPr>
              <w:t>168.</w:t>
            </w:r>
            <w:r>
              <w:rPr>
                <w:sz w:val="13"/>
                <w:szCs w:val="13"/>
                <w:color w:val="212529"/>
                <w:spacing w:val="17"/>
              </w:rPr>
              <w:t xml:space="preserve"> </w:t>
            </w:r>
            <w:r>
              <w:rPr>
                <w:sz w:val="13"/>
                <w:szCs w:val="13"/>
                <w:color w:val="212529"/>
                <w:spacing w:val="2"/>
              </w:rPr>
              <w:t>77</w:t>
            </w:r>
          </w:p>
        </w:tc>
        <w:tc>
          <w:tcPr>
            <w:tcW w:w="1453" w:type="dxa"/>
            <w:vAlign w:val="top"/>
          </w:tcPr>
          <w:p>
            <w:pPr>
              <w:pStyle w:val="TableText"/>
              <w:ind w:left="952"/>
              <w:spacing w:before="87" w:line="186" w:lineRule="auto"/>
              <w:rPr>
                <w:sz w:val="13"/>
                <w:szCs w:val="13"/>
              </w:rPr>
            </w:pPr>
            <w:r>
              <w:rPr>
                <w:sz w:val="13"/>
                <w:szCs w:val="13"/>
                <w:color w:val="212529"/>
                <w:spacing w:val="2"/>
              </w:rPr>
              <w:t>109.</w:t>
            </w:r>
            <w:r>
              <w:rPr>
                <w:sz w:val="13"/>
                <w:szCs w:val="13"/>
                <w:color w:val="212529"/>
                <w:spacing w:val="18"/>
                <w:w w:val="101"/>
              </w:rPr>
              <w:t xml:space="preserve"> </w:t>
            </w:r>
            <w:r>
              <w:rPr>
                <w:sz w:val="13"/>
                <w:szCs w:val="13"/>
                <w:color w:val="212529"/>
                <w:spacing w:val="2"/>
              </w:rPr>
              <w:t>00</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1453" w:type="dxa"/>
            <w:vAlign w:val="top"/>
          </w:tcPr>
          <w:p>
            <w:pPr>
              <w:pStyle w:val="TableText"/>
              <w:rPr/>
            </w:pPr>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31.14</w:t>
            </w:r>
          </w:p>
        </w:tc>
        <w:tc>
          <w:tcPr>
            <w:tcW w:w="1453" w:type="dxa"/>
            <w:vAlign w:val="top"/>
          </w:tcPr>
          <w:p>
            <w:pPr>
              <w:pStyle w:val="TableText"/>
              <w:rPr/>
            </w:pPr>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21" w:type="dxa"/>
            <w:vAlign w:val="top"/>
          </w:tcPr>
          <w:p>
            <w:pPr>
              <w:ind w:left="8"/>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14.46</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14.46</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21" w:type="dxa"/>
            <w:vAlign w:val="top"/>
          </w:tcPr>
          <w:p>
            <w:pPr>
              <w:ind w:left="6"/>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453" w:type="dxa"/>
            <w:vAlign w:val="top"/>
          </w:tcPr>
          <w:p>
            <w:pPr>
              <w:pStyle w:val="TableText"/>
              <w:rPr/>
            </w:pPr>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1453" w:type="dxa"/>
            <w:vAlign w:val="top"/>
          </w:tcPr>
          <w:p>
            <w:pPr>
              <w:pStyle w:val="TableText"/>
              <w:rPr/>
            </w:pPr>
            <w:r/>
          </w:p>
        </w:tc>
      </w:tr>
      <w:tr>
        <w:trPr>
          <w:trHeight w:val="292"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5.95</w:t>
            </w:r>
          </w:p>
        </w:tc>
        <w:tc>
          <w:tcPr>
            <w:tcW w:w="1453" w:type="dxa"/>
            <w:vAlign w:val="top"/>
          </w:tcPr>
          <w:p>
            <w:pPr>
              <w:pStyle w:val="TableText"/>
              <w:rPr/>
            </w:pPr>
            <w:r/>
          </w:p>
        </w:tc>
      </w:tr>
      <w:tr>
        <w:trPr>
          <w:trHeight w:val="292"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21" w:type="dxa"/>
            <w:vAlign w:val="top"/>
          </w:tcPr>
          <w:p>
            <w:pPr>
              <w:ind w:left="8"/>
              <w:spacing w:before="7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5.94</w:t>
            </w:r>
          </w:p>
        </w:tc>
        <w:tc>
          <w:tcPr>
            <w:tcW w:w="1393"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5.94</w:t>
            </w:r>
          </w:p>
        </w:tc>
        <w:tc>
          <w:tcPr>
            <w:tcW w:w="1453" w:type="dxa"/>
            <w:vAlign w:val="top"/>
          </w:tcPr>
          <w:p>
            <w:pPr>
              <w:pStyle w:val="TableText"/>
              <w:rPr/>
            </w:pPr>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21"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453" w:type="dxa"/>
            <w:vAlign w:val="top"/>
          </w:tcPr>
          <w:p>
            <w:pPr>
              <w:pStyle w:val="TableText"/>
              <w:rPr/>
            </w:pPr>
            <w:r/>
          </w:p>
        </w:tc>
      </w:tr>
      <w:tr>
        <w:trPr>
          <w:trHeight w:val="293" w:hRule="atLeast"/>
        </w:trPr>
        <w:tc>
          <w:tcPr>
            <w:tcW w:w="1658"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121"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186.23</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r>
      <w:tr>
        <w:trPr>
          <w:trHeight w:val="293"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21201</w:t>
            </w:r>
          </w:p>
        </w:tc>
        <w:tc>
          <w:tcPr>
            <w:tcW w:w="3121"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城乡社区管理事务</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453" w:type="dxa"/>
            <w:vAlign w:val="top"/>
          </w:tcPr>
          <w:p>
            <w:pPr>
              <w:pStyle w:val="TableText"/>
              <w:rPr/>
            </w:pPr>
            <w:r/>
          </w:p>
        </w:tc>
      </w:tr>
      <w:tr>
        <w:trPr>
          <w:trHeight w:val="292" w:hRule="atLeast"/>
        </w:trPr>
        <w:tc>
          <w:tcPr>
            <w:tcW w:w="1658"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2120199</w:t>
            </w:r>
          </w:p>
        </w:tc>
        <w:tc>
          <w:tcPr>
            <w:tcW w:w="3121"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其他城乡社区管理事务支出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120.23</w:t>
            </w:r>
          </w:p>
        </w:tc>
        <w:tc>
          <w:tcPr>
            <w:tcW w:w="1453" w:type="dxa"/>
            <w:vAlign w:val="top"/>
          </w:tcPr>
          <w:p>
            <w:pPr>
              <w:pStyle w:val="TableText"/>
              <w:rPr/>
            </w:pPr>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21203</w:t>
            </w:r>
          </w:p>
        </w:tc>
        <w:tc>
          <w:tcPr>
            <w:tcW w:w="3121"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城乡社区公共设施</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c>
          <w:tcPr>
            <w:tcW w:w="1393"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r>
      <w:tr>
        <w:trPr>
          <w:trHeight w:val="292"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2120399</w:t>
            </w:r>
          </w:p>
        </w:tc>
        <w:tc>
          <w:tcPr>
            <w:tcW w:w="3121"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其他城乡社区公共设施支出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c>
          <w:tcPr>
            <w:tcW w:w="1393"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66.00</w:t>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54.45</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45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22101</w:t>
            </w:r>
          </w:p>
        </w:tc>
        <w:tc>
          <w:tcPr>
            <w:tcW w:w="3121"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1"/>
              </w:rPr>
              <w:t>保障性安居工程支出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1393"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2210111</w:t>
            </w:r>
          </w:p>
        </w:tc>
        <w:tc>
          <w:tcPr>
            <w:tcW w:w="3121"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配租型住房保障</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1393"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r>
      <w:tr>
        <w:trPr>
          <w:trHeight w:val="292"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453" w:type="dxa"/>
            <w:vAlign w:val="top"/>
          </w:tcPr>
          <w:p>
            <w:pPr>
              <w:pStyle w:val="TableText"/>
              <w:rPr/>
            </w:pPr>
            <w:r/>
          </w:p>
        </w:tc>
      </w:tr>
      <w:tr>
        <w:trPr>
          <w:trHeight w:val="298" w:hRule="atLeast"/>
        </w:trPr>
        <w:tc>
          <w:tcPr>
            <w:tcW w:w="1658"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393" w:type="dxa"/>
            <w:vAlign w:val="top"/>
          </w:tcPr>
          <w:p>
            <w:pPr>
              <w:ind w:right="16"/>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453" w:type="dxa"/>
            <w:vAlign w:val="top"/>
          </w:tcPr>
          <w:p>
            <w:pPr>
              <w:pStyle w:val="TableText"/>
              <w:rPr/>
            </w:pPr>
            <w:r/>
          </w:p>
        </w:tc>
      </w:tr>
    </w:tbl>
    <w:p>
      <w:pPr>
        <w:pStyle w:val="BodyText"/>
        <w:rPr/>
      </w:pPr>
      <w:r/>
    </w:p>
    <w:p>
      <w:pPr>
        <w:sectPr>
          <w:headerReference w:type="default" r:id="rId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7" w:line="186" w:lineRule="auto"/>
              <w:rPr>
                <w:sz w:val="13"/>
                <w:szCs w:val="13"/>
              </w:rPr>
            </w:pPr>
            <w:r>
              <w:rPr>
                <w:sz w:val="13"/>
                <w:szCs w:val="13"/>
                <w:color w:val="212529"/>
                <w:spacing w:val="2"/>
              </w:rPr>
              <w:t>168.</w:t>
            </w:r>
            <w:r>
              <w:rPr>
                <w:sz w:val="13"/>
                <w:szCs w:val="13"/>
                <w:color w:val="212529"/>
                <w:spacing w:val="17"/>
              </w:rPr>
              <w:t xml:space="preserve"> </w:t>
            </w:r>
            <w:r>
              <w:rPr>
                <w:sz w:val="13"/>
                <w:szCs w:val="13"/>
                <w:color w:val="212529"/>
                <w:spacing w:val="2"/>
              </w:rPr>
              <w:t>77</w:t>
            </w:r>
          </w:p>
        </w:tc>
        <w:tc>
          <w:tcPr>
            <w:tcW w:w="1199" w:type="dxa"/>
            <w:vAlign w:val="top"/>
          </w:tcPr>
          <w:p>
            <w:pPr>
              <w:pStyle w:val="TableText"/>
              <w:ind w:left="700"/>
              <w:spacing w:before="86" w:line="162" w:lineRule="auto"/>
              <w:rPr>
                <w:sz w:val="15"/>
                <w:szCs w:val="15"/>
              </w:rPr>
            </w:pPr>
            <w:r>
              <w:rPr>
                <w:sz w:val="15"/>
                <w:szCs w:val="15"/>
                <w:color w:val="212529"/>
              </w:rPr>
              <w:t>160.38</w:t>
            </w:r>
          </w:p>
        </w:tc>
        <w:tc>
          <w:tcPr>
            <w:tcW w:w="1042" w:type="dxa"/>
            <w:vAlign w:val="top"/>
          </w:tcPr>
          <w:p>
            <w:pPr>
              <w:pStyle w:val="TableText"/>
              <w:ind w:left="693"/>
              <w:spacing w:before="87" w:line="186" w:lineRule="auto"/>
              <w:rPr>
                <w:sz w:val="13"/>
                <w:szCs w:val="13"/>
              </w:rPr>
            </w:pPr>
            <w:r>
              <w:rPr>
                <w:sz w:val="13"/>
                <w:szCs w:val="13"/>
                <w:color w:val="212529"/>
                <w:spacing w:val="3"/>
              </w:rPr>
              <w:t>8.</w:t>
            </w:r>
            <w:r>
              <w:rPr>
                <w:sz w:val="13"/>
                <w:szCs w:val="13"/>
                <w:color w:val="212529"/>
                <w:spacing w:val="11"/>
                <w:w w:val="101"/>
              </w:rPr>
              <w:t xml:space="preserve"> </w:t>
            </w:r>
            <w:r>
              <w:rPr>
                <w:sz w:val="13"/>
                <w:szCs w:val="13"/>
                <w:color w:val="212529"/>
                <w:spacing w:val="3"/>
              </w:rPr>
              <w:t>39</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156.70</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156.70</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51.84</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51.84</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10.12</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10.12</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36.55</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36.55</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14.46</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14.46</w:t>
            </w:r>
          </w:p>
        </w:tc>
        <w:tc>
          <w:tcPr>
            <w:tcW w:w="1042" w:type="dxa"/>
            <w:vAlign w:val="top"/>
          </w:tcPr>
          <w:p>
            <w:pPr>
              <w:pStyle w:val="TableText"/>
              <w:rPr/>
            </w:pPr>
            <w:r/>
          </w:p>
        </w:tc>
      </w:tr>
      <w:tr>
        <w:trPr>
          <w:trHeight w:val="292" w:hRule="atLeast"/>
        </w:trPr>
        <w:tc>
          <w:tcPr>
            <w:tcW w:w="334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5.87</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5.87</w:t>
            </w:r>
          </w:p>
        </w:tc>
        <w:tc>
          <w:tcPr>
            <w:tcW w:w="1042" w:type="dxa"/>
            <w:vAlign w:val="top"/>
          </w:tcPr>
          <w:p>
            <w:pPr>
              <w:pStyle w:val="TableText"/>
              <w:rPr/>
            </w:pPr>
            <w:r/>
          </w:p>
        </w:tc>
      </w:tr>
      <w:tr>
        <w:trPr>
          <w:trHeight w:val="292" w:hRule="atLeast"/>
        </w:trPr>
        <w:tc>
          <w:tcPr>
            <w:tcW w:w="3342" w:type="dxa"/>
            <w:vAlign w:val="top"/>
          </w:tcPr>
          <w:p>
            <w:pPr>
              <w:ind w:left="330"/>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0.35</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0.35</w:t>
            </w:r>
          </w:p>
        </w:tc>
        <w:tc>
          <w:tcPr>
            <w:tcW w:w="1042" w:type="dxa"/>
            <w:vAlign w:val="top"/>
          </w:tcPr>
          <w:p>
            <w:pPr>
              <w:pStyle w:val="TableText"/>
              <w:rPr/>
            </w:pPr>
            <w:r/>
          </w:p>
        </w:tc>
      </w:tr>
      <w:tr>
        <w:trPr>
          <w:trHeight w:val="292" w:hRule="atLeast"/>
        </w:trPr>
        <w:tc>
          <w:tcPr>
            <w:tcW w:w="3342"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11.45</w:t>
            </w:r>
          </w:p>
        </w:tc>
        <w:tc>
          <w:tcPr>
            <w:tcW w:w="1042" w:type="dxa"/>
            <w:vAlign w:val="top"/>
          </w:tcPr>
          <w:p>
            <w:pPr>
              <w:pStyle w:val="TableText"/>
              <w:rPr/>
            </w:pPr>
            <w:r/>
          </w:p>
        </w:tc>
      </w:tr>
      <w:tr>
        <w:trPr>
          <w:trHeight w:val="293" w:hRule="atLeast"/>
        </w:trPr>
        <w:tc>
          <w:tcPr>
            <w:tcW w:w="3342"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5"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042" w:type="dxa"/>
            <w:vAlign w:val="top"/>
          </w:tcPr>
          <w:p>
            <w:pPr>
              <w:pStyle w:val="TableText"/>
              <w:rPr/>
            </w:pPr>
            <w:r/>
          </w:p>
        </w:tc>
      </w:tr>
      <w:tr>
        <w:trPr>
          <w:trHeight w:val="293" w:hRule="atLeast"/>
        </w:trPr>
        <w:tc>
          <w:tcPr>
            <w:tcW w:w="3342"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r>
      <w:tr>
        <w:trPr>
          <w:trHeight w:val="292" w:hRule="atLeast"/>
        </w:trPr>
        <w:tc>
          <w:tcPr>
            <w:tcW w:w="3342" w:type="dxa"/>
            <w:vAlign w:val="top"/>
          </w:tcPr>
          <w:p>
            <w:pPr>
              <w:ind w:left="334"/>
              <w:spacing w:before="74"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3.42</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3.42</w:t>
            </w:r>
          </w:p>
        </w:tc>
      </w:tr>
      <w:tr>
        <w:trPr>
          <w:trHeight w:val="293" w:hRule="atLeast"/>
        </w:trPr>
        <w:tc>
          <w:tcPr>
            <w:tcW w:w="3342"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1.81</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1.81</w:t>
            </w:r>
          </w:p>
        </w:tc>
      </w:tr>
      <w:tr>
        <w:trPr>
          <w:trHeight w:val="292" w:hRule="atLeast"/>
        </w:trPr>
        <w:tc>
          <w:tcPr>
            <w:tcW w:w="3342"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3.16</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3.16</w:t>
            </w:r>
          </w:p>
        </w:tc>
      </w:tr>
      <w:tr>
        <w:trPr>
          <w:trHeight w:val="293" w:hRule="atLeast"/>
        </w:trPr>
        <w:tc>
          <w:tcPr>
            <w:tcW w:w="3342" w:type="dxa"/>
            <w:vAlign w:val="top"/>
          </w:tcPr>
          <w:p>
            <w:pPr>
              <w:ind w:left="6"/>
              <w:spacing w:before="76"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199" w:type="dxa"/>
            <w:vAlign w:val="top"/>
          </w:tcPr>
          <w:p>
            <w:pPr>
              <w:ind w:right="21"/>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042" w:type="dxa"/>
            <w:vAlign w:val="top"/>
          </w:tcPr>
          <w:p>
            <w:pPr>
              <w:pStyle w:val="TableText"/>
              <w:rPr/>
            </w:pPr>
            <w:r/>
          </w:p>
        </w:tc>
      </w:tr>
      <w:tr>
        <w:trPr>
          <w:trHeight w:val="298" w:hRule="atLeast"/>
        </w:trPr>
        <w:tc>
          <w:tcPr>
            <w:tcW w:w="3342"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w:t>
            </w:r>
          </w:p>
        </w:tc>
        <w:tc>
          <w:tcPr>
            <w:tcW w:w="1042" w:type="dxa"/>
            <w:vAlign w:val="top"/>
          </w:tcPr>
          <w:p>
            <w:pPr>
              <w:pStyle w:val="TableText"/>
              <w:rPr/>
            </w:pPr>
            <w:r/>
          </w:p>
        </w:tc>
      </w:tr>
    </w:tbl>
    <w:p>
      <w:pPr>
        <w:pStyle w:val="BodyText"/>
        <w:rPr/>
      </w:pPr>
      <w:r/>
    </w:p>
    <w:p>
      <w:pPr>
        <w:sectPr>
          <w:footerReference w:type="default" r:id="rId21"/>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8"/>
          <w:footerReference w:type="default" r:id="rId22"/>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3"/>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9"/>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7"/>
            <w:bookmarkEnd w:id="27"/>
            <w:bookmarkStart w:name="bookmark16" w:id="28"/>
            <w:bookmarkEnd w:id="28"/>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8"/>
          <w:footerReference w:type="default" r:id="rId25"/>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10"/>
        <w:gridCol w:w="1145"/>
        <w:gridCol w:w="1145"/>
        <w:gridCol w:w="821"/>
        <w:gridCol w:w="1231"/>
        <w:gridCol w:w="1069"/>
        <w:gridCol w:w="837"/>
      </w:tblGrid>
      <w:tr>
        <w:trPr>
          <w:trHeight w:val="384" w:hRule="atLeast"/>
        </w:trPr>
        <w:tc>
          <w:tcPr>
            <w:tcW w:w="29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06" w:type="dxa"/>
            <w:vAlign w:val="top"/>
            <w:gridSpan w:val="2"/>
            <w:tcBorders>
              <w:bottom w:val="single" w:color="FFFFFF" w:sz="4" w:space="0"/>
              <w:top w:val="single" w:color="FFFFFF" w:sz="4" w:space="0"/>
              <w:left w:val="single" w:color="FFFFFF" w:sz="2" w:space="0"/>
              <w:right w:val="single" w:color="FFFFFF" w:sz="2" w:space="0"/>
            </w:tcBorders>
          </w:tcPr>
          <w:p>
            <w:pPr>
              <w:ind w:left="1103"/>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9"/>
            <w:bookmarkEnd w:id="29"/>
            <w:bookmarkStart w:name="bookmark17" w:id="30"/>
            <w:bookmarkEnd w:id="30"/>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52"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906" w:type="dxa"/>
            <w:vAlign w:val="top"/>
            <w:gridSpan w:val="2"/>
            <w:tcBorders>
              <w:top w:val="single" w:color="FFFFFF" w:sz="4" w:space="0"/>
              <w:left w:val="single" w:color="FFFFFF" w:sz="2" w:space="0"/>
              <w:right w:val="single" w:color="FFFFFF" w:sz="2" w:space="0"/>
            </w:tcBorders>
          </w:tcPr>
          <w:p>
            <w:pPr>
              <w:ind w:left="1233"/>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910" w:type="dxa"/>
            <w:vAlign w:val="top"/>
            <w:vMerge w:val="restart"/>
            <w:tcBorders>
              <w:bottom w:val="nil"/>
            </w:tcBorders>
          </w:tcPr>
          <w:p>
            <w:pPr>
              <w:ind w:left="111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45" w:type="dxa"/>
            <w:vAlign w:val="top"/>
            <w:vMerge w:val="restart"/>
            <w:tcBorders>
              <w:bottom w:val="nil"/>
            </w:tcBorders>
          </w:tcPr>
          <w:p>
            <w:pPr>
              <w:ind w:left="39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97" w:type="dxa"/>
            <w:vAlign w:val="top"/>
            <w:gridSpan w:val="3"/>
          </w:tcPr>
          <w:p>
            <w:pPr>
              <w:ind w:left="102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370" w:right="48"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37" w:type="dxa"/>
            <w:vAlign w:val="top"/>
            <w:vMerge w:val="restart"/>
            <w:tcBorders>
              <w:bottom w:val="nil"/>
            </w:tcBorders>
          </w:tcPr>
          <w:p>
            <w:pPr>
              <w:ind w:left="81"/>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910"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145" w:type="dxa"/>
            <w:vAlign w:val="top"/>
          </w:tcPr>
          <w:p>
            <w:pPr>
              <w:ind w:left="7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21" w:type="dxa"/>
            <w:vAlign w:val="top"/>
          </w:tcPr>
          <w:p>
            <w:pPr>
              <w:ind w:left="158" w:right="88"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31" w:type="dxa"/>
            <w:vAlign w:val="top"/>
          </w:tcPr>
          <w:p>
            <w:pPr>
              <w:ind w:left="524" w:right="48"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69"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8" w:hRule="atLeast"/>
        </w:trPr>
        <w:tc>
          <w:tcPr>
            <w:tcW w:w="2910" w:type="dxa"/>
            <w:vAlign w:val="top"/>
          </w:tcPr>
          <w:p>
            <w:pPr>
              <w:ind w:left="141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45" w:type="dxa"/>
            <w:vAlign w:val="top"/>
          </w:tcPr>
          <w:p>
            <w:pPr>
              <w:ind w:left="520"/>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45" w:type="dxa"/>
            <w:vAlign w:val="top"/>
          </w:tcPr>
          <w:p>
            <w:pPr>
              <w:ind w:left="52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21" w:type="dxa"/>
            <w:vAlign w:val="top"/>
          </w:tcPr>
          <w:p>
            <w:pPr>
              <w:ind w:left="363"/>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31"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8"/>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2"/>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910"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兴县房产服务中心</w:t>
            </w:r>
          </w:p>
        </w:tc>
        <w:tc>
          <w:tcPr>
            <w:tcW w:w="1145"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109.00</w:t>
            </w:r>
          </w:p>
        </w:tc>
        <w:tc>
          <w:tcPr>
            <w:tcW w:w="1145"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551" w:hRule="atLeast"/>
        </w:trPr>
        <w:tc>
          <w:tcPr>
            <w:tcW w:w="2910" w:type="dxa"/>
            <w:vAlign w:val="top"/>
          </w:tcPr>
          <w:p>
            <w:pPr>
              <w:ind w:left="15" w:right="145" w:firstLine="155"/>
              <w:spacing w:before="19" w:line="226" w:lineRule="auto"/>
              <w:rPr>
                <w:rFonts w:ascii="SimSun" w:hAnsi="SimSun" w:eastAsia="SimSun" w:cs="SimSun"/>
                <w:sz w:val="15"/>
                <w:szCs w:val="15"/>
              </w:rPr>
            </w:pPr>
            <w:r>
              <w:rPr>
                <w:rFonts w:ascii="SimSun" w:hAnsi="SimSun" w:eastAsia="SimSun" w:cs="SimSun"/>
                <w:sz w:val="15"/>
                <w:szCs w:val="15"/>
                <w:color w:val="212529"/>
                <w:spacing w:val="10"/>
              </w:rPr>
              <w:t>2025年提前下达部分中央财政城镇保</w:t>
            </w:r>
            <w:r>
              <w:rPr>
                <w:rFonts w:ascii="SimSun" w:hAnsi="SimSun" w:eastAsia="SimSun" w:cs="SimSun"/>
                <w:sz w:val="15"/>
                <w:szCs w:val="15"/>
                <w:color w:val="212529"/>
                <w:spacing w:val="10"/>
              </w:rPr>
              <w:t>障性安居工程补助资金（吕财综</w:t>
            </w:r>
          </w:p>
          <w:p>
            <w:pPr>
              <w:ind w:left="31"/>
              <w:spacing w:line="189" w:lineRule="auto"/>
              <w:rPr>
                <w:rFonts w:ascii="SimSun" w:hAnsi="SimSun" w:eastAsia="SimSun" w:cs="SimSun"/>
                <w:sz w:val="15"/>
                <w:szCs w:val="15"/>
              </w:rPr>
            </w:pPr>
            <w:r>
              <w:rPr>
                <w:rFonts w:ascii="SimSun" w:hAnsi="SimSun" w:eastAsia="SimSun" w:cs="SimSun"/>
                <w:sz w:val="15"/>
                <w:szCs w:val="15"/>
                <w:color w:val="212529"/>
                <w:spacing w:val="2"/>
              </w:rPr>
              <w:t>[2024]41号）</w:t>
            </w:r>
          </w:p>
        </w:tc>
        <w:tc>
          <w:tcPr>
            <w:tcW w:w="1145" w:type="dxa"/>
            <w:vAlign w:val="top"/>
          </w:tcPr>
          <w:p>
            <w:pPr>
              <w:ind w:right="24"/>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1145" w:type="dxa"/>
            <w:vAlign w:val="top"/>
          </w:tcPr>
          <w:p>
            <w:pPr>
              <w:ind w:right="19"/>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7" w:right="64" w:firstLine="159"/>
              <w:spacing w:before="31" w:line="208" w:lineRule="auto"/>
              <w:rPr>
                <w:rFonts w:ascii="SimSun" w:hAnsi="SimSun" w:eastAsia="SimSun" w:cs="SimSun"/>
                <w:sz w:val="15"/>
                <w:szCs w:val="15"/>
              </w:rPr>
            </w:pPr>
            <w:r>
              <w:rPr>
                <w:rFonts w:ascii="SimSun" w:hAnsi="SimSun" w:eastAsia="SimSun" w:cs="SimSun"/>
                <w:sz w:val="15"/>
                <w:szCs w:val="15"/>
                <w:color w:val="212529"/>
                <w:spacing w:val="11"/>
              </w:rPr>
              <w:t>G兴县房产服务中心公（廉）租住房维</w:t>
            </w:r>
            <w:r>
              <w:rPr>
                <w:rFonts w:ascii="SimSun" w:hAnsi="SimSun" w:eastAsia="SimSun" w:cs="SimSun"/>
                <w:sz w:val="15"/>
                <w:szCs w:val="15"/>
                <w:color w:val="212529"/>
                <w:spacing w:val="1"/>
              </w:rPr>
              <w:t>修</w:t>
            </w:r>
          </w:p>
        </w:tc>
        <w:tc>
          <w:tcPr>
            <w:tcW w:w="1145"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45"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167"/>
              <w:spacing w:before="117" w:line="229" w:lineRule="auto"/>
              <w:rPr>
                <w:rFonts w:ascii="SimSun" w:hAnsi="SimSun" w:eastAsia="SimSun" w:cs="SimSun"/>
                <w:sz w:val="15"/>
                <w:szCs w:val="15"/>
              </w:rPr>
            </w:pPr>
            <w:r>
              <w:rPr>
                <w:rFonts w:ascii="SimSun" w:hAnsi="SimSun" w:eastAsia="SimSun" w:cs="SimSun"/>
                <w:sz w:val="15"/>
                <w:szCs w:val="15"/>
                <w:color w:val="212529"/>
                <w:spacing w:val="11"/>
              </w:rPr>
              <w:t>G兴县房产服务中心业务工作经费</w:t>
            </w:r>
          </w:p>
        </w:tc>
        <w:tc>
          <w:tcPr>
            <w:tcW w:w="1145"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45"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1"/>
              </w:rPr>
              <w:t>兴县房产服务中心物业行业培训</w:t>
            </w:r>
          </w:p>
        </w:tc>
        <w:tc>
          <w:tcPr>
            <w:tcW w:w="1145"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45"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84" w:hRule="atLeast"/>
        </w:trPr>
        <w:tc>
          <w:tcPr>
            <w:tcW w:w="2910"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1"/>
              </w:rPr>
              <w:t>兴县房产服务中心办公经费</w:t>
            </w:r>
          </w:p>
        </w:tc>
        <w:tc>
          <w:tcPr>
            <w:tcW w:w="1145"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21.00</w:t>
            </w:r>
          </w:p>
        </w:tc>
        <w:tc>
          <w:tcPr>
            <w:tcW w:w="1145"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bl>
    <w:p>
      <w:pPr>
        <w:pStyle w:val="BodyText"/>
        <w:rPr/>
      </w:pPr>
      <w:r/>
    </w:p>
    <w:p>
      <w:pPr>
        <w:sectPr>
          <w:headerReference w:type="default" r:id="rId9"/>
          <w:footerReference w:type="default" r:id="rId26"/>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1"/>
            <w:bookmarkEnd w:id="31"/>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单位名称：兴县房产服务中心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8"/>
          <w:footerReference w:type="default" r:id="rId27"/>
          <w:pgSz w:w="11900" w:h="16840"/>
          <w:pgMar w:top="642" w:right="0" w:bottom="340" w:left="0" w:header="326" w:footer="93"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9"/>
          <w:position w:val="-1"/>
        </w:rPr>
        <w:t>一、单位预算收支数据变动情况及原因</w:t>
      </w:r>
    </w:p>
    <w:p>
      <w:pPr>
        <w:ind w:left="1259" w:right="1223" w:firstLine="461"/>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2025年度兴县房产服务中心预算收入总计277.77万元，其</w:t>
      </w:r>
      <w:r>
        <w:rPr>
          <w:rFonts w:ascii="FangSong" w:hAnsi="FangSong" w:eastAsia="FangSong" w:cs="FangSong"/>
          <w:sz w:val="23"/>
          <w:szCs w:val="23"/>
          <w:spacing w:val="4"/>
        </w:rPr>
        <w:t>中：本年收入277.77万元，上</w:t>
      </w:r>
      <w:r>
        <w:rPr>
          <w:rFonts w:ascii="FangSong" w:hAnsi="FangSong" w:eastAsia="FangSong" w:cs="FangSong"/>
          <w:sz w:val="23"/>
          <w:szCs w:val="23"/>
          <w:spacing w:val="4"/>
        </w:rPr>
        <w:t>年结转0万元，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比上年增加48.73万元，增长21</w:t>
      </w:r>
      <w:r>
        <w:rPr>
          <w:rFonts w:ascii="FangSong" w:hAnsi="FangSong" w:eastAsia="FangSong" w:cs="FangSong"/>
          <w:sz w:val="23"/>
          <w:szCs w:val="23"/>
          <w:spacing w:val="3"/>
        </w:rPr>
        <w:t>.28%，主要原因是本部门2025年增加办公经费</w:t>
      </w:r>
      <w:r>
        <w:rPr>
          <w:rFonts w:ascii="FangSong" w:hAnsi="FangSong" w:eastAsia="FangSong" w:cs="FangSong"/>
          <w:sz w:val="23"/>
          <w:szCs w:val="23"/>
          <w:spacing w:val="13"/>
        </w:rPr>
        <w:t>及职工年金贴息补缴等资金</w:t>
      </w:r>
      <w:r>
        <w:rPr>
          <w:rFonts w:ascii="FangSong" w:hAnsi="FangSong" w:eastAsia="FangSong" w:cs="FangSong"/>
          <w:sz w:val="23"/>
          <w:szCs w:val="23"/>
          <w:spacing w:val="-64"/>
        </w:rPr>
        <w:t xml:space="preserve"> </w:t>
      </w:r>
      <w:r>
        <w:rPr>
          <w:rFonts w:ascii="FangSong" w:hAnsi="FangSong" w:eastAsia="FangSong" w:cs="FangSong"/>
          <w:sz w:val="23"/>
          <w:szCs w:val="23"/>
          <w:spacing w:val="13"/>
        </w:rPr>
        <w:t>；本年单位预算支出总计277.</w:t>
      </w:r>
      <w:r>
        <w:rPr>
          <w:rFonts w:ascii="FangSong" w:hAnsi="FangSong" w:eastAsia="FangSong" w:cs="FangSong"/>
          <w:sz w:val="23"/>
          <w:szCs w:val="23"/>
          <w:spacing w:val="12"/>
        </w:rPr>
        <w:t>77万元</w:t>
      </w:r>
      <w:r>
        <w:rPr>
          <w:rFonts w:ascii="FangSong" w:hAnsi="FangSong" w:eastAsia="FangSong" w:cs="FangSong"/>
          <w:sz w:val="23"/>
          <w:szCs w:val="23"/>
          <w:spacing w:val="-64"/>
        </w:rPr>
        <w:t xml:space="preserve"> </w:t>
      </w:r>
      <w:r>
        <w:rPr>
          <w:rFonts w:ascii="FangSong" w:hAnsi="FangSong" w:eastAsia="FangSong" w:cs="FangSong"/>
          <w:sz w:val="23"/>
          <w:szCs w:val="23"/>
          <w:spacing w:val="12"/>
        </w:rPr>
        <w:t>，其中：</w:t>
      </w:r>
      <w:r>
        <w:rPr>
          <w:rFonts w:ascii="FangSong" w:hAnsi="FangSong" w:eastAsia="FangSong" w:cs="FangSong"/>
          <w:sz w:val="23"/>
          <w:szCs w:val="23"/>
          <w:spacing w:val="-60"/>
        </w:rPr>
        <w:t xml:space="preserve"> </w:t>
      </w:r>
      <w:r>
        <w:rPr>
          <w:rFonts w:ascii="FangSong" w:hAnsi="FangSong" w:eastAsia="FangSong" w:cs="FangSong"/>
          <w:sz w:val="23"/>
          <w:szCs w:val="23"/>
          <w:spacing w:val="12"/>
        </w:rPr>
        <w:t>本年预算安排</w:t>
      </w:r>
      <w:r>
        <w:rPr>
          <w:rFonts w:ascii="FangSong" w:hAnsi="FangSong" w:eastAsia="FangSong" w:cs="FangSong"/>
          <w:sz w:val="23"/>
          <w:szCs w:val="23"/>
          <w:spacing w:val="3"/>
        </w:rPr>
        <w:t>277.77万元，上年结转0万元，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比上年增加48.73万元，增长21.28%，主要原因是本部门2025</w:t>
      </w:r>
      <w:r>
        <w:rPr>
          <w:rFonts w:ascii="FangSong" w:hAnsi="FangSong" w:eastAsia="FangSong" w:cs="FangSong"/>
          <w:sz w:val="23"/>
          <w:szCs w:val="23"/>
        </w:rPr>
        <w:t>年增加办公经费及职工年金贴息补缴等资金</w:t>
      </w:r>
    </w:p>
    <w:p>
      <w:pPr>
        <w:ind w:left="1261"/>
        <w:spacing w:line="229"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8"/>
          <w:position w:val="-1"/>
        </w:rPr>
        <w:t>二、收入预算情况说明</w:t>
      </w:r>
    </w:p>
    <w:p>
      <w:pPr>
        <w:ind w:left="1259" w:right="1223" w:firstLine="461"/>
        <w:spacing w:before="183" w:line="326" w:lineRule="auto"/>
        <w:jc w:val="both"/>
        <w:rPr>
          <w:rFonts w:ascii="FangSong" w:hAnsi="FangSong" w:eastAsia="FangSong" w:cs="FangSong"/>
          <w:sz w:val="23"/>
          <w:szCs w:val="23"/>
        </w:rPr>
      </w:pPr>
      <w:r>
        <w:rPr>
          <w:rFonts w:ascii="FangSong" w:hAnsi="FangSong" w:eastAsia="FangSong" w:cs="FangSong"/>
          <w:sz w:val="23"/>
          <w:szCs w:val="23"/>
          <w:spacing w:val="15"/>
        </w:rPr>
        <w:t>2025年度兴县房产服务中心预算收入277.77万元</w:t>
      </w:r>
      <w:r>
        <w:rPr>
          <w:rFonts w:ascii="FangSong" w:hAnsi="FangSong" w:eastAsia="FangSong" w:cs="FangSong"/>
          <w:sz w:val="23"/>
          <w:szCs w:val="23"/>
          <w:spacing w:val="-56"/>
        </w:rPr>
        <w:t xml:space="preserve"> </w:t>
      </w:r>
      <w:r>
        <w:rPr>
          <w:rFonts w:ascii="FangSong" w:hAnsi="FangSong" w:eastAsia="FangSong" w:cs="FangSong"/>
          <w:sz w:val="23"/>
          <w:szCs w:val="23"/>
          <w:spacing w:val="15"/>
        </w:rPr>
        <w:t>，主要包括一般公共预算拨款收入</w:t>
      </w:r>
      <w:r>
        <w:rPr>
          <w:rFonts w:ascii="FangSong" w:hAnsi="FangSong" w:eastAsia="FangSong" w:cs="FangSong"/>
          <w:sz w:val="23"/>
          <w:szCs w:val="23"/>
          <w:spacing w:val="1"/>
        </w:rPr>
        <w:t>277.77万元，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国有资本经营预</w:t>
      </w:r>
      <w:r>
        <w:rPr>
          <w:rFonts w:ascii="FangSong" w:hAnsi="FangSong" w:eastAsia="FangSong" w:cs="FangSong"/>
          <w:sz w:val="23"/>
          <w:szCs w:val="23"/>
        </w:rPr>
        <w:t>算拨款收</w:t>
      </w:r>
      <w:r>
        <w:rPr>
          <w:rFonts w:ascii="FangSong" w:hAnsi="FangSong" w:eastAsia="FangSong" w:cs="FangSong"/>
          <w:sz w:val="23"/>
          <w:szCs w:val="23"/>
          <w:spacing w:val="1"/>
        </w:rPr>
        <w:t>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占0%；单位资金0万</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占0%；上年结转0万</w:t>
      </w:r>
      <w:r>
        <w:rPr>
          <w:rFonts w:ascii="FangSong" w:hAnsi="FangSong" w:eastAsia="FangSong" w:cs="FangSong"/>
          <w:sz w:val="23"/>
          <w:szCs w:val="23"/>
          <w:spacing w:val="-11"/>
        </w:rPr>
        <w:t>元，</w:t>
      </w:r>
      <w:r>
        <w:rPr>
          <w:rFonts w:ascii="FangSong" w:hAnsi="FangSong" w:eastAsia="FangSong" w:cs="FangSong"/>
          <w:sz w:val="23"/>
          <w:szCs w:val="23"/>
          <w:spacing w:val="-59"/>
        </w:rPr>
        <w:t xml:space="preserve"> </w:t>
      </w:r>
      <w:r>
        <w:rPr>
          <w:rFonts w:ascii="FangSong" w:hAnsi="FangSong" w:eastAsia="FangSong" w:cs="FangSong"/>
          <w:sz w:val="23"/>
          <w:szCs w:val="23"/>
          <w:spacing w:val="-11"/>
        </w:rPr>
        <w:t>占0%。</w:t>
      </w:r>
    </w:p>
    <w:p>
      <w:pPr>
        <w:pStyle w:val="BodyText"/>
        <w:spacing w:line="302" w:lineRule="auto"/>
        <w:rPr/>
      </w:pPr>
      <w:r/>
    </w:p>
    <w:p>
      <w:pPr>
        <w:ind w:firstLine="4564"/>
        <w:spacing w:before="1" w:line="2934" w:lineRule="exact"/>
        <w:rPr/>
      </w:pPr>
      <w:r>
        <w:rPr>
          <w:position w:val="-58"/>
        </w:rPr>
        <w:drawing>
          <wp:inline distT="0" distB="0" distL="0" distR="0">
            <wp:extent cx="2346418" cy="1863136"/>
            <wp:effectExtent l="0" t="0" r="0" b="0"/>
            <wp:docPr id="4" name="IM 4"/>
            <wp:cNvGraphicFramePr/>
            <a:graphic>
              <a:graphicData uri="http://schemas.openxmlformats.org/drawingml/2006/picture">
                <pic:pic>
                  <pic:nvPicPr>
                    <pic:cNvPr id="4" name="IM 4"/>
                    <pic:cNvPicPr/>
                  </pic:nvPicPr>
                  <pic:blipFill>
                    <a:blip r:embed="rId30"/>
                    <a:stretch>
                      <a:fillRect/>
                    </a:stretch>
                  </pic:blipFill>
                  <pic:spPr>
                    <a:xfrm rot="0">
                      <a:off x="0" y="0"/>
                      <a:ext cx="2346418"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7"/>
          <w:position w:val="-1"/>
        </w:rPr>
        <w:t>三、支出预算情况说明</w:t>
      </w:r>
    </w:p>
    <w:p>
      <w:pPr>
        <w:ind w:left="1258" w:right="1223" w:firstLine="462"/>
        <w:spacing w:before="174" w:line="324" w:lineRule="auto"/>
        <w:rPr>
          <w:rFonts w:ascii="FangSong" w:hAnsi="FangSong" w:eastAsia="FangSong" w:cs="FangSong"/>
          <w:sz w:val="23"/>
          <w:szCs w:val="23"/>
        </w:rPr>
      </w:pPr>
      <w:r>
        <w:rPr>
          <w:rFonts w:ascii="FangSong" w:hAnsi="FangSong" w:eastAsia="FangSong" w:cs="FangSong"/>
          <w:sz w:val="23"/>
          <w:szCs w:val="23"/>
          <w:spacing w:val="4"/>
        </w:rPr>
        <w:t>2025年度兴县房产服务</w:t>
      </w:r>
      <w:r>
        <w:rPr>
          <w:rFonts w:ascii="FangSong" w:hAnsi="FangSong" w:eastAsia="FangSong" w:cs="FangSong"/>
          <w:sz w:val="23"/>
          <w:szCs w:val="23"/>
          <w:spacing w:val="-48"/>
        </w:rPr>
        <w:t xml:space="preserve"> </w:t>
      </w:r>
      <w:r>
        <w:rPr>
          <w:rFonts w:ascii="FangSong" w:hAnsi="FangSong" w:eastAsia="FangSong" w:cs="FangSong"/>
          <w:sz w:val="23"/>
          <w:szCs w:val="23"/>
          <w:spacing w:val="4"/>
        </w:rPr>
        <w:t>中心支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出预算277.77万元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，其</w:t>
      </w:r>
      <w:r>
        <w:rPr>
          <w:rFonts w:ascii="FangSong" w:hAnsi="FangSong" w:eastAsia="FangSong" w:cs="FangSong"/>
          <w:sz w:val="23"/>
          <w:szCs w:val="23"/>
          <w:spacing w:val="-48"/>
        </w:rPr>
        <w:t xml:space="preserve"> </w:t>
      </w:r>
      <w:r>
        <w:rPr>
          <w:rFonts w:ascii="FangSong" w:hAnsi="FangSong" w:eastAsia="FangSong" w:cs="FangSong"/>
          <w:sz w:val="23"/>
          <w:szCs w:val="23"/>
          <w:spacing w:val="4"/>
        </w:rPr>
        <w:t>中：</w:t>
      </w:r>
      <w:r>
        <w:rPr>
          <w:rFonts w:ascii="FangSong" w:hAnsi="FangSong" w:eastAsia="FangSong" w:cs="FangSong"/>
          <w:sz w:val="23"/>
          <w:szCs w:val="23"/>
          <w:spacing w:val="-55"/>
        </w:rPr>
        <w:t xml:space="preserve"> </w:t>
      </w:r>
      <w:r>
        <w:rPr>
          <w:rFonts w:ascii="FangSong" w:hAnsi="FangSong" w:eastAsia="FangSong" w:cs="FangSong"/>
          <w:sz w:val="23"/>
          <w:szCs w:val="23"/>
          <w:spacing w:val="4"/>
        </w:rPr>
        <w:t>基本支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出168.77万</w:t>
      </w:r>
      <w:r>
        <w:rPr>
          <w:rFonts w:ascii="FangSong" w:hAnsi="FangSong" w:eastAsia="FangSong" w:cs="FangSong"/>
          <w:sz w:val="23"/>
          <w:szCs w:val="23"/>
          <w:spacing w:val="3"/>
        </w:rPr>
        <w:t>元</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38"/>
        </w:rPr>
        <w:t xml:space="preserve"> </w:t>
      </w:r>
      <w:r>
        <w:rPr>
          <w:rFonts w:ascii="FangSong" w:hAnsi="FangSong" w:eastAsia="FangSong" w:cs="FangSong"/>
          <w:sz w:val="23"/>
          <w:szCs w:val="23"/>
          <w:spacing w:val="3"/>
        </w:rPr>
        <w:t>占</w:t>
      </w:r>
      <w:r>
        <w:rPr>
          <w:rFonts w:ascii="FangSong" w:hAnsi="FangSong" w:eastAsia="FangSong" w:cs="FangSong"/>
          <w:sz w:val="23"/>
          <w:szCs w:val="23"/>
          <w:spacing w:val="-3"/>
        </w:rPr>
        <w:t>60.76%；项目支出109万元，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占39.24%。</w:t>
      </w:r>
    </w:p>
    <w:p>
      <w:pPr>
        <w:ind w:left="1271"/>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8"/>
          <w:position w:val="-1"/>
        </w:rPr>
        <w:t>四、财政拨款收支预算总体情况说明</w:t>
      </w:r>
    </w:p>
    <w:p>
      <w:pPr>
        <w:ind w:left="1259" w:right="1223" w:firstLine="461"/>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2025年度兴县房产服务中心财政拨款收支总预算277.77万元。其中：一般公共预算拨款</w:t>
      </w:r>
      <w:r>
        <w:rPr>
          <w:rFonts w:ascii="FangSong" w:hAnsi="FangSong" w:eastAsia="FangSong" w:cs="FangSong"/>
          <w:sz w:val="23"/>
          <w:szCs w:val="23"/>
          <w:spacing w:val="3"/>
        </w:rPr>
        <w:t>277.77万元，政府性基金预算拨款0万元，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国有资本经营预</w:t>
      </w:r>
      <w:r>
        <w:rPr>
          <w:rFonts w:ascii="FangSong" w:hAnsi="FangSong" w:eastAsia="FangSong" w:cs="FangSong"/>
          <w:sz w:val="23"/>
          <w:szCs w:val="23"/>
          <w:spacing w:val="2"/>
        </w:rPr>
        <w:t>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spacing w:val="5"/>
        </w:rPr>
        <w:t>入277.77万元，上年结转收入0万元。支出包括：社会保障和就</w:t>
      </w:r>
      <w:r>
        <w:rPr>
          <w:rFonts w:ascii="FangSong" w:hAnsi="FangSong" w:eastAsia="FangSong" w:cs="FangSong"/>
          <w:sz w:val="23"/>
          <w:szCs w:val="23"/>
          <w:spacing w:val="4"/>
        </w:rPr>
        <w:t>业支出31.14万元、卫生健康</w:t>
      </w:r>
      <w:r>
        <w:rPr>
          <w:rFonts w:ascii="FangSong" w:hAnsi="FangSong" w:eastAsia="FangSong" w:cs="FangSong"/>
          <w:sz w:val="23"/>
          <w:szCs w:val="23"/>
        </w:rPr>
        <w:t>支出5.95万元、城乡社区支出186.23万元、住房保障支出54.45万元等。</w:t>
      </w:r>
    </w:p>
    <w:p>
      <w:pPr>
        <w:ind w:left="1264"/>
        <w:spacing w:before="3"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3" w:right="1271" w:firstLine="456"/>
        <w:spacing w:before="125" w:line="325" w:lineRule="auto"/>
        <w:rPr>
          <w:rFonts w:ascii="FangSong" w:hAnsi="FangSong" w:eastAsia="FangSong" w:cs="FangSong"/>
          <w:sz w:val="23"/>
          <w:szCs w:val="23"/>
        </w:rPr>
      </w:pPr>
      <w:r>
        <w:rPr>
          <w:rFonts w:ascii="FangSong" w:hAnsi="FangSong" w:eastAsia="FangSong" w:cs="FangSong"/>
          <w:sz w:val="23"/>
          <w:szCs w:val="23"/>
          <w:spacing w:val="3"/>
        </w:rPr>
        <w:t>2025年度兴县房产服务中心一般公共预算当年支出277</w:t>
      </w:r>
      <w:r>
        <w:rPr>
          <w:rFonts w:ascii="FangSong" w:hAnsi="FangSong" w:eastAsia="FangSong" w:cs="FangSong"/>
          <w:sz w:val="23"/>
          <w:szCs w:val="23"/>
          <w:spacing w:val="2"/>
        </w:rPr>
        <w:t>.77万元,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比上年增加48.73万元，</w:t>
      </w:r>
      <w:r>
        <w:rPr>
          <w:rFonts w:ascii="FangSong" w:hAnsi="FangSong" w:eastAsia="FangSong" w:cs="FangSong"/>
          <w:sz w:val="23"/>
          <w:szCs w:val="23"/>
          <w:spacing w:val="-2"/>
        </w:rPr>
        <w:t>增长21.28%。</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4" w:right="1223" w:firstLine="455"/>
        <w:spacing w:before="123" w:line="330" w:lineRule="auto"/>
        <w:rPr>
          <w:rFonts w:ascii="FangSong" w:hAnsi="FangSong" w:eastAsia="FangSong" w:cs="FangSong"/>
          <w:sz w:val="23"/>
          <w:szCs w:val="23"/>
        </w:rPr>
      </w:pPr>
      <w:r>
        <w:rPr>
          <w:rFonts w:ascii="FangSong" w:hAnsi="FangSong" w:eastAsia="FangSong" w:cs="FangSong"/>
          <w:sz w:val="23"/>
          <w:szCs w:val="23"/>
          <w:spacing w:val="2"/>
        </w:rPr>
        <w:t>2025年度兴县房产服务中心一般公共预算当年支出277.77万元,主要用于以下方面：社会</w:t>
      </w:r>
      <w:r>
        <w:rPr>
          <w:rFonts w:ascii="FangSong" w:hAnsi="FangSong" w:eastAsia="FangSong" w:cs="FangSong"/>
          <w:sz w:val="23"/>
          <w:szCs w:val="23"/>
          <w:spacing w:val="4"/>
        </w:rPr>
        <w:t>保障和就业支出31.14万元</w:t>
      </w:r>
      <w:r>
        <w:rPr>
          <w:rFonts w:ascii="FangSong" w:hAnsi="FangSong" w:eastAsia="FangSong" w:cs="FangSong"/>
          <w:sz w:val="23"/>
          <w:szCs w:val="23"/>
          <w:spacing w:val="-57"/>
        </w:rPr>
        <w:t xml:space="preserve"> </w:t>
      </w:r>
      <w:r>
        <w:rPr>
          <w:rFonts w:ascii="FangSong" w:hAnsi="FangSong" w:eastAsia="FangSong" w:cs="FangSong"/>
          <w:sz w:val="23"/>
          <w:szCs w:val="23"/>
          <w:spacing w:val="4"/>
        </w:rPr>
        <w:t>，</w:t>
      </w:r>
      <w:r>
        <w:rPr>
          <w:rFonts w:ascii="FangSong" w:hAnsi="FangSong" w:eastAsia="FangSong" w:cs="FangSong"/>
          <w:sz w:val="23"/>
          <w:szCs w:val="23"/>
          <w:spacing w:val="-45"/>
        </w:rPr>
        <w:t xml:space="preserve"> </w:t>
      </w:r>
      <w:r>
        <w:rPr>
          <w:rFonts w:ascii="FangSong" w:hAnsi="FangSong" w:eastAsia="FangSong" w:cs="FangSong"/>
          <w:sz w:val="23"/>
          <w:szCs w:val="23"/>
          <w:spacing w:val="4"/>
        </w:rPr>
        <w:t>占11.21%；卫生健康支出5.95万元</w:t>
      </w:r>
      <w:r>
        <w:rPr>
          <w:rFonts w:ascii="FangSong" w:hAnsi="FangSong" w:eastAsia="FangSong" w:cs="FangSong"/>
          <w:sz w:val="23"/>
          <w:szCs w:val="23"/>
          <w:spacing w:val="-69"/>
        </w:rPr>
        <w:t xml:space="preserve"> </w:t>
      </w:r>
      <w:r>
        <w:rPr>
          <w:rFonts w:ascii="FangSong" w:hAnsi="FangSong" w:eastAsia="FangSong" w:cs="FangSong"/>
          <w:sz w:val="23"/>
          <w:szCs w:val="23"/>
          <w:spacing w:val="4"/>
        </w:rPr>
        <w:t>，</w:t>
      </w:r>
      <w:r>
        <w:rPr>
          <w:rFonts w:ascii="FangSong" w:hAnsi="FangSong" w:eastAsia="FangSong" w:cs="FangSong"/>
          <w:sz w:val="23"/>
          <w:szCs w:val="23"/>
          <w:spacing w:val="-45"/>
        </w:rPr>
        <w:t xml:space="preserve"> </w:t>
      </w:r>
      <w:r>
        <w:rPr>
          <w:rFonts w:ascii="FangSong" w:hAnsi="FangSong" w:eastAsia="FangSong" w:cs="FangSong"/>
          <w:sz w:val="23"/>
          <w:szCs w:val="23"/>
          <w:spacing w:val="4"/>
        </w:rPr>
        <w:t>占2.14%；城乡社区支出</w:t>
      </w:r>
    </w:p>
    <w:p>
      <w:pPr>
        <w:spacing w:line="330" w:lineRule="auto"/>
        <w:sectPr>
          <w:headerReference w:type="default" r:id="rId28"/>
          <w:footerReference w:type="default" r:id="rId29"/>
          <w:pgSz w:w="11900" w:h="16840"/>
          <w:pgMar w:top="642" w:right="0" w:bottom="340" w:left="0" w:header="326" w:footer="9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73"/>
        <w:spacing w:before="75" w:line="221" w:lineRule="auto"/>
        <w:rPr>
          <w:rFonts w:ascii="FangSong" w:hAnsi="FangSong" w:eastAsia="FangSong" w:cs="FangSong"/>
          <w:sz w:val="23"/>
          <w:szCs w:val="23"/>
        </w:rPr>
      </w:pPr>
      <w:r>
        <w:rPr>
          <w:rFonts w:ascii="FangSong" w:hAnsi="FangSong" w:eastAsia="FangSong" w:cs="FangSong"/>
          <w:sz w:val="23"/>
          <w:szCs w:val="23"/>
          <w:spacing w:val="-3"/>
        </w:rPr>
        <w:t>186.23万元，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占67.04%；住房保障支出54.45万元，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占19.60%等。</w:t>
      </w:r>
    </w:p>
    <w:p>
      <w:pPr>
        <w:ind w:firstLine="4324"/>
        <w:spacing w:before="220" w:line="2527" w:lineRule="exact"/>
        <w:rPr/>
      </w:pPr>
      <w:r>
        <w:rPr>
          <w:position w:val="-50"/>
        </w:rPr>
        <w:drawing>
          <wp:inline distT="0" distB="0" distL="0" distR="0">
            <wp:extent cx="2194218" cy="1604710"/>
            <wp:effectExtent l="0" t="0" r="0" b="0"/>
            <wp:docPr id="6" name="IM 6"/>
            <wp:cNvGraphicFramePr/>
            <a:graphic>
              <a:graphicData uri="http://schemas.openxmlformats.org/drawingml/2006/picture">
                <pic:pic>
                  <pic:nvPicPr>
                    <pic:cNvPr id="6" name="IM 6"/>
                    <pic:cNvPicPr/>
                  </pic:nvPicPr>
                  <pic:blipFill>
                    <a:blip r:embed="rId33"/>
                    <a:stretch>
                      <a:fillRect/>
                    </a:stretch>
                  </pic:blipFill>
                  <pic:spPr>
                    <a:xfrm rot="0">
                      <a:off x="0" y="0"/>
                      <a:ext cx="2194218" cy="1604710"/>
                    </a:xfrm>
                    <a:prstGeom prst="rect">
                      <a:avLst/>
                    </a:prstGeom>
                  </pic:spPr>
                </pic:pic>
              </a:graphicData>
            </a:graphic>
          </wp:inline>
        </w:drawing>
      </w:r>
    </w:p>
    <w:p>
      <w:pPr>
        <w:pStyle w:val="BodyText"/>
        <w:spacing w:line="259" w:lineRule="auto"/>
        <w:rPr/>
      </w:pPr>
      <w:r/>
    </w:p>
    <w:p>
      <w:pPr>
        <w:pStyle w:val="BodyText"/>
        <w:spacing w:line="25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8"/>
          <w:position w:val="-1"/>
        </w:rPr>
        <w:t>六、一般公共预算基本支出情况说明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rPr>
        <w:t>2025年度兴县房产服务中心一般公共预算安排基本支出168.77万元，其中：</w:t>
      </w:r>
    </w:p>
    <w:p>
      <w:pPr>
        <w:ind w:left="1263" w:right="1223" w:firstLine="464"/>
        <w:spacing w:before="123" w:line="324" w:lineRule="auto"/>
        <w:rPr>
          <w:rFonts w:ascii="FangSong" w:hAnsi="FangSong" w:eastAsia="FangSong" w:cs="FangSong"/>
          <w:sz w:val="23"/>
          <w:szCs w:val="23"/>
        </w:rPr>
      </w:pPr>
      <w:r>
        <w:rPr>
          <w:rFonts w:ascii="FangSong" w:hAnsi="FangSong" w:eastAsia="FangSong" w:cs="FangSong"/>
          <w:sz w:val="23"/>
          <w:szCs w:val="23"/>
          <w:spacing w:val="5"/>
        </w:rPr>
        <w:t>人员经费160.38万元，主要包括：其他工资福利支出、其他社会保障缴费、绩效工资、</w:t>
      </w:r>
      <w:r>
        <w:rPr>
          <w:rFonts w:ascii="FangSong" w:hAnsi="FangSong" w:eastAsia="FangSong" w:cs="FangSong"/>
          <w:sz w:val="23"/>
          <w:szCs w:val="23"/>
          <w:spacing w:val="11"/>
        </w:rPr>
        <w:t>基本工资、机关事业单位基本养老保险缴费、住房公积金、退休费、职工基本医疗保险缴</w:t>
      </w:r>
      <w:r>
        <w:rPr>
          <w:rFonts w:ascii="FangSong" w:hAnsi="FangSong" w:eastAsia="FangSong" w:cs="FangSong"/>
          <w:sz w:val="23"/>
          <w:szCs w:val="23"/>
          <w:spacing w:val="-1"/>
        </w:rPr>
        <w:t>费、职业年金缴费、津贴补贴等；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公用经费8.39万元，主要包括：办公费、福利费、工</w:t>
      </w:r>
      <w:r>
        <w:rPr>
          <w:rFonts w:ascii="FangSong" w:hAnsi="FangSong" w:eastAsia="FangSong" w:cs="FangSong"/>
          <w:sz w:val="23"/>
          <w:szCs w:val="23"/>
          <w:spacing w:val="-1"/>
        </w:rPr>
        <w:t>会经费等。</w:t>
      </w:r>
    </w:p>
    <w:p>
      <w:pPr>
        <w:ind w:left="1255"/>
        <w:spacing w:before="119" w:line="229"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40"/>
      <w:bookmarkEnd w:id="40"/>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本单位无机关运行经费。</w:t>
      </w:r>
    </w:p>
    <w:p>
      <w:pPr>
        <w:ind w:left="1258"/>
        <w:spacing w:before="132" w:line="226" w:lineRule="exact"/>
        <w:outlineLvl w:val="1"/>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9"/>
          <w:position w:val="-1"/>
        </w:rPr>
        <w:t>九、政府采购情况</w:t>
      </w:r>
    </w:p>
    <w:p>
      <w:pPr>
        <w:ind w:left="1264" w:right="1223" w:firstLine="455"/>
        <w:spacing w:before="176" w:line="322" w:lineRule="auto"/>
        <w:rPr>
          <w:rFonts w:ascii="FangSong" w:hAnsi="FangSong" w:eastAsia="FangSong" w:cs="FangSong"/>
          <w:sz w:val="23"/>
          <w:szCs w:val="23"/>
        </w:rPr>
      </w:pPr>
      <w:r>
        <w:rPr>
          <w:rFonts w:ascii="FangSong" w:hAnsi="FangSong" w:eastAsia="FangSong" w:cs="FangSong"/>
          <w:sz w:val="23"/>
          <w:szCs w:val="23"/>
          <w:spacing w:val="5"/>
        </w:rPr>
        <w:t>2025年兴县房产服务中心政府采购预算总额0万元。其中：政府采购货物预算0万元、政</w:t>
      </w:r>
      <w:r>
        <w:rPr>
          <w:rFonts w:ascii="FangSong" w:hAnsi="FangSong" w:eastAsia="FangSong" w:cs="FangSong"/>
          <w:sz w:val="23"/>
          <w:szCs w:val="23"/>
          <w:spacing w:val="-1"/>
        </w:rPr>
        <w:t>府采购工程预算0万元、政府采购服务预算0万元。</w:t>
      </w:r>
    </w:p>
    <w:p>
      <w:pPr>
        <w:ind w:left="1260"/>
        <w:spacing w:before="5" w:line="230" w:lineRule="exact"/>
        <w:outlineLvl w:val="1"/>
        <w:rPr>
          <w:rFonts w:ascii="Microsoft YaHei" w:hAnsi="Microsoft YaHei" w:eastAsia="Microsoft YaHei" w:cs="Microsoft YaHei"/>
          <w:sz w:val="22"/>
          <w:szCs w:val="22"/>
        </w:rPr>
      </w:pPr>
      <w:bookmarkStart w:name="bookmark29" w:id="42"/>
      <w:bookmarkEnd w:id="42"/>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2025年编报单位整体绩效目标，涉及资金99万元。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4" w:right="1223" w:firstLine="455"/>
        <w:spacing w:before="124" w:line="323" w:lineRule="auto"/>
        <w:rPr>
          <w:rFonts w:ascii="FangSong" w:hAnsi="FangSong" w:eastAsia="FangSong" w:cs="FangSong"/>
          <w:sz w:val="23"/>
          <w:szCs w:val="23"/>
        </w:rPr>
      </w:pPr>
      <w:r>
        <w:rPr>
          <w:rFonts w:ascii="FangSong" w:hAnsi="FangSong" w:eastAsia="FangSong" w:cs="FangSong"/>
          <w:sz w:val="23"/>
          <w:szCs w:val="23"/>
          <w:spacing w:val="11"/>
        </w:rPr>
        <w:t>2025年兴县房产服务中心纳入绩效目标管理的二级</w:t>
      </w:r>
      <w:r>
        <w:rPr>
          <w:rFonts w:ascii="FangSong" w:hAnsi="FangSong" w:eastAsia="FangSong" w:cs="FangSong"/>
          <w:sz w:val="23"/>
          <w:szCs w:val="23"/>
          <w:spacing w:val="10"/>
        </w:rPr>
        <w:t>项目5个，共计金额99.00万元。其</w:t>
      </w:r>
      <w:r>
        <w:rPr>
          <w:rFonts w:ascii="FangSong" w:hAnsi="FangSong" w:eastAsia="FangSong" w:cs="FangSong"/>
          <w:sz w:val="23"/>
          <w:szCs w:val="23"/>
          <w:spacing w:val="5"/>
        </w:rPr>
        <w:t>中：其他运转类项目0个，涉及金额0万元；特定目标类项目5个，涉及金额</w:t>
      </w:r>
      <w:r>
        <w:rPr>
          <w:rFonts w:ascii="FangSong" w:hAnsi="FangSong" w:eastAsia="FangSong" w:cs="FangSong"/>
          <w:sz w:val="23"/>
          <w:szCs w:val="23"/>
          <w:spacing w:val="4"/>
        </w:rPr>
        <w:t>99.00万元。公开</w:t>
      </w:r>
      <w:r>
        <w:rPr>
          <w:rFonts w:ascii="FangSong" w:hAnsi="FangSong" w:eastAsia="FangSong" w:cs="FangSong"/>
          <w:sz w:val="23"/>
          <w:szCs w:val="23"/>
          <w:spacing w:val="3"/>
        </w:rPr>
        <w:t>项目绩效目标5个，涉及项目金额99.00万元，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占部门（单位）项目支出总额的100%。其中：</w:t>
      </w:r>
      <w:r>
        <w:rPr>
          <w:rFonts w:ascii="FangSong" w:hAnsi="FangSong" w:eastAsia="FangSong" w:cs="FangSong"/>
          <w:sz w:val="23"/>
          <w:szCs w:val="23"/>
        </w:rPr>
        <w:t>其他运转类项目0个，涉及项目金额0万元；特定目标类项目5个，涉及项目金额99.00万元。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1"/>
          <w:footerReference w:type="default" r:id="rId32"/>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216"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218" style="position:absolute;margin-left:-13.08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220" style="position:absolute;margin-left:391.92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222"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224" style="position:absolute;margin-left:491.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8" name="IM 8"/>
            <wp:cNvGraphicFramePr/>
            <a:graphic>
              <a:graphicData uri="http://schemas.openxmlformats.org/drawingml/2006/picture">
                <pic:pic>
                  <pic:nvPicPr>
                    <pic:cNvPr id="8" name="IM 8"/>
                    <pic:cNvPicPr/>
                  </pic:nvPicPr>
                  <pic:blipFill>
                    <a:blip r:embed="rId36"/>
                    <a:stretch>
                      <a:fillRect/>
                    </a:stretch>
                  </pic:blipFill>
                  <pic:spPr>
                    <a:xfrm rot="0">
                      <a:off x="0" y="0"/>
                      <a:ext cx="6041461" cy="8540429"/>
                    </a:xfrm>
                    <a:prstGeom prst="rect">
                      <a:avLst/>
                    </a:prstGeom>
                  </pic:spPr>
                </pic:pic>
              </a:graphicData>
            </a:graphic>
          </wp:inline>
        </w:drawing>
      </w:r>
    </w:p>
    <w:p>
      <w:pPr>
        <w:spacing w:line="13450" w:lineRule="exact"/>
        <w:sectPr>
          <w:headerReference w:type="default" r:id="rId34"/>
          <w:footerReference w:type="default" r:id="rId35"/>
          <w:pgSz w:w="11900" w:h="16840"/>
          <w:pgMar w:top="642" w:right="0" w:bottom="340" w:left="0" w:header="326" w:footer="93" w:gutter="0"/>
        </w:sectPr>
        <w:rPr/>
      </w:pPr>
    </w:p>
    <w:p>
      <w:pPr>
        <w:pStyle w:val="BodyText"/>
        <w:spacing w:line="277" w:lineRule="auto"/>
        <w:rPr/>
      </w:pPr>
      <w:r>
        <w:pict>
          <v:shape id="_x0000_s226" style="position:absolute;margin-left:491.92pt;margin-top:44.1055pt;mso-position-vertical-relative:page;mso-position-horizontal-relative:page;width:119.4pt;height:18.85pt;z-index:25166745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228" style="position:absolute;margin-left:391.92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230" style="position:absolute;margin-left:-13.08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232"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234" style="position:absolute;margin-left:491.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0" name="IM 10"/>
            <wp:cNvGraphicFramePr/>
            <a:graphic>
              <a:graphicData uri="http://schemas.openxmlformats.org/drawingml/2006/picture">
                <pic:pic>
                  <pic:nvPicPr>
                    <pic:cNvPr id="10" name="IM 10"/>
                    <pic:cNvPicPr/>
                  </pic:nvPicPr>
                  <pic:blipFill>
                    <a:blip r:embed="rId38"/>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37"/>
          <w:pgSz w:w="11900" w:h="16840"/>
          <w:pgMar w:top="642" w:right="0" w:bottom="340" w:left="0" w:header="326" w:footer="93" w:gutter="0"/>
        </w:sectPr>
        <w:rPr/>
      </w:pPr>
    </w:p>
    <w:p>
      <w:pPr>
        <w:pStyle w:val="BodyText"/>
        <w:spacing w:line="277" w:lineRule="auto"/>
        <w:rPr/>
      </w:pPr>
      <w:r>
        <w:pict>
          <v:shape id="_x0000_s236"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238" style="position:absolute;margin-left:-13.08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240" style="position:absolute;margin-left:491.92pt;margin-top:472.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242"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244"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2" name="IM 12"/>
            <wp:cNvGraphicFramePr/>
            <a:graphic>
              <a:graphicData uri="http://schemas.openxmlformats.org/drawingml/2006/picture">
                <pic:pic>
                  <pic:nvPicPr>
                    <pic:cNvPr id="12" name="IM 12"/>
                    <pic:cNvPicPr/>
                  </pic:nvPicPr>
                  <pic:blipFill>
                    <a:blip r:embed="rId40"/>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39"/>
          <w:pgSz w:w="11900" w:h="16840"/>
          <w:pgMar w:top="642" w:right="0" w:bottom="340" w:left="0" w:header="326" w:footer="91" w:gutter="0"/>
        </w:sectPr>
        <w:rPr/>
      </w:pPr>
    </w:p>
    <w:p>
      <w:pPr>
        <w:pStyle w:val="BodyText"/>
        <w:spacing w:line="277" w:lineRule="auto"/>
        <w:rPr/>
      </w:pPr>
      <w:r>
        <w:pict>
          <v:shape id="_x0000_s246"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248" style="position:absolute;margin-left:-13.08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250" style="position:absolute;margin-left:391.92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252" style="position:absolute;margin-left:86.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254" style="position:absolute;margin-left:491.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4" name="IM 14"/>
            <wp:cNvGraphicFramePr/>
            <a:graphic>
              <a:graphicData uri="http://schemas.openxmlformats.org/drawingml/2006/picture">
                <pic:pic>
                  <pic:nvPicPr>
                    <pic:cNvPr id="14" name="IM 14"/>
                    <pic:cNvPicPr/>
                  </pic:nvPicPr>
                  <pic:blipFill>
                    <a:blip r:embed="rId42"/>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41"/>
          <w:pgSz w:w="11900" w:h="16840"/>
          <w:pgMar w:top="642" w:right="0" w:bottom="340" w:left="0" w:header="326" w:footer="91" w:gutter="0"/>
        </w:sectPr>
        <w:rPr/>
      </w:pPr>
    </w:p>
    <w:p>
      <w:pPr>
        <w:pStyle w:val="BodyText"/>
        <w:spacing w:line="277" w:lineRule="auto"/>
        <w:rPr/>
      </w:pPr>
      <w:r>
        <w:pict>
          <v:shape id="_x0000_s256"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258" style="position:absolute;margin-left:-13.08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260" style="position:absolute;margin-left:491.92pt;margin-top:472.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262" style="position:absolute;margin-left:391.92pt;margin-top:228.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264" style="position:absolute;margin-left:86.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6" name="IM 16"/>
            <wp:cNvGraphicFramePr/>
            <a:graphic>
              <a:graphicData uri="http://schemas.openxmlformats.org/drawingml/2006/picture">
                <pic:pic>
                  <pic:nvPicPr>
                    <pic:cNvPr id="16" name="IM 16"/>
                    <pic:cNvPicPr/>
                  </pic:nvPicPr>
                  <pic:blipFill>
                    <a:blip r:embed="rId44"/>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43"/>
          <w:pgSz w:w="11900" w:h="16840"/>
          <w:pgMar w:top="642" w:right="0" w:bottom="340" w:left="0" w:header="326" w:footer="93"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2"/>
        </w:rPr>
        <w:t>截至2025年4月30日，兴县房产服务中心共有公务用车编制0辆，实有0辆，其中：领导用</w:t>
      </w:r>
      <w:r>
        <w:rPr>
          <w:rFonts w:ascii="FangSong" w:hAnsi="FangSong" w:eastAsia="FangSong" w:cs="FangSong"/>
          <w:sz w:val="23"/>
          <w:szCs w:val="23"/>
          <w:spacing w:val="2"/>
        </w:rPr>
        <w:t>车0辆，机要通信用车0辆，应急保障用车0辆，执法执勤用车0辆，特种专业技术用车0辆，事</w:t>
      </w:r>
      <w:r>
        <w:rPr>
          <w:rFonts w:ascii="FangSong" w:hAnsi="FangSong" w:eastAsia="FangSong" w:cs="FangSong"/>
          <w:sz w:val="23"/>
          <w:szCs w:val="23"/>
          <w:spacing w:val="-1"/>
        </w:rPr>
        <w:t>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截至2025年4月30日，兴县房产服务中心使用的办公用房建筑总面积500平方米。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85" w:right="1223" w:firstLine="439"/>
        <w:spacing w:before="135" w:line="320" w:lineRule="auto"/>
        <w:rPr>
          <w:rFonts w:ascii="FangSong" w:hAnsi="FangSong" w:eastAsia="FangSong" w:cs="FangSong"/>
          <w:sz w:val="23"/>
          <w:szCs w:val="23"/>
        </w:rPr>
      </w:pPr>
      <w:r>
        <w:rPr>
          <w:rFonts w:ascii="FangSong" w:hAnsi="FangSong" w:eastAsia="FangSong" w:cs="FangSong"/>
          <w:sz w:val="23"/>
          <w:szCs w:val="23"/>
          <w:spacing w:val="4"/>
        </w:rPr>
        <w:t>截至2025年4月30日，兴县房产服务中心占有使用价值50万元</w:t>
      </w:r>
      <w:r>
        <w:rPr>
          <w:rFonts w:ascii="FangSong" w:hAnsi="FangSong" w:eastAsia="FangSong" w:cs="FangSong"/>
          <w:sz w:val="23"/>
          <w:szCs w:val="23"/>
          <w:spacing w:val="3"/>
        </w:rPr>
        <w:t>（原值）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以上的通用设备0</w:t>
      </w:r>
      <w:r>
        <w:rPr>
          <w:rFonts w:ascii="FangSong" w:hAnsi="FangSong" w:eastAsia="FangSong" w:cs="FangSong"/>
          <w:sz w:val="23"/>
          <w:szCs w:val="23"/>
          <w:spacing w:val="-1"/>
        </w:rPr>
        <w:t>台（套</w:t>
      </w:r>
      <w:r>
        <w:rPr>
          <w:rFonts w:ascii="FangSong" w:hAnsi="FangSong" w:eastAsia="FangSong" w:cs="FangSong"/>
          <w:sz w:val="23"/>
          <w:szCs w:val="23"/>
          <w:spacing w:val="11"/>
        </w:rPr>
        <w:t>）；</w:t>
      </w:r>
      <w:r>
        <w:rPr>
          <w:rFonts w:ascii="FangSong" w:hAnsi="FangSong" w:eastAsia="FangSong" w:cs="FangSong"/>
          <w:sz w:val="23"/>
          <w:szCs w:val="23"/>
          <w:spacing w:val="-1"/>
        </w:rPr>
        <w:t>兴县房产服务中心占有使用价值100万元（原值）以上的通用设备0台（套）。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45"/>
          <w:footerReference w:type="default" r:id="rId46"/>
          <w:pgSz w:w="11900" w:h="16840"/>
          <w:pgMar w:top="642" w:right="0" w:bottom="340" w:left="0" w:header="326" w:footer="93" w:gutter="0"/>
        </w:sectPr>
        <w:rPr>
          <w:rFonts w:ascii="FangSong" w:hAnsi="FangSong" w:eastAsia="FangSong" w:cs="FangSong"/>
          <w:sz w:val="23"/>
          <w:szCs w:val="23"/>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47"/>
      <w:footerReference w:type="default" r:id="rId48"/>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bookmarkStart w:name="bookmark48" w:id="43"/>
    <w:bookmarkEnd w:id="43"/>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bookmarkStart w:name="bookmark49" w:id="44"/>
    <w:bookmarkEnd w:id="44"/>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54" style="position:absolute;margin-left:86.92pt;margin-top:27.7862pt;mso-position-vertical-relative:text;mso-position-horizontal-relative:text;width:119.4pt;height:18.85pt;z-index:-251572224;rotation:330;" fillcolor="#404040" filled="true" stroked="false" type="#_x0000_t136">
          <v:fill opacity="0.400000"/>
          <v:textpath style="font-family:&quot;STSong&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2" style="position:absolute;margin-left:86.92pt;margin-top:27.7862pt;mso-position-vertical-relative:text;mso-position-horizontal-relative:text;width:119.4pt;height:18.85pt;z-index:-251563008;rotation:330;" fillcolor="#404040" filled="true" stroked="false" type="#_x0000_t136">
          <v:fill opacity="0.400000"/>
          <v:textpath style="font-family:&quot;STSong&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0" style="position:absolute;margin-left:86.92pt;margin-top:27.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08" style="position:absolute;margin-left:86.92pt;margin-top:27.7862pt;mso-position-vertical-relative:text;mso-position-horizontal-relative:text;width:119.4pt;height:18.85pt;z-index:-251549696;rotation:330;" fillcolor="#404040" filled="true" stroked="false" type="#_x0000_t136">
          <v:fill opacity="0.400000"/>
          <v:textpath style="font-family:&quot;STSong&quot;;font-size:20;v-text-kern:t;mso-text-shadow:auto" string="仅供内部审核"/>
        </v:shape>
      </w:pict>
    </w:r>
    <w:r>
      <w:pict>
        <v:shape id="PowerPlusWaterMarkObject210" style="position:absolute;margin-left:-13.08pt;margin-top:776.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12" style="position:absolute;margin-left:391.92pt;margin-top:776.106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_x0000_s214" style="position:absolute;margin-left:30pt;margin-top:29.5pt;mso-position-vertical-relative:page;mso-position-horizontal-relative:page;width:535pt;height:1pt;z-index:-2515507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6" style="position:absolute;margin-left:86.92pt;margin-top:27.7862pt;mso-position-vertical-relative:text;mso-position-horizontal-relative:text;width:119.4pt;height:18.85pt;z-index:-251540480;rotation:330;" fillcolor="#404040" filled="true" stroked="false" type="#_x0000_t136">
          <v:fill opacity="0.400000"/>
          <v:textpath style="font-family:&quot;STSong&quot;;font-size:20;v-text-kern:t;mso-text-shadow:auto" string="仅供内部审核"/>
        </v:shape>
      </w:pict>
    </w:r>
    <w:r>
      <w:pict>
        <v:shape id="PowerPlusWaterMarkObject268" style="position:absolute;margin-left:-13.08pt;margin-top:288.105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491.92pt;margin-top:44.1055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391.92pt;margin-top:288.105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86.92pt;margin-top:532.106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13.08pt;margin-top:776.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78" style="position:absolute;margin-left:491.92pt;margin-top:532.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80" style="position:absolute;margin-left:391.92pt;margin-top:776.106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_x0000_s282" style="position:absolute;margin-left:30pt;margin-top:29.5pt;mso-position-vertical-relative:page;mso-position-horizontal-relative:page;width:535pt;height:1pt;z-index:-2515425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4" style="position:absolute;margin-left:86.92pt;margin-top:27.7862pt;mso-position-vertical-relative:text;mso-position-horizontal-relative:text;width:119.4pt;height:18.85pt;z-index:-251531264;rotation:330;" fillcolor="#404040" filled="true" stroked="false" type="#_x0000_t136">
          <v:fill opacity="0.400000"/>
          <v:textpath style="font-family:&quot;STSong&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491.92pt;margin-top:44.105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86.92pt;margin-top:532.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96"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98"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_x0000_s300" style="position:absolute;margin-left:30pt;margin-top:29.5pt;mso-position-vertical-relative:page;mso-position-horizontal-relative:page;width:535pt;height:1pt;z-index:-2515333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兴县房产服务中心2025年单位预算公开报告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45.0434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08"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0" style="position:absolute;margin-left:86.92pt;margin-top:287.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兴县房产服务中心2025年单位预算公开报告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0" style="position:absolute;margin-left:-13.08pt;margin-top:28.7862pt;mso-position-vertical-relative:text;mso-position-horizontal-relative:text;width:119.4pt;height:18.85pt;z-index:-251590656;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兴县房产服务中心2025年单位预算公开报告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36" style="position:absolute;margin-left:86.92pt;margin-top:27.7862pt;mso-position-vertical-relative:text;mso-position-horizontal-relative:text;width:119.4pt;height:18.85pt;z-index:-251581440;rotation:330;" fillcolor="#404040" filled="true" stroked="false" type="#_x0000_t136">
          <v:fill opacity="0.400000"/>
          <v:textpath style="font-family:&quot;STSong&quot;;font-size:20;v-text-kern:t;mso-text-shadow:auto" string="仅供内部审核"/>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PowerPlusWaterMarkObject14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兴县房产服务中心2025年单位预算公开报告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 Type="http://schemas.openxmlformats.org/officeDocument/2006/relationships/header" Target="header5.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styles" Target="styles.xml"/><Relationship Id="rId5" Type="http://schemas.openxmlformats.org/officeDocument/2006/relationships/header" Target="header4.xml"/><Relationship Id="rId49" Type="http://schemas.openxmlformats.org/officeDocument/2006/relationships/settings" Target="settings.xml"/><Relationship Id="rId48" Type="http://schemas.openxmlformats.org/officeDocument/2006/relationships/footer" Target="footer25.xml"/><Relationship Id="rId47" Type="http://schemas.openxmlformats.org/officeDocument/2006/relationships/header" Target="header15.xml"/><Relationship Id="rId46" Type="http://schemas.openxmlformats.org/officeDocument/2006/relationships/footer" Target="footer24.xml"/><Relationship Id="rId45" Type="http://schemas.openxmlformats.org/officeDocument/2006/relationships/header" Target="header14.xml"/><Relationship Id="rId44" Type="http://schemas.openxmlformats.org/officeDocument/2006/relationships/image" Target="media/image8.png"/><Relationship Id="rId43" Type="http://schemas.openxmlformats.org/officeDocument/2006/relationships/footer" Target="footer23.xml"/><Relationship Id="rId42" Type="http://schemas.openxmlformats.org/officeDocument/2006/relationships/image" Target="media/image7.png"/><Relationship Id="rId41" Type="http://schemas.openxmlformats.org/officeDocument/2006/relationships/footer" Target="footer22.xml"/><Relationship Id="rId40" Type="http://schemas.openxmlformats.org/officeDocument/2006/relationships/image" Target="media/image6.png"/><Relationship Id="rId4" Type="http://schemas.openxmlformats.org/officeDocument/2006/relationships/header" Target="header3.xml"/><Relationship Id="rId39" Type="http://schemas.openxmlformats.org/officeDocument/2006/relationships/footer" Target="footer21.xml"/><Relationship Id="rId38" Type="http://schemas.openxmlformats.org/officeDocument/2006/relationships/image" Target="media/image5.png"/><Relationship Id="rId37" Type="http://schemas.openxmlformats.org/officeDocument/2006/relationships/footer" Target="footer20.xml"/><Relationship Id="rId36" Type="http://schemas.openxmlformats.org/officeDocument/2006/relationships/image" Target="media/image4.png"/><Relationship Id="rId35" Type="http://schemas.openxmlformats.org/officeDocument/2006/relationships/footer" Target="footer19.xml"/><Relationship Id="rId34" Type="http://schemas.openxmlformats.org/officeDocument/2006/relationships/header" Target="header13.xml"/><Relationship Id="rId33" Type="http://schemas.openxmlformats.org/officeDocument/2006/relationships/image" Target="media/image3.png"/><Relationship Id="rId32" Type="http://schemas.openxmlformats.org/officeDocument/2006/relationships/footer" Target="footer18.xml"/><Relationship Id="rId31" Type="http://schemas.openxmlformats.org/officeDocument/2006/relationships/header" Target="header12.xml"/><Relationship Id="rId30" Type="http://schemas.openxmlformats.org/officeDocument/2006/relationships/image" Target="media/image2.png"/><Relationship Id="rId3" Type="http://schemas.openxmlformats.org/officeDocument/2006/relationships/image" Target="media/image1.png"/><Relationship Id="rId29" Type="http://schemas.openxmlformats.org/officeDocument/2006/relationships/footer" Target="footer17.xml"/><Relationship Id="rId28" Type="http://schemas.openxmlformats.org/officeDocument/2006/relationships/header" Target="header11.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2025-09-25T11:27:43Z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2025-09-25T17:32:05</vt:filetime>
  </property>
</Properties>
</file>