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兴县农业农村局</w:t>
      </w:r>
    </w:p>
    <w:p>
      <w:pPr>
        <w:jc w:val="center"/>
        <w:outlineLvl w:val="0"/>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2021年农业产业化联合体奖补资金</w:t>
      </w:r>
    </w:p>
    <w:p>
      <w:pPr>
        <w:jc w:val="center"/>
        <w:outlineLvl w:val="0"/>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val="en-US" w:eastAsia="zh-CN"/>
        </w:rPr>
        <w:t>项目</w:t>
      </w:r>
      <w:r>
        <w:rPr>
          <w:rFonts w:hint="eastAsia" w:ascii="方正小标宋简体" w:hAnsi="方正小标宋简体" w:eastAsia="方正小标宋简体" w:cs="方正小标宋简体"/>
          <w:sz w:val="44"/>
          <w:szCs w:val="44"/>
          <w:highlight w:val="none"/>
          <w:lang w:eastAsia="zh-CN"/>
        </w:rPr>
        <w:t>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农业产业化联合体是由农业产业化龙头企业牵头，农民合作社、家庭农场、小农户跟进，科研、生产、加工、服务、金融等主体共同参与，以分工协作为前提，以利益联结为纽带的农业全产业链经营联盟，是促进小农户与现代农业发展有机衔接的重要载体。</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为贯彻2021年中央一号文件精神，落实《国务院关于促进乡村产业振兴的指导意见》要求，围绕“保供固安全、振兴畅循环”，聚焦重点产业，发挥农业产业化联合体内资源要素集聚、利益联结紧密、购销服务协同、信息渠道共享等优势，构建涵盖上中下游主体全产业链服务模式，拓宽农业经营主体经营渠道。</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同时以农业产业化联合体为载体，围绕全产业链协同发展，以加工流通延链、科技研发补链、园区聚集壮链、融合发展优链，推进精细化综合加工，搭建体系化物流网络，开展品牌化市场营销，推广绿色化发展理念，不断融合创新链、优化供应链，推动向价值链中高端、产业链中上游跃升，提高乡村产业链供应链现代化水平。为全面推进乡村振兴、加快农业农村现代化提供支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highlight w:val="none"/>
        </w:rPr>
        <w:t>项目立项依据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）农业农村部办公厅 中国农业银行《关于金融支持农业产业化联合体发展的意见》（晋办产〔2021〕</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3号）；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山西省农业农村厅乡村产业发展处《2019年省农业产业化联合体试点培育扶持项目实施方案》；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（3）兴县农业农村局《关于对酿造业产业化联合体项目实施方案的批复》</w:t>
      </w:r>
      <w:r>
        <w:rPr>
          <w:rFonts w:hint="eastAsia" w:ascii="Times New Roman" w:hAnsi="Times New Roman" w:eastAsia="仿宋_GB2312" w:cs="Times New Roman"/>
          <w:bCs/>
          <w:kern w:val="2"/>
          <w:sz w:val="32"/>
          <w:szCs w:val="32"/>
          <w:highlight w:val="none"/>
          <w:lang w:eastAsia="zh-CN"/>
        </w:rPr>
        <w:t>（兴农发〔202</w:t>
      </w:r>
      <w:r>
        <w:rPr>
          <w:rFonts w:hint="eastAsia" w:ascii="Times New Roman" w:hAnsi="Times New Roman" w:eastAsia="仿宋_GB2312" w:cs="Times New Roman"/>
          <w:bCs/>
          <w:kern w:val="2"/>
          <w:sz w:val="32"/>
          <w:szCs w:val="32"/>
          <w:highlight w:val="none"/>
          <w:lang w:val="en-US" w:eastAsia="zh-CN"/>
        </w:rPr>
        <w:t>0</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11</w:t>
      </w:r>
      <w:r>
        <w:rPr>
          <w:rFonts w:hint="eastAsia" w:ascii="Times New Roman" w:hAnsi="Times New Roman" w:eastAsia="仿宋_GB2312" w:cs="Times New Roman"/>
          <w:bCs/>
          <w:kern w:val="2"/>
          <w:sz w:val="32"/>
          <w:szCs w:val="32"/>
          <w:highlight w:val="none"/>
          <w:lang w:eastAsia="zh-CN"/>
        </w:rPr>
        <w:t>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4</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对山西清泉醋业有限公司农业产业化联合体进行奖补，促进其进行品牌宣传、物流配送、销售渠道建设和互联网营销，进一步推进产业发展，促进乡村振兴战略的实施。</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w:t>
      </w:r>
      <w:r>
        <w:rPr>
          <w:rFonts w:hint="eastAsia" w:ascii="Times New Roman" w:hAnsi="Times New Roman" w:eastAsia="仿宋_GB2312" w:cs="Times New Roman"/>
          <w:b/>
          <w:bCs w:val="0"/>
          <w:kern w:val="2"/>
          <w:sz w:val="32"/>
          <w:szCs w:val="32"/>
          <w:highlight w:val="none"/>
          <w:lang w:eastAsia="zh-CN"/>
        </w:rPr>
        <w:t>预算及执行情况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w:t>
      </w:r>
      <w:r>
        <w:rPr>
          <w:rFonts w:hint="eastAsia" w:ascii="Times New Roman" w:hAnsi="Times New Roman" w:eastAsia="仿宋_GB2312" w:cs="Times New Roman"/>
          <w:bCs/>
          <w:kern w:val="2"/>
          <w:sz w:val="32"/>
          <w:szCs w:val="32"/>
          <w:highlight w:val="none"/>
          <w:lang w:eastAsia="zh-CN"/>
        </w:rPr>
        <w:t>预算</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年兴县农业农村局2021年农业产业化联合体奖补资金预算指标</w:t>
      </w:r>
      <w:r>
        <w:rPr>
          <w:rFonts w:hint="eastAsia" w:ascii="Times New Roman" w:hAnsi="Times New Roman" w:eastAsia="仿宋_GB2312" w:cs="Times New Roman"/>
          <w:bCs/>
          <w:kern w:val="2"/>
          <w:sz w:val="32"/>
          <w:szCs w:val="32"/>
          <w:highlight w:val="none"/>
          <w:lang w:val="en-US" w:eastAsia="zh-CN"/>
        </w:rPr>
        <w:t>200.00万元。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w:t>
      </w:r>
      <w:r>
        <w:rPr>
          <w:rFonts w:hint="eastAsia" w:ascii="Times New Roman" w:hAnsi="Times New Roman" w:eastAsia="仿宋_GB2312" w:cs="Times New Roman"/>
          <w:bCs/>
          <w:kern w:val="2"/>
          <w:sz w:val="32"/>
          <w:szCs w:val="32"/>
          <w:highlight w:val="none"/>
          <w:lang w:eastAsia="zh-CN"/>
        </w:rPr>
        <w:t>执行</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年兴县农业农村局实际拨付</w:t>
      </w:r>
      <w:r>
        <w:rPr>
          <w:rFonts w:hint="eastAsia" w:ascii="Times New Roman" w:hAnsi="Times New Roman" w:eastAsia="仿宋_GB2312" w:cs="Times New Roman"/>
          <w:bCs/>
          <w:kern w:val="2"/>
          <w:sz w:val="32"/>
          <w:szCs w:val="32"/>
          <w:highlight w:val="none"/>
          <w:lang w:val="en-US" w:eastAsia="zh-CN"/>
        </w:rPr>
        <w:t>山西清泉醋业有限公司200.00</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eastAsia="zh-CN"/>
        </w:rPr>
        <w:t>用于品牌建设等</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对山西清泉醋业有限公司农业产业化联合体进行奖补，促进其进行品牌宣传、物流配送、销售渠道建设和互联网营销，进一步推进产业发展，促进乡村振兴战略的实施。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其中：品牌宣传，制作产品设计、营销策划方案50余套，制作专题广告片、宣传片各1部LED广告播放1年，展位广告制作282㎡；物流配送，租赁物流中转库房160㎡，增强物流线上配送投入；销售渠道建设，太原、离石租赁实体专卖店75㎡两个，吕梁机场租赁广告宣传场地3.6㎡，与陕西华润万家生活超市合作营销；互联网营销，与太原3家网络公司开展互联网营销。</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通过实施绩效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梳理2021年农业产业化联合体奖补资金</w:t>
      </w:r>
      <w:r>
        <w:rPr>
          <w:rFonts w:hint="eastAsia" w:ascii="Times New Roman" w:hAnsi="Times New Roman" w:eastAsia="仿宋_GB2312" w:cs="Times New Roman"/>
          <w:bCs/>
          <w:kern w:val="2"/>
          <w:sz w:val="32"/>
          <w:szCs w:val="32"/>
          <w:highlight w:val="none"/>
        </w:rPr>
        <w:t>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及时发现项目管理中存在的问题，总结项目实施经验，进一步加强和规范项目资金管理，完善项目管理。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（3）分级分类原则。绩效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（4）绩效相关原则。绩效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应当针对具体支出及其产出绩效进行，评价结果应当清晰反映支出和产出绩效之间的紧密对应关系。</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绩效自评</w:t>
      </w:r>
      <w:r>
        <w:rPr>
          <w:rFonts w:hint="default" w:ascii="Times New Roman" w:hAnsi="Times New Roman" w:eastAsia="仿宋_GB2312" w:cs="Times New Roman"/>
          <w:b/>
          <w:bCs w:val="0"/>
          <w:kern w:val="2"/>
          <w:sz w:val="32"/>
          <w:szCs w:val="32"/>
          <w:highlight w:val="none"/>
          <w:lang w:val="en-US" w:eastAsia="zh-CN"/>
        </w:rPr>
        <w:t>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绩效自评方法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通过综合分析影响绩效目标实现、实施效果的内外因素，评价绩效目标的实现程度。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农业农村局2021年农业产业化联合体奖补资金的绩效自评指标体系。本指标体系共分为三级：一级指标包括投入、产出、效益和满意度指标。二级指标包括全年预算执行率、数量、质量、时效、成本指标、经济效益、社会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依据《财政支出项目绩效自评操作指南》，将评分结果类型分为优、良、中、差。60分以下为差，60分（含）-80分为中，80分（含）-90分为良，90分（含）以上为优。</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r>
        <w:rPr>
          <w:rFonts w:hint="eastAsia" w:ascii="仿宋_GB2312" w:hAnsi="仿宋_GB2312" w:eastAsia="仿宋_GB2312" w:cs="仿宋_GB2312"/>
          <w:b/>
          <w:bCs w:val="0"/>
          <w:kern w:val="2"/>
          <w:sz w:val="32"/>
          <w:szCs w:val="32"/>
          <w:highlight w:val="none"/>
        </w:rPr>
        <w:t>绩效</w:t>
      </w:r>
      <w:r>
        <w:rPr>
          <w:rFonts w:hint="eastAsia" w:ascii="仿宋_GB2312" w:hAnsi="仿宋_GB2312" w:eastAsia="仿宋_GB2312" w:cs="仿宋_GB2312"/>
          <w:b/>
          <w:bCs w:val="0"/>
          <w:kern w:val="2"/>
          <w:sz w:val="32"/>
          <w:szCs w:val="32"/>
          <w:highlight w:val="none"/>
          <w:lang w:eastAsia="zh-CN"/>
        </w:rPr>
        <w:t>自评工作</w:t>
      </w:r>
      <w:r>
        <w:rPr>
          <w:rFonts w:hint="eastAsia" w:ascii="仿宋_GB2312" w:hAnsi="仿宋_GB2312" w:eastAsia="仿宋_GB2312" w:cs="仿宋_GB2312"/>
          <w:b/>
          <w:bCs w:val="0"/>
          <w:kern w:val="2"/>
          <w:sz w:val="32"/>
          <w:szCs w:val="32"/>
          <w:highlight w:val="none"/>
        </w:rPr>
        <w:t>过程</w:t>
      </w:r>
      <w:bookmarkEnd w:id="5"/>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根据</w:t>
      </w:r>
      <w:r>
        <w:rPr>
          <w:rFonts w:hint="eastAsia" w:ascii="Times New Roman" w:hAnsi="Times New Roman" w:eastAsia="仿宋_GB2312" w:cs="Times New Roman"/>
          <w:bCs/>
          <w:kern w:val="2"/>
          <w:sz w:val="32"/>
          <w:szCs w:val="32"/>
          <w:highlight w:val="none"/>
          <w:lang w:val="en-US" w:eastAsia="zh-CN"/>
        </w:rPr>
        <w:t>2021年农业产业化联合体奖补资金</w:t>
      </w:r>
      <w:r>
        <w:rPr>
          <w:rFonts w:hint="eastAsia" w:ascii="Times New Roman" w:hAnsi="Times New Roman" w:eastAsia="仿宋_GB2312" w:cs="Times New Roman"/>
          <w:bCs/>
          <w:kern w:val="2"/>
          <w:sz w:val="32"/>
          <w:szCs w:val="32"/>
          <w:highlight w:val="none"/>
        </w:rPr>
        <w:t>项目的具体情况，</w:t>
      </w:r>
      <w:r>
        <w:rPr>
          <w:rFonts w:hint="eastAsia" w:ascii="Times New Roman" w:hAnsi="Times New Roman" w:eastAsia="仿宋_GB2312" w:cs="Times New Roman"/>
          <w:bCs/>
          <w:kern w:val="2"/>
          <w:sz w:val="32"/>
          <w:szCs w:val="32"/>
          <w:highlight w:val="none"/>
          <w:lang w:eastAsia="zh-CN"/>
        </w:rPr>
        <w:t>在全面收集资料的基础上，对已收集的资料进行分类整理、审查和分析。</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根据评价项目对象的特点和提供的数据资料，进行实地考察。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农业产业化联合体奖补资金项目全年预算金额200.00万元，全年支出金额200.00万元。执行率=全年支出金额/全年预算金额=200.00/200.00=100.00%。依据项目支出绩效自评得分规则，项目资金全年预算执行率得10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产出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①</w:t>
      </w:r>
      <w:r>
        <w:rPr>
          <w:rFonts w:hint="eastAsia" w:ascii="Times New Roman" w:hAnsi="Times New Roman" w:eastAsia="仿宋_GB2312" w:cs="Times New Roman"/>
          <w:bCs/>
          <w:kern w:val="2"/>
          <w:sz w:val="32"/>
          <w:szCs w:val="32"/>
          <w:highlight w:val="none"/>
          <w:lang w:val="en-US" w:eastAsia="zh-CN"/>
        </w:rPr>
        <w:t>品牌宣传，制作产品设计、营销策划方案</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山西清泉醋业有限公司计划品牌宣传，制作产品设计、营销策划方案50套。实际委托制作50套；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②制作专题广告片、宣传片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山西清泉醋业有限公司计划制作专题广告片、宣传片2个。实际制作专题广告片1个，宣传片1个；</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③租赁物流中转库房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山西清泉醋业有限公司计划租赁物流中转库房1个。实际租赁物流中转库房1个，面积约160㎡；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④租赁实体专卖店</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山西清泉醋业有限公司计划租赁实体专卖店2个。实际在太原、离石租赁实体专卖店75㎡两个，吕梁机场租赁广告宣传场地1个，面积约3.6㎡，并与陕西华润万家生活超市合作营销；</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⑤</w:t>
      </w:r>
      <w:r>
        <w:rPr>
          <w:rFonts w:hint="eastAsia" w:ascii="Times New Roman" w:hAnsi="Times New Roman" w:eastAsia="仿宋_GB2312" w:cs="Times New Roman"/>
          <w:bCs/>
          <w:kern w:val="2"/>
          <w:sz w:val="32"/>
          <w:szCs w:val="32"/>
          <w:highlight w:val="none"/>
          <w:lang w:val="en-US" w:eastAsia="zh-CN"/>
        </w:rPr>
        <w:t>互联网营销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山西清泉醋业有限公司计划开展互联网营销，实际与太原3家网络公司开展互联网营销。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上述数量指标全部完成，依据项目支出绩效自评得分规则，数量指标得20分。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质量指标-验收合格率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山西清泉醋业有限公司作为产业化联合体带头企业，其相关品牌宣传、物流配送、销售渠道建设和互联网营销等已全部完成并验收。依据项目支出绩效自评得分规则，质量指标得10分。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时效指标-完成及时性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2021年农业产业化联合体奖补资金资金项目由山西清泉醋业有限公司负责实施，截至年末，已全部实施完毕，完成比较及时。依据项目支出绩效自评得分规则，时效指标得分10分。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成本指标-按奖补标准补助</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2021年农业产业化联合体根据项目总投资200.35万元，其中：奖补资金200.00万元，自筹0.35万元。由县级财政予以拨付奖补资金。依据项目支出绩效自评得分规则，成本指标得分10分。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效果指标从经济效益、社会效益和可持续影响三</w:t>
      </w:r>
      <w:bookmarkStart w:id="12" w:name="_GoBack"/>
      <w:bookmarkEnd w:id="12"/>
      <w:r>
        <w:rPr>
          <w:rFonts w:hint="eastAsia" w:ascii="Times New Roman" w:hAnsi="Times New Roman" w:eastAsia="仿宋_GB2312" w:cs="Times New Roman"/>
          <w:bCs/>
          <w:kern w:val="2"/>
          <w:sz w:val="32"/>
          <w:szCs w:val="32"/>
          <w:highlight w:val="none"/>
          <w:lang w:val="en-US" w:eastAsia="zh-CN"/>
        </w:rPr>
        <w:t>个方面进行考察，效果指标分值共计30分，本项目实际得分30分：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截至2021年年末，企业在生产季节前通过专业合作社间接或直接与农户签订生产协议，实行统一品种、统一管理，加之推行线上、线下营销，不断市场占有率、经济效益显著提高。依据项目支出绩效自评得分规则，经济效益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产业化联合体的成立带动了相关行业的发展，为劳动就业提供了大量的机会，不仅吸收大量新成长劳动力，而且吸收了部分农业和工业转移的劳动力，直接增加就业岗位吸纳脱贫户就业，为脱贫攻坚和乡村振兴作出了显著贡献。产业化联合体</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带动企业增效、农民增收，实现社会效益稳步提升。依据项目支出绩效自评得分规则，社会效益得10分。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10" w:leftChars="0" w:firstLine="640" w:firstLineChars="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可持续影响指标考核项目后续运行及成效发挥的可持续影响情况。鼓励农业产业化联合体探索成员相互入股、组建新主体等新型联结方式，实现深度融合发展。引导农民以土地经营权、林权、设施设备等入股家庭农场、农民合作社或龙头企业，采取“保底收入+股份分红”的分配方式，让农民以股东身份获得收益。遵循市场经济规律，妥善处理好农业产业化联合体各成员之间、与普通农户之间的利益分配关系。强化龙头企业联农带农激励机制，促进农业产业化联合体可持续发展。根据绩效自评指标体系，可持续影响得10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。通过走访群众了解实际情况，群众对该项目比较满意。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10</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结果应用，既是开展绩效自评工作的基本前提，又是加强财政支出管理、增强资金绩效理念、合理配置公共资源、优化财政支出结构、强化资金管理水平、提高资金使用效益的重要手段。为使绩效自评结果得到合理应用，应将绩效自评结果作为以后年度建设资金分配的重要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绩效自评是对效果的评价，评价结果直接反应项目实施的效益。评价分为四</w:t>
      </w:r>
      <w:r>
        <w:rPr>
          <w:rFonts w:hint="eastAsia" w:ascii="Times New Roman" w:hAnsi="Times New Roman" w:eastAsia="仿宋_GB2312" w:cs="Times New Roman"/>
          <w:bCs/>
          <w:kern w:val="2"/>
          <w:sz w:val="32"/>
          <w:szCs w:val="32"/>
          <w:highlight w:val="none"/>
        </w:rPr>
        <w:t>个</w:t>
      </w:r>
      <w:r>
        <w:rPr>
          <w:rFonts w:hint="eastAsia" w:ascii="Times New Roman" w:hAnsi="Times New Roman" w:eastAsia="仿宋_GB2312" w:cs="Times New Roman"/>
          <w:bCs/>
          <w:kern w:val="2"/>
          <w:sz w:val="32"/>
          <w:szCs w:val="32"/>
          <w:highlight w:val="none"/>
          <w:lang w:eastAsia="zh-CN"/>
        </w:rPr>
        <w:t>档次：分为优</w:t>
      </w:r>
      <w:r>
        <w:rPr>
          <w:rFonts w:hint="eastAsia" w:ascii="Times New Roman" w:hAnsi="Times New Roman" w:eastAsia="仿宋_GB2312" w:cs="Times New Roman"/>
          <w:bCs/>
          <w:kern w:val="2"/>
          <w:sz w:val="32"/>
          <w:szCs w:val="32"/>
          <w:highlight w:val="none"/>
        </w:rPr>
        <w:t>（得分≧90），良（90＞得分≥80），</w:t>
      </w:r>
      <w:r>
        <w:rPr>
          <w:rFonts w:hint="eastAsia" w:ascii="Times New Roman" w:hAnsi="Times New Roman" w:eastAsia="仿宋_GB2312" w:cs="Times New Roman"/>
          <w:bCs/>
          <w:kern w:val="2"/>
          <w:sz w:val="32"/>
          <w:szCs w:val="32"/>
          <w:highlight w:val="none"/>
          <w:lang w:eastAsia="zh-CN"/>
        </w:rPr>
        <w:t>中</w:t>
      </w:r>
      <w:r>
        <w:rPr>
          <w:rFonts w:hint="eastAsia" w:ascii="Times New Roman" w:hAnsi="Times New Roman" w:eastAsia="仿宋_GB2312" w:cs="Times New Roman"/>
          <w:bCs/>
          <w:kern w:val="2"/>
          <w:sz w:val="32"/>
          <w:szCs w:val="32"/>
          <w:highlight w:val="none"/>
        </w:rPr>
        <w:t>（80＞得分≥60），</w:t>
      </w:r>
      <w:r>
        <w:rPr>
          <w:rFonts w:hint="eastAsia" w:ascii="Times New Roman" w:hAnsi="Times New Roman" w:eastAsia="仿宋_GB2312" w:cs="Times New Roman"/>
          <w:bCs/>
          <w:kern w:val="2"/>
          <w:sz w:val="32"/>
          <w:szCs w:val="32"/>
          <w:highlight w:val="none"/>
          <w:lang w:eastAsia="zh-CN"/>
        </w:rPr>
        <w:t>差</w:t>
      </w:r>
      <w:r>
        <w:rPr>
          <w:rFonts w:hint="eastAsia" w:ascii="Times New Roman" w:hAnsi="Times New Roman" w:eastAsia="仿宋_GB2312" w:cs="Times New Roman"/>
          <w:bCs/>
          <w:kern w:val="2"/>
          <w:sz w:val="32"/>
          <w:szCs w:val="32"/>
          <w:highlight w:val="none"/>
        </w:rPr>
        <w:t>（得分＜ 60 分）。</w:t>
      </w:r>
      <w:r>
        <w:rPr>
          <w:rFonts w:hint="eastAsia" w:ascii="Times New Roman" w:hAnsi="Times New Roman" w:eastAsia="仿宋_GB2312" w:cs="Times New Roman"/>
          <w:bCs/>
          <w:kern w:val="2"/>
          <w:sz w:val="32"/>
          <w:szCs w:val="32"/>
          <w:highlight w:val="none"/>
          <w:lang w:eastAsia="zh-CN"/>
        </w:rPr>
        <w:t>对于评价优秀的项目应当加大资金，以期待更好的公共效益；对于评价结论中等以上的项目应该继续给予资金支持；对于评价结论为差的项目，应当减少资金或者取消项目。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兴县县农业农村局2021年农业产业化联合体奖补资金项目绩效自评得分</w:t>
      </w:r>
      <w:r>
        <w:rPr>
          <w:rFonts w:hint="eastAsia" w:ascii="Times New Roman" w:hAnsi="Times New Roman" w:eastAsia="仿宋_GB2312" w:cs="Times New Roman"/>
          <w:bCs/>
          <w:kern w:val="2"/>
          <w:sz w:val="32"/>
          <w:szCs w:val="32"/>
          <w:highlight w:val="none"/>
          <w:lang w:val="en-US" w:eastAsia="zh-CN"/>
        </w:rPr>
        <w:t>为100</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0" w:name="_Toc15002_WPSOffice_Level1"/>
      <w:r>
        <w:rPr>
          <w:rFonts w:hint="eastAsia" w:ascii="黑体" w:hAnsi="黑体" w:eastAsia="黑体" w:cs="黑体"/>
          <w:bCs/>
          <w:kern w:val="2"/>
          <w:sz w:val="32"/>
          <w:szCs w:val="32"/>
          <w:highlight w:val="none"/>
        </w:rPr>
        <w:t>五、主要经验及做法</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2021年农业产业化联合体奖补资金项目优化政策配套，落实中央各项支持政策，培育壮大新型农业经营主体。地方结合本地实际，支持现有龙头企业、农民合作社、家庭农场发展的农村一二三产业融合、农业综合开发等相关项目资金，向农业产业化联合体内符合条件的新型农业经营主体适当倾斜。支持龙头企业等新型农业经营主体参与产业扶贫，落实相关税收优惠政策。组织开展精准培训，提高龙头企业负责人、合作社理事长、家庭农场主的经营管理水平。</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bookmarkStart w:id="11" w:name="_Toc10677_WPSOffice_Level1"/>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（此页无正文）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1"/>
      <w:r>
        <w:rPr>
          <w:rFonts w:hint="eastAsia" w:ascii="Times New Roman" w:hAnsi="Times New Roman" w:eastAsia="仿宋_GB2312" w:cs="Times New Roman"/>
          <w:bCs/>
          <w:kern w:val="2"/>
          <w:sz w:val="32"/>
          <w:szCs w:val="32"/>
          <w:highlight w:val="none"/>
          <w:lang w:val="en-US" w:eastAsia="zh-CN"/>
        </w:rPr>
        <w:t>项目支出绩效自评表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cs="Times New Roman"/>
          <w:sz w:val="24"/>
          <w:szCs w:val="32"/>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sectPr>
      <w:headerReference r:id="rId4" w:type="first"/>
      <w:footerReference r:id="rId6" w:type="first"/>
      <w:headerReference r:id="rId3" w:type="default"/>
      <w:footerReference r:id="rId5" w:type="default"/>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兴县农业农村局2021年农业产业化联合体奖补资金项目支出绩效自评报告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兴县农业农村局2021年农业产业化联合体奖补资金项目支出绩效自评报告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AD3AB"/>
    <w:multiLevelType w:val="singleLevel"/>
    <w:tmpl w:val="D3EAD3AB"/>
    <w:lvl w:ilvl="0" w:tentative="0">
      <w:start w:val="1"/>
      <w:numFmt w:val="decimal"/>
      <w:suff w:val="nothing"/>
      <w:lvlText w:val="（%1）"/>
      <w:lvlJc w:val="left"/>
    </w:lvl>
  </w:abstractNum>
  <w:abstractNum w:abstractNumId="1">
    <w:nsid w:val="F6F773AF"/>
    <w:multiLevelType w:val="singleLevel"/>
    <w:tmpl w:val="F6F773AF"/>
    <w:lvl w:ilvl="0" w:tentative="0">
      <w:start w:val="1"/>
      <w:numFmt w:val="decimal"/>
      <w:suff w:val="nothing"/>
      <w:lvlText w:val="（%1）"/>
      <w:lvlJc w:val="left"/>
    </w:lvl>
  </w:abstractNum>
  <w:abstractNum w:abstractNumId="2">
    <w:nsid w:val="FFC4B004"/>
    <w:multiLevelType w:val="singleLevel"/>
    <w:tmpl w:val="FFC4B004"/>
    <w:lvl w:ilvl="0" w:tentative="0">
      <w:start w:val="4"/>
      <w:numFmt w:val="chineseCounting"/>
      <w:suff w:val="nothing"/>
      <w:lvlText w:val="（%1）"/>
      <w:lvlJc w:val="left"/>
      <w:rPr>
        <w:rFonts w:hint="eastAsia"/>
      </w:rPr>
    </w:lvl>
  </w:abstractNum>
  <w:abstractNum w:abstractNumId="3">
    <w:nsid w:val="5E1909FA"/>
    <w:multiLevelType w:val="singleLevel"/>
    <w:tmpl w:val="5E1909FA"/>
    <w:lvl w:ilvl="0" w:tentative="0">
      <w:start w:val="2"/>
      <w:numFmt w:val="decimal"/>
      <w:suff w:val="nothing"/>
      <w:lvlText w:val="（%1）"/>
      <w:lvlJc w:val="left"/>
    </w:lvl>
  </w:abstractNum>
  <w:abstractNum w:abstractNumId="4">
    <w:nsid w:val="5E39D4F7"/>
    <w:multiLevelType w:val="singleLevel"/>
    <w:tmpl w:val="5E39D4F7"/>
    <w:lvl w:ilvl="0" w:tentative="0">
      <w:start w:val="1"/>
      <w:numFmt w:val="decimal"/>
      <w:suff w:val="space"/>
      <w:lvlText w:val="%1."/>
      <w:lvlJc w:val="left"/>
    </w:lvl>
  </w:abstractNum>
  <w:abstractNum w:abstractNumId="5">
    <w:nsid w:val="66F43F36"/>
    <w:multiLevelType w:val="singleLevel"/>
    <w:tmpl w:val="66F43F36"/>
    <w:lvl w:ilvl="0" w:tentative="0">
      <w:start w:val="2"/>
      <w:numFmt w:val="decimal"/>
      <w:suff w:val="space"/>
      <w:lvlText w:val="%1."/>
      <w:lvlJc w:val="left"/>
    </w:lvl>
  </w:abstractNum>
  <w:abstractNum w:abstractNumId="6">
    <w:nsid w:val="6A24A71D"/>
    <w:multiLevelType w:val="singleLevel"/>
    <w:tmpl w:val="6A24A71D"/>
    <w:lvl w:ilvl="0" w:tentative="0">
      <w:start w:val="1"/>
      <w:numFmt w:val="decimal"/>
      <w:suff w:val="nothing"/>
      <w:lvlText w:val="（%1）"/>
      <w:lvlJc w:val="left"/>
    </w:lvl>
  </w:abstractNum>
  <w:abstractNum w:abstractNumId="7">
    <w:nsid w:val="7759E2FD"/>
    <w:multiLevelType w:val="singleLevel"/>
    <w:tmpl w:val="7759E2FD"/>
    <w:lvl w:ilvl="0" w:tentative="0">
      <w:start w:val="2"/>
      <w:numFmt w:val="decimal"/>
      <w:suff w:val="space"/>
      <w:lvlText w:val="%1."/>
      <w:lvlJc w:val="left"/>
    </w:lvl>
  </w:abstractNum>
  <w:num w:numId="1">
    <w:abstractNumId w:val="5"/>
  </w:num>
  <w:num w:numId="2">
    <w:abstractNumId w:val="7"/>
  </w:num>
  <w:num w:numId="3">
    <w:abstractNumId w:val="3"/>
  </w:num>
  <w:num w:numId="4">
    <w:abstractNumId w:val="2"/>
  </w:num>
  <w:num w:numId="5">
    <w:abstractNumId w:val="4"/>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4077088"/>
    <w:rsid w:val="04BA54F8"/>
    <w:rsid w:val="04CE4D00"/>
    <w:rsid w:val="04D61232"/>
    <w:rsid w:val="052E3C0D"/>
    <w:rsid w:val="054A1450"/>
    <w:rsid w:val="05EF7A74"/>
    <w:rsid w:val="063E617F"/>
    <w:rsid w:val="06417466"/>
    <w:rsid w:val="06E9012A"/>
    <w:rsid w:val="070E3736"/>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E4F7E8E"/>
    <w:rsid w:val="0F4C70E1"/>
    <w:rsid w:val="0FD63482"/>
    <w:rsid w:val="0FFF2D9F"/>
    <w:rsid w:val="100A0AFC"/>
    <w:rsid w:val="10474DB4"/>
    <w:rsid w:val="107964E6"/>
    <w:rsid w:val="10C6225A"/>
    <w:rsid w:val="10C65498"/>
    <w:rsid w:val="1126470E"/>
    <w:rsid w:val="1197161E"/>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8004A29"/>
    <w:rsid w:val="18DD61B1"/>
    <w:rsid w:val="19BC7312"/>
    <w:rsid w:val="19E57170"/>
    <w:rsid w:val="19F00F7B"/>
    <w:rsid w:val="1A35050B"/>
    <w:rsid w:val="1A913737"/>
    <w:rsid w:val="1B395649"/>
    <w:rsid w:val="1B3E133B"/>
    <w:rsid w:val="1B4945FE"/>
    <w:rsid w:val="1B6245E8"/>
    <w:rsid w:val="1B71153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A203CB"/>
    <w:rsid w:val="22CE130A"/>
    <w:rsid w:val="23314BD2"/>
    <w:rsid w:val="23371C91"/>
    <w:rsid w:val="24574DE8"/>
    <w:rsid w:val="247E4716"/>
    <w:rsid w:val="24916FBB"/>
    <w:rsid w:val="25821DEE"/>
    <w:rsid w:val="25C81962"/>
    <w:rsid w:val="25D34859"/>
    <w:rsid w:val="25EF2F74"/>
    <w:rsid w:val="25F8698C"/>
    <w:rsid w:val="269D05A3"/>
    <w:rsid w:val="26CF56C6"/>
    <w:rsid w:val="26F40EF4"/>
    <w:rsid w:val="2726083F"/>
    <w:rsid w:val="272C6987"/>
    <w:rsid w:val="27393C89"/>
    <w:rsid w:val="273C23C6"/>
    <w:rsid w:val="274A24D9"/>
    <w:rsid w:val="27B259DD"/>
    <w:rsid w:val="286767A5"/>
    <w:rsid w:val="28823A68"/>
    <w:rsid w:val="28B75C8C"/>
    <w:rsid w:val="28EB6073"/>
    <w:rsid w:val="292F1936"/>
    <w:rsid w:val="295F2E2B"/>
    <w:rsid w:val="2965576D"/>
    <w:rsid w:val="29A171E3"/>
    <w:rsid w:val="2A14362B"/>
    <w:rsid w:val="2A4A7AF0"/>
    <w:rsid w:val="2A7A5999"/>
    <w:rsid w:val="2AF96231"/>
    <w:rsid w:val="2BB661FC"/>
    <w:rsid w:val="2BF42FA2"/>
    <w:rsid w:val="2CA80CAA"/>
    <w:rsid w:val="2F7260E4"/>
    <w:rsid w:val="2FFC48DD"/>
    <w:rsid w:val="301C56BD"/>
    <w:rsid w:val="303473CF"/>
    <w:rsid w:val="308F31FF"/>
    <w:rsid w:val="313E7EDE"/>
    <w:rsid w:val="315C6BD7"/>
    <w:rsid w:val="316C6453"/>
    <w:rsid w:val="31952513"/>
    <w:rsid w:val="31FE73BF"/>
    <w:rsid w:val="322E36AB"/>
    <w:rsid w:val="32555DAE"/>
    <w:rsid w:val="327D70C1"/>
    <w:rsid w:val="328D1666"/>
    <w:rsid w:val="32B63BE7"/>
    <w:rsid w:val="33380932"/>
    <w:rsid w:val="3502603F"/>
    <w:rsid w:val="352B0153"/>
    <w:rsid w:val="357251C3"/>
    <w:rsid w:val="36DA5039"/>
    <w:rsid w:val="373551FC"/>
    <w:rsid w:val="377161FB"/>
    <w:rsid w:val="378473D3"/>
    <w:rsid w:val="387C133F"/>
    <w:rsid w:val="38AD350C"/>
    <w:rsid w:val="38C81578"/>
    <w:rsid w:val="39C0385F"/>
    <w:rsid w:val="3A597FB5"/>
    <w:rsid w:val="3B267196"/>
    <w:rsid w:val="3B6C3ED7"/>
    <w:rsid w:val="3BB86365"/>
    <w:rsid w:val="3BD16BF1"/>
    <w:rsid w:val="3C5F50EB"/>
    <w:rsid w:val="3D685812"/>
    <w:rsid w:val="3D754856"/>
    <w:rsid w:val="3DA75B0A"/>
    <w:rsid w:val="3E1D4AE0"/>
    <w:rsid w:val="3E493C55"/>
    <w:rsid w:val="3F4C1E14"/>
    <w:rsid w:val="3FE8302B"/>
    <w:rsid w:val="401A3DFE"/>
    <w:rsid w:val="41AA260C"/>
    <w:rsid w:val="42143DB4"/>
    <w:rsid w:val="42F064E9"/>
    <w:rsid w:val="43894CC0"/>
    <w:rsid w:val="43CD2ACE"/>
    <w:rsid w:val="43F919D7"/>
    <w:rsid w:val="442D736F"/>
    <w:rsid w:val="446C23AB"/>
    <w:rsid w:val="4500160B"/>
    <w:rsid w:val="453F306A"/>
    <w:rsid w:val="45A740DF"/>
    <w:rsid w:val="461038DC"/>
    <w:rsid w:val="46C20F13"/>
    <w:rsid w:val="470B136A"/>
    <w:rsid w:val="475A27F6"/>
    <w:rsid w:val="47703AA0"/>
    <w:rsid w:val="47933C0C"/>
    <w:rsid w:val="47A03CF5"/>
    <w:rsid w:val="47D538BC"/>
    <w:rsid w:val="47F03757"/>
    <w:rsid w:val="48094185"/>
    <w:rsid w:val="485C56D4"/>
    <w:rsid w:val="49660C56"/>
    <w:rsid w:val="49DD022A"/>
    <w:rsid w:val="4A61537D"/>
    <w:rsid w:val="4A644363"/>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1D66616"/>
    <w:rsid w:val="52261143"/>
    <w:rsid w:val="523B4113"/>
    <w:rsid w:val="5295255D"/>
    <w:rsid w:val="52A24D78"/>
    <w:rsid w:val="52F668CE"/>
    <w:rsid w:val="52FA2259"/>
    <w:rsid w:val="52FE7451"/>
    <w:rsid w:val="53A80467"/>
    <w:rsid w:val="5562576D"/>
    <w:rsid w:val="55893A86"/>
    <w:rsid w:val="558D556F"/>
    <w:rsid w:val="55D1334E"/>
    <w:rsid w:val="56652B40"/>
    <w:rsid w:val="56C50C41"/>
    <w:rsid w:val="573037C5"/>
    <w:rsid w:val="57924840"/>
    <w:rsid w:val="57E53D52"/>
    <w:rsid w:val="586A77C9"/>
    <w:rsid w:val="59984E35"/>
    <w:rsid w:val="59A064B3"/>
    <w:rsid w:val="59C86909"/>
    <w:rsid w:val="5A8E0E69"/>
    <w:rsid w:val="5AFD44D2"/>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0A2D32"/>
    <w:rsid w:val="5F235A98"/>
    <w:rsid w:val="5F334319"/>
    <w:rsid w:val="5F644ECF"/>
    <w:rsid w:val="604B29F7"/>
    <w:rsid w:val="608D20C3"/>
    <w:rsid w:val="60AE6EFF"/>
    <w:rsid w:val="60D95F74"/>
    <w:rsid w:val="60FA2C82"/>
    <w:rsid w:val="61A65E91"/>
    <w:rsid w:val="620263EA"/>
    <w:rsid w:val="62563C59"/>
    <w:rsid w:val="628F602D"/>
    <w:rsid w:val="629973FA"/>
    <w:rsid w:val="63487AF1"/>
    <w:rsid w:val="6356577D"/>
    <w:rsid w:val="63CB0048"/>
    <w:rsid w:val="64460120"/>
    <w:rsid w:val="64C57C6B"/>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995851"/>
    <w:rsid w:val="6CE93E4A"/>
    <w:rsid w:val="6D181F80"/>
    <w:rsid w:val="6D1E41E7"/>
    <w:rsid w:val="6D3F73B1"/>
    <w:rsid w:val="6D8A37F7"/>
    <w:rsid w:val="6E362DF0"/>
    <w:rsid w:val="6EAD6DEA"/>
    <w:rsid w:val="6EF873C1"/>
    <w:rsid w:val="6F5C58A8"/>
    <w:rsid w:val="6F6843E8"/>
    <w:rsid w:val="6F8C21B9"/>
    <w:rsid w:val="706E3FAA"/>
    <w:rsid w:val="70E80A6C"/>
    <w:rsid w:val="71E2096B"/>
    <w:rsid w:val="72D7609D"/>
    <w:rsid w:val="73317106"/>
    <w:rsid w:val="73F55F24"/>
    <w:rsid w:val="751B537A"/>
    <w:rsid w:val="75655534"/>
    <w:rsid w:val="75B306BD"/>
    <w:rsid w:val="75BC41B5"/>
    <w:rsid w:val="76686599"/>
    <w:rsid w:val="76D6493F"/>
    <w:rsid w:val="77460A8A"/>
    <w:rsid w:val="774F00CD"/>
    <w:rsid w:val="775478D8"/>
    <w:rsid w:val="77570494"/>
    <w:rsid w:val="788A29CA"/>
    <w:rsid w:val="79B566A9"/>
    <w:rsid w:val="7A10574B"/>
    <w:rsid w:val="7AD315B5"/>
    <w:rsid w:val="7BB97187"/>
    <w:rsid w:val="7BD96995"/>
    <w:rsid w:val="7C050874"/>
    <w:rsid w:val="7C1C3664"/>
    <w:rsid w:val="7C3E139D"/>
    <w:rsid w:val="7C574FCB"/>
    <w:rsid w:val="7CB63CAD"/>
    <w:rsid w:val="7CE602F0"/>
    <w:rsid w:val="7DF22919"/>
    <w:rsid w:val="7DFA516C"/>
    <w:rsid w:val="7E1114DA"/>
    <w:rsid w:val="7E8B4EC4"/>
    <w:rsid w:val="7ED7411B"/>
    <w:rsid w:val="7EED339F"/>
    <w:rsid w:val="7F0C5E30"/>
    <w:rsid w:val="7F13058B"/>
    <w:rsid w:val="7F3C227C"/>
    <w:rsid w:val="7F4E444D"/>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5200</Words>
  <Characters>5397</Characters>
  <Lines>0</Lines>
  <Paragraphs>0</Paragraphs>
  <TotalTime>0</TotalTime>
  <ScaleCrop>false</ScaleCrop>
  <LinksUpToDate>false</LinksUpToDate>
  <CharactersWithSpaces>5417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2022-09-04T03:24:29Z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