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highlight w:val="none"/>
          <w:lang w:eastAsia="zh-CN"/>
        </w:rPr>
      </w:pPr>
      <w:r>
        <w:rPr>
          <w:rFonts w:hint="eastAsia" w:ascii="方正小标宋简体" w:hAnsi="方正小标宋简体" w:eastAsia="方正小标宋简体" w:cs="方正小标宋简体"/>
          <w:sz w:val="44"/>
          <w:szCs w:val="44"/>
          <w:highlight w:val="none"/>
          <w:lang w:eastAsia="zh-CN"/>
        </w:rPr>
        <w:t>兴县农业农村局</w:t>
      </w:r>
    </w:p>
    <w:p>
      <w:pPr>
        <w:jc w:val="center"/>
        <w:outlineLvl w:val="0"/>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“乡村振兴贷”风险补偿基金</w:t>
      </w:r>
    </w:p>
    <w:p>
      <w:pPr>
        <w:jc w:val="center"/>
        <w:outlineLvl w:val="0"/>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lang w:val="en-US" w:eastAsia="zh-CN"/>
        </w:rPr>
        <w:t>项目</w:t>
      </w:r>
      <w:r>
        <w:rPr>
          <w:rFonts w:hint="eastAsia" w:ascii="方正小标宋简体" w:hAnsi="方正小标宋简体" w:eastAsia="方正小标宋简体" w:cs="方正小标宋简体"/>
          <w:sz w:val="44"/>
          <w:szCs w:val="44"/>
          <w:highlight w:val="none"/>
          <w:lang w:eastAsia="zh-CN"/>
        </w:rPr>
        <w:t>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为有效解决农村集体经济发展资金不足问题，吕梁市农经部门与农行系统响应吕梁市委、市政府农村产权制度改革重要部署，以产业扶贫和产业振兴为发力点，多措并举积极推进村集体经济组织产业发展，以市政府“一县一业一联盟、一乡一特一园区、一村一品一基地”为总规划蓝图，根据市政府与中国农业银行山西省分行签署的乡村振兴战略合作协议，积极创新金融支持模式，着力打通发展资金瓶颈，建立“政府增信、农行放贷、联盟保障、专家把关、保险托底、全链条支持、全流程监控”的“政银村”金融支持模式，为农业产业化升级和农村集体经济壮大探索出了新的实现路径。</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highlight w:val="none"/>
        </w:rPr>
        <w:t>项目立项依据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）吕梁市</w:t>
      </w:r>
      <w:r>
        <w:rPr>
          <w:rFonts w:hint="eastAsia" w:ascii="Times New Roman" w:hAnsi="Times New Roman" w:eastAsia="仿宋_GB2312" w:cs="Times New Roman"/>
          <w:bCs/>
          <w:kern w:val="2"/>
          <w:sz w:val="32"/>
          <w:szCs w:val="32"/>
          <w:highlight w:val="none"/>
          <w:lang w:val="en-US" w:eastAsia="zh-CN"/>
        </w:rPr>
        <w:t>人民政府办公室《关于印发吕梁市“乡村振兴贷”风险补偿基金实施方案（试行）的通知》（吕政办发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19</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70号）；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 xml:space="preserve">    （2）吕梁市农村经济管理局 中国农业银行吕梁分行《关于印发&lt;吕梁市“乡村振兴贷”风险补偿基金管理办法（试行）的通知&gt;》（吕农经发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20</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8号）；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eastAsia="zh-CN"/>
        </w:rPr>
        <w:t>）吕梁市“乡村振兴贷”风险补偿基金管理工作领导小组办公室《关于进一步推动我市“乡村振兴贷”工作有关事宜的通知》</w:t>
      </w:r>
      <w:r>
        <w:rPr>
          <w:rFonts w:hint="eastAsia" w:ascii="Times New Roman" w:hAnsi="Times New Roman" w:eastAsia="仿宋_GB2312" w:cs="Times New Roman"/>
          <w:bCs/>
          <w:kern w:val="2"/>
          <w:sz w:val="32"/>
          <w:szCs w:val="32"/>
          <w:highlight w:val="none"/>
          <w:lang w:val="en-US" w:eastAsia="zh-CN"/>
        </w:rPr>
        <w:t>（吕乡振贷发</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乡村振兴贷”采用“政府引领、企业带动、银行贷款、村集体经济组织壮大、村民受益”的框架结构，由市政府出资设立风险补偿资金，市政府和中国农业银行吕梁支行按照8:2进行风险分担，其中政府分担部分纳入产业联合监管机制，并优先代偿部分承担10%风险责任，政府风险补偿基金放大杠杆撬动银行贷款用于支持农业产业园区建设，重点支持由农业龙头企业引领的村集体经济组织、家庭农场、能人大户、致富带头人、农民合作社示范社、农业托管组织等。实现金融支持新型村集体经济组织产业发展“零”的突破。</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w:t>
      </w:r>
      <w:r>
        <w:rPr>
          <w:rFonts w:hint="eastAsia" w:ascii="Times New Roman" w:hAnsi="Times New Roman" w:eastAsia="仿宋_GB2312" w:cs="Times New Roman"/>
          <w:b/>
          <w:bCs w:val="0"/>
          <w:kern w:val="2"/>
          <w:sz w:val="32"/>
          <w:szCs w:val="32"/>
          <w:highlight w:val="none"/>
          <w:lang w:eastAsia="zh-CN"/>
        </w:rPr>
        <w:t>预算及执行情况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w:t>
      </w:r>
      <w:r>
        <w:rPr>
          <w:rFonts w:hint="eastAsia" w:ascii="Times New Roman" w:hAnsi="Times New Roman" w:eastAsia="仿宋_GB2312" w:cs="Times New Roman"/>
          <w:bCs/>
          <w:kern w:val="2"/>
          <w:sz w:val="32"/>
          <w:szCs w:val="32"/>
          <w:highlight w:val="none"/>
          <w:lang w:eastAsia="zh-CN"/>
        </w:rPr>
        <w:t>预算</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年兴县农业农村局“乡村振兴贷”风险补偿基金预算指标</w:t>
      </w:r>
      <w:r>
        <w:rPr>
          <w:rFonts w:hint="eastAsia" w:ascii="Times New Roman" w:hAnsi="Times New Roman" w:eastAsia="仿宋_GB2312" w:cs="Times New Roman"/>
          <w:bCs/>
          <w:kern w:val="2"/>
          <w:sz w:val="32"/>
          <w:szCs w:val="32"/>
          <w:highlight w:val="none"/>
          <w:lang w:val="en-US" w:eastAsia="zh-CN"/>
        </w:rPr>
        <w:t>300.00万元。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w:t>
      </w:r>
      <w:r>
        <w:rPr>
          <w:rFonts w:hint="eastAsia" w:ascii="Times New Roman" w:hAnsi="Times New Roman" w:eastAsia="仿宋_GB2312" w:cs="Times New Roman"/>
          <w:bCs/>
          <w:kern w:val="2"/>
          <w:sz w:val="32"/>
          <w:szCs w:val="32"/>
          <w:highlight w:val="none"/>
          <w:lang w:eastAsia="zh-CN"/>
        </w:rPr>
        <w:t>执行</w:t>
      </w:r>
      <w:r>
        <w:rPr>
          <w:rFonts w:hint="eastAsia" w:ascii="Times New Roman" w:hAnsi="Times New Roman" w:eastAsia="仿宋_GB2312" w:cs="Times New Roman"/>
          <w:bCs/>
          <w:kern w:val="2"/>
          <w:sz w:val="32"/>
          <w:szCs w:val="32"/>
          <w:highlight w:val="none"/>
        </w:rPr>
        <w:t>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年兴县农业农村局实际支付至各乡镇及畜牧产业公司</w:t>
      </w:r>
      <w:r>
        <w:rPr>
          <w:rFonts w:hint="eastAsia" w:ascii="Times New Roman" w:hAnsi="Times New Roman" w:eastAsia="仿宋_GB2312" w:cs="Times New Roman"/>
          <w:bCs/>
          <w:kern w:val="2"/>
          <w:sz w:val="32"/>
          <w:szCs w:val="32"/>
          <w:highlight w:val="none"/>
          <w:lang w:val="en-US" w:eastAsia="zh-CN"/>
        </w:rPr>
        <w:t>300.00</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设立“乡村振兴贷”专项风险补偿基金，有效应对乡村振兴各类农业新型经营主体的流动资金需求，在充分发挥市场调节作用的前提下，围绕市委市政府产业振兴规划，引导银行资金向农业产业核心区域流动，引导承贷主体与村集体经济组织建立利益联结关系，增加村集体和农户财产性收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通过实施绩效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梳理“乡村振兴贷”风险补偿基金项目</w:t>
      </w:r>
      <w:r>
        <w:rPr>
          <w:rFonts w:hint="eastAsia" w:ascii="Times New Roman" w:hAnsi="Times New Roman" w:eastAsia="仿宋_GB2312" w:cs="Times New Roman"/>
          <w:bCs/>
          <w:kern w:val="2"/>
          <w:sz w:val="32"/>
          <w:szCs w:val="32"/>
          <w:highlight w:val="none"/>
        </w:rPr>
        <w:t>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及时发现项目管理中存在的问题，总结项目实施经验，进一步加强和规范项目资金管理，完善项目管理。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（3）分级分类原则。绩效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（4）绩效相关原则。绩效</w:t>
      </w:r>
      <w:r>
        <w:rPr>
          <w:rFonts w:hint="eastAsia" w:ascii="Times New Roman" w:hAnsi="Times New Roman" w:eastAsia="仿宋_GB2312" w:cs="Times New Roman"/>
          <w:bCs/>
          <w:kern w:val="2"/>
          <w:sz w:val="32"/>
          <w:szCs w:val="32"/>
          <w:highlight w:val="none"/>
          <w:lang w:eastAsia="zh-CN"/>
        </w:rPr>
        <w:t>自评</w:t>
      </w:r>
      <w:r>
        <w:rPr>
          <w:rFonts w:hint="eastAsia" w:ascii="Times New Roman" w:hAnsi="Times New Roman" w:eastAsia="仿宋_GB2312" w:cs="Times New Roman"/>
          <w:bCs/>
          <w:kern w:val="2"/>
          <w:sz w:val="32"/>
          <w:szCs w:val="32"/>
          <w:highlight w:val="none"/>
        </w:rPr>
        <w:t>应当针对具体支出及其产出绩效进行，评价结果应当清晰反映支出和产出绩效之间的紧密对应关系。</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default" w:ascii="Times New Roman" w:hAnsi="Times New Roman" w:eastAsia="仿宋_GB2312" w:cs="Times New Roman"/>
          <w:b/>
          <w:bCs w:val="0"/>
          <w:kern w:val="2"/>
          <w:sz w:val="32"/>
          <w:szCs w:val="32"/>
          <w:highlight w:val="none"/>
          <w:lang w:val="en-US" w:eastAsia="zh-CN"/>
        </w:rPr>
        <w:t>绩效评价依据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通过综合分析影响绩效目标实现、实施效果的内外因素，评价绩效目标的实现程度。</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2021年度兴县农业农村局“乡村振兴贷”风险补偿基金的绩效自评指标体系。本指标体系共分为三级：一级指标包括投入、产出、效益和满意度指标。二级指标包括全年预算执行率、数量、质量、时效、成本指标、经济效益、社会效益、生态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r>
        <w:rPr>
          <w:rFonts w:hint="eastAsia" w:ascii="仿宋_GB2312" w:hAnsi="仿宋_GB2312" w:eastAsia="仿宋_GB2312" w:cs="仿宋_GB2312"/>
          <w:b/>
          <w:bCs w:val="0"/>
          <w:kern w:val="2"/>
          <w:sz w:val="32"/>
          <w:szCs w:val="32"/>
          <w:highlight w:val="none"/>
        </w:rPr>
        <w:t>绩效</w:t>
      </w:r>
      <w:r>
        <w:rPr>
          <w:rFonts w:hint="eastAsia" w:ascii="仿宋_GB2312" w:hAnsi="仿宋_GB2312" w:eastAsia="仿宋_GB2312" w:cs="仿宋_GB2312"/>
          <w:b/>
          <w:bCs w:val="0"/>
          <w:kern w:val="2"/>
          <w:sz w:val="32"/>
          <w:szCs w:val="32"/>
          <w:highlight w:val="none"/>
          <w:lang w:eastAsia="zh-CN"/>
        </w:rPr>
        <w:t>自评工作</w:t>
      </w:r>
      <w:r>
        <w:rPr>
          <w:rFonts w:hint="eastAsia" w:ascii="仿宋_GB2312" w:hAnsi="仿宋_GB2312" w:eastAsia="仿宋_GB2312" w:cs="仿宋_GB2312"/>
          <w:b/>
          <w:bCs w:val="0"/>
          <w:kern w:val="2"/>
          <w:sz w:val="32"/>
          <w:szCs w:val="32"/>
          <w:highlight w:val="none"/>
        </w:rPr>
        <w:t>过程</w:t>
      </w:r>
      <w:bookmarkEnd w:id="5"/>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根据</w:t>
      </w: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“乡村振兴贷”风险补偿基金</w:t>
      </w:r>
      <w:r>
        <w:rPr>
          <w:rFonts w:hint="eastAsia" w:ascii="Times New Roman" w:hAnsi="Times New Roman" w:eastAsia="仿宋_GB2312" w:cs="Times New Roman"/>
          <w:bCs/>
          <w:kern w:val="2"/>
          <w:sz w:val="32"/>
          <w:szCs w:val="32"/>
          <w:highlight w:val="none"/>
        </w:rPr>
        <w:t>项目的具体情况，</w:t>
      </w:r>
      <w:r>
        <w:rPr>
          <w:rFonts w:hint="eastAsia" w:ascii="Times New Roman" w:hAnsi="Times New Roman" w:eastAsia="仿宋_GB2312" w:cs="Times New Roman"/>
          <w:bCs/>
          <w:kern w:val="2"/>
          <w:sz w:val="32"/>
          <w:szCs w:val="32"/>
          <w:highlight w:val="none"/>
          <w:lang w:eastAsia="zh-CN"/>
        </w:rPr>
        <w:t>在全面收集资料的基础上，对已收集的资料进行分类整理、审查和分析。</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根据评价项目对象的特点和提供的数据资料，进行实地考察。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投入指标从项目资金执行情况方面进行考察，投入指标分值共计10分，本项目实际得分10分：</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兴县农业农村局2021年度“乡村振兴贷”风险补偿基金项目全年预算金额300.00万元，全年支出金额300.00万元。执行率=全年支出金额/全年预算金额=300.00/300.00=100.00%。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依据项目支出绩效自评得分规则，项目资金全年预算执行率得10分。</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 产出</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产出指标从数量、质量、时效和成本四个方面进行考察，产出指标分值共计50分，本项目实际得分48分：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数量指标-项目完成率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兴县农业农村局根据市政府要求再需注入2021年度“乡村振兴贷”风险补偿基金300.00万元，截至目前资金已经注入。依据项目支出绩效自评得分规则，数量指标得15分。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质量指标-项目完成率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兴县农业农村局2021年度“乡村振兴贷”风险补偿基金要求注入300.00万元资金，该笔资金已经打入吕梁市农村经济管理局管理的账户中，截至目前项目已完成。依据项目支出绩效自评得分规则，质量指标得10分。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时效指标-注入资本及时率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兴县农业农村局2021年度“乡村振兴贷”风险补偿基金要求在2021年8月10日前注入300.00万元资金，实际注入时间为2021年8月11日，超过规定时间1天。依据项目支出绩效自评得分规则，时效指标得分8分。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成本指标-预算成本完成率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兴县农业农村局2021年度“乡村振兴贷”风险补偿基金项目预算资金303.00万元，实际支付资金303.00万元，预算成本完成率100.00%。依据项目支出绩效自评得分规则，成本指标得分15分。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效果指标从经济效益、社会效益和可持续影响三</w:t>
      </w:r>
      <w:bookmarkStart w:id="12" w:name="_GoBack"/>
      <w:bookmarkEnd w:id="12"/>
      <w:r>
        <w:rPr>
          <w:rFonts w:hint="eastAsia" w:ascii="Times New Roman" w:hAnsi="Times New Roman" w:eastAsia="仿宋_GB2312" w:cs="Times New Roman"/>
          <w:bCs/>
          <w:kern w:val="2"/>
          <w:sz w:val="32"/>
          <w:szCs w:val="32"/>
          <w:highlight w:val="none"/>
          <w:lang w:val="en-US" w:eastAsia="zh-CN"/>
        </w:rPr>
        <w:t>个方面进行考察，效果指标分值共计30分，本项目实际得分30分：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乡村振兴贷”风险补偿基金项目的实施在统筹整合项目资金的同时解决经营主体融资难，担保难的问题，前期注入的资金在统筹整合后投放兴县家庭农场，直接带动农村经济发展，农户增收，经济效益明显，对经济发展和提升带来一定的影响。依据项目支出绩效自评得分规则，经济效益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。兴县农业农村局“乡村振兴贷”风险补偿基金的缴纳和实施，有力推动脱贫攻坚与乡村振兴战略有效衔接。也让企业带动周边群众增产增收，社会效益较好。依据项目支出绩效自评得分规则，社会效益得10分。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left="-10" w:leftChars="0" w:firstLine="640" w:firstLineChars="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可持续影响指标考核项目后续运行及成效发挥的可持续影响情况。“乡村振兴贷”风险补偿基金项目的实施由承贷主体与村集体经济组织、农民专业合作社、家庭农场、种养专业合作社等签订稳定的收储、加工、销售等合作协议，实现产供销的无缝衔接，可持续性较高。对巩固全县脱贫成果，建立健全扶贫脱贫长效机制有积极的促进作用。根据绩效自评指标体系，可持续影响得10分。</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。通过走访群众了解实际情况，群众对该项目比较满意。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10</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结果应用，既是开展绩效自评工作的基本前提，又是加强财政支出管理、增强资金绩效理念、合理配置公共资源、优化财政支出结构、强化资金管理水平、提高资金使用效益的重要手段。为使绩效自评结果得到合理应用，应将绩效自评结果作为以后年度建设资金分配的重要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绩效自评是对效果的评价，评价结果直接反应项目实施的效益。评价分为四</w:t>
      </w:r>
      <w:r>
        <w:rPr>
          <w:rFonts w:hint="eastAsia" w:ascii="Times New Roman" w:hAnsi="Times New Roman" w:eastAsia="仿宋_GB2312" w:cs="Times New Roman"/>
          <w:bCs/>
          <w:kern w:val="2"/>
          <w:sz w:val="32"/>
          <w:szCs w:val="32"/>
          <w:highlight w:val="none"/>
        </w:rPr>
        <w:t>个</w:t>
      </w:r>
      <w:r>
        <w:rPr>
          <w:rFonts w:hint="eastAsia" w:ascii="Times New Roman" w:hAnsi="Times New Roman" w:eastAsia="仿宋_GB2312" w:cs="Times New Roman"/>
          <w:bCs/>
          <w:kern w:val="2"/>
          <w:sz w:val="32"/>
          <w:szCs w:val="32"/>
          <w:highlight w:val="none"/>
          <w:lang w:eastAsia="zh-CN"/>
        </w:rPr>
        <w:t>档次：分为优</w:t>
      </w:r>
      <w:r>
        <w:rPr>
          <w:rFonts w:hint="eastAsia" w:ascii="Times New Roman" w:hAnsi="Times New Roman" w:eastAsia="仿宋_GB2312" w:cs="Times New Roman"/>
          <w:bCs/>
          <w:kern w:val="2"/>
          <w:sz w:val="32"/>
          <w:szCs w:val="32"/>
          <w:highlight w:val="none"/>
        </w:rPr>
        <w:t>（得分≧90），良（90＞得分≥80），</w:t>
      </w:r>
      <w:r>
        <w:rPr>
          <w:rFonts w:hint="eastAsia" w:ascii="Times New Roman" w:hAnsi="Times New Roman" w:eastAsia="仿宋_GB2312" w:cs="Times New Roman"/>
          <w:bCs/>
          <w:kern w:val="2"/>
          <w:sz w:val="32"/>
          <w:szCs w:val="32"/>
          <w:highlight w:val="none"/>
          <w:lang w:eastAsia="zh-CN"/>
        </w:rPr>
        <w:t>中</w:t>
      </w:r>
      <w:r>
        <w:rPr>
          <w:rFonts w:hint="eastAsia" w:ascii="Times New Roman" w:hAnsi="Times New Roman" w:eastAsia="仿宋_GB2312" w:cs="Times New Roman"/>
          <w:bCs/>
          <w:kern w:val="2"/>
          <w:sz w:val="32"/>
          <w:szCs w:val="32"/>
          <w:highlight w:val="none"/>
        </w:rPr>
        <w:t>（80＞得分≥60），</w:t>
      </w:r>
      <w:r>
        <w:rPr>
          <w:rFonts w:hint="eastAsia" w:ascii="Times New Roman" w:hAnsi="Times New Roman" w:eastAsia="仿宋_GB2312" w:cs="Times New Roman"/>
          <w:bCs/>
          <w:kern w:val="2"/>
          <w:sz w:val="32"/>
          <w:szCs w:val="32"/>
          <w:highlight w:val="none"/>
          <w:lang w:eastAsia="zh-CN"/>
        </w:rPr>
        <w:t>差</w:t>
      </w:r>
      <w:r>
        <w:rPr>
          <w:rFonts w:hint="eastAsia" w:ascii="Times New Roman" w:hAnsi="Times New Roman" w:eastAsia="仿宋_GB2312" w:cs="Times New Roman"/>
          <w:bCs/>
          <w:kern w:val="2"/>
          <w:sz w:val="32"/>
          <w:szCs w:val="32"/>
          <w:highlight w:val="none"/>
        </w:rPr>
        <w:t>（得分＜ 60 分）。</w:t>
      </w:r>
      <w:r>
        <w:rPr>
          <w:rFonts w:hint="eastAsia" w:ascii="Times New Roman" w:hAnsi="Times New Roman" w:eastAsia="仿宋_GB2312" w:cs="Times New Roman"/>
          <w:bCs/>
          <w:kern w:val="2"/>
          <w:sz w:val="32"/>
          <w:szCs w:val="32"/>
          <w:highlight w:val="none"/>
          <w:lang w:eastAsia="zh-CN"/>
        </w:rPr>
        <w:t>对于评价优秀的项目应当加大资金，以期待更好的公共效益；对于评价结论中等以上的项目应该继续给予资金支持；对于评价结论为差的项目，应当减少资金或者取消项目。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兴县县农业农村局202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年度“乡村振兴贷”风险补偿基金项目绩效自评得分</w:t>
      </w:r>
      <w:r>
        <w:rPr>
          <w:rFonts w:hint="eastAsia" w:ascii="Times New Roman" w:hAnsi="Times New Roman" w:eastAsia="仿宋_GB2312" w:cs="Times New Roman"/>
          <w:bCs/>
          <w:kern w:val="2"/>
          <w:sz w:val="32"/>
          <w:szCs w:val="32"/>
          <w:highlight w:val="none"/>
          <w:lang w:val="en-US" w:eastAsia="zh-CN"/>
        </w:rPr>
        <w:t>为98</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优秀</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val="en-US" w:eastAsia="zh-CN"/>
        </w:rPr>
      </w:pPr>
      <w:bookmarkStart w:id="10" w:name="_Toc15002_WPSOffice_Level1"/>
      <w:r>
        <w:rPr>
          <w:rFonts w:hint="eastAsia" w:ascii="黑体" w:hAnsi="黑体" w:eastAsia="黑体" w:cs="黑体"/>
          <w:bCs/>
          <w:kern w:val="2"/>
          <w:sz w:val="32"/>
          <w:szCs w:val="32"/>
          <w:highlight w:val="none"/>
        </w:rPr>
        <w:t>五</w:t>
      </w:r>
      <w:bookmarkEnd w:id="10"/>
      <w:r>
        <w:rPr>
          <w:rFonts w:hint="eastAsia" w:ascii="黑体" w:hAnsi="黑体" w:eastAsia="黑体" w:cs="黑体"/>
          <w:bCs/>
          <w:kern w:val="2"/>
          <w:sz w:val="32"/>
          <w:szCs w:val="32"/>
          <w:highlight w:val="none"/>
          <w:lang w:val="en-US" w:eastAsia="zh-CN"/>
        </w:rPr>
        <w:t>、存在的问题及建议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“乡村振兴贷”风险补偿基金未能将资金按时拨入指定账户，将在今后加强时间观念，在规定时间内完成工作内容。</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bookmarkStart w:id="11" w:name="_Toc10677_WPSOffice_Level1"/>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（此页无正文）</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1"/>
      <w:r>
        <w:rPr>
          <w:rFonts w:hint="eastAsia" w:ascii="Times New Roman" w:hAnsi="Times New Roman" w:eastAsia="仿宋_GB2312" w:cs="Times New Roman"/>
          <w:bCs/>
          <w:kern w:val="2"/>
          <w:sz w:val="32"/>
          <w:szCs w:val="32"/>
          <w:highlight w:val="none"/>
          <w:lang w:val="en-US" w:eastAsia="zh-CN"/>
        </w:rPr>
        <w:t>项目支出绩效自评表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cs="Times New Roman"/>
          <w:sz w:val="24"/>
          <w:szCs w:val="32"/>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sectPr>
      <w:headerReference r:id="rId4" w:type="first"/>
      <w:footerReference r:id="rId6" w:type="first"/>
      <w:headerReference r:id="rId3" w:type="default"/>
      <w:footerReference r:id="rId5" w:type="default"/>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兴县农业农村局“乡村振兴贷”风险补偿基金项目支出绩效自评报告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兴县农业农村局“乡村振兴贷”风险补偿基金项目支出绩效自评报告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EAD3AB"/>
    <w:multiLevelType w:val="singleLevel"/>
    <w:tmpl w:val="D3EAD3AB"/>
    <w:lvl w:ilvl="0" w:tentative="0">
      <w:start w:val="1"/>
      <w:numFmt w:val="decimal"/>
      <w:suff w:val="nothing"/>
      <w:lvlText w:val="（%1）"/>
      <w:lvlJc w:val="left"/>
    </w:lvl>
  </w:abstractNum>
  <w:abstractNum w:abstractNumId="1">
    <w:nsid w:val="F6F773AF"/>
    <w:multiLevelType w:val="singleLevel"/>
    <w:tmpl w:val="F6F773AF"/>
    <w:lvl w:ilvl="0" w:tentative="0">
      <w:start w:val="1"/>
      <w:numFmt w:val="decimal"/>
      <w:suff w:val="nothing"/>
      <w:lvlText w:val="（%1）"/>
      <w:lvlJc w:val="left"/>
    </w:lvl>
  </w:abstractNum>
  <w:abstractNum w:abstractNumId="2">
    <w:nsid w:val="FFC4B004"/>
    <w:multiLevelType w:val="singleLevel"/>
    <w:tmpl w:val="FFC4B004"/>
    <w:lvl w:ilvl="0" w:tentative="0">
      <w:start w:val="4"/>
      <w:numFmt w:val="chineseCounting"/>
      <w:suff w:val="nothing"/>
      <w:lvlText w:val="（%1）"/>
      <w:lvlJc w:val="left"/>
      <w:rPr>
        <w:rFonts w:hint="eastAsia"/>
      </w:rPr>
    </w:lvl>
  </w:abstractNum>
  <w:abstractNum w:abstractNumId="3">
    <w:nsid w:val="5E1909FA"/>
    <w:multiLevelType w:val="singleLevel"/>
    <w:tmpl w:val="5E1909FA"/>
    <w:lvl w:ilvl="0" w:tentative="0">
      <w:start w:val="2"/>
      <w:numFmt w:val="decimal"/>
      <w:suff w:val="nothing"/>
      <w:lvlText w:val="（%1）"/>
      <w:lvlJc w:val="left"/>
    </w:lvl>
  </w:abstractNum>
  <w:abstractNum w:abstractNumId="4">
    <w:nsid w:val="5E39D4F7"/>
    <w:multiLevelType w:val="singleLevel"/>
    <w:tmpl w:val="5E39D4F7"/>
    <w:lvl w:ilvl="0" w:tentative="0">
      <w:start w:val="1"/>
      <w:numFmt w:val="decimal"/>
      <w:suff w:val="space"/>
      <w:lvlText w:val="%1."/>
      <w:lvlJc w:val="left"/>
    </w:lvl>
  </w:abstractNum>
  <w:abstractNum w:abstractNumId="5">
    <w:nsid w:val="66F43F36"/>
    <w:multiLevelType w:val="singleLevel"/>
    <w:tmpl w:val="66F43F36"/>
    <w:lvl w:ilvl="0" w:tentative="0">
      <w:start w:val="2"/>
      <w:numFmt w:val="decimal"/>
      <w:suff w:val="space"/>
      <w:lvlText w:val="%1."/>
      <w:lvlJc w:val="left"/>
    </w:lvl>
  </w:abstractNum>
  <w:abstractNum w:abstractNumId="6">
    <w:nsid w:val="6A24A71D"/>
    <w:multiLevelType w:val="singleLevel"/>
    <w:tmpl w:val="6A24A71D"/>
    <w:lvl w:ilvl="0" w:tentative="0">
      <w:start w:val="1"/>
      <w:numFmt w:val="decimal"/>
      <w:suff w:val="nothing"/>
      <w:lvlText w:val="（%1）"/>
      <w:lvlJc w:val="left"/>
    </w:lvl>
  </w:abstractNum>
  <w:abstractNum w:abstractNumId="7">
    <w:nsid w:val="7759E2FD"/>
    <w:multiLevelType w:val="singleLevel"/>
    <w:tmpl w:val="7759E2FD"/>
    <w:lvl w:ilvl="0" w:tentative="0">
      <w:start w:val="2"/>
      <w:numFmt w:val="decimal"/>
      <w:suff w:val="space"/>
      <w:lvlText w:val="%1."/>
      <w:lvlJc w:val="left"/>
    </w:lvl>
  </w:abstractNum>
  <w:num w:numId="1">
    <w:abstractNumId w:val="5"/>
  </w:num>
  <w:num w:numId="2">
    <w:abstractNumId w:val="7"/>
  </w:num>
  <w:num w:numId="3">
    <w:abstractNumId w:val="3"/>
  </w:num>
  <w:num w:numId="4">
    <w:abstractNumId w:val="2"/>
  </w:num>
  <w:num w:numId="5">
    <w:abstractNumId w:val="4"/>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WExYzQ3MDBmMTAxOTg0YWYwZjNjNDVkYWFhZWQ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4077088"/>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E4F7E8E"/>
    <w:rsid w:val="0F4C70E1"/>
    <w:rsid w:val="0FD63482"/>
    <w:rsid w:val="0FFF2D9F"/>
    <w:rsid w:val="100A0AFC"/>
    <w:rsid w:val="10474DB4"/>
    <w:rsid w:val="107964E6"/>
    <w:rsid w:val="10C6225A"/>
    <w:rsid w:val="10C65498"/>
    <w:rsid w:val="1126470E"/>
    <w:rsid w:val="1197161E"/>
    <w:rsid w:val="128D3552"/>
    <w:rsid w:val="12DF066F"/>
    <w:rsid w:val="133314A9"/>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8004A29"/>
    <w:rsid w:val="18DD61B1"/>
    <w:rsid w:val="19BC7312"/>
    <w:rsid w:val="19E57170"/>
    <w:rsid w:val="19F00F7B"/>
    <w:rsid w:val="1A35050B"/>
    <w:rsid w:val="1A913737"/>
    <w:rsid w:val="1B395649"/>
    <w:rsid w:val="1B3E133B"/>
    <w:rsid w:val="1B6245E8"/>
    <w:rsid w:val="1B711537"/>
    <w:rsid w:val="1B983250"/>
    <w:rsid w:val="1BB407AA"/>
    <w:rsid w:val="1BFA13EB"/>
    <w:rsid w:val="1C0D7CF2"/>
    <w:rsid w:val="1C347393"/>
    <w:rsid w:val="1C3916BB"/>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71C91"/>
    <w:rsid w:val="24574DE8"/>
    <w:rsid w:val="247E4716"/>
    <w:rsid w:val="24916FBB"/>
    <w:rsid w:val="256C03E7"/>
    <w:rsid w:val="25821DEE"/>
    <w:rsid w:val="25C81962"/>
    <w:rsid w:val="25D34859"/>
    <w:rsid w:val="25EF2F74"/>
    <w:rsid w:val="25F8698C"/>
    <w:rsid w:val="269D05A3"/>
    <w:rsid w:val="26CF56C6"/>
    <w:rsid w:val="26F40EF4"/>
    <w:rsid w:val="2726083F"/>
    <w:rsid w:val="272C6987"/>
    <w:rsid w:val="27393C89"/>
    <w:rsid w:val="273C23C6"/>
    <w:rsid w:val="274A24D9"/>
    <w:rsid w:val="27B259DD"/>
    <w:rsid w:val="286767A5"/>
    <w:rsid w:val="28823A68"/>
    <w:rsid w:val="28B75C8C"/>
    <w:rsid w:val="28EB6073"/>
    <w:rsid w:val="295F2E2B"/>
    <w:rsid w:val="2965576D"/>
    <w:rsid w:val="29A171E3"/>
    <w:rsid w:val="2A14362B"/>
    <w:rsid w:val="2A4A7AF0"/>
    <w:rsid w:val="2A7A5999"/>
    <w:rsid w:val="2AF96231"/>
    <w:rsid w:val="2BB661FC"/>
    <w:rsid w:val="2BF42FA2"/>
    <w:rsid w:val="2CA80CAA"/>
    <w:rsid w:val="2F7260E4"/>
    <w:rsid w:val="2FFC48DD"/>
    <w:rsid w:val="303473CF"/>
    <w:rsid w:val="308F31FF"/>
    <w:rsid w:val="313E7EDE"/>
    <w:rsid w:val="315C6BD7"/>
    <w:rsid w:val="316C6453"/>
    <w:rsid w:val="31952513"/>
    <w:rsid w:val="31FE73BF"/>
    <w:rsid w:val="322E36AB"/>
    <w:rsid w:val="32555DAE"/>
    <w:rsid w:val="327D70C1"/>
    <w:rsid w:val="328D1666"/>
    <w:rsid w:val="32B63BE7"/>
    <w:rsid w:val="33380932"/>
    <w:rsid w:val="3502603F"/>
    <w:rsid w:val="352B0153"/>
    <w:rsid w:val="357251C3"/>
    <w:rsid w:val="36DA5039"/>
    <w:rsid w:val="373551FC"/>
    <w:rsid w:val="377161FB"/>
    <w:rsid w:val="378473D3"/>
    <w:rsid w:val="387C133F"/>
    <w:rsid w:val="38AD350C"/>
    <w:rsid w:val="38C81578"/>
    <w:rsid w:val="39C0385F"/>
    <w:rsid w:val="3B267196"/>
    <w:rsid w:val="3B6C3ED7"/>
    <w:rsid w:val="3BB86365"/>
    <w:rsid w:val="3BD16BF1"/>
    <w:rsid w:val="3C5F50EB"/>
    <w:rsid w:val="3CAE1B98"/>
    <w:rsid w:val="3D685812"/>
    <w:rsid w:val="3D754856"/>
    <w:rsid w:val="3DA75B0A"/>
    <w:rsid w:val="3E1D4AE0"/>
    <w:rsid w:val="3E493C55"/>
    <w:rsid w:val="3F4C1E14"/>
    <w:rsid w:val="3FE8302B"/>
    <w:rsid w:val="401A3DFE"/>
    <w:rsid w:val="41AA260C"/>
    <w:rsid w:val="42143DB4"/>
    <w:rsid w:val="42F064E9"/>
    <w:rsid w:val="43894CC0"/>
    <w:rsid w:val="43CD2ACE"/>
    <w:rsid w:val="43F919D7"/>
    <w:rsid w:val="442D736F"/>
    <w:rsid w:val="446C23AB"/>
    <w:rsid w:val="4500160B"/>
    <w:rsid w:val="453F306A"/>
    <w:rsid w:val="45A740DF"/>
    <w:rsid w:val="461038DC"/>
    <w:rsid w:val="46C20F13"/>
    <w:rsid w:val="470B136A"/>
    <w:rsid w:val="475A27F6"/>
    <w:rsid w:val="47703AA0"/>
    <w:rsid w:val="47933C0C"/>
    <w:rsid w:val="47A03CF5"/>
    <w:rsid w:val="47D538BC"/>
    <w:rsid w:val="47F03757"/>
    <w:rsid w:val="48094185"/>
    <w:rsid w:val="485C56D4"/>
    <w:rsid w:val="49660C56"/>
    <w:rsid w:val="49DD022A"/>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1D66616"/>
    <w:rsid w:val="52261143"/>
    <w:rsid w:val="523B4113"/>
    <w:rsid w:val="5295255D"/>
    <w:rsid w:val="52A24D78"/>
    <w:rsid w:val="52F668CE"/>
    <w:rsid w:val="52FE7451"/>
    <w:rsid w:val="53A80467"/>
    <w:rsid w:val="5562576D"/>
    <w:rsid w:val="55893A86"/>
    <w:rsid w:val="558D556F"/>
    <w:rsid w:val="55D1334E"/>
    <w:rsid w:val="56652B40"/>
    <w:rsid w:val="56C50C41"/>
    <w:rsid w:val="573037C5"/>
    <w:rsid w:val="57924840"/>
    <w:rsid w:val="57E53D52"/>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604B29F7"/>
    <w:rsid w:val="608D20C3"/>
    <w:rsid w:val="60AE6EFF"/>
    <w:rsid w:val="60D95F74"/>
    <w:rsid w:val="60FA2C82"/>
    <w:rsid w:val="61A65E91"/>
    <w:rsid w:val="620263EA"/>
    <w:rsid w:val="62563C59"/>
    <w:rsid w:val="628F602D"/>
    <w:rsid w:val="629973FA"/>
    <w:rsid w:val="63487AF1"/>
    <w:rsid w:val="6356577D"/>
    <w:rsid w:val="63CB0048"/>
    <w:rsid w:val="64460120"/>
    <w:rsid w:val="64C57C6B"/>
    <w:rsid w:val="655F187A"/>
    <w:rsid w:val="65793114"/>
    <w:rsid w:val="65E04CC8"/>
    <w:rsid w:val="65F40890"/>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995851"/>
    <w:rsid w:val="6CE93E4A"/>
    <w:rsid w:val="6D181F80"/>
    <w:rsid w:val="6D1E41E7"/>
    <w:rsid w:val="6D3F73B1"/>
    <w:rsid w:val="6D8A37F7"/>
    <w:rsid w:val="6E362DF0"/>
    <w:rsid w:val="6EAD6DEA"/>
    <w:rsid w:val="6EF873C1"/>
    <w:rsid w:val="6F5C58A8"/>
    <w:rsid w:val="6F6843E8"/>
    <w:rsid w:val="6F8C21B9"/>
    <w:rsid w:val="706E3FAA"/>
    <w:rsid w:val="70E80A6C"/>
    <w:rsid w:val="72D7609D"/>
    <w:rsid w:val="73317106"/>
    <w:rsid w:val="73F55F24"/>
    <w:rsid w:val="751B537A"/>
    <w:rsid w:val="75655534"/>
    <w:rsid w:val="75B306BD"/>
    <w:rsid w:val="75BC41B5"/>
    <w:rsid w:val="76686599"/>
    <w:rsid w:val="76D6493F"/>
    <w:rsid w:val="77460A8A"/>
    <w:rsid w:val="774F00CD"/>
    <w:rsid w:val="775478D8"/>
    <w:rsid w:val="77570494"/>
    <w:rsid w:val="788A29CA"/>
    <w:rsid w:val="79B566A9"/>
    <w:rsid w:val="7A10574B"/>
    <w:rsid w:val="7AD315B5"/>
    <w:rsid w:val="7BB97187"/>
    <w:rsid w:val="7C050874"/>
    <w:rsid w:val="7C1C3664"/>
    <w:rsid w:val="7C3E139D"/>
    <w:rsid w:val="7C574FCB"/>
    <w:rsid w:val="7CB63CAD"/>
    <w:rsid w:val="7CE602F0"/>
    <w:rsid w:val="7DF22919"/>
    <w:rsid w:val="7DFA516C"/>
    <w:rsid w:val="7E1114DA"/>
    <w:rsid w:val="7E8B4EC4"/>
    <w:rsid w:val="7ED7411B"/>
    <w:rsid w:val="7EED339F"/>
    <w:rsid w:val="7F0C5E30"/>
    <w:rsid w:val="7F13058B"/>
    <w:rsid w:val="7F3C227C"/>
    <w:rsid w:val="7F4E444D"/>
    <w:rsid w:val="7F571007"/>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4688</Words>
  <Characters>4883</Characters>
  <Lines>0</Lines>
  <Paragraphs>0</Paragraphs>
  <TotalTime>1</TotalTime>
  <ScaleCrop>false</ScaleCrop>
  <LinksUpToDate>false</LinksUpToDate>
  <CharactersWithSpaces>4907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Administrator</cp:lastModifiedBy>
  <cp:lastPrinted>2019-12-03T05:31:00Z</cp:lastPrinted>
  <dcterms:modified xsi:type="dcterms:W3CDTF">2022-09-04T03:21:30Z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