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绿色杂粮基地项目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2021年是“十四五”开局之年，也是全面实施乡村振兴战略的关键之年。为巩固拓展脱贫攻坚成果同乡村振兴有效衔接，促进农业高质高效、乡村宜居宜业、农民富裕富足，加快农业农村现代化、贯彻落实中央、省、市农业农村工作会议精神，结合我县制定 2021年乡村振兴产业发展行动方案，落实“藏粮于地，藏粮于技”战略，千方百计保生产，特实施我县特色农业产业——绿色杂粮基地项目。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兴县人民政府关于印发《兴县2021年乡村振兴产业发展行动方案》的通知（兴政发〔2021〕6号）；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兴县财政局关于《下达2021年农业产业项目资金》的通知（兴财统〔2021〕239号）；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兴县财政局关于《下达第二批特色农业产业项目资金》的通知（兴财统〔2021〕552号）；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为确实落实好“藏粮于地、藏粮于技”战略，根据《兴县2021年乡村振兴产业发展行动方案》内容，结合产业发展现状，我县委托中喆项目管理有限公司对兴县2021年乡村振兴产业（杂粮产业）发展项目所需种子、肥料进行公开招标。经评标确定采购山西德育丰农业科技有限公司神谷5号谷子种子2900袋、晋杂29号高粱种子9400袋；采购兴县山花烂漫农业综合开发有限公司晋谷21号种子135550袋；采购山西冠丰高粱科技有限公司晋梁116号高粱种子13900袋、晋杂38号高粱种子17600袋；采购山西粮缘金土地科技股份有限公司配方肥5038吨；采购兴县源林茂农业发展有限公司精制有机肥5845吨；采购吕梁环源有机肥专业合作社精制有机肥2000吨；采购山西晨雨晋中肥业有限公司复混肥料500吨；采购河北瑞沃肥业有限公司精制有机肥6000吨；采购吕梁环源有机肥专业合作社精制有机肥2000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w:t>
      </w:r>
      <w:r>
        <w:rPr>
          <w:rFonts w:hint="eastAsia" w:ascii="Times New Roman" w:hAnsi="Times New Roman" w:eastAsia="仿宋_GB2312" w:cs="Times New Roman"/>
          <w:bCs/>
          <w:kern w:val="2"/>
          <w:sz w:val="32"/>
          <w:szCs w:val="32"/>
          <w:highlight w:val="none"/>
          <w:lang w:val="en-US" w:eastAsia="zh-CN"/>
        </w:rPr>
        <w:t>绿色杂粮基地项目</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3,488.90万元，项目预算资金为3,488.90万元，资金到位率100.00%。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w:t>
      </w:r>
      <w:r>
        <w:rPr>
          <w:rFonts w:hint="eastAsia" w:ascii="Times New Roman" w:hAnsi="Times New Roman" w:eastAsia="仿宋_GB2312" w:cs="Times New Roman"/>
          <w:bCs/>
          <w:kern w:val="2"/>
          <w:sz w:val="32"/>
          <w:szCs w:val="32"/>
          <w:highlight w:val="none"/>
          <w:lang w:val="en-US" w:eastAsia="zh-CN"/>
        </w:rPr>
        <w:t>绿色杂粮基地项目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3,488.90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落实</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藏粮于地、藏粮于技</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战略，千方百计稳产保供。2021年全县粮食播种面积达到57.08万亩、油料播种面积达到1.3万亩，其中</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通过引进适合我县推广的新品种、新农资和新技术，在全县建设绿色谷子基地11万亩、绿色高粱基地4万亩，推广有机旱作农业技术，建设有机旱作谷子示范基地2.5万亩（有机旱作谷子示范片5000亩</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。同时开展良种攻关</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促进品种优良化。高标准打造谷子种子基地3000亩。“三品”认证有机杂粮基地1万亩、绿色杂粮基地5万亩。鼓励龙头企业和科研院所合作</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对杂粮功能食品进行深加工研发，开发具有兴县地域特色的功能食品。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highlight w:val="none"/>
          <w:lang w:val="en-US" w:eastAsia="zh-CN"/>
        </w:rPr>
        <w:t>绿色杂粮基地</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绿色杂粮基地项目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绿色杂粮基地项目</w:t>
      </w:r>
      <w:r>
        <w:rPr>
          <w:rFonts w:hint="eastAsia" w:ascii="Times New Roman" w:hAnsi="Times New Roman" w:eastAsia="仿宋_GB2312" w:cs="Times New Roman"/>
          <w:bCs/>
          <w:kern w:val="2"/>
          <w:sz w:val="32"/>
          <w:szCs w:val="32"/>
        </w:rPr>
        <w:t>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兴县农业农村局绿色杂粮基地项目全年预算金额3,488.90万元，全年支出金额3,488.90万元。执行率=全年支出金额/全年预算金额=3,488.90/3,488.90*100.00%=100.00%。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采购谷子种子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绿色杂粮基地项目拟采购谷子种子</w:t>
      </w:r>
      <w:r>
        <w:rPr>
          <w:rFonts w:hint="default" w:ascii="Arial" w:hAnsi="Arial" w:eastAsia="仿宋_GB2312" w:cs="Arial"/>
          <w:bCs/>
          <w:kern w:val="2"/>
          <w:sz w:val="32"/>
          <w:szCs w:val="32"/>
          <w:highlight w:val="none"/>
          <w:lang w:val="en-US" w:eastAsia="zh-CN"/>
        </w:rPr>
        <w:t>138450</w:t>
      </w:r>
      <w:r>
        <w:rPr>
          <w:rFonts w:hint="eastAsia" w:ascii="Times New Roman" w:hAnsi="Times New Roman" w:eastAsia="仿宋_GB2312" w:cs="Times New Roman"/>
          <w:bCs/>
          <w:kern w:val="2"/>
          <w:sz w:val="32"/>
          <w:szCs w:val="32"/>
          <w:highlight w:val="none"/>
          <w:lang w:val="en-US" w:eastAsia="zh-CN"/>
        </w:rPr>
        <w:t>袋，供方已根据合同要求将种子运送至指定地点并通过查验。依据项目支出绩效自评得分规则，采购谷子种子得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采购高粱种子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绿色杂粮基地项目拟采购高粱种子</w:t>
      </w:r>
      <w:r>
        <w:rPr>
          <w:rFonts w:hint="default" w:ascii="Arial" w:hAnsi="Arial" w:eastAsia="仿宋_GB2312" w:cs="Arial"/>
          <w:bCs/>
          <w:kern w:val="2"/>
          <w:sz w:val="32"/>
          <w:szCs w:val="32"/>
          <w:highlight w:val="none"/>
          <w:lang w:val="en-US" w:eastAsia="zh-CN"/>
        </w:rPr>
        <w:t>40900</w:t>
      </w:r>
      <w:r>
        <w:rPr>
          <w:rFonts w:hint="eastAsia" w:ascii="Times New Roman" w:hAnsi="Times New Roman" w:eastAsia="仿宋_GB2312" w:cs="Times New Roman"/>
          <w:bCs/>
          <w:kern w:val="2"/>
          <w:sz w:val="32"/>
          <w:szCs w:val="32"/>
          <w:highlight w:val="none"/>
          <w:lang w:val="en-US" w:eastAsia="zh-CN"/>
        </w:rPr>
        <w:t>袋，供方已根据合同要求将种子运送至指定地点并通过查验。依据项目支出绩效自评得分规则，采购高粱种子得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③</w:t>
      </w:r>
      <w:r>
        <w:rPr>
          <w:rFonts w:hint="eastAsia" w:ascii="Times New Roman" w:hAnsi="Times New Roman" w:eastAsia="仿宋_GB2312" w:cs="Times New Roman"/>
          <w:bCs/>
          <w:kern w:val="2"/>
          <w:sz w:val="32"/>
          <w:szCs w:val="32"/>
          <w:highlight w:val="none"/>
          <w:lang w:val="en-US" w:eastAsia="zh-CN"/>
        </w:rPr>
        <w:t>采购配方肥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绿色杂粮基地项目拟采购配方肥5038吨，供方已根据合同要求将肥料运送至指定地点并通过查验。依据项目支出绩效自评得分规则，采购配方肥得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④</w:t>
      </w:r>
      <w:r>
        <w:rPr>
          <w:rFonts w:hint="eastAsia" w:ascii="Times New Roman" w:hAnsi="Times New Roman" w:eastAsia="仿宋_GB2312" w:cs="Times New Roman"/>
          <w:bCs/>
          <w:kern w:val="2"/>
          <w:sz w:val="32"/>
          <w:szCs w:val="32"/>
          <w:highlight w:val="none"/>
          <w:lang w:val="en-US" w:eastAsia="zh-CN"/>
        </w:rPr>
        <w:t>采购精制有机肥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绿色杂粮基地项目拟采购精制有机肥13845吨，供方已根据合同要求将肥料运送至指定地点并通过查验。依据项目支出绩效自评得分规则，采购精制有机肥得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⑤</w:t>
      </w:r>
      <w:r>
        <w:rPr>
          <w:rFonts w:hint="eastAsia" w:ascii="Times New Roman" w:hAnsi="Times New Roman" w:eastAsia="仿宋_GB2312" w:cs="Times New Roman"/>
          <w:bCs/>
          <w:kern w:val="2"/>
          <w:sz w:val="32"/>
          <w:szCs w:val="32"/>
          <w:highlight w:val="none"/>
          <w:lang w:val="en-US" w:eastAsia="zh-CN"/>
        </w:rPr>
        <w:t>采购复混肥料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绿色杂粮基地项目拟采购复混肥料肥500吨，供方已根据合同要求将肥料运送至指定地点并通过查验。依据项目支出绩效自评得分规则，采购复混肥料得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综上：依据项目支出绩效自评得分规则，数量指标得分25分。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绿色杂粮基地项目拟采购谷子种子</w:t>
      </w:r>
      <w:r>
        <w:rPr>
          <w:rFonts w:hint="default" w:ascii="Arial" w:hAnsi="Arial" w:eastAsia="仿宋_GB2312" w:cs="Arial"/>
          <w:bCs/>
          <w:kern w:val="2"/>
          <w:sz w:val="32"/>
          <w:szCs w:val="32"/>
          <w:highlight w:val="none"/>
          <w:lang w:val="en-US" w:eastAsia="zh-CN"/>
        </w:rPr>
        <w:t>138450</w:t>
      </w:r>
      <w:r>
        <w:rPr>
          <w:rFonts w:hint="eastAsia" w:ascii="Times New Roman" w:hAnsi="Times New Roman" w:eastAsia="仿宋_GB2312" w:cs="Times New Roman"/>
          <w:bCs/>
          <w:kern w:val="2"/>
          <w:sz w:val="32"/>
          <w:szCs w:val="32"/>
          <w:highlight w:val="none"/>
          <w:lang w:val="en-US" w:eastAsia="zh-CN"/>
        </w:rPr>
        <w:t>袋、高粱种子</w:t>
      </w:r>
      <w:r>
        <w:rPr>
          <w:rFonts w:hint="default" w:ascii="Arial" w:hAnsi="Arial" w:eastAsia="仿宋_GB2312" w:cs="Arial"/>
          <w:bCs/>
          <w:kern w:val="2"/>
          <w:sz w:val="32"/>
          <w:szCs w:val="32"/>
          <w:highlight w:val="none"/>
          <w:lang w:val="en-US" w:eastAsia="zh-CN"/>
        </w:rPr>
        <w:t>40900</w:t>
      </w:r>
      <w:r>
        <w:rPr>
          <w:rFonts w:hint="eastAsia" w:ascii="Times New Roman" w:hAnsi="Times New Roman" w:eastAsia="仿宋_GB2312" w:cs="Times New Roman"/>
          <w:bCs/>
          <w:kern w:val="2"/>
          <w:sz w:val="32"/>
          <w:szCs w:val="32"/>
          <w:highlight w:val="none"/>
          <w:lang w:val="en-US" w:eastAsia="zh-CN"/>
        </w:rPr>
        <w:t>袋、配方肥5038吨、精制有机肥13845吨、复混肥料肥500吨，供方已根据合同要求将种子、肥料运送至指定地点并通过查验，验收合格率100.00%。依据项目支出绩效自评得分规则，质量指标得9分。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绿色杂粮基地项目拟采购谷子种子</w:t>
      </w:r>
      <w:r>
        <w:rPr>
          <w:rFonts w:hint="default" w:ascii="Arial" w:hAnsi="Arial" w:eastAsia="仿宋_GB2312" w:cs="Arial"/>
          <w:bCs/>
          <w:kern w:val="2"/>
          <w:sz w:val="32"/>
          <w:szCs w:val="32"/>
          <w:highlight w:val="none"/>
          <w:lang w:val="en-US" w:eastAsia="zh-CN"/>
        </w:rPr>
        <w:t>138450</w:t>
      </w:r>
      <w:r>
        <w:rPr>
          <w:rFonts w:hint="eastAsia" w:ascii="Times New Roman" w:hAnsi="Times New Roman" w:eastAsia="仿宋_GB2312" w:cs="Times New Roman"/>
          <w:bCs/>
          <w:kern w:val="2"/>
          <w:sz w:val="32"/>
          <w:szCs w:val="32"/>
          <w:highlight w:val="none"/>
          <w:lang w:val="en-US" w:eastAsia="zh-CN"/>
        </w:rPr>
        <w:t>袋、高粱种子</w:t>
      </w:r>
      <w:r>
        <w:rPr>
          <w:rFonts w:hint="default" w:ascii="Arial" w:hAnsi="Arial" w:eastAsia="仿宋_GB2312" w:cs="Arial"/>
          <w:bCs/>
          <w:kern w:val="2"/>
          <w:sz w:val="32"/>
          <w:szCs w:val="32"/>
          <w:highlight w:val="none"/>
          <w:lang w:val="en-US" w:eastAsia="zh-CN"/>
        </w:rPr>
        <w:t>40900</w:t>
      </w:r>
      <w:r>
        <w:rPr>
          <w:rFonts w:hint="eastAsia" w:ascii="Times New Roman" w:hAnsi="Times New Roman" w:eastAsia="仿宋_GB2312" w:cs="Times New Roman"/>
          <w:bCs/>
          <w:kern w:val="2"/>
          <w:sz w:val="32"/>
          <w:szCs w:val="32"/>
          <w:highlight w:val="none"/>
          <w:lang w:val="en-US" w:eastAsia="zh-CN"/>
        </w:rPr>
        <w:t>袋、配方肥5038吨、精制有机肥13845吨、复混肥料肥500吨，供方已根据合同要求将种子、肥料在规定时间内运送至指定地点。依据项目支出绩效自评得分规则，时效指标得分8分。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兴县绿色杂粮基地项目预算资金3,488.90万元，实际支付资金3,488.90万元，预算成本完成率100.00%。依据项目支出绩效自评得分规则，成本指标得分7分。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绿色杂粮基地项目的实施，带动兴县特色农业产业的发展，带动农户实现亩均增产、增收，对经济发展带来明显的积极影响。依据项目支出绩效自评得分规则，经济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。绿色杂粮基地项目的实施，对兴县特色农业产业的发展，切实起到了引领带头作用，社会影响度较高，社会效益较好。依据项目支出绩效自评得分规则，社会效益得8分。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绿色杂粮基地项目选择符合绿色、有机生产环境要求的适宜区域，乡镇党委、政府严格按照绿色、有机杂粮生产技术规程组织动员农户实施，确保落实粮食种植面积并全部通过绿色、有机认证。项目实施对改善生态环境带来间接的影响。依据项目支出绩效自评得分规则，生态效益得2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绿色杂粮基地项目对构建我县特色农村产业发展发挥了积极作用，可在今后的一定甚至更长时间内带来较强的持续性影响。依据项目支出绩效自评得分规则，得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9.72</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兴县农业农村局“绿色杂粮基地项目”绩效</w:t>
      </w:r>
      <w:r>
        <w:rPr>
          <w:rFonts w:hint="eastAsia" w:ascii="Times New Roman" w:hAnsi="Times New Roman" w:eastAsia="仿宋_GB2312" w:cs="Times New Roman"/>
          <w:bCs/>
          <w:kern w:val="2"/>
          <w:sz w:val="32"/>
          <w:szCs w:val="32"/>
          <w:highlight w:val="none"/>
          <w:lang w:val="en-US" w:eastAsia="zh-CN"/>
        </w:rPr>
        <w:t>自</w:t>
      </w:r>
      <w:r>
        <w:rPr>
          <w:rFonts w:hint="eastAsia" w:ascii="Times New Roman" w:hAnsi="Times New Roman" w:eastAsia="仿宋_GB2312" w:cs="Times New Roman"/>
          <w:bCs/>
          <w:kern w:val="2"/>
          <w:sz w:val="32"/>
          <w:szCs w:val="32"/>
          <w:highlight w:val="none"/>
          <w:lang w:eastAsia="zh-CN"/>
        </w:rPr>
        <w:t>评得分</w:t>
      </w:r>
      <w:r>
        <w:rPr>
          <w:rFonts w:hint="eastAsia" w:ascii="Times New Roman" w:hAnsi="Times New Roman" w:eastAsia="仿宋_GB2312" w:cs="Times New Roman"/>
          <w:bCs/>
          <w:kern w:val="2"/>
          <w:sz w:val="32"/>
          <w:szCs w:val="32"/>
          <w:highlight w:val="none"/>
          <w:lang w:val="en-US" w:eastAsia="zh-CN"/>
        </w:rPr>
        <w:t>为94.72</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高度重视种子、化肥验收工作，配备工作力量，明确职责分工，完善工作机制，确保高质量完成任务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一是选择符合绿色、有机生产环境要求的适宜区域，乡镇政府严格按照绿色、有机杂粮生产技术规程组织动员农户实施，确保落实粮食种植面积并全部通过绿色、有机认证。二是种子基地要建立田间生产、种植、管理档案、达到种子生产要求。三是产业布局坚持规划先行、相对集中、连片种植、规模发展原则。</w:t>
      </w: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bookmarkStart w:id="15" w:name="_GoBack"/>
      <w:bookmarkEnd w:id="15"/>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兴县农业农村局“绿色杂粮基地项目”财政支出绩效自评报告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兴县农业农村局绿色杂粮基地项目财政支出绩效自评报告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0E24F2"/>
    <w:rsid w:val="052E3C0D"/>
    <w:rsid w:val="054A1450"/>
    <w:rsid w:val="05EF7A74"/>
    <w:rsid w:val="063E617F"/>
    <w:rsid w:val="06417466"/>
    <w:rsid w:val="06E9012A"/>
    <w:rsid w:val="07194A37"/>
    <w:rsid w:val="071B76F7"/>
    <w:rsid w:val="071E1091"/>
    <w:rsid w:val="07DB4AB2"/>
    <w:rsid w:val="080D606D"/>
    <w:rsid w:val="087A7671"/>
    <w:rsid w:val="089542E7"/>
    <w:rsid w:val="08EE402C"/>
    <w:rsid w:val="098C23E7"/>
    <w:rsid w:val="0AB13AD9"/>
    <w:rsid w:val="0AD10CF0"/>
    <w:rsid w:val="0B0158C3"/>
    <w:rsid w:val="0B6B08EC"/>
    <w:rsid w:val="0C417E8A"/>
    <w:rsid w:val="0C6D40FA"/>
    <w:rsid w:val="0C744984"/>
    <w:rsid w:val="0CA65E3A"/>
    <w:rsid w:val="0CBE3B32"/>
    <w:rsid w:val="0D9930B3"/>
    <w:rsid w:val="0DCB52A1"/>
    <w:rsid w:val="0E4F7E8E"/>
    <w:rsid w:val="0F4C70E1"/>
    <w:rsid w:val="0FD63482"/>
    <w:rsid w:val="0FFF2D9F"/>
    <w:rsid w:val="100A0AFC"/>
    <w:rsid w:val="10474DB4"/>
    <w:rsid w:val="107964E6"/>
    <w:rsid w:val="107C5448"/>
    <w:rsid w:val="10C6225A"/>
    <w:rsid w:val="10C65498"/>
    <w:rsid w:val="1126470E"/>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5F2E2B"/>
    <w:rsid w:val="2965576D"/>
    <w:rsid w:val="29A171E3"/>
    <w:rsid w:val="2A14362B"/>
    <w:rsid w:val="2A4A7AF0"/>
    <w:rsid w:val="2A7A5999"/>
    <w:rsid w:val="2AF96231"/>
    <w:rsid w:val="2BB661FC"/>
    <w:rsid w:val="2BF42FA2"/>
    <w:rsid w:val="2CA80CAA"/>
    <w:rsid w:val="2F7260E4"/>
    <w:rsid w:val="2F870FE2"/>
    <w:rsid w:val="2FF82A44"/>
    <w:rsid w:val="2FFC48DD"/>
    <w:rsid w:val="303473CF"/>
    <w:rsid w:val="308F31FF"/>
    <w:rsid w:val="313E7EDE"/>
    <w:rsid w:val="315C6BD7"/>
    <w:rsid w:val="316C6453"/>
    <w:rsid w:val="31952513"/>
    <w:rsid w:val="31FE73BF"/>
    <w:rsid w:val="32122A96"/>
    <w:rsid w:val="322E36AB"/>
    <w:rsid w:val="32555DAE"/>
    <w:rsid w:val="327D70C1"/>
    <w:rsid w:val="328D1666"/>
    <w:rsid w:val="32B63BE7"/>
    <w:rsid w:val="32D30BD9"/>
    <w:rsid w:val="33380932"/>
    <w:rsid w:val="3502603F"/>
    <w:rsid w:val="352B0153"/>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6CA1ABD"/>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DFB14C2"/>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B976CE9"/>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8D20C3"/>
    <w:rsid w:val="60AE6EFF"/>
    <w:rsid w:val="60C73EA7"/>
    <w:rsid w:val="60D95F74"/>
    <w:rsid w:val="60FA2C82"/>
    <w:rsid w:val="61A65E91"/>
    <w:rsid w:val="620263EA"/>
    <w:rsid w:val="62563C59"/>
    <w:rsid w:val="628F602D"/>
    <w:rsid w:val="629973FA"/>
    <w:rsid w:val="63487AF1"/>
    <w:rsid w:val="6356577D"/>
    <w:rsid w:val="63CB0048"/>
    <w:rsid w:val="63E9389D"/>
    <w:rsid w:val="64460120"/>
    <w:rsid w:val="64C57C6B"/>
    <w:rsid w:val="64ED0194"/>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C50937"/>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C21B9"/>
    <w:rsid w:val="70E80A6C"/>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DF22919"/>
    <w:rsid w:val="7DFA516C"/>
    <w:rsid w:val="7E1114DA"/>
    <w:rsid w:val="7E8B4EC4"/>
    <w:rsid w:val="7E966CFD"/>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5333</Words>
  <Characters>5668</Characters>
  <Lines>0</Lines>
  <Paragraphs>0</Paragraphs>
  <TotalTime>1</TotalTime>
  <ScaleCrop>false</ScaleCrop>
  <LinksUpToDate>false</LinksUpToDate>
  <CharactersWithSpaces>5690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2022-09-04T02:15:17Z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