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default"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自收自支人员工资等项目</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局对自收自支人员工资等项目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我局共有职工26人，其中财政供养人员6人，自收自支人员20人。本项目主要是为自收自支人员发放工资，辅助全局工作有效运转。</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办公室自收自支人员主要职责为：负责中心日常工作运转；研究能源行业政策、法律法规和发展趋势，开展能源生产和消费革命战略、供给体系、用能体系、用能模式、科技创新、体制改革研究，提出相关政策建议；参与编制能源行业发展规划；开展能源领域对外交流合作；开展能源行业经济运行态势分析，动态跟踪监测能源领域信息数据；开展能源行业产、运、销、价运行走势分析、提出发展预测和政策建议；开展煤矿、电厂、电网等信息化工作研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科技发展股自收自支人员主要职责：跟踪能源行业发展前沿技术，开展能源行业新技术、新工艺、新装备的研究引进和推广应用，提出阶段性技术发展建议；为全县能源建设项目论证提供技术服务；负责建设和管理能源行业“专家库”，承担能源行业标准化建设的技术工作；承担应急响应值班值守及日常调度的具体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按月、按时、足额发放20个人的人员工资。</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数量指标：发放20人工资=20人；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质量指标：足额发放≥100%；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时效指标：每月25日按时发放；</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成本指标：成本控制率≤0；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经济效益指标：提高财政税收；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社会效益指标：稳定就业；</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可持续影响指标：持续稳定职工生活；</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服务对象满意度：单位人员满意度≥95%。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局制定了切实可行的绩效评价工作方案，专门成立了绩效评价工作小组，按照绩效评价指标及评分标准逐项打分，对自收自支人员工资等项目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本项目绩效自评综合得分97.4分，评价等级为“优”。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严格按标准通过银行系统转汇个人银行卡的方式按月、按时、足额发放20个人的人员工资，不克扣、拖欠人员工资，提供人员工作积极性。年终全部支付完成，执行率达100%。项目产出指标、效益指标及满意度指标的实际完成值均达到年度指标值，达到了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严格工作人员管理，确保工作质量；不克扣、拖欠人员工资。自收自支人员工资等项目</w:t>
      </w:r>
      <w:r>
        <w:rPr>
          <w:rFonts w:hint="default" w:ascii="仿宋_GB2312" w:hAnsi="仿宋_GB2312" w:cs="仿宋_GB2312"/>
          <w:b w:val="0"/>
          <w:bCs w:val="0"/>
          <w:sz w:val="32"/>
          <w:szCs w:val="24"/>
          <w:lang w:val="en-US" w:eastAsia="zh-CN"/>
        </w:rPr>
        <w:t>运行</w:t>
      </w:r>
      <w:r>
        <w:rPr>
          <w:rFonts w:hint="eastAsia" w:ascii="仿宋_GB2312" w:hAnsi="仿宋_GB2312" w:cs="仿宋_GB2312"/>
          <w:b w:val="0"/>
          <w:bCs w:val="0"/>
          <w:sz w:val="32"/>
          <w:szCs w:val="24"/>
          <w:lang w:val="en-US" w:eastAsia="zh-CN"/>
        </w:rPr>
        <w:t>正常，年度绩效目标及阶段性目标均已完成。下一步继续加强项目绩效评价工作，提高财政资金使用效益，强化支出责任，确保财政资金得到合理使用。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ind w:firstLine="640" w:firstLineChars="200"/>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局将对自收自支人员工资等项目绩效自评结果向社会公开，接受社会监督；加强绩效目标编制，实施全过程绩效管理。</w:t>
      </w:r>
      <w:bookmarkStart w:id="0" w:name="_GoBack"/>
      <w:bookmarkEnd w:id="0"/>
    </w:p>
    <w:p>
      <w:pPr>
        <w:ind w:firstLine="640" w:firstLineChars="200"/>
        <w:rPr>
          <w:rFonts w:hint="default" w:ascii="仿宋_GB2312" w:hAnsi="仿宋_GB2312" w:cs="仿宋_GB2312"/>
          <w:b w:val="0"/>
          <w:bCs w:val="0"/>
          <w:sz w:val="32"/>
          <w:szCs w:val="24"/>
          <w:lang w:val="en-US" w:eastAsia="zh-CN"/>
        </w:rPr>
      </w:pPr>
    </w:p>
    <w:p>
      <w:pPr>
        <w:ind w:firstLine="640" w:firstLineChars="200"/>
        <w:rPr>
          <w:rFonts w:hint="default" w:ascii="仿宋_GB2312" w:hAnsi="仿宋_GB2312" w:cs="仿宋_GB2312"/>
          <w:b w:val="0"/>
          <w:bCs w:val="0"/>
          <w:sz w:val="32"/>
          <w:szCs w:val="24"/>
          <w:lang w:val="en-US" w:eastAsia="zh-CN"/>
        </w:rPr>
      </w:pPr>
    </w:p>
    <w:p>
      <w:pPr>
        <w:ind w:firstLine="640" w:firstLineChars="200"/>
        <w:jc w:val="right"/>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兴县能源局</w:t>
      </w:r>
    </w:p>
    <w:p>
      <w:pPr>
        <w:ind w:firstLine="640" w:firstLineChars="200"/>
        <w:jc w:val="right"/>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2022年8月1日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90A1383"/>
    <w:rsid w:val="0C3D33CB"/>
    <w:rsid w:val="0E0A3FDC"/>
    <w:rsid w:val="121D1A9E"/>
    <w:rsid w:val="26206007"/>
    <w:rsid w:val="27DF12BA"/>
    <w:rsid w:val="27F27D9A"/>
    <w:rsid w:val="2F1877C3"/>
    <w:rsid w:val="37FD47D0"/>
    <w:rsid w:val="3D075F53"/>
    <w:rsid w:val="48241C7B"/>
    <w:rsid w:val="4F622668"/>
    <w:rsid w:val="637B7C79"/>
    <w:rsid w:val="6FD20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1258</Words>
  <Characters>1300</Characters>
  <Lines>0</Lines>
  <Paragraphs>0</Paragraphs>
  <TotalTime>0</TotalTime>
  <ScaleCrop>false</ScaleCrop>
  <LinksUpToDate>false</LinksUpToDate>
  <CharactersWithSpaces>1300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2022-08-11T10:40:23Z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