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AA59D">
      <w:pPr>
        <w:pStyle w:val="2"/>
        <w:spacing w:line="243" w:lineRule="auto"/>
      </w:pPr>
    </w:p>
    <w:p w14:paraId="2D92FF66">
      <w:pPr>
        <w:pStyle w:val="2"/>
        <w:spacing w:line="243" w:lineRule="auto"/>
      </w:pPr>
    </w:p>
    <w:p w14:paraId="6F243532">
      <w:pPr>
        <w:pStyle w:val="2"/>
        <w:spacing w:line="243" w:lineRule="auto"/>
      </w:pPr>
    </w:p>
    <w:p w14:paraId="0D58AD82">
      <w:pPr>
        <w:pStyle w:val="2"/>
        <w:spacing w:line="243" w:lineRule="auto"/>
      </w:pPr>
    </w:p>
    <w:p w14:paraId="46E82177">
      <w:pPr>
        <w:pStyle w:val="2"/>
        <w:spacing w:line="243" w:lineRule="auto"/>
      </w:pPr>
    </w:p>
    <w:p w14:paraId="69179810">
      <w:pPr>
        <w:pStyle w:val="2"/>
        <w:spacing w:line="244" w:lineRule="auto"/>
      </w:pPr>
    </w:p>
    <w:p w14:paraId="02049BC6">
      <w:pPr>
        <w:pStyle w:val="2"/>
        <w:spacing w:line="244" w:lineRule="auto"/>
      </w:pPr>
    </w:p>
    <w:p w14:paraId="65F6015D">
      <w:pPr>
        <w:pStyle w:val="2"/>
        <w:spacing w:line="244" w:lineRule="auto"/>
      </w:pPr>
    </w:p>
    <w:p w14:paraId="228491FA">
      <w:pPr>
        <w:pStyle w:val="2"/>
        <w:spacing w:line="244" w:lineRule="auto"/>
      </w:pPr>
    </w:p>
    <w:p w14:paraId="384C72D5">
      <w:pPr>
        <w:pStyle w:val="2"/>
        <w:spacing w:line="244" w:lineRule="auto"/>
      </w:pPr>
    </w:p>
    <w:p w14:paraId="4290B69C">
      <w:pPr>
        <w:pStyle w:val="2"/>
        <w:spacing w:line="244" w:lineRule="auto"/>
      </w:pPr>
    </w:p>
    <w:p w14:paraId="793525B6">
      <w:pPr>
        <w:pStyle w:val="2"/>
        <w:spacing w:line="244" w:lineRule="auto"/>
      </w:pPr>
    </w:p>
    <w:p w14:paraId="4DEA803C">
      <w:pPr>
        <w:pStyle w:val="2"/>
        <w:spacing w:line="244" w:lineRule="auto"/>
      </w:pPr>
    </w:p>
    <w:p w14:paraId="372581B9">
      <w:pPr>
        <w:pStyle w:val="2"/>
        <w:spacing w:line="244" w:lineRule="auto"/>
      </w:pPr>
    </w:p>
    <w:p w14:paraId="556A667F">
      <w:pPr>
        <w:pStyle w:val="2"/>
        <w:spacing w:line="244" w:lineRule="auto"/>
      </w:pPr>
    </w:p>
    <w:p w14:paraId="374F4023">
      <w:pPr>
        <w:pStyle w:val="2"/>
        <w:spacing w:line="244" w:lineRule="auto"/>
      </w:pPr>
    </w:p>
    <w:p w14:paraId="34266509">
      <w:pPr>
        <w:pStyle w:val="2"/>
        <w:spacing w:line="244" w:lineRule="auto"/>
      </w:pPr>
    </w:p>
    <w:p w14:paraId="1DB41BC5">
      <w:pPr>
        <w:pStyle w:val="2"/>
        <w:spacing w:line="244" w:lineRule="auto"/>
      </w:pPr>
    </w:p>
    <w:p w14:paraId="24FBE6DF">
      <w:pPr>
        <w:pStyle w:val="2"/>
        <w:spacing w:line="244" w:lineRule="auto"/>
      </w:pPr>
    </w:p>
    <w:p w14:paraId="73799733">
      <w:pPr>
        <w:pStyle w:val="2"/>
        <w:spacing w:line="244" w:lineRule="auto"/>
      </w:pPr>
    </w:p>
    <w:p w14:paraId="123EDC20">
      <w:pPr>
        <w:pStyle w:val="2"/>
        <w:spacing w:line="244" w:lineRule="auto"/>
      </w:pPr>
    </w:p>
    <w:p w14:paraId="54A9A161">
      <w:pPr>
        <w:pStyle w:val="2"/>
        <w:spacing w:line="244" w:lineRule="auto"/>
      </w:pPr>
    </w:p>
    <w:p w14:paraId="354FD781">
      <w:pPr>
        <w:pStyle w:val="2"/>
        <w:spacing w:line="244" w:lineRule="auto"/>
      </w:pPr>
    </w:p>
    <w:p w14:paraId="7B25AA1E">
      <w:pPr>
        <w:pStyle w:val="2"/>
        <w:spacing w:line="244" w:lineRule="auto"/>
      </w:pPr>
    </w:p>
    <w:p w14:paraId="04F11824">
      <w:pPr>
        <w:pStyle w:val="2"/>
        <w:spacing w:line="244" w:lineRule="auto"/>
      </w:pPr>
    </w:p>
    <w:p w14:paraId="5C4F32B3">
      <w:pPr>
        <w:spacing w:before="159" w:line="195" w:lineRule="auto"/>
        <w:ind w:left="3812"/>
        <w:rPr>
          <w:rFonts w:ascii="华文中宋" w:hAnsi="华文中宋" w:eastAsia="华文中宋" w:cs="华文中宋"/>
          <w:sz w:val="43"/>
          <w:szCs w:val="43"/>
        </w:rPr>
      </w:pPr>
      <w:r>
        <w:rPr>
          <w:rFonts w:ascii="华文中宋" w:hAnsi="华文中宋" w:eastAsia="华文中宋" w:cs="华文中宋"/>
          <w:spacing w:val="96"/>
          <w:sz w:val="43"/>
          <w:szCs w:val="43"/>
        </w:rPr>
        <w:t>兴县工商业联合会</w:t>
      </w:r>
    </w:p>
    <w:p w14:paraId="172C800F">
      <w:pPr>
        <w:pStyle w:val="2"/>
        <w:spacing w:line="349" w:lineRule="auto"/>
      </w:pPr>
    </w:p>
    <w:p w14:paraId="0FE76594">
      <w:pPr>
        <w:spacing w:before="159" w:line="676" w:lineRule="exact"/>
        <w:ind w:left="3079"/>
        <w:rPr>
          <w:rFonts w:ascii="华文中宋" w:hAnsi="华文中宋" w:eastAsia="华文中宋" w:cs="华文中宋"/>
          <w:sz w:val="43"/>
          <w:szCs w:val="43"/>
        </w:rPr>
      </w:pPr>
      <w:r>
        <w:rPr>
          <w:rFonts w:ascii="华文中宋" w:hAnsi="华文中宋" w:eastAsia="华文中宋" w:cs="华文中宋"/>
          <w:spacing w:val="-12"/>
          <w:position w:val="8"/>
          <w:sz w:val="43"/>
          <w:szCs w:val="43"/>
        </w:rPr>
        <w:t>2 0 2 5 年</w:t>
      </w:r>
      <w:r>
        <w:rPr>
          <w:rFonts w:ascii="华文中宋" w:hAnsi="华文中宋" w:eastAsia="华文中宋" w:cs="华文中宋"/>
          <w:spacing w:val="-13"/>
          <w:position w:val="8"/>
          <w:sz w:val="43"/>
          <w:szCs w:val="43"/>
        </w:rPr>
        <w:t xml:space="preserve"> </w:t>
      </w:r>
      <w:r>
        <w:rPr>
          <w:rFonts w:ascii="华文中宋" w:hAnsi="华文中宋" w:eastAsia="华文中宋" w:cs="华文中宋"/>
          <w:spacing w:val="-12"/>
          <w:position w:val="8"/>
          <w:sz w:val="43"/>
          <w:szCs w:val="43"/>
        </w:rPr>
        <w:t>度</w:t>
      </w:r>
      <w:r>
        <w:rPr>
          <w:rFonts w:ascii="华文中宋" w:hAnsi="华文中宋" w:eastAsia="华文中宋" w:cs="华文中宋"/>
          <w:spacing w:val="-19"/>
          <w:position w:val="8"/>
          <w:sz w:val="43"/>
          <w:szCs w:val="43"/>
        </w:rPr>
        <w:t xml:space="preserve"> </w:t>
      </w:r>
      <w:r>
        <w:rPr>
          <w:rFonts w:ascii="华文中宋" w:hAnsi="华文中宋" w:eastAsia="华文中宋" w:cs="华文中宋"/>
          <w:spacing w:val="-12"/>
          <w:position w:val="8"/>
          <w:sz w:val="43"/>
          <w:szCs w:val="43"/>
        </w:rPr>
        <w:t>部 门</w:t>
      </w:r>
      <w:r>
        <w:rPr>
          <w:rFonts w:ascii="华文中宋" w:hAnsi="华文中宋" w:eastAsia="华文中宋" w:cs="华文中宋"/>
          <w:spacing w:val="-30"/>
          <w:position w:val="8"/>
          <w:sz w:val="43"/>
          <w:szCs w:val="43"/>
        </w:rPr>
        <w:t xml:space="preserve"> </w:t>
      </w:r>
      <w:r>
        <w:rPr>
          <w:rFonts w:ascii="华文中宋" w:hAnsi="华文中宋" w:eastAsia="华文中宋" w:cs="华文中宋"/>
          <w:spacing w:val="-12"/>
          <w:position w:val="8"/>
          <w:sz w:val="43"/>
          <w:szCs w:val="43"/>
        </w:rPr>
        <w:t>预 算</w:t>
      </w:r>
      <w:r>
        <w:rPr>
          <w:rFonts w:ascii="华文中宋" w:hAnsi="华文中宋" w:eastAsia="华文中宋" w:cs="华文中宋"/>
          <w:spacing w:val="-27"/>
          <w:position w:val="8"/>
          <w:sz w:val="43"/>
          <w:szCs w:val="43"/>
        </w:rPr>
        <w:t xml:space="preserve"> </w:t>
      </w:r>
      <w:r>
        <w:rPr>
          <w:rFonts w:ascii="华文中宋" w:hAnsi="华文中宋" w:eastAsia="华文中宋" w:cs="华文中宋"/>
          <w:spacing w:val="-12"/>
          <w:position w:val="8"/>
          <w:sz w:val="43"/>
          <w:szCs w:val="43"/>
        </w:rPr>
        <w:t>公</w:t>
      </w:r>
      <w:r>
        <w:rPr>
          <w:rFonts w:ascii="华文中宋" w:hAnsi="华文中宋" w:eastAsia="华文中宋" w:cs="华文中宋"/>
          <w:spacing w:val="-21"/>
          <w:position w:val="8"/>
          <w:sz w:val="43"/>
          <w:szCs w:val="43"/>
        </w:rPr>
        <w:t xml:space="preserve"> </w:t>
      </w:r>
      <w:r>
        <w:rPr>
          <w:rFonts w:ascii="华文中宋" w:hAnsi="华文中宋" w:eastAsia="华文中宋" w:cs="华文中宋"/>
          <w:spacing w:val="-12"/>
          <w:position w:val="8"/>
          <w:sz w:val="43"/>
          <w:szCs w:val="43"/>
        </w:rPr>
        <w:t>开</w:t>
      </w:r>
    </w:p>
    <w:p w14:paraId="6E30A267">
      <w:pPr>
        <w:spacing w:line="676" w:lineRule="exact"/>
        <w:rPr>
          <w:rFonts w:ascii="华文中宋" w:hAnsi="华文中宋" w:eastAsia="华文中宋" w:cs="华文中宋"/>
          <w:sz w:val="43"/>
          <w:szCs w:val="43"/>
        </w:rPr>
        <w:sectPr>
          <w:headerReference r:id="rId5" w:type="default"/>
          <w:pgSz w:w="11900" w:h="16840"/>
          <w:pgMar w:top="400" w:right="0" w:bottom="0" w:left="0" w:header="0" w:footer="0" w:gutter="0"/>
          <w:cols w:space="720" w:num="1"/>
        </w:sectPr>
      </w:pPr>
    </w:p>
    <w:p w14:paraId="5E221D12">
      <w:pPr>
        <w:pStyle w:val="2"/>
        <w:spacing w:line="475" w:lineRule="auto"/>
      </w:pPr>
    </w:p>
    <w:p w14:paraId="701B5313">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1C4393FA">
      <w:pPr>
        <w:pStyle w:val="2"/>
        <w:spacing w:line="444" w:lineRule="auto"/>
      </w:pPr>
    </w:p>
    <w:sdt>
      <w:sdtPr>
        <w:rPr>
          <w:rFonts w:ascii="仿宋" w:hAnsi="仿宋" w:eastAsia="仿宋" w:cs="仿宋"/>
          <w:sz w:val="32"/>
          <w:szCs w:val="32"/>
        </w:rPr>
        <w:id w:val="147476652"/>
        <w:docPartObj>
          <w:docPartGallery w:val="Table of Contents"/>
          <w:docPartUnique/>
        </w:docPartObj>
      </w:sdtPr>
      <w:sdtEndPr>
        <w:rPr>
          <w:rFonts w:ascii="仿宋" w:hAnsi="仿宋" w:eastAsia="仿宋" w:cs="仿宋"/>
          <w:sz w:val="32"/>
          <w:szCs w:val="32"/>
        </w:rPr>
      </w:sdtEndPr>
      <w:sdtContent>
        <w:p w14:paraId="140CE19D">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69EB1C07">
          <w:pPr>
            <w:tabs>
              <w:tab w:val="right" w:leader="dot" w:pos="10580"/>
            </w:tabs>
            <w:spacing w:before="113" w:line="222"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8"/>
              <w:sz w:val="32"/>
              <w:szCs w:val="32"/>
            </w:rPr>
            <w:t>一、本部门职责</w:t>
          </w:r>
          <w:r>
            <w:rPr>
              <w:rFonts w:ascii="仿宋" w:hAnsi="仿宋" w:eastAsia="仿宋" w:cs="仿宋"/>
              <w:spacing w:val="-9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5E0BF7B1">
          <w:pPr>
            <w:tabs>
              <w:tab w:val="right" w:leader="dot" w:pos="10580"/>
            </w:tabs>
            <w:spacing w:before="116"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5AA2217E">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2025年部门预算报表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25"/>
              <w:sz w:val="32"/>
              <w:szCs w:val="32"/>
            </w:rPr>
            <w:t xml:space="preserve"> </w:t>
          </w:r>
          <w:r>
            <w:rPr>
              <w:rFonts w:ascii="仿宋" w:hAnsi="仿宋" w:eastAsia="仿宋" w:cs="仿宋"/>
              <w:b/>
              <w:bCs/>
              <w:spacing w:val="-4"/>
              <w:sz w:val="32"/>
              <w:szCs w:val="32"/>
            </w:rPr>
            <w:t>2</w:t>
          </w:r>
          <w:r>
            <w:rPr>
              <w:rFonts w:ascii="仿宋" w:hAnsi="仿宋" w:eastAsia="仿宋" w:cs="仿宋"/>
              <w:b/>
              <w:bCs/>
              <w:spacing w:val="-4"/>
              <w:sz w:val="32"/>
              <w:szCs w:val="32"/>
            </w:rPr>
            <w:fldChar w:fldCharType="end"/>
          </w:r>
        </w:p>
        <w:p w14:paraId="348E3A4E">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2"/>
              <w:sz w:val="32"/>
              <w:szCs w:val="32"/>
            </w:rPr>
            <w:t>表一2025年预算收支总表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z w:val="32"/>
              <w:szCs w:val="32"/>
            </w:rPr>
            <w:t>2</w:t>
          </w:r>
          <w:r>
            <w:rPr>
              <w:rFonts w:ascii="仿宋" w:hAnsi="仿宋" w:eastAsia="仿宋" w:cs="仿宋"/>
              <w:sz w:val="32"/>
              <w:szCs w:val="32"/>
            </w:rPr>
            <w:fldChar w:fldCharType="end"/>
          </w:r>
        </w:p>
        <w:p w14:paraId="75A43A77">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2"/>
              <w:sz w:val="32"/>
              <w:szCs w:val="32"/>
            </w:rPr>
            <w:t>表二2025年预算收入总表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71"/>
              <w:sz w:val="32"/>
              <w:szCs w:val="32"/>
            </w:rPr>
            <w:t xml:space="preserve"> </w:t>
          </w:r>
          <w:r>
            <w:rPr>
              <w:rFonts w:ascii="仿宋" w:hAnsi="仿宋" w:eastAsia="仿宋" w:cs="仿宋"/>
              <w:sz w:val="32"/>
              <w:szCs w:val="32"/>
            </w:rPr>
            <w:t>4</w:t>
          </w:r>
          <w:r>
            <w:rPr>
              <w:rFonts w:ascii="仿宋" w:hAnsi="仿宋" w:eastAsia="仿宋" w:cs="仿宋"/>
              <w:sz w:val="32"/>
              <w:szCs w:val="32"/>
            </w:rPr>
            <w:fldChar w:fldCharType="end"/>
          </w:r>
        </w:p>
        <w:p w14:paraId="5203B233">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2"/>
              <w:sz w:val="32"/>
              <w:szCs w:val="32"/>
            </w:rPr>
            <w:t>表三2025年预算支出总表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4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55767D95">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2"/>
              <w:sz w:val="32"/>
              <w:szCs w:val="32"/>
            </w:rPr>
            <w:t>表四2025年财政拨款收支总表</w:t>
          </w:r>
          <w:r>
            <w:rPr>
              <w:rFonts w:ascii="仿宋" w:hAnsi="仿宋" w:eastAsia="仿宋" w:cs="仿宋"/>
              <w:spacing w:val="-120"/>
              <w:sz w:val="32"/>
              <w:szCs w:val="32"/>
            </w:rPr>
            <w:t xml:space="preserve"> </w:t>
          </w:r>
          <w:r>
            <w:rPr>
              <w:rFonts w:ascii="仿宋" w:hAnsi="仿宋" w:eastAsia="仿宋" w:cs="仿宋"/>
              <w:sz w:val="32"/>
              <w:szCs w:val="32"/>
            </w:rPr>
            <w:tab/>
          </w:r>
          <w:r>
            <w:rPr>
              <w:rFonts w:ascii="仿宋" w:hAnsi="仿宋" w:eastAsia="仿宋" w:cs="仿宋"/>
              <w:spacing w:val="-8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34CB42E8">
          <w:pPr>
            <w:tabs>
              <w:tab w:val="right" w:leader="dot" w:pos="10580"/>
            </w:tabs>
            <w:spacing w:before="114" w:line="219" w:lineRule="auto"/>
            <w:ind w:left="1983"/>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表五2025年一般公共预算支出预算表（不含上年结转）</w:t>
          </w:r>
          <w:r>
            <w:rPr>
              <w:rFonts w:ascii="仿宋" w:hAnsi="仿宋" w:eastAsia="仿宋" w:cs="仿宋"/>
              <w:sz w:val="32"/>
              <w:szCs w:val="32"/>
            </w:rPr>
            <w:tab/>
          </w:r>
          <w:r>
            <w:rPr>
              <w:rFonts w:ascii="仿宋" w:hAnsi="仿宋" w:eastAsia="仿宋" w:cs="仿宋"/>
              <w:sz w:val="32"/>
              <w:szCs w:val="32"/>
            </w:rPr>
            <w:t>8</w:t>
          </w:r>
          <w:r>
            <w:rPr>
              <w:rFonts w:ascii="仿宋" w:hAnsi="仿宋" w:eastAsia="仿宋" w:cs="仿宋"/>
              <w:sz w:val="32"/>
              <w:szCs w:val="32"/>
            </w:rPr>
            <w:fldChar w:fldCharType="end"/>
          </w:r>
        </w:p>
        <w:p w14:paraId="57DD0248">
          <w:pPr>
            <w:spacing w:before="121" w:line="221"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1"/>
              <w:sz w:val="32"/>
              <w:szCs w:val="32"/>
            </w:rPr>
            <w:t>表六2025年一般公共预算安排基本支出分经济科目表（不含</w:t>
          </w:r>
          <w:r>
            <w:rPr>
              <w:rFonts w:ascii="仿宋" w:hAnsi="仿宋" w:eastAsia="仿宋" w:cs="仿宋"/>
              <w:spacing w:val="-1"/>
              <w:sz w:val="32"/>
              <w:szCs w:val="32"/>
            </w:rPr>
            <w:fldChar w:fldCharType="end"/>
          </w:r>
        </w:p>
        <w:p w14:paraId="7026A7BC">
          <w:pPr>
            <w:tabs>
              <w:tab w:val="right" w:leader="dot" w:pos="10580"/>
            </w:tabs>
            <w:spacing w:before="116" w:line="219" w:lineRule="auto"/>
            <w:ind w:left="1343"/>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7"/>
              <w:sz w:val="32"/>
              <w:szCs w:val="32"/>
            </w:rPr>
            <w:t>上年结转）</w:t>
          </w:r>
          <w:r>
            <w:rPr>
              <w:rFonts w:ascii="仿宋" w:hAnsi="仿宋" w:eastAsia="仿宋" w:cs="仿宋"/>
              <w:sz w:val="32"/>
              <w:szCs w:val="32"/>
            </w:rPr>
            <w:tab/>
          </w:r>
          <w:r>
            <w:rPr>
              <w:rFonts w:ascii="仿宋" w:hAnsi="仿宋" w:eastAsia="仿宋" w:cs="仿宋"/>
              <w:sz w:val="32"/>
              <w:szCs w:val="32"/>
            </w:rPr>
            <w:t>9</w:t>
          </w:r>
          <w:r>
            <w:rPr>
              <w:rFonts w:ascii="仿宋" w:hAnsi="仿宋" w:eastAsia="仿宋" w:cs="仿宋"/>
              <w:sz w:val="32"/>
              <w:szCs w:val="32"/>
            </w:rPr>
            <w:fldChar w:fldCharType="end"/>
          </w:r>
        </w:p>
        <w:p w14:paraId="36D2DE1A">
          <w:pPr>
            <w:tabs>
              <w:tab w:val="right" w:leader="dot" w:pos="10580"/>
            </w:tabs>
            <w:spacing w:before="121" w:line="219" w:lineRule="auto"/>
            <w:ind w:left="1983"/>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1"/>
              <w:sz w:val="32"/>
              <w:szCs w:val="32"/>
            </w:rPr>
            <w:t>表七2025年政府性基金预算收入表（不含上年结转）</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62"/>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462C0DFD">
          <w:pPr>
            <w:tabs>
              <w:tab w:val="right" w:leader="dot" w:pos="10580"/>
            </w:tabs>
            <w:spacing w:before="120" w:line="219" w:lineRule="auto"/>
            <w:ind w:left="1983"/>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1"/>
              <w:sz w:val="32"/>
              <w:szCs w:val="32"/>
            </w:rPr>
            <w:t>表八2025年政府性基金预算支出表（不含上年结转）</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62"/>
              <w:sz w:val="32"/>
              <w:szCs w:val="32"/>
            </w:rPr>
            <w:t xml:space="preserve"> </w:t>
          </w:r>
          <w:r>
            <w:rPr>
              <w:rFonts w:ascii="仿宋" w:hAnsi="仿宋" w:eastAsia="仿宋" w:cs="仿宋"/>
              <w:spacing w:val="-9"/>
              <w:sz w:val="32"/>
              <w:szCs w:val="32"/>
            </w:rPr>
            <w:t>11</w:t>
          </w:r>
          <w:r>
            <w:rPr>
              <w:rFonts w:ascii="仿宋" w:hAnsi="仿宋" w:eastAsia="仿宋" w:cs="仿宋"/>
              <w:spacing w:val="-9"/>
              <w:sz w:val="32"/>
              <w:szCs w:val="32"/>
            </w:rPr>
            <w:fldChar w:fldCharType="end"/>
          </w:r>
        </w:p>
      </w:sdtContent>
    </w:sdt>
    <w:p w14:paraId="4A0FECF5">
      <w:pPr>
        <w:spacing w:before="123" w:line="288" w:lineRule="auto"/>
        <w:ind w:left="1354" w:right="1339" w:firstLine="628"/>
        <w:rPr>
          <w:rFonts w:ascii="仿宋" w:hAnsi="仿宋" w:eastAsia="仿宋" w:cs="仿宋"/>
          <w:sz w:val="32"/>
          <w:szCs w:val="32"/>
        </w:rPr>
      </w:pPr>
      <w:r>
        <w:rPr>
          <w:rFonts w:ascii="仿宋" w:hAnsi="仿宋" w:eastAsia="仿宋" w:cs="仿宋"/>
          <w:spacing w:val="-1"/>
          <w:sz w:val="32"/>
          <w:szCs w:val="32"/>
        </w:rPr>
        <w:t>表九2025年国有资本经营预算收支预算表（不含上年结转）</w:t>
      </w:r>
      <w:r>
        <w:rPr>
          <w:rFonts w:ascii="仿宋" w:hAnsi="仿宋" w:eastAsia="仿宋" w:cs="仿宋"/>
          <w:spacing w:val="-109"/>
          <w:sz w:val="32"/>
          <w:szCs w:val="32"/>
        </w:rPr>
        <w:t xml:space="preserve"> </w:t>
      </w:r>
      <w:r>
        <w:rPr>
          <w:sz w:val="32"/>
          <w:szCs w:val="32"/>
        </w:rPr>
        <w:drawing>
          <wp:inline distT="0" distB="0" distL="0" distR="0">
            <wp:extent cx="147320" cy="127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5"/>
                    <a:stretch>
                      <a:fillRect/>
                    </a:stretch>
                  </pic:blipFill>
                  <pic:spPr>
                    <a:xfrm>
                      <a:off x="0" y="0"/>
                      <a:ext cx="147781" cy="12700"/>
                    </a:xfrm>
                    <a:prstGeom prst="rect">
                      <a:avLst/>
                    </a:prstGeom>
                  </pic:spPr>
                </pic:pic>
              </a:graphicData>
            </a:graphic>
          </wp:inline>
        </w:drawing>
      </w:r>
      <w:r>
        <w:rPr>
          <w:rFonts w:ascii="仿宋" w:hAnsi="仿宋" w:eastAsia="仿宋" w:cs="仿宋"/>
          <w:sz w:val="32"/>
          <w:szCs w:val="32"/>
        </w:rPr>
        <w:t xml:space="preserve"> </w:t>
      </w:r>
      <w:r>
        <w:rPr>
          <w:rFonts w:ascii="仿宋" w:hAnsi="仿宋" w:eastAsia="仿宋" w:cs="仿宋"/>
          <w:spacing w:val="-9"/>
          <w:sz w:val="32"/>
          <w:szCs w:val="32"/>
        </w:rPr>
        <w:t>12</w:t>
      </w:r>
    </w:p>
    <w:sdt>
      <w:sdtPr>
        <w:rPr>
          <w:rFonts w:ascii="仿宋" w:hAnsi="仿宋" w:eastAsia="仿宋" w:cs="仿宋"/>
          <w:sz w:val="32"/>
          <w:szCs w:val="32"/>
        </w:rPr>
        <w:id w:val="147458704"/>
        <w:docPartObj>
          <w:docPartGallery w:val="Table of Contents"/>
          <w:docPartUnique/>
        </w:docPartObj>
      </w:sdtPr>
      <w:sdtEndPr>
        <w:rPr>
          <w:rFonts w:ascii="仿宋" w:hAnsi="仿宋" w:eastAsia="仿宋" w:cs="仿宋"/>
          <w:sz w:val="32"/>
          <w:szCs w:val="32"/>
        </w:rPr>
      </w:sdtEndPr>
      <w:sdtContent>
        <w:p w14:paraId="53ADBAF2">
          <w:pPr>
            <w:tabs>
              <w:tab w:val="right" w:leader="dot" w:pos="10580"/>
            </w:tabs>
            <w:spacing w:before="1" w:line="221" w:lineRule="auto"/>
            <w:ind w:left="1983"/>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1"/>
              <w:sz w:val="32"/>
              <w:szCs w:val="32"/>
            </w:rPr>
            <w:t>表十2025年财政拨款安排“三公”经费支出预算表</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7D3240DC">
          <w:pPr>
            <w:tabs>
              <w:tab w:val="right" w:leader="dot" w:pos="10580"/>
            </w:tabs>
            <w:spacing w:before="115" w:line="221" w:lineRule="auto"/>
            <w:ind w:left="1983"/>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spacing w:val="-1"/>
              <w:sz w:val="32"/>
              <w:szCs w:val="32"/>
            </w:rPr>
            <w:t>表十一2025年财政拨款安排机关运行经费预</w:t>
          </w:r>
          <w:r>
            <w:rPr>
              <w:rFonts w:ascii="仿宋" w:hAnsi="仿宋" w:eastAsia="仿宋" w:cs="仿宋"/>
              <w:spacing w:val="-2"/>
              <w:sz w:val="32"/>
              <w:szCs w:val="32"/>
            </w:rPr>
            <w:t>算表</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64A21B7F">
          <w:pPr>
            <w:tabs>
              <w:tab w:val="right" w:leader="dot" w:pos="10580"/>
            </w:tabs>
            <w:spacing w:before="117" w:line="222" w:lineRule="auto"/>
            <w:ind w:left="1983"/>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2"/>
              <w:sz w:val="32"/>
              <w:szCs w:val="32"/>
            </w:rPr>
            <w:t>表十二2025年项目支出预算表（本年预算）</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114DBE82">
          <w:pPr>
            <w:tabs>
              <w:tab w:val="right" w:leader="dot" w:pos="10580"/>
            </w:tabs>
            <w:spacing w:before="115" w:line="219" w:lineRule="auto"/>
            <w:ind w:left="1983"/>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2"/>
              <w:sz w:val="32"/>
              <w:szCs w:val="32"/>
            </w:rPr>
            <w:t>表十三2025年项目支出预算表（上年结转）</w:t>
          </w:r>
          <w:r>
            <w:rPr>
              <w:rFonts w:ascii="仿宋" w:hAnsi="仿宋" w:eastAsia="仿宋" w:cs="仿宋"/>
              <w:spacing w:val="-93"/>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3D1A573E">
          <w:pPr>
            <w:tabs>
              <w:tab w:val="right" w:leader="dot" w:pos="10580"/>
            </w:tabs>
            <w:spacing w:before="121" w:line="222" w:lineRule="auto"/>
            <w:ind w:left="1354"/>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b/>
              <w:bCs/>
              <w:spacing w:val="-5"/>
              <w:sz w:val="32"/>
              <w:szCs w:val="32"/>
            </w:rPr>
            <w:t>第三部分</w:t>
          </w:r>
          <w:r>
            <w:rPr>
              <w:rFonts w:ascii="仿宋" w:hAnsi="仿宋" w:eastAsia="仿宋" w:cs="仿宋"/>
              <w:spacing w:val="-5"/>
              <w:sz w:val="32"/>
              <w:szCs w:val="32"/>
            </w:rPr>
            <w:t xml:space="preserve">  </w:t>
          </w:r>
          <w:r>
            <w:rPr>
              <w:rFonts w:ascii="仿宋" w:hAnsi="仿宋" w:eastAsia="仿宋" w:cs="仿宋"/>
              <w:b/>
              <w:bCs/>
              <w:spacing w:val="-5"/>
              <w:sz w:val="32"/>
              <w:szCs w:val="32"/>
            </w:rPr>
            <w:t>2025年度部门预算情况说明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60"/>
              <w:sz w:val="32"/>
              <w:szCs w:val="32"/>
            </w:rPr>
            <w:t xml:space="preserve"> </w:t>
          </w:r>
          <w:r>
            <w:rPr>
              <w:rFonts w:ascii="仿宋" w:hAnsi="仿宋" w:eastAsia="仿宋" w:cs="仿宋"/>
              <w:b/>
              <w:bCs/>
              <w:spacing w:val="-13"/>
              <w:sz w:val="32"/>
              <w:szCs w:val="32"/>
            </w:rPr>
            <w:t>16</w:t>
          </w:r>
          <w:r>
            <w:rPr>
              <w:rFonts w:ascii="仿宋" w:hAnsi="仿宋" w:eastAsia="仿宋" w:cs="仿宋"/>
              <w:b/>
              <w:bCs/>
              <w:spacing w:val="-13"/>
              <w:sz w:val="32"/>
              <w:szCs w:val="32"/>
            </w:rPr>
            <w:fldChar w:fldCharType="end"/>
          </w:r>
        </w:p>
        <w:p w14:paraId="12B04C9D">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5"/>
              <w:sz w:val="32"/>
              <w:szCs w:val="32"/>
            </w:rPr>
            <w:t>一、部门预算收支数据变动情况及原因</w:t>
          </w:r>
          <w:r>
            <w:rPr>
              <w:rFonts w:ascii="仿宋" w:hAnsi="仿宋" w:eastAsia="仿宋" w:cs="仿宋"/>
              <w:spacing w:val="-53"/>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6301ED6">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4"/>
              <w:sz w:val="32"/>
              <w:szCs w:val="32"/>
            </w:rPr>
            <w:t>二、收入预算情况说明</w:t>
          </w:r>
          <w:r>
            <w:rPr>
              <w:rFonts w:ascii="仿宋" w:hAnsi="仿宋" w:eastAsia="仿宋" w:cs="仿宋"/>
              <w:spacing w:val="-103"/>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D913175">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4"/>
              <w:sz w:val="32"/>
              <w:szCs w:val="32"/>
            </w:rPr>
            <w:t>三、支出预算情况说明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1DEA0348">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4"/>
              <w:sz w:val="32"/>
              <w:szCs w:val="32"/>
            </w:rPr>
            <w:t>四、财政拨款收支预算总体情况说明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79F95AA1">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2"/>
              <w:sz w:val="32"/>
              <w:szCs w:val="32"/>
            </w:rPr>
            <w:t>五、一般公共预算支出情况说明</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57D8DCE3">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六、一般公共预算基本支出情况说明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38609C96">
          <w:pPr>
            <w:tabs>
              <w:tab w:val="right" w:leader="dot" w:pos="10580"/>
            </w:tabs>
            <w:spacing w:before="116" w:line="223" w:lineRule="auto"/>
            <w:ind w:left="1987"/>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2"/>
              <w:sz w:val="32"/>
              <w:szCs w:val="32"/>
            </w:rPr>
            <w:t>七、“三公”经费增减变动原因说明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0564DA2D">
          <w:pPr>
            <w:tabs>
              <w:tab w:val="right" w:leader="dot" w:pos="10580"/>
            </w:tabs>
            <w:spacing w:before="113" w:line="221" w:lineRule="auto"/>
            <w:ind w:left="1980"/>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spacing w:val="-2"/>
              <w:sz w:val="32"/>
              <w:szCs w:val="32"/>
            </w:rPr>
            <w:t>八、机关运行经费增减变动原因说明</w:t>
          </w:r>
          <w:r>
            <w:rPr>
              <w:rFonts w:ascii="仿宋" w:hAnsi="仿宋" w:eastAsia="仿宋" w:cs="仿宋"/>
              <w:spacing w:val="-10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sdtContent>
    </w:sdt>
    <w:p w14:paraId="1B20D51A">
      <w:pPr>
        <w:spacing w:line="221"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200A02A3">
      <w:pPr>
        <w:pStyle w:val="2"/>
        <w:spacing w:line="438" w:lineRule="auto"/>
      </w:pPr>
    </w:p>
    <w:sdt>
      <w:sdtPr>
        <w:rPr>
          <w:rFonts w:ascii="仿宋" w:hAnsi="仿宋" w:eastAsia="仿宋" w:cs="仿宋"/>
          <w:sz w:val="32"/>
          <w:szCs w:val="32"/>
        </w:rPr>
        <w:id w:val="147466236"/>
        <w:docPartObj>
          <w:docPartGallery w:val="Table of Contents"/>
          <w:docPartUnique/>
        </w:docPartObj>
      </w:sdtPr>
      <w:sdtEndPr>
        <w:rPr>
          <w:rFonts w:ascii="仿宋" w:hAnsi="仿宋" w:eastAsia="仿宋" w:cs="仿宋"/>
          <w:sz w:val="32"/>
          <w:szCs w:val="32"/>
        </w:rPr>
      </w:sdtEndPr>
      <w:sdtContent>
        <w:p w14:paraId="43A85F88">
          <w:pPr>
            <w:tabs>
              <w:tab w:val="right" w:leader="dot" w:pos="10580"/>
            </w:tabs>
            <w:spacing w:before="104" w:line="222" w:lineRule="auto"/>
            <w:ind w:left="1992"/>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spacing w:val="-5"/>
              <w:sz w:val="32"/>
              <w:szCs w:val="32"/>
            </w:rPr>
            <w:t>九、政府采购情况</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13B38EEA">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"bookmark29" </w:instrText>
          </w:r>
          <w:r>
            <w:fldChar w:fldCharType="separate"/>
          </w:r>
          <w:r>
            <w:rPr>
              <w:rFonts w:ascii="仿宋" w:hAnsi="仿宋" w:eastAsia="仿宋" w:cs="仿宋"/>
              <w:spacing w:val="-4"/>
              <w:sz w:val="32"/>
              <w:szCs w:val="32"/>
            </w:rPr>
            <w:t>十、绩效管理情况</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5C4D13A">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"bookmark30" </w:instrText>
          </w:r>
          <w:r>
            <w:fldChar w:fldCharType="separate"/>
          </w:r>
          <w:r>
            <w:rPr>
              <w:rFonts w:ascii="仿宋" w:hAnsi="仿宋" w:eastAsia="仿宋" w:cs="仿宋"/>
              <w:spacing w:val="-5"/>
              <w:sz w:val="32"/>
              <w:szCs w:val="32"/>
            </w:rPr>
            <w:t>十一、国有资产占有使用情况</w:t>
          </w:r>
          <w:r>
            <w:rPr>
              <w:rFonts w:ascii="仿宋" w:hAnsi="仿宋" w:eastAsia="仿宋" w:cs="仿宋"/>
              <w:spacing w:val="-137"/>
              <w:sz w:val="32"/>
              <w:szCs w:val="32"/>
            </w:rPr>
            <w:t xml:space="preserve"> </w:t>
          </w:r>
          <w:r>
            <w:rPr>
              <w:rFonts w:ascii="仿宋" w:hAnsi="仿宋" w:eastAsia="仿宋" w:cs="仿宋"/>
              <w:sz w:val="32"/>
              <w:szCs w:val="32"/>
            </w:rPr>
            <w:tab/>
          </w:r>
          <w:r>
            <w:rPr>
              <w:rFonts w:ascii="仿宋" w:hAnsi="仿宋" w:eastAsia="仿宋" w:cs="仿宋"/>
              <w:spacing w:val="-3"/>
              <w:sz w:val="32"/>
              <w:szCs w:val="32"/>
            </w:rPr>
            <w:t>21</w:t>
          </w:r>
          <w:r>
            <w:rPr>
              <w:rFonts w:ascii="仿宋" w:hAnsi="仿宋" w:eastAsia="仿宋" w:cs="仿宋"/>
              <w:spacing w:val="-3"/>
              <w:sz w:val="32"/>
              <w:szCs w:val="32"/>
            </w:rPr>
            <w:fldChar w:fldCharType="end"/>
          </w:r>
        </w:p>
        <w:p w14:paraId="63D37809">
          <w:pPr>
            <w:tabs>
              <w:tab w:val="right" w:leader="dot" w:pos="10580"/>
            </w:tabs>
            <w:spacing w:before="113" w:line="222" w:lineRule="auto"/>
            <w:ind w:left="1990"/>
            <w:rPr>
              <w:rFonts w:ascii="仿宋" w:hAnsi="仿宋" w:eastAsia="仿宋" w:cs="仿宋"/>
              <w:sz w:val="32"/>
              <w:szCs w:val="32"/>
            </w:rPr>
          </w:pPr>
          <w:r>
            <w:fldChar w:fldCharType="begin"/>
          </w:r>
          <w:r>
            <w:instrText xml:space="preserve"> HYPERLINK \l "bookmark31" </w:instrText>
          </w:r>
          <w:r>
            <w:fldChar w:fldCharType="separate"/>
          </w:r>
          <w:r>
            <w:rPr>
              <w:rFonts w:ascii="仿宋" w:hAnsi="仿宋" w:eastAsia="仿宋" w:cs="仿宋"/>
              <w:spacing w:val="-5"/>
              <w:sz w:val="32"/>
              <w:szCs w:val="32"/>
            </w:rPr>
            <w:t>十二、其他说明</w:t>
          </w:r>
          <w:r>
            <w:rPr>
              <w:rFonts w:ascii="仿宋" w:hAnsi="仿宋" w:eastAsia="仿宋" w:cs="仿宋"/>
              <w:spacing w:val="-122"/>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7B5F6715">
          <w:pPr>
            <w:tabs>
              <w:tab w:val="right" w:leader="dot" w:pos="10580"/>
            </w:tabs>
            <w:spacing w:before="116" w:line="220" w:lineRule="auto"/>
            <w:ind w:left="2621"/>
            <w:rPr>
              <w:rFonts w:ascii="仿宋" w:hAnsi="仿宋" w:eastAsia="仿宋" w:cs="仿宋"/>
              <w:sz w:val="32"/>
              <w:szCs w:val="32"/>
            </w:rPr>
          </w:pPr>
          <w:r>
            <w:fldChar w:fldCharType="begin"/>
          </w:r>
          <w:r>
            <w:instrText xml:space="preserve"> HYPERLINK \l "bookmark32" </w:instrText>
          </w:r>
          <w:r>
            <w:fldChar w:fldCharType="separate"/>
          </w:r>
          <w:r>
            <w:rPr>
              <w:rFonts w:ascii="仿宋" w:hAnsi="仿宋" w:eastAsia="仿宋" w:cs="仿宋"/>
              <w:spacing w:val="-4"/>
              <w:sz w:val="32"/>
              <w:szCs w:val="32"/>
            </w:rPr>
            <w:t>（一）政府购买服务指导性目录</w:t>
          </w:r>
          <w:r>
            <w:rPr>
              <w:rFonts w:ascii="仿宋" w:hAnsi="仿宋" w:eastAsia="仿宋" w:cs="仿宋"/>
              <w:spacing w:val="-77"/>
              <w:sz w:val="32"/>
              <w:szCs w:val="32"/>
            </w:rPr>
            <w:t xml:space="preserve"> </w:t>
          </w:r>
          <w:r>
            <w:rPr>
              <w:rFonts w:ascii="仿宋" w:hAnsi="仿宋" w:eastAsia="仿宋" w:cs="仿宋"/>
              <w:sz w:val="32"/>
              <w:szCs w:val="32"/>
            </w:rPr>
            <w:tab/>
          </w:r>
          <w:r>
            <w:rPr>
              <w:rFonts w:ascii="仿宋" w:hAnsi="仿宋" w:eastAsia="仿宋" w:cs="仿宋"/>
              <w:spacing w:val="-95"/>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64D818B4">
          <w:pPr>
            <w:tabs>
              <w:tab w:val="right" w:leader="dot" w:pos="10580"/>
            </w:tabs>
            <w:spacing w:before="118" w:line="222" w:lineRule="auto"/>
            <w:ind w:left="2621"/>
            <w:rPr>
              <w:rFonts w:ascii="仿宋" w:hAnsi="仿宋" w:eastAsia="仿宋" w:cs="仿宋"/>
              <w:sz w:val="32"/>
              <w:szCs w:val="32"/>
            </w:rPr>
          </w:pPr>
          <w:r>
            <w:fldChar w:fldCharType="begin"/>
          </w:r>
          <w:r>
            <w:instrText xml:space="preserve"> HYPERLINK \l "bookmark33" </w:instrText>
          </w:r>
          <w:r>
            <w:fldChar w:fldCharType="separate"/>
          </w:r>
          <w:r>
            <w:rPr>
              <w:rFonts w:ascii="仿宋" w:hAnsi="仿宋" w:eastAsia="仿宋" w:cs="仿宋"/>
              <w:spacing w:val="-9"/>
              <w:sz w:val="32"/>
              <w:szCs w:val="32"/>
            </w:rPr>
            <w:t>（二）其他</w:t>
          </w:r>
          <w:r>
            <w:rPr>
              <w:rFonts w:ascii="仿宋" w:hAnsi="仿宋" w:eastAsia="仿宋" w:cs="仿宋"/>
              <w:spacing w:val="-103"/>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spacing w:val="-4"/>
              <w:sz w:val="32"/>
              <w:szCs w:val="32"/>
            </w:rPr>
            <w:t>21</w:t>
          </w:r>
          <w:r>
            <w:rPr>
              <w:rFonts w:ascii="仿宋" w:hAnsi="仿宋" w:eastAsia="仿宋" w:cs="仿宋"/>
              <w:spacing w:val="-4"/>
              <w:sz w:val="32"/>
              <w:szCs w:val="32"/>
            </w:rPr>
            <w:fldChar w:fldCharType="end"/>
          </w:r>
        </w:p>
        <w:p w14:paraId="6965B2BA">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"bookmark34"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65"/>
              <w:sz w:val="32"/>
              <w:szCs w:val="32"/>
            </w:rPr>
            <w:t xml:space="preserve"> </w:t>
          </w:r>
          <w:r>
            <w:rPr>
              <w:rFonts w:ascii="仿宋" w:hAnsi="仿宋" w:eastAsia="仿宋" w:cs="仿宋"/>
              <w:b/>
              <w:bCs/>
              <w:spacing w:val="-8"/>
              <w:sz w:val="32"/>
              <w:szCs w:val="32"/>
            </w:rPr>
            <w:t>24</w:t>
          </w:r>
          <w:r>
            <w:rPr>
              <w:rFonts w:ascii="仿宋" w:hAnsi="仿宋" w:eastAsia="仿宋" w:cs="仿宋"/>
              <w:b/>
              <w:bCs/>
              <w:spacing w:val="-8"/>
              <w:sz w:val="32"/>
              <w:szCs w:val="32"/>
            </w:rPr>
            <w:fldChar w:fldCharType="end"/>
          </w:r>
        </w:p>
      </w:sdtContent>
    </w:sdt>
    <w:p w14:paraId="2E36BC1F">
      <w:pPr>
        <w:spacing w:line="222" w:lineRule="auto"/>
        <w:rPr>
          <w:rFonts w:ascii="仿宋" w:hAnsi="仿宋" w:eastAsia="仿宋" w:cs="仿宋"/>
          <w:sz w:val="32"/>
          <w:szCs w:val="32"/>
        </w:rPr>
        <w:sectPr>
          <w:headerReference r:id="rId7" w:type="default"/>
          <w:pgSz w:w="11900" w:h="16840"/>
          <w:pgMar w:top="400" w:right="0" w:bottom="0" w:left="0" w:header="0" w:footer="0" w:gutter="0"/>
          <w:cols w:space="720" w:num="1"/>
        </w:sectPr>
      </w:pPr>
    </w:p>
    <w:p w14:paraId="32AC429A">
      <w:pPr>
        <w:pStyle w:val="2"/>
        <w:spacing w:line="266" w:lineRule="auto"/>
      </w:pPr>
    </w:p>
    <w:p w14:paraId="4BF424E7">
      <w:pPr>
        <w:pStyle w:val="2"/>
        <w:spacing w:line="266" w:lineRule="auto"/>
      </w:pPr>
    </w:p>
    <w:p w14:paraId="535D698E">
      <w:pPr>
        <w:spacing w:before="99" w:line="238" w:lineRule="exact"/>
        <w:ind w:left="5187"/>
        <w:outlineLvl w:val="0"/>
        <w:rPr>
          <w:rFonts w:ascii="微软雅黑" w:hAnsi="微软雅黑" w:eastAsia="微软雅黑" w:cs="微软雅黑"/>
          <w:sz w:val="23"/>
          <w:szCs w:val="23"/>
        </w:rPr>
      </w:pPr>
      <w:bookmarkStart w:id="1" w:name="bookmark2"/>
      <w:bookmarkEnd w:id="1"/>
      <w:bookmarkStart w:id="2" w:name="bookmark35"/>
      <w:bookmarkEnd w:id="2"/>
      <w:r>
        <w:rPr>
          <w:rFonts w:ascii="微软雅黑" w:hAnsi="微软雅黑" w:eastAsia="微软雅黑" w:cs="微软雅黑"/>
          <w:spacing w:val="15"/>
          <w:position w:val="-1"/>
          <w:sz w:val="23"/>
          <w:szCs w:val="23"/>
        </w:rPr>
        <w:t>第一部分 概况</w:t>
      </w:r>
    </w:p>
    <w:p w14:paraId="1304847D">
      <w:pPr>
        <w:pStyle w:val="2"/>
        <w:spacing w:line="255" w:lineRule="auto"/>
      </w:pPr>
    </w:p>
    <w:p w14:paraId="0405F56D">
      <w:pPr>
        <w:spacing w:before="78" w:line="221" w:lineRule="auto"/>
        <w:ind w:left="1513"/>
        <w:outlineLvl w:val="1"/>
        <w:rPr>
          <w:rFonts w:ascii="黑体" w:hAnsi="黑体" w:eastAsia="黑体" w:cs="黑体"/>
          <w:sz w:val="24"/>
          <w:szCs w:val="24"/>
        </w:rPr>
      </w:pPr>
      <w:bookmarkStart w:id="3" w:name="bookmark3"/>
      <w:bookmarkEnd w:id="3"/>
      <w:r>
        <w:rPr>
          <w:rFonts w:ascii="黑体" w:hAnsi="黑体" w:eastAsia="黑体" w:cs="黑体"/>
          <w:spacing w:val="-4"/>
          <w:sz w:val="24"/>
          <w:szCs w:val="24"/>
        </w:rPr>
        <w:t>一、本部门职责</w:t>
      </w:r>
    </w:p>
    <w:p w14:paraId="1EE840DF">
      <w:pPr>
        <w:spacing w:before="282" w:line="267" w:lineRule="auto"/>
        <w:ind w:left="1515" w:right="1474" w:firstLine="11"/>
        <w:rPr>
          <w:rFonts w:ascii="仿宋" w:hAnsi="仿宋" w:eastAsia="仿宋" w:cs="仿宋"/>
          <w:sz w:val="24"/>
          <w:szCs w:val="24"/>
        </w:rPr>
      </w:pPr>
      <w:r>
        <w:rPr>
          <w:rFonts w:ascii="仿宋" w:hAnsi="仿宋" w:eastAsia="仿宋" w:cs="仿宋"/>
          <w:sz w:val="24"/>
          <w:szCs w:val="24"/>
        </w:rPr>
        <w:t>1.根据党的路线、方针、政策，围绕县委的中心任务，确定全县工商联工作的指导方</w:t>
      </w:r>
      <w:r>
        <w:rPr>
          <w:rFonts w:ascii="仿宋" w:hAnsi="仿宋" w:eastAsia="仿宋" w:cs="仿宋"/>
          <w:spacing w:val="-6"/>
          <w:sz w:val="24"/>
          <w:szCs w:val="24"/>
        </w:rPr>
        <w:t>针和主要任务。</w:t>
      </w:r>
    </w:p>
    <w:p w14:paraId="26171BFA">
      <w:pPr>
        <w:spacing w:before="117" w:line="260" w:lineRule="auto"/>
        <w:ind w:left="1515" w:right="1474" w:hanging="4"/>
        <w:rPr>
          <w:rFonts w:ascii="仿宋" w:hAnsi="仿宋" w:eastAsia="仿宋" w:cs="仿宋"/>
          <w:sz w:val="24"/>
          <w:szCs w:val="24"/>
        </w:rPr>
      </w:pPr>
      <w:r>
        <w:rPr>
          <w:rFonts w:ascii="仿宋" w:hAnsi="仿宋" w:eastAsia="仿宋" w:cs="仿宋"/>
          <w:spacing w:val="1"/>
          <w:sz w:val="24"/>
          <w:szCs w:val="24"/>
        </w:rPr>
        <w:t>2.贯彻执行国家的方针、政策，对全县工业、商业工作进行宏观调控、</w:t>
      </w:r>
      <w:r>
        <w:rPr>
          <w:rFonts w:ascii="仿宋" w:hAnsi="仿宋" w:eastAsia="仿宋" w:cs="仿宋"/>
          <w:sz w:val="24"/>
          <w:szCs w:val="24"/>
        </w:rPr>
        <w:t>指导工业、商</w:t>
      </w:r>
      <w:r>
        <w:rPr>
          <w:rFonts w:ascii="仿宋" w:hAnsi="仿宋" w:eastAsia="仿宋" w:cs="仿宋"/>
          <w:spacing w:val="-3"/>
          <w:sz w:val="24"/>
          <w:szCs w:val="24"/>
        </w:rPr>
        <w:t>业系统的各种制度改革、体制建设。</w:t>
      </w:r>
    </w:p>
    <w:p w14:paraId="21C61FE0">
      <w:pPr>
        <w:spacing w:before="117" w:line="221" w:lineRule="auto"/>
        <w:ind w:left="1513"/>
        <w:rPr>
          <w:rFonts w:ascii="仿宋" w:hAnsi="仿宋" w:eastAsia="仿宋" w:cs="仿宋"/>
          <w:sz w:val="24"/>
          <w:szCs w:val="24"/>
        </w:rPr>
      </w:pPr>
      <w:r>
        <w:rPr>
          <w:rFonts w:ascii="仿宋" w:hAnsi="仿宋" w:eastAsia="仿宋" w:cs="仿宋"/>
          <w:spacing w:val="-1"/>
          <w:sz w:val="24"/>
          <w:szCs w:val="24"/>
        </w:rPr>
        <w:t>3.贯彻执行国家的工业、商业、政策、法规、积极维持公正、合理的</w:t>
      </w:r>
      <w:r>
        <w:rPr>
          <w:rFonts w:ascii="仿宋" w:hAnsi="仿宋" w:eastAsia="仿宋" w:cs="仿宋"/>
          <w:spacing w:val="-2"/>
          <w:sz w:val="24"/>
          <w:szCs w:val="24"/>
        </w:rPr>
        <w:t>市场竞争秩序。</w:t>
      </w:r>
    </w:p>
    <w:p w14:paraId="09F2F95E">
      <w:pPr>
        <w:spacing w:before="118" w:line="221" w:lineRule="auto"/>
        <w:ind w:left="1507"/>
        <w:rPr>
          <w:rFonts w:ascii="仿宋" w:hAnsi="仿宋" w:eastAsia="仿宋" w:cs="仿宋"/>
          <w:sz w:val="24"/>
          <w:szCs w:val="24"/>
        </w:rPr>
      </w:pPr>
      <w:r>
        <w:rPr>
          <w:rFonts w:ascii="仿宋" w:hAnsi="仿宋" w:eastAsia="仿宋" w:cs="仿宋"/>
          <w:spacing w:val="-1"/>
          <w:sz w:val="24"/>
          <w:szCs w:val="24"/>
        </w:rPr>
        <w:t>4.依法打击各种不合理的摊派及不规范的乱收费行为，维护工业商业系统的利</w:t>
      </w:r>
      <w:r>
        <w:rPr>
          <w:rFonts w:ascii="仿宋" w:hAnsi="仿宋" w:eastAsia="仿宋" w:cs="仿宋"/>
          <w:spacing w:val="-2"/>
          <w:sz w:val="24"/>
          <w:szCs w:val="24"/>
        </w:rPr>
        <w:t>益。</w:t>
      </w:r>
    </w:p>
    <w:p w14:paraId="29D1FAC5">
      <w:pPr>
        <w:spacing w:before="103" w:line="266" w:lineRule="auto"/>
        <w:ind w:left="1521" w:right="1474" w:hanging="8"/>
        <w:rPr>
          <w:rFonts w:ascii="仿宋" w:hAnsi="仿宋" w:eastAsia="仿宋" w:cs="仿宋"/>
          <w:sz w:val="24"/>
          <w:szCs w:val="24"/>
        </w:rPr>
      </w:pPr>
      <w:r>
        <w:rPr>
          <w:rFonts w:ascii="仿宋" w:hAnsi="仿宋" w:eastAsia="仿宋" w:cs="仿宋"/>
          <w:spacing w:val="1"/>
          <w:sz w:val="24"/>
          <w:szCs w:val="24"/>
        </w:rPr>
        <w:t>5.会同有关部门对工业、商业系统干部、职工进行学习和参加政治</w:t>
      </w:r>
      <w:r>
        <w:rPr>
          <w:rFonts w:ascii="仿宋" w:hAnsi="仿宋" w:eastAsia="仿宋" w:cs="仿宋"/>
          <w:sz w:val="24"/>
          <w:szCs w:val="24"/>
        </w:rPr>
        <w:t>活动，负责干部职</w:t>
      </w:r>
      <w:r>
        <w:rPr>
          <w:rFonts w:ascii="仿宋" w:hAnsi="仿宋" w:eastAsia="仿宋" w:cs="仿宋"/>
          <w:spacing w:val="-3"/>
          <w:sz w:val="24"/>
          <w:szCs w:val="24"/>
        </w:rPr>
        <w:t>工的医疗保健、生活福利等具体项目的组织实施。</w:t>
      </w:r>
    </w:p>
    <w:p w14:paraId="1E3ECC6C">
      <w:pPr>
        <w:spacing w:before="118" w:line="222" w:lineRule="auto"/>
        <w:ind w:left="1510"/>
        <w:rPr>
          <w:rFonts w:ascii="仿宋" w:hAnsi="仿宋" w:eastAsia="仿宋" w:cs="仿宋"/>
          <w:sz w:val="24"/>
          <w:szCs w:val="24"/>
        </w:rPr>
      </w:pPr>
      <w:r>
        <w:rPr>
          <w:rFonts w:ascii="仿宋" w:hAnsi="仿宋" w:eastAsia="仿宋" w:cs="仿宋"/>
          <w:spacing w:val="-2"/>
          <w:sz w:val="24"/>
          <w:szCs w:val="24"/>
        </w:rPr>
        <w:t>6.制定全县工业、商业、发展规划及本年度计划。</w:t>
      </w:r>
    </w:p>
    <w:p w14:paraId="3123C857">
      <w:pPr>
        <w:spacing w:before="101" w:line="221" w:lineRule="auto"/>
        <w:ind w:left="1514"/>
        <w:rPr>
          <w:rFonts w:ascii="仿宋" w:hAnsi="仿宋" w:eastAsia="仿宋" w:cs="仿宋"/>
          <w:sz w:val="24"/>
          <w:szCs w:val="24"/>
        </w:rPr>
      </w:pPr>
      <w:r>
        <w:rPr>
          <w:rFonts w:ascii="仿宋" w:hAnsi="仿宋" w:eastAsia="仿宋" w:cs="仿宋"/>
          <w:spacing w:val="-2"/>
          <w:sz w:val="24"/>
          <w:szCs w:val="24"/>
        </w:rPr>
        <w:t>7.广泛了解全县工商业发展情况及本年度计划的执行情况。</w:t>
      </w:r>
    </w:p>
    <w:p w14:paraId="19C621CD">
      <w:pPr>
        <w:spacing w:before="118" w:line="220" w:lineRule="auto"/>
        <w:ind w:left="1509"/>
        <w:rPr>
          <w:rFonts w:ascii="仿宋" w:hAnsi="仿宋" w:eastAsia="仿宋" w:cs="仿宋"/>
          <w:sz w:val="24"/>
          <w:szCs w:val="24"/>
        </w:rPr>
      </w:pPr>
      <w:r>
        <w:rPr>
          <w:rFonts w:ascii="仿宋" w:hAnsi="仿宋" w:eastAsia="仿宋" w:cs="仿宋"/>
          <w:spacing w:val="-1"/>
          <w:sz w:val="24"/>
          <w:szCs w:val="24"/>
        </w:rPr>
        <w:t>8.对全县工商业系统进行宏观调控，协调各部</w:t>
      </w:r>
      <w:r>
        <w:rPr>
          <w:rFonts w:ascii="仿宋" w:hAnsi="仿宋" w:eastAsia="仿宋" w:cs="仿宋"/>
          <w:spacing w:val="-2"/>
          <w:sz w:val="24"/>
          <w:szCs w:val="24"/>
        </w:rPr>
        <w:t>门的工作和相互配合。</w:t>
      </w:r>
    </w:p>
    <w:p w14:paraId="4ADE170A">
      <w:pPr>
        <w:spacing w:before="119" w:line="220" w:lineRule="auto"/>
        <w:ind w:left="1509"/>
        <w:rPr>
          <w:rFonts w:ascii="仿宋" w:hAnsi="仿宋" w:eastAsia="仿宋" w:cs="仿宋"/>
          <w:sz w:val="24"/>
          <w:szCs w:val="24"/>
        </w:rPr>
      </w:pPr>
      <w:r>
        <w:rPr>
          <w:rFonts w:ascii="仿宋" w:hAnsi="仿宋" w:eastAsia="仿宋" w:cs="仿宋"/>
          <w:spacing w:val="-1"/>
          <w:sz w:val="24"/>
          <w:szCs w:val="24"/>
        </w:rPr>
        <w:t>9.负责本系统干部职工的生活福利、社会保障和特</w:t>
      </w:r>
      <w:r>
        <w:rPr>
          <w:rFonts w:ascii="仿宋" w:hAnsi="仿宋" w:eastAsia="仿宋" w:cs="仿宋"/>
          <w:spacing w:val="-2"/>
          <w:sz w:val="24"/>
          <w:szCs w:val="24"/>
        </w:rPr>
        <w:t>困职工的帮扶工作。</w:t>
      </w:r>
    </w:p>
    <w:p w14:paraId="4885E711">
      <w:pPr>
        <w:spacing w:before="104" w:line="220" w:lineRule="auto"/>
        <w:ind w:left="1526"/>
        <w:rPr>
          <w:rFonts w:ascii="仿宋" w:hAnsi="仿宋" w:eastAsia="仿宋" w:cs="仿宋"/>
          <w:sz w:val="24"/>
          <w:szCs w:val="24"/>
        </w:rPr>
      </w:pPr>
      <w:r>
        <w:rPr>
          <w:rFonts w:ascii="仿宋" w:hAnsi="仿宋" w:eastAsia="仿宋" w:cs="仿宋"/>
          <w:spacing w:val="-2"/>
          <w:sz w:val="24"/>
          <w:szCs w:val="24"/>
        </w:rPr>
        <w:t>10.为本系统干部职工提供有关工业、商业方面的法律法规的咨询、服务工作。</w:t>
      </w:r>
    </w:p>
    <w:p w14:paraId="51174B81">
      <w:pPr>
        <w:spacing w:before="299" w:line="222" w:lineRule="auto"/>
        <w:ind w:left="1513"/>
        <w:outlineLvl w:val="1"/>
        <w:rPr>
          <w:rFonts w:ascii="黑体" w:hAnsi="黑体" w:eastAsia="黑体" w:cs="黑体"/>
          <w:sz w:val="24"/>
          <w:szCs w:val="24"/>
        </w:rPr>
      </w:pPr>
      <w:bookmarkStart w:id="4" w:name="bookmark4"/>
      <w:bookmarkEnd w:id="4"/>
      <w:r>
        <w:rPr>
          <w:rFonts w:ascii="黑体" w:hAnsi="黑体" w:eastAsia="黑体" w:cs="黑体"/>
          <w:spacing w:val="-2"/>
          <w:sz w:val="24"/>
          <w:szCs w:val="24"/>
        </w:rPr>
        <w:t>二、机构设置情况</w:t>
      </w:r>
    </w:p>
    <w:p w14:paraId="7E0323EA">
      <w:pPr>
        <w:spacing w:before="117" w:line="222" w:lineRule="auto"/>
        <w:ind w:left="1521"/>
        <w:rPr>
          <w:rFonts w:ascii="仿宋" w:hAnsi="仿宋" w:eastAsia="仿宋" w:cs="仿宋"/>
          <w:sz w:val="24"/>
          <w:szCs w:val="24"/>
        </w:rPr>
      </w:pPr>
      <w:r>
        <w:rPr>
          <w:rFonts w:ascii="仿宋" w:hAnsi="仿宋" w:eastAsia="仿宋" w:cs="仿宋"/>
          <w:spacing w:val="-3"/>
          <w:sz w:val="24"/>
          <w:szCs w:val="24"/>
        </w:rPr>
        <w:t>兴县工商业联合会内设办公室、财务室。</w:t>
      </w:r>
    </w:p>
    <w:p w14:paraId="68D303B2">
      <w:pPr>
        <w:spacing w:line="222" w:lineRule="auto"/>
        <w:rPr>
          <w:rFonts w:ascii="仿宋" w:hAnsi="仿宋" w:eastAsia="仿宋" w:cs="仿宋"/>
          <w:sz w:val="24"/>
          <w:szCs w:val="24"/>
        </w:rPr>
        <w:sectPr>
          <w:headerReference r:id="rId8" w:type="default"/>
          <w:footerReference r:id="rId9" w:type="default"/>
          <w:pgSz w:w="11900" w:h="16840"/>
          <w:pgMar w:top="642" w:right="0" w:bottom="340" w:left="0" w:header="326" w:footer="91" w:gutter="0"/>
          <w:cols w:space="720" w:num="1"/>
        </w:sectPr>
      </w:pPr>
    </w:p>
    <w:p w14:paraId="1495DAAD">
      <w:pPr>
        <w:pStyle w:val="2"/>
        <w:spacing w:line="303" w:lineRule="auto"/>
      </w:pPr>
    </w:p>
    <w:p w14:paraId="2137B805">
      <w:pPr>
        <w:pStyle w:val="2"/>
        <w:spacing w:line="303" w:lineRule="auto"/>
      </w:pPr>
    </w:p>
    <w:p w14:paraId="0A3490EB">
      <w:pPr>
        <w:spacing w:before="98" w:line="238" w:lineRule="exact"/>
        <w:ind w:left="4347"/>
        <w:outlineLvl w:val="0"/>
        <w:rPr>
          <w:rFonts w:ascii="微软雅黑" w:hAnsi="微软雅黑" w:eastAsia="微软雅黑" w:cs="微软雅黑"/>
          <w:sz w:val="23"/>
          <w:szCs w:val="23"/>
        </w:rPr>
      </w:pPr>
      <w:bookmarkStart w:id="5" w:name="bookmark5"/>
      <w:bookmarkEnd w:id="5"/>
      <w:bookmarkStart w:id="6" w:name="bookmark36"/>
      <w:bookmarkEnd w:id="6"/>
      <w:r>
        <w:rPr>
          <w:rFonts w:ascii="微软雅黑" w:hAnsi="微软雅黑" w:eastAsia="微软雅黑" w:cs="微软雅黑"/>
          <w:spacing w:val="4"/>
          <w:position w:val="-1"/>
          <w:sz w:val="23"/>
          <w:szCs w:val="23"/>
        </w:rPr>
        <w:t>第二部分</w:t>
      </w:r>
      <w:r>
        <w:rPr>
          <w:rFonts w:ascii="微软雅黑" w:hAnsi="微软雅黑" w:eastAsia="微软雅黑" w:cs="微软雅黑"/>
          <w:spacing w:val="42"/>
          <w:position w:val="-1"/>
          <w:sz w:val="23"/>
          <w:szCs w:val="23"/>
        </w:rPr>
        <w:t xml:space="preserve"> </w:t>
      </w:r>
      <w:r>
        <w:rPr>
          <w:rFonts w:ascii="微软雅黑" w:hAnsi="微软雅黑" w:eastAsia="微软雅黑" w:cs="微软雅黑"/>
          <w:spacing w:val="4"/>
          <w:position w:val="-1"/>
          <w:sz w:val="23"/>
          <w:szCs w:val="23"/>
        </w:rPr>
        <w:t>2025年部门预算报表</w:t>
      </w:r>
    </w:p>
    <w:p w14:paraId="4DC94E56">
      <w:pPr>
        <w:spacing w:before="23"/>
      </w:pPr>
    </w:p>
    <w:p w14:paraId="1DFEE95F">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1153"/>
        <w:gridCol w:w="2201"/>
        <w:gridCol w:w="1168"/>
        <w:gridCol w:w="1153"/>
        <w:gridCol w:w="756"/>
      </w:tblGrid>
      <w:tr w14:paraId="7F76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4C00A47B">
            <w:pPr>
              <w:spacing w:before="175" w:line="219" w:lineRule="auto"/>
              <w:ind w:left="7527"/>
              <w:rPr>
                <w:rFonts w:ascii="宋体" w:hAnsi="宋体" w:eastAsia="宋体" w:cs="宋体"/>
                <w:sz w:val="18"/>
                <w:szCs w:val="18"/>
              </w:rPr>
            </w:pPr>
            <w:r>
              <w:rPr>
                <w:rFonts w:ascii="宋体" w:hAnsi="宋体" w:eastAsia="宋体" w:cs="宋体"/>
                <w:color w:val="212529"/>
                <w:spacing w:val="-2"/>
                <w:sz w:val="18"/>
                <w:szCs w:val="18"/>
              </w:rPr>
              <w:t>预算公开表1</w:t>
            </w:r>
          </w:p>
        </w:tc>
      </w:tr>
      <w:tr w14:paraId="2A8E1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6CC13AD8">
            <w:pPr>
              <w:spacing w:before="143" w:line="240" w:lineRule="exact"/>
              <w:ind w:left="3184"/>
              <w:outlineLvl w:val="1"/>
              <w:rPr>
                <w:rFonts w:ascii="微软雅黑" w:hAnsi="微软雅黑" w:eastAsia="微软雅黑" w:cs="微软雅黑"/>
                <w:sz w:val="23"/>
                <w:szCs w:val="23"/>
              </w:rPr>
            </w:pPr>
            <w:bookmarkStart w:id="7" w:name="bookmark6"/>
            <w:bookmarkEnd w:id="7"/>
            <w:r>
              <w:rPr>
                <w:rFonts w:ascii="微软雅黑" w:hAnsi="微软雅黑" w:eastAsia="微软雅黑" w:cs="微软雅黑"/>
                <w:color w:val="212529"/>
                <w:position w:val="-1"/>
                <w:sz w:val="23"/>
                <w:szCs w:val="23"/>
              </w:rPr>
              <w:t>2025年预算收支总表</w:t>
            </w:r>
          </w:p>
        </w:tc>
      </w:tr>
      <w:tr w14:paraId="635A3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473" w:type="dxa"/>
            <w:gridSpan w:val="3"/>
            <w:tcBorders>
              <w:top w:val="single" w:color="FFFFFF" w:sz="6" w:space="0"/>
              <w:left w:val="single" w:color="FFFFFF" w:sz="2" w:space="0"/>
              <w:right w:val="single" w:color="FFFFFF" w:sz="2" w:space="0"/>
            </w:tcBorders>
            <w:vAlign w:val="top"/>
          </w:tcPr>
          <w:p w14:paraId="6F68F45F">
            <w:pPr>
              <w:spacing w:before="169" w:line="219" w:lineRule="auto"/>
              <w:ind w:left="14"/>
              <w:rPr>
                <w:rFonts w:ascii="宋体" w:hAnsi="宋体" w:eastAsia="宋体" w:cs="宋体"/>
                <w:sz w:val="18"/>
                <w:szCs w:val="18"/>
              </w:rPr>
            </w:pPr>
            <w:r>
              <w:rPr>
                <w:rFonts w:ascii="宋体" w:hAnsi="宋体" w:eastAsia="宋体" w:cs="宋体"/>
                <w:color w:val="212529"/>
                <w:spacing w:val="-1"/>
                <w:sz w:val="18"/>
                <w:szCs w:val="18"/>
              </w:rPr>
              <w:t>部门名称：兴县工商业联合会</w:t>
            </w:r>
          </w:p>
        </w:tc>
        <w:tc>
          <w:tcPr>
            <w:tcW w:w="3077" w:type="dxa"/>
            <w:gridSpan w:val="3"/>
            <w:tcBorders>
              <w:top w:val="single" w:color="FFFFFF" w:sz="6" w:space="0"/>
              <w:left w:val="single" w:color="FFFFFF" w:sz="2" w:space="0"/>
              <w:right w:val="single" w:color="FFFFFF" w:sz="2" w:space="0"/>
            </w:tcBorders>
            <w:vAlign w:val="top"/>
          </w:tcPr>
          <w:p w14:paraId="4EE3A11F">
            <w:pPr>
              <w:spacing w:before="170" w:line="219" w:lineRule="auto"/>
              <w:ind w:left="2145"/>
              <w:rPr>
                <w:rFonts w:ascii="宋体" w:hAnsi="宋体" w:eastAsia="宋体" w:cs="宋体"/>
                <w:sz w:val="18"/>
                <w:szCs w:val="18"/>
              </w:rPr>
            </w:pPr>
            <w:r>
              <w:rPr>
                <w:rFonts w:ascii="宋体" w:hAnsi="宋体" w:eastAsia="宋体" w:cs="宋体"/>
                <w:color w:val="212529"/>
                <w:spacing w:val="-2"/>
                <w:sz w:val="18"/>
                <w:szCs w:val="18"/>
              </w:rPr>
              <w:t>单位：万元</w:t>
            </w:r>
          </w:p>
        </w:tc>
      </w:tr>
      <w:tr w14:paraId="31D5B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272" w:type="dxa"/>
            <w:gridSpan w:val="2"/>
            <w:vAlign w:val="top"/>
          </w:tcPr>
          <w:p w14:paraId="3ACB4D9D">
            <w:pPr>
              <w:spacing w:before="168" w:line="179" w:lineRule="exact"/>
              <w:ind w:left="144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278" w:type="dxa"/>
            <w:gridSpan w:val="4"/>
            <w:vAlign w:val="top"/>
          </w:tcPr>
          <w:p w14:paraId="00B94C5E">
            <w:pPr>
              <w:spacing w:before="168" w:line="175" w:lineRule="exact"/>
              <w:ind w:left="244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239F8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E5C5DDF">
            <w:pPr>
              <w:spacing w:before="172" w:line="175" w:lineRule="exact"/>
              <w:ind w:left="862"/>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53" w:type="dxa"/>
            <w:vAlign w:val="top"/>
          </w:tcPr>
          <w:p w14:paraId="0DD63ABB">
            <w:pPr>
              <w:spacing w:before="169" w:line="177" w:lineRule="exact"/>
              <w:ind w:left="294"/>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2025年</w:t>
            </w:r>
          </w:p>
        </w:tc>
        <w:tc>
          <w:tcPr>
            <w:tcW w:w="2201" w:type="dxa"/>
            <w:vAlign w:val="top"/>
          </w:tcPr>
          <w:p w14:paraId="435831B7">
            <w:pPr>
              <w:spacing w:before="172" w:line="175" w:lineRule="exact"/>
              <w:ind w:left="902"/>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68" w:type="dxa"/>
            <w:vAlign w:val="top"/>
          </w:tcPr>
          <w:p w14:paraId="33EC2FF3">
            <w:pPr>
              <w:spacing w:before="169" w:line="177" w:lineRule="exact"/>
              <w:ind w:left="121"/>
              <w:rPr>
                <w:rFonts w:ascii="微软雅黑" w:hAnsi="微软雅黑" w:eastAsia="微软雅黑" w:cs="微软雅黑"/>
                <w:sz w:val="17"/>
                <w:szCs w:val="17"/>
              </w:rPr>
            </w:pPr>
            <w:r>
              <w:rPr>
                <w:rFonts w:ascii="微软雅黑" w:hAnsi="微软雅黑" w:eastAsia="微软雅黑" w:cs="微软雅黑"/>
                <w:color w:val="212529"/>
                <w:spacing w:val="-2"/>
                <w:position w:val="-1"/>
                <w:sz w:val="17"/>
                <w:szCs w:val="17"/>
              </w:rPr>
              <w:t>2025年合计</w:t>
            </w:r>
          </w:p>
        </w:tc>
        <w:tc>
          <w:tcPr>
            <w:tcW w:w="1153" w:type="dxa"/>
            <w:vAlign w:val="top"/>
          </w:tcPr>
          <w:p w14:paraId="687DE268">
            <w:pPr>
              <w:spacing w:before="169" w:line="179" w:lineRule="exact"/>
              <w:ind w:left="30"/>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当年预算安排</w:t>
            </w:r>
          </w:p>
        </w:tc>
        <w:tc>
          <w:tcPr>
            <w:tcW w:w="756" w:type="dxa"/>
            <w:vAlign w:val="top"/>
          </w:tcPr>
          <w:p w14:paraId="0D800DB7">
            <w:pPr>
              <w:spacing w:before="63" w:line="179"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上年结</w:t>
            </w:r>
          </w:p>
          <w:p w14:paraId="0D316663">
            <w:pPr>
              <w:spacing w:before="31" w:line="177" w:lineRule="exact"/>
              <w:ind w:left="9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转安排</w:t>
            </w:r>
          </w:p>
        </w:tc>
      </w:tr>
      <w:tr w14:paraId="02B65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399E3B0">
            <w:pPr>
              <w:spacing w:before="172" w:line="219" w:lineRule="auto"/>
              <w:ind w:left="9"/>
              <w:rPr>
                <w:rFonts w:ascii="宋体" w:hAnsi="宋体" w:eastAsia="宋体" w:cs="宋体"/>
                <w:sz w:val="18"/>
                <w:szCs w:val="18"/>
              </w:rPr>
            </w:pPr>
            <w:r>
              <w:rPr>
                <w:rFonts w:ascii="宋体" w:hAnsi="宋体" w:eastAsia="宋体" w:cs="宋体"/>
                <w:color w:val="212529"/>
                <w:spacing w:val="-2"/>
                <w:sz w:val="18"/>
                <w:szCs w:val="18"/>
              </w:rPr>
              <w:t>一、一般公共预算</w:t>
            </w:r>
          </w:p>
        </w:tc>
        <w:tc>
          <w:tcPr>
            <w:tcW w:w="1153" w:type="dxa"/>
            <w:vAlign w:val="top"/>
          </w:tcPr>
          <w:p w14:paraId="5C304239">
            <w:pPr>
              <w:spacing w:before="173" w:line="238" w:lineRule="auto"/>
              <w:ind w:right="26"/>
              <w:jc w:val="right"/>
              <w:rPr>
                <w:rFonts w:ascii="宋体" w:hAnsi="宋体" w:eastAsia="宋体" w:cs="宋体"/>
                <w:sz w:val="18"/>
                <w:szCs w:val="18"/>
              </w:rPr>
            </w:pPr>
            <w:r>
              <w:rPr>
                <w:rFonts w:ascii="宋体" w:hAnsi="宋体" w:eastAsia="宋体" w:cs="宋体"/>
                <w:color w:val="212529"/>
                <w:spacing w:val="-3"/>
                <w:sz w:val="18"/>
                <w:szCs w:val="18"/>
              </w:rPr>
              <w:t>117.21</w:t>
            </w:r>
          </w:p>
        </w:tc>
        <w:tc>
          <w:tcPr>
            <w:tcW w:w="2201" w:type="dxa"/>
            <w:vAlign w:val="top"/>
          </w:tcPr>
          <w:p w14:paraId="360E8977">
            <w:pPr>
              <w:spacing w:before="172" w:line="219" w:lineRule="auto"/>
              <w:ind w:left="9"/>
              <w:rPr>
                <w:rFonts w:ascii="宋体" w:hAnsi="宋体" w:eastAsia="宋体" w:cs="宋体"/>
                <w:sz w:val="18"/>
                <w:szCs w:val="18"/>
              </w:rPr>
            </w:pPr>
            <w:r>
              <w:rPr>
                <w:rFonts w:ascii="宋体" w:hAnsi="宋体" w:eastAsia="宋体" w:cs="宋体"/>
                <w:color w:val="212529"/>
                <w:spacing w:val="-1"/>
                <w:sz w:val="18"/>
                <w:szCs w:val="18"/>
              </w:rPr>
              <w:t>一、一般公共服务支出</w:t>
            </w:r>
          </w:p>
        </w:tc>
        <w:tc>
          <w:tcPr>
            <w:tcW w:w="1168" w:type="dxa"/>
            <w:vAlign w:val="top"/>
          </w:tcPr>
          <w:p w14:paraId="57EC8636">
            <w:pPr>
              <w:spacing w:before="173" w:line="238" w:lineRule="auto"/>
              <w:ind w:right="25"/>
              <w:jc w:val="right"/>
              <w:rPr>
                <w:rFonts w:ascii="宋体" w:hAnsi="宋体" w:eastAsia="宋体" w:cs="宋体"/>
                <w:sz w:val="18"/>
                <w:szCs w:val="18"/>
              </w:rPr>
            </w:pPr>
            <w:r>
              <w:rPr>
                <w:rFonts w:ascii="宋体" w:hAnsi="宋体" w:eastAsia="宋体" w:cs="宋体"/>
                <w:color w:val="212529"/>
                <w:spacing w:val="-2"/>
                <w:sz w:val="18"/>
                <w:szCs w:val="18"/>
              </w:rPr>
              <w:t>91.06</w:t>
            </w:r>
          </w:p>
        </w:tc>
        <w:tc>
          <w:tcPr>
            <w:tcW w:w="1153" w:type="dxa"/>
            <w:vAlign w:val="top"/>
          </w:tcPr>
          <w:p w14:paraId="191CF425">
            <w:pPr>
              <w:spacing w:before="173" w:line="238" w:lineRule="auto"/>
              <w:ind w:right="23"/>
              <w:jc w:val="right"/>
              <w:rPr>
                <w:rFonts w:ascii="宋体" w:hAnsi="宋体" w:eastAsia="宋体" w:cs="宋体"/>
                <w:sz w:val="18"/>
                <w:szCs w:val="18"/>
              </w:rPr>
            </w:pPr>
            <w:r>
              <w:rPr>
                <w:rFonts w:ascii="宋体" w:hAnsi="宋体" w:eastAsia="宋体" w:cs="宋体"/>
                <w:color w:val="212529"/>
                <w:spacing w:val="-2"/>
                <w:sz w:val="18"/>
                <w:szCs w:val="18"/>
              </w:rPr>
              <w:t>91.06</w:t>
            </w:r>
          </w:p>
        </w:tc>
        <w:tc>
          <w:tcPr>
            <w:tcW w:w="756" w:type="dxa"/>
            <w:vAlign w:val="top"/>
          </w:tcPr>
          <w:p w14:paraId="54A36028">
            <w:pPr>
              <w:pStyle w:val="6"/>
            </w:pPr>
          </w:p>
        </w:tc>
      </w:tr>
      <w:tr w14:paraId="230BD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2E3452AE">
            <w:pPr>
              <w:spacing w:before="173" w:line="218" w:lineRule="auto"/>
              <w:ind w:left="9"/>
              <w:rPr>
                <w:rFonts w:ascii="宋体" w:hAnsi="宋体" w:eastAsia="宋体" w:cs="宋体"/>
                <w:sz w:val="18"/>
                <w:szCs w:val="18"/>
              </w:rPr>
            </w:pPr>
            <w:r>
              <w:rPr>
                <w:rFonts w:ascii="宋体" w:hAnsi="宋体" w:eastAsia="宋体" w:cs="宋体"/>
                <w:color w:val="212529"/>
                <w:spacing w:val="-1"/>
                <w:sz w:val="18"/>
                <w:szCs w:val="18"/>
              </w:rPr>
              <w:t>二、政府性基金预算</w:t>
            </w:r>
          </w:p>
        </w:tc>
        <w:tc>
          <w:tcPr>
            <w:tcW w:w="1153" w:type="dxa"/>
            <w:vAlign w:val="top"/>
          </w:tcPr>
          <w:p w14:paraId="121B7EF8">
            <w:pPr>
              <w:pStyle w:val="6"/>
            </w:pPr>
          </w:p>
        </w:tc>
        <w:tc>
          <w:tcPr>
            <w:tcW w:w="2201" w:type="dxa"/>
            <w:vAlign w:val="top"/>
          </w:tcPr>
          <w:p w14:paraId="47952A3A">
            <w:pPr>
              <w:spacing w:before="174" w:line="219" w:lineRule="auto"/>
              <w:ind w:left="10"/>
              <w:rPr>
                <w:rFonts w:ascii="宋体" w:hAnsi="宋体" w:eastAsia="宋体" w:cs="宋体"/>
                <w:sz w:val="18"/>
                <w:szCs w:val="18"/>
              </w:rPr>
            </w:pPr>
            <w:r>
              <w:rPr>
                <w:rFonts w:ascii="宋体" w:hAnsi="宋体" w:eastAsia="宋体" w:cs="宋体"/>
                <w:color w:val="212529"/>
                <w:spacing w:val="-2"/>
                <w:sz w:val="18"/>
                <w:szCs w:val="18"/>
              </w:rPr>
              <w:t>二、外交支出</w:t>
            </w:r>
          </w:p>
        </w:tc>
        <w:tc>
          <w:tcPr>
            <w:tcW w:w="1168" w:type="dxa"/>
            <w:vAlign w:val="top"/>
          </w:tcPr>
          <w:p w14:paraId="5210A7BF">
            <w:pPr>
              <w:pStyle w:val="6"/>
            </w:pPr>
          </w:p>
        </w:tc>
        <w:tc>
          <w:tcPr>
            <w:tcW w:w="1153" w:type="dxa"/>
            <w:vAlign w:val="top"/>
          </w:tcPr>
          <w:p w14:paraId="2E096F5D">
            <w:pPr>
              <w:pStyle w:val="6"/>
            </w:pPr>
          </w:p>
        </w:tc>
        <w:tc>
          <w:tcPr>
            <w:tcW w:w="756" w:type="dxa"/>
            <w:vAlign w:val="top"/>
          </w:tcPr>
          <w:p w14:paraId="399CAAB2">
            <w:pPr>
              <w:pStyle w:val="6"/>
            </w:pPr>
          </w:p>
        </w:tc>
      </w:tr>
      <w:tr w14:paraId="30A65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7113184">
            <w:pPr>
              <w:spacing w:before="174" w:line="218" w:lineRule="auto"/>
              <w:ind w:left="6"/>
              <w:rPr>
                <w:rFonts w:ascii="宋体" w:hAnsi="宋体" w:eastAsia="宋体" w:cs="宋体"/>
                <w:sz w:val="18"/>
                <w:szCs w:val="18"/>
              </w:rPr>
            </w:pPr>
            <w:r>
              <w:rPr>
                <w:rFonts w:ascii="宋体" w:hAnsi="宋体" w:eastAsia="宋体" w:cs="宋体"/>
                <w:color w:val="212529"/>
                <w:spacing w:val="-1"/>
                <w:sz w:val="18"/>
                <w:szCs w:val="18"/>
              </w:rPr>
              <w:t>三、国有资本经营预算</w:t>
            </w:r>
          </w:p>
        </w:tc>
        <w:tc>
          <w:tcPr>
            <w:tcW w:w="1153" w:type="dxa"/>
            <w:vAlign w:val="top"/>
          </w:tcPr>
          <w:p w14:paraId="7DAA70AD">
            <w:pPr>
              <w:pStyle w:val="6"/>
            </w:pPr>
          </w:p>
        </w:tc>
        <w:tc>
          <w:tcPr>
            <w:tcW w:w="2201" w:type="dxa"/>
            <w:vAlign w:val="top"/>
          </w:tcPr>
          <w:p w14:paraId="7AAE0D3E">
            <w:pPr>
              <w:spacing w:before="175" w:line="219" w:lineRule="auto"/>
              <w:ind w:left="6"/>
              <w:rPr>
                <w:rFonts w:ascii="宋体" w:hAnsi="宋体" w:eastAsia="宋体" w:cs="宋体"/>
                <w:sz w:val="18"/>
                <w:szCs w:val="18"/>
              </w:rPr>
            </w:pPr>
            <w:r>
              <w:rPr>
                <w:rFonts w:ascii="宋体" w:hAnsi="宋体" w:eastAsia="宋体" w:cs="宋体"/>
                <w:color w:val="212529"/>
                <w:spacing w:val="-1"/>
                <w:sz w:val="18"/>
                <w:szCs w:val="18"/>
              </w:rPr>
              <w:t>三、国防支出</w:t>
            </w:r>
          </w:p>
        </w:tc>
        <w:tc>
          <w:tcPr>
            <w:tcW w:w="1168" w:type="dxa"/>
            <w:vAlign w:val="top"/>
          </w:tcPr>
          <w:p w14:paraId="7F1E9872">
            <w:pPr>
              <w:pStyle w:val="6"/>
            </w:pPr>
          </w:p>
        </w:tc>
        <w:tc>
          <w:tcPr>
            <w:tcW w:w="1153" w:type="dxa"/>
            <w:vAlign w:val="top"/>
          </w:tcPr>
          <w:p w14:paraId="4AB3B146">
            <w:pPr>
              <w:pStyle w:val="6"/>
            </w:pPr>
          </w:p>
        </w:tc>
        <w:tc>
          <w:tcPr>
            <w:tcW w:w="756" w:type="dxa"/>
            <w:vAlign w:val="top"/>
          </w:tcPr>
          <w:p w14:paraId="1360F27F">
            <w:pPr>
              <w:pStyle w:val="6"/>
            </w:pPr>
          </w:p>
        </w:tc>
      </w:tr>
      <w:tr w14:paraId="184B4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2E2FF3D">
            <w:pPr>
              <w:spacing w:before="175" w:line="219" w:lineRule="auto"/>
              <w:ind w:left="23"/>
              <w:rPr>
                <w:rFonts w:ascii="宋体" w:hAnsi="宋体" w:eastAsia="宋体" w:cs="宋体"/>
                <w:sz w:val="18"/>
                <w:szCs w:val="18"/>
              </w:rPr>
            </w:pPr>
            <w:r>
              <w:rPr>
                <w:rFonts w:ascii="宋体" w:hAnsi="宋体" w:eastAsia="宋体" w:cs="宋体"/>
                <w:color w:val="212529"/>
                <w:spacing w:val="-3"/>
                <w:sz w:val="18"/>
                <w:szCs w:val="18"/>
              </w:rPr>
              <w:t>四、财政专户管理资金</w:t>
            </w:r>
          </w:p>
        </w:tc>
        <w:tc>
          <w:tcPr>
            <w:tcW w:w="1153" w:type="dxa"/>
            <w:vAlign w:val="top"/>
          </w:tcPr>
          <w:p w14:paraId="43C70CBA">
            <w:pPr>
              <w:pStyle w:val="6"/>
            </w:pPr>
          </w:p>
        </w:tc>
        <w:tc>
          <w:tcPr>
            <w:tcW w:w="2201" w:type="dxa"/>
            <w:vAlign w:val="top"/>
          </w:tcPr>
          <w:p w14:paraId="33A6FB2A">
            <w:pPr>
              <w:spacing w:before="175" w:line="219" w:lineRule="auto"/>
              <w:ind w:left="24"/>
              <w:rPr>
                <w:rFonts w:ascii="宋体" w:hAnsi="宋体" w:eastAsia="宋体" w:cs="宋体"/>
                <w:sz w:val="18"/>
                <w:szCs w:val="18"/>
              </w:rPr>
            </w:pPr>
            <w:r>
              <w:rPr>
                <w:rFonts w:ascii="宋体" w:hAnsi="宋体" w:eastAsia="宋体" w:cs="宋体"/>
                <w:color w:val="212529"/>
                <w:spacing w:val="-3"/>
                <w:sz w:val="18"/>
                <w:szCs w:val="18"/>
              </w:rPr>
              <w:t>四、公共安全支出</w:t>
            </w:r>
          </w:p>
        </w:tc>
        <w:tc>
          <w:tcPr>
            <w:tcW w:w="1168" w:type="dxa"/>
            <w:vAlign w:val="top"/>
          </w:tcPr>
          <w:p w14:paraId="383C6A61">
            <w:pPr>
              <w:pStyle w:val="6"/>
            </w:pPr>
          </w:p>
        </w:tc>
        <w:tc>
          <w:tcPr>
            <w:tcW w:w="1153" w:type="dxa"/>
            <w:vAlign w:val="top"/>
          </w:tcPr>
          <w:p w14:paraId="1500E2FD">
            <w:pPr>
              <w:pStyle w:val="6"/>
            </w:pPr>
          </w:p>
        </w:tc>
        <w:tc>
          <w:tcPr>
            <w:tcW w:w="756" w:type="dxa"/>
            <w:vAlign w:val="top"/>
          </w:tcPr>
          <w:p w14:paraId="0D469B83">
            <w:pPr>
              <w:pStyle w:val="6"/>
            </w:pPr>
          </w:p>
        </w:tc>
      </w:tr>
      <w:tr w14:paraId="7E8A2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C64E665">
            <w:pPr>
              <w:spacing w:before="177" w:line="219" w:lineRule="auto"/>
              <w:ind w:left="9"/>
              <w:rPr>
                <w:rFonts w:ascii="宋体" w:hAnsi="宋体" w:eastAsia="宋体" w:cs="宋体"/>
                <w:sz w:val="18"/>
                <w:szCs w:val="18"/>
              </w:rPr>
            </w:pPr>
            <w:r>
              <w:rPr>
                <w:rFonts w:ascii="宋体" w:hAnsi="宋体" w:eastAsia="宋体" w:cs="宋体"/>
                <w:color w:val="212529"/>
                <w:spacing w:val="-2"/>
                <w:sz w:val="18"/>
                <w:szCs w:val="18"/>
              </w:rPr>
              <w:t>五、单位资金</w:t>
            </w:r>
          </w:p>
        </w:tc>
        <w:tc>
          <w:tcPr>
            <w:tcW w:w="1153" w:type="dxa"/>
            <w:vAlign w:val="top"/>
          </w:tcPr>
          <w:p w14:paraId="1586F719">
            <w:pPr>
              <w:pStyle w:val="6"/>
            </w:pPr>
          </w:p>
        </w:tc>
        <w:tc>
          <w:tcPr>
            <w:tcW w:w="2201" w:type="dxa"/>
            <w:vAlign w:val="top"/>
          </w:tcPr>
          <w:p w14:paraId="15C20119">
            <w:pPr>
              <w:spacing w:before="176" w:line="219" w:lineRule="auto"/>
              <w:ind w:left="10"/>
              <w:rPr>
                <w:rFonts w:ascii="宋体" w:hAnsi="宋体" w:eastAsia="宋体" w:cs="宋体"/>
                <w:sz w:val="18"/>
                <w:szCs w:val="18"/>
              </w:rPr>
            </w:pPr>
            <w:r>
              <w:rPr>
                <w:rFonts w:ascii="宋体" w:hAnsi="宋体" w:eastAsia="宋体" w:cs="宋体"/>
                <w:color w:val="212529"/>
                <w:spacing w:val="-2"/>
                <w:sz w:val="18"/>
                <w:szCs w:val="18"/>
              </w:rPr>
              <w:t>五、教育支出</w:t>
            </w:r>
          </w:p>
        </w:tc>
        <w:tc>
          <w:tcPr>
            <w:tcW w:w="1168" w:type="dxa"/>
            <w:vAlign w:val="top"/>
          </w:tcPr>
          <w:p w14:paraId="0439CC0C">
            <w:pPr>
              <w:pStyle w:val="6"/>
            </w:pPr>
          </w:p>
        </w:tc>
        <w:tc>
          <w:tcPr>
            <w:tcW w:w="1153" w:type="dxa"/>
            <w:vAlign w:val="top"/>
          </w:tcPr>
          <w:p w14:paraId="482F6101">
            <w:pPr>
              <w:pStyle w:val="6"/>
            </w:pPr>
          </w:p>
        </w:tc>
        <w:tc>
          <w:tcPr>
            <w:tcW w:w="756" w:type="dxa"/>
            <w:vAlign w:val="top"/>
          </w:tcPr>
          <w:p w14:paraId="75CCAF1A">
            <w:pPr>
              <w:pStyle w:val="6"/>
            </w:pPr>
          </w:p>
        </w:tc>
      </w:tr>
      <w:tr w14:paraId="1FB44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EDCA10C">
            <w:pPr>
              <w:pStyle w:val="6"/>
            </w:pPr>
          </w:p>
        </w:tc>
        <w:tc>
          <w:tcPr>
            <w:tcW w:w="1153" w:type="dxa"/>
            <w:vAlign w:val="top"/>
          </w:tcPr>
          <w:p w14:paraId="1FEFF9BC">
            <w:pPr>
              <w:pStyle w:val="6"/>
            </w:pPr>
          </w:p>
        </w:tc>
        <w:tc>
          <w:tcPr>
            <w:tcW w:w="2201" w:type="dxa"/>
            <w:vAlign w:val="top"/>
          </w:tcPr>
          <w:p w14:paraId="1A0105B1">
            <w:pPr>
              <w:spacing w:before="177" w:line="218" w:lineRule="auto"/>
              <w:ind w:left="7"/>
              <w:rPr>
                <w:rFonts w:ascii="宋体" w:hAnsi="宋体" w:eastAsia="宋体" w:cs="宋体"/>
                <w:sz w:val="18"/>
                <w:szCs w:val="18"/>
              </w:rPr>
            </w:pPr>
            <w:r>
              <w:rPr>
                <w:rFonts w:ascii="宋体" w:hAnsi="宋体" w:eastAsia="宋体" w:cs="宋体"/>
                <w:color w:val="212529"/>
                <w:spacing w:val="-1"/>
                <w:sz w:val="18"/>
                <w:szCs w:val="18"/>
              </w:rPr>
              <w:t>六、科学技术支出</w:t>
            </w:r>
          </w:p>
        </w:tc>
        <w:tc>
          <w:tcPr>
            <w:tcW w:w="1168" w:type="dxa"/>
            <w:vAlign w:val="top"/>
          </w:tcPr>
          <w:p w14:paraId="6AA39B9D">
            <w:pPr>
              <w:pStyle w:val="6"/>
            </w:pPr>
          </w:p>
        </w:tc>
        <w:tc>
          <w:tcPr>
            <w:tcW w:w="1153" w:type="dxa"/>
            <w:vAlign w:val="top"/>
          </w:tcPr>
          <w:p w14:paraId="0D4B94DD">
            <w:pPr>
              <w:pStyle w:val="6"/>
            </w:pPr>
          </w:p>
        </w:tc>
        <w:tc>
          <w:tcPr>
            <w:tcW w:w="756" w:type="dxa"/>
            <w:vAlign w:val="top"/>
          </w:tcPr>
          <w:p w14:paraId="1302B4BA">
            <w:pPr>
              <w:pStyle w:val="6"/>
            </w:pPr>
          </w:p>
        </w:tc>
      </w:tr>
      <w:tr w14:paraId="01E84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E73B65A">
            <w:pPr>
              <w:pStyle w:val="6"/>
            </w:pPr>
          </w:p>
        </w:tc>
        <w:tc>
          <w:tcPr>
            <w:tcW w:w="1153" w:type="dxa"/>
            <w:vAlign w:val="top"/>
          </w:tcPr>
          <w:p w14:paraId="759FB285">
            <w:pPr>
              <w:pStyle w:val="6"/>
            </w:pPr>
          </w:p>
        </w:tc>
        <w:tc>
          <w:tcPr>
            <w:tcW w:w="2201" w:type="dxa"/>
            <w:vAlign w:val="top"/>
          </w:tcPr>
          <w:p w14:paraId="4D6B8CBD">
            <w:pPr>
              <w:spacing w:before="73" w:line="218" w:lineRule="auto"/>
              <w:ind w:left="7" w:right="205"/>
              <w:rPr>
                <w:rFonts w:ascii="宋体" w:hAnsi="宋体" w:eastAsia="宋体" w:cs="宋体"/>
                <w:sz w:val="18"/>
                <w:szCs w:val="18"/>
              </w:rPr>
            </w:pPr>
            <w:r>
              <w:rPr>
                <w:rFonts w:ascii="宋体" w:hAnsi="宋体" w:eastAsia="宋体" w:cs="宋体"/>
                <w:color w:val="212529"/>
                <w:spacing w:val="-1"/>
                <w:sz w:val="18"/>
                <w:szCs w:val="18"/>
              </w:rPr>
              <w:t>七、文化旅游体育与传媒</w:t>
            </w:r>
            <w:r>
              <w:rPr>
                <w:rFonts w:ascii="宋体" w:hAnsi="宋体" w:eastAsia="宋体" w:cs="宋体"/>
                <w:color w:val="212529"/>
                <w:spacing w:val="-2"/>
                <w:sz w:val="18"/>
                <w:szCs w:val="18"/>
              </w:rPr>
              <w:t>支出</w:t>
            </w:r>
          </w:p>
        </w:tc>
        <w:tc>
          <w:tcPr>
            <w:tcW w:w="1168" w:type="dxa"/>
            <w:vAlign w:val="top"/>
          </w:tcPr>
          <w:p w14:paraId="6DC56B22">
            <w:pPr>
              <w:pStyle w:val="6"/>
            </w:pPr>
          </w:p>
        </w:tc>
        <w:tc>
          <w:tcPr>
            <w:tcW w:w="1153" w:type="dxa"/>
            <w:vAlign w:val="top"/>
          </w:tcPr>
          <w:p w14:paraId="06DEF44F">
            <w:pPr>
              <w:pStyle w:val="6"/>
            </w:pPr>
          </w:p>
        </w:tc>
        <w:tc>
          <w:tcPr>
            <w:tcW w:w="756" w:type="dxa"/>
            <w:vAlign w:val="top"/>
          </w:tcPr>
          <w:p w14:paraId="320A45C9">
            <w:pPr>
              <w:pStyle w:val="6"/>
            </w:pPr>
          </w:p>
        </w:tc>
      </w:tr>
      <w:tr w14:paraId="56475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C268A26">
            <w:pPr>
              <w:pStyle w:val="6"/>
            </w:pPr>
          </w:p>
        </w:tc>
        <w:tc>
          <w:tcPr>
            <w:tcW w:w="1153" w:type="dxa"/>
            <w:vAlign w:val="top"/>
          </w:tcPr>
          <w:p w14:paraId="1A4392D0">
            <w:pPr>
              <w:pStyle w:val="6"/>
            </w:pPr>
          </w:p>
        </w:tc>
        <w:tc>
          <w:tcPr>
            <w:tcW w:w="2201" w:type="dxa"/>
            <w:vAlign w:val="top"/>
          </w:tcPr>
          <w:p w14:paraId="75C853D0">
            <w:pPr>
              <w:spacing w:before="179" w:line="218" w:lineRule="auto"/>
              <w:ind w:left="10"/>
              <w:rPr>
                <w:rFonts w:ascii="宋体" w:hAnsi="宋体" w:eastAsia="宋体" w:cs="宋体"/>
                <w:sz w:val="18"/>
                <w:szCs w:val="18"/>
              </w:rPr>
            </w:pPr>
            <w:r>
              <w:rPr>
                <w:rFonts w:ascii="宋体" w:hAnsi="宋体" w:eastAsia="宋体" w:cs="宋体"/>
                <w:color w:val="212529"/>
                <w:spacing w:val="-1"/>
                <w:sz w:val="18"/>
                <w:szCs w:val="18"/>
              </w:rPr>
              <w:t>八、社会保障和就业支出</w:t>
            </w:r>
          </w:p>
        </w:tc>
        <w:tc>
          <w:tcPr>
            <w:tcW w:w="1168" w:type="dxa"/>
            <w:vAlign w:val="top"/>
          </w:tcPr>
          <w:p w14:paraId="522F3A4A">
            <w:pPr>
              <w:spacing w:before="180" w:line="238" w:lineRule="auto"/>
              <w:ind w:right="23"/>
              <w:jc w:val="right"/>
              <w:rPr>
                <w:rFonts w:ascii="宋体" w:hAnsi="宋体" w:eastAsia="宋体" w:cs="宋体"/>
                <w:sz w:val="18"/>
                <w:szCs w:val="18"/>
              </w:rPr>
            </w:pPr>
            <w:r>
              <w:rPr>
                <w:rFonts w:ascii="宋体" w:hAnsi="宋体" w:eastAsia="宋体" w:cs="宋体"/>
                <w:color w:val="212529"/>
                <w:spacing w:val="-4"/>
                <w:sz w:val="18"/>
                <w:szCs w:val="18"/>
              </w:rPr>
              <w:t>16.58</w:t>
            </w:r>
          </w:p>
        </w:tc>
        <w:tc>
          <w:tcPr>
            <w:tcW w:w="1153" w:type="dxa"/>
            <w:vAlign w:val="top"/>
          </w:tcPr>
          <w:p w14:paraId="1D180D8C">
            <w:pPr>
              <w:spacing w:before="180" w:line="238" w:lineRule="auto"/>
              <w:ind w:right="20"/>
              <w:jc w:val="right"/>
              <w:rPr>
                <w:rFonts w:ascii="宋体" w:hAnsi="宋体" w:eastAsia="宋体" w:cs="宋体"/>
                <w:sz w:val="18"/>
                <w:szCs w:val="18"/>
              </w:rPr>
            </w:pPr>
            <w:r>
              <w:rPr>
                <w:rFonts w:ascii="宋体" w:hAnsi="宋体" w:eastAsia="宋体" w:cs="宋体"/>
                <w:color w:val="212529"/>
                <w:spacing w:val="-4"/>
                <w:sz w:val="18"/>
                <w:szCs w:val="18"/>
              </w:rPr>
              <w:t>16.58</w:t>
            </w:r>
          </w:p>
        </w:tc>
        <w:tc>
          <w:tcPr>
            <w:tcW w:w="756" w:type="dxa"/>
            <w:vAlign w:val="top"/>
          </w:tcPr>
          <w:p w14:paraId="70606C79">
            <w:pPr>
              <w:pStyle w:val="6"/>
            </w:pPr>
          </w:p>
        </w:tc>
      </w:tr>
      <w:tr w14:paraId="630CAF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3E04BE5">
            <w:pPr>
              <w:pStyle w:val="6"/>
            </w:pPr>
          </w:p>
        </w:tc>
        <w:tc>
          <w:tcPr>
            <w:tcW w:w="1153" w:type="dxa"/>
            <w:vAlign w:val="top"/>
          </w:tcPr>
          <w:p w14:paraId="40D61C22">
            <w:pPr>
              <w:pStyle w:val="6"/>
            </w:pPr>
          </w:p>
        </w:tc>
        <w:tc>
          <w:tcPr>
            <w:tcW w:w="2201" w:type="dxa"/>
            <w:vAlign w:val="top"/>
          </w:tcPr>
          <w:p w14:paraId="360AABBA">
            <w:pPr>
              <w:spacing w:before="180" w:line="218" w:lineRule="auto"/>
              <w:ind w:left="10"/>
              <w:rPr>
                <w:rFonts w:ascii="宋体" w:hAnsi="宋体" w:eastAsia="宋体" w:cs="宋体"/>
                <w:sz w:val="18"/>
                <w:szCs w:val="18"/>
              </w:rPr>
            </w:pPr>
            <w:r>
              <w:rPr>
                <w:rFonts w:ascii="宋体" w:hAnsi="宋体" w:eastAsia="宋体" w:cs="宋体"/>
                <w:color w:val="212529"/>
                <w:spacing w:val="-1"/>
                <w:sz w:val="18"/>
                <w:szCs w:val="18"/>
              </w:rPr>
              <w:t>九、社会保险基金支出</w:t>
            </w:r>
          </w:p>
        </w:tc>
        <w:tc>
          <w:tcPr>
            <w:tcW w:w="1168" w:type="dxa"/>
            <w:vAlign w:val="top"/>
          </w:tcPr>
          <w:p w14:paraId="6B5E73F6">
            <w:pPr>
              <w:pStyle w:val="6"/>
            </w:pPr>
          </w:p>
        </w:tc>
        <w:tc>
          <w:tcPr>
            <w:tcW w:w="1153" w:type="dxa"/>
            <w:vAlign w:val="top"/>
          </w:tcPr>
          <w:p w14:paraId="047032EC">
            <w:pPr>
              <w:pStyle w:val="6"/>
            </w:pPr>
          </w:p>
        </w:tc>
        <w:tc>
          <w:tcPr>
            <w:tcW w:w="756" w:type="dxa"/>
            <w:vAlign w:val="top"/>
          </w:tcPr>
          <w:p w14:paraId="6495F7CA">
            <w:pPr>
              <w:pStyle w:val="6"/>
            </w:pPr>
          </w:p>
        </w:tc>
      </w:tr>
      <w:tr w14:paraId="260F7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99CE623">
            <w:pPr>
              <w:pStyle w:val="6"/>
            </w:pPr>
          </w:p>
        </w:tc>
        <w:tc>
          <w:tcPr>
            <w:tcW w:w="1153" w:type="dxa"/>
            <w:vAlign w:val="top"/>
          </w:tcPr>
          <w:p w14:paraId="0545D79E">
            <w:pPr>
              <w:pStyle w:val="6"/>
            </w:pPr>
          </w:p>
        </w:tc>
        <w:tc>
          <w:tcPr>
            <w:tcW w:w="2201" w:type="dxa"/>
            <w:vAlign w:val="top"/>
          </w:tcPr>
          <w:p w14:paraId="60E527D8">
            <w:pPr>
              <w:spacing w:before="181" w:line="219" w:lineRule="auto"/>
              <w:ind w:left="7"/>
              <w:rPr>
                <w:rFonts w:ascii="宋体" w:hAnsi="宋体" w:eastAsia="宋体" w:cs="宋体"/>
                <w:sz w:val="18"/>
                <w:szCs w:val="18"/>
              </w:rPr>
            </w:pPr>
            <w:r>
              <w:rPr>
                <w:rFonts w:ascii="宋体" w:hAnsi="宋体" w:eastAsia="宋体" w:cs="宋体"/>
                <w:color w:val="212529"/>
                <w:spacing w:val="-1"/>
                <w:sz w:val="18"/>
                <w:szCs w:val="18"/>
              </w:rPr>
              <w:t>十、卫生健康支出</w:t>
            </w:r>
          </w:p>
        </w:tc>
        <w:tc>
          <w:tcPr>
            <w:tcW w:w="1168" w:type="dxa"/>
            <w:vAlign w:val="top"/>
          </w:tcPr>
          <w:p w14:paraId="20AE289C">
            <w:pPr>
              <w:spacing w:before="182" w:line="238" w:lineRule="auto"/>
              <w:ind w:right="24"/>
              <w:jc w:val="right"/>
              <w:rPr>
                <w:rFonts w:ascii="宋体" w:hAnsi="宋体" w:eastAsia="宋体" w:cs="宋体"/>
                <w:sz w:val="18"/>
                <w:szCs w:val="18"/>
              </w:rPr>
            </w:pPr>
            <w:r>
              <w:rPr>
                <w:rFonts w:ascii="宋体" w:hAnsi="宋体" w:eastAsia="宋体" w:cs="宋体"/>
                <w:color w:val="212529"/>
                <w:spacing w:val="-2"/>
                <w:sz w:val="18"/>
                <w:szCs w:val="18"/>
              </w:rPr>
              <w:t>3.93</w:t>
            </w:r>
          </w:p>
        </w:tc>
        <w:tc>
          <w:tcPr>
            <w:tcW w:w="1153" w:type="dxa"/>
            <w:vAlign w:val="top"/>
          </w:tcPr>
          <w:p w14:paraId="2C088FF0">
            <w:pPr>
              <w:spacing w:before="182"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3.93</w:t>
            </w:r>
          </w:p>
        </w:tc>
        <w:tc>
          <w:tcPr>
            <w:tcW w:w="756" w:type="dxa"/>
            <w:vAlign w:val="top"/>
          </w:tcPr>
          <w:p w14:paraId="7991FF79">
            <w:pPr>
              <w:pStyle w:val="6"/>
            </w:pPr>
          </w:p>
        </w:tc>
      </w:tr>
      <w:tr w14:paraId="4A12D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0B1A6787">
            <w:pPr>
              <w:pStyle w:val="6"/>
            </w:pPr>
          </w:p>
        </w:tc>
        <w:tc>
          <w:tcPr>
            <w:tcW w:w="1153" w:type="dxa"/>
            <w:vAlign w:val="top"/>
          </w:tcPr>
          <w:p w14:paraId="60B09CB9">
            <w:pPr>
              <w:pStyle w:val="6"/>
            </w:pPr>
          </w:p>
        </w:tc>
        <w:tc>
          <w:tcPr>
            <w:tcW w:w="2201" w:type="dxa"/>
            <w:vAlign w:val="top"/>
          </w:tcPr>
          <w:p w14:paraId="7F062924">
            <w:pPr>
              <w:spacing w:before="183" w:line="219" w:lineRule="auto"/>
              <w:ind w:left="7"/>
              <w:rPr>
                <w:rFonts w:ascii="宋体" w:hAnsi="宋体" w:eastAsia="宋体" w:cs="宋体"/>
                <w:sz w:val="18"/>
                <w:szCs w:val="18"/>
              </w:rPr>
            </w:pPr>
            <w:r>
              <w:rPr>
                <w:rFonts w:ascii="宋体" w:hAnsi="宋体" w:eastAsia="宋体" w:cs="宋体"/>
                <w:color w:val="212529"/>
                <w:spacing w:val="-3"/>
                <w:sz w:val="18"/>
                <w:szCs w:val="18"/>
              </w:rPr>
              <w:t>十一、节能环保支出</w:t>
            </w:r>
          </w:p>
        </w:tc>
        <w:tc>
          <w:tcPr>
            <w:tcW w:w="1168" w:type="dxa"/>
            <w:vAlign w:val="top"/>
          </w:tcPr>
          <w:p w14:paraId="66F6C914">
            <w:pPr>
              <w:pStyle w:val="6"/>
            </w:pPr>
          </w:p>
        </w:tc>
        <w:tc>
          <w:tcPr>
            <w:tcW w:w="1153" w:type="dxa"/>
            <w:vAlign w:val="top"/>
          </w:tcPr>
          <w:p w14:paraId="3594B302">
            <w:pPr>
              <w:pStyle w:val="6"/>
            </w:pPr>
          </w:p>
        </w:tc>
        <w:tc>
          <w:tcPr>
            <w:tcW w:w="756" w:type="dxa"/>
            <w:vAlign w:val="top"/>
          </w:tcPr>
          <w:p w14:paraId="46B97834">
            <w:pPr>
              <w:pStyle w:val="6"/>
            </w:pPr>
          </w:p>
        </w:tc>
      </w:tr>
      <w:tr w14:paraId="1878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622C8097">
            <w:pPr>
              <w:pStyle w:val="6"/>
            </w:pPr>
          </w:p>
        </w:tc>
        <w:tc>
          <w:tcPr>
            <w:tcW w:w="1153" w:type="dxa"/>
            <w:vAlign w:val="top"/>
          </w:tcPr>
          <w:p w14:paraId="1163EC02">
            <w:pPr>
              <w:pStyle w:val="6"/>
            </w:pPr>
          </w:p>
        </w:tc>
        <w:tc>
          <w:tcPr>
            <w:tcW w:w="2201" w:type="dxa"/>
            <w:vAlign w:val="top"/>
          </w:tcPr>
          <w:p w14:paraId="1D17EFBC">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十二、城乡社区支出</w:t>
            </w:r>
          </w:p>
        </w:tc>
        <w:tc>
          <w:tcPr>
            <w:tcW w:w="1168" w:type="dxa"/>
            <w:vAlign w:val="top"/>
          </w:tcPr>
          <w:p w14:paraId="172DFDF1">
            <w:pPr>
              <w:pStyle w:val="6"/>
            </w:pPr>
          </w:p>
        </w:tc>
        <w:tc>
          <w:tcPr>
            <w:tcW w:w="1153" w:type="dxa"/>
            <w:vAlign w:val="top"/>
          </w:tcPr>
          <w:p w14:paraId="0399101A">
            <w:pPr>
              <w:pStyle w:val="6"/>
            </w:pPr>
          </w:p>
        </w:tc>
        <w:tc>
          <w:tcPr>
            <w:tcW w:w="756" w:type="dxa"/>
            <w:vAlign w:val="top"/>
          </w:tcPr>
          <w:p w14:paraId="5E56123E">
            <w:pPr>
              <w:pStyle w:val="6"/>
            </w:pPr>
          </w:p>
        </w:tc>
      </w:tr>
      <w:tr w14:paraId="6DE21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0C3451E4">
            <w:pPr>
              <w:pStyle w:val="6"/>
            </w:pPr>
          </w:p>
        </w:tc>
        <w:tc>
          <w:tcPr>
            <w:tcW w:w="1153" w:type="dxa"/>
            <w:vAlign w:val="top"/>
          </w:tcPr>
          <w:p w14:paraId="7570BCF7">
            <w:pPr>
              <w:pStyle w:val="6"/>
            </w:pPr>
          </w:p>
        </w:tc>
        <w:tc>
          <w:tcPr>
            <w:tcW w:w="2201" w:type="dxa"/>
            <w:vAlign w:val="top"/>
          </w:tcPr>
          <w:p w14:paraId="5C57C5AE">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十三、农林水支出</w:t>
            </w:r>
          </w:p>
        </w:tc>
        <w:tc>
          <w:tcPr>
            <w:tcW w:w="1168" w:type="dxa"/>
            <w:vAlign w:val="top"/>
          </w:tcPr>
          <w:p w14:paraId="270C91E4">
            <w:pPr>
              <w:pStyle w:val="6"/>
            </w:pPr>
          </w:p>
        </w:tc>
        <w:tc>
          <w:tcPr>
            <w:tcW w:w="1153" w:type="dxa"/>
            <w:vAlign w:val="top"/>
          </w:tcPr>
          <w:p w14:paraId="67047B52">
            <w:pPr>
              <w:pStyle w:val="6"/>
            </w:pPr>
          </w:p>
        </w:tc>
        <w:tc>
          <w:tcPr>
            <w:tcW w:w="756" w:type="dxa"/>
            <w:vAlign w:val="top"/>
          </w:tcPr>
          <w:p w14:paraId="093F00D5">
            <w:pPr>
              <w:pStyle w:val="6"/>
            </w:pPr>
          </w:p>
        </w:tc>
      </w:tr>
      <w:tr w14:paraId="1B213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6C22F57A">
            <w:pPr>
              <w:pStyle w:val="6"/>
            </w:pPr>
          </w:p>
        </w:tc>
        <w:tc>
          <w:tcPr>
            <w:tcW w:w="1153" w:type="dxa"/>
            <w:vAlign w:val="top"/>
          </w:tcPr>
          <w:p w14:paraId="70C55257">
            <w:pPr>
              <w:pStyle w:val="6"/>
            </w:pPr>
          </w:p>
        </w:tc>
        <w:tc>
          <w:tcPr>
            <w:tcW w:w="2201" w:type="dxa"/>
            <w:vAlign w:val="top"/>
          </w:tcPr>
          <w:p w14:paraId="7FE5E70F">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十四、交通运输支出</w:t>
            </w:r>
          </w:p>
        </w:tc>
        <w:tc>
          <w:tcPr>
            <w:tcW w:w="1168" w:type="dxa"/>
            <w:vAlign w:val="top"/>
          </w:tcPr>
          <w:p w14:paraId="3A367545">
            <w:pPr>
              <w:pStyle w:val="6"/>
            </w:pPr>
          </w:p>
        </w:tc>
        <w:tc>
          <w:tcPr>
            <w:tcW w:w="1153" w:type="dxa"/>
            <w:vAlign w:val="top"/>
          </w:tcPr>
          <w:p w14:paraId="0F0DD24B">
            <w:pPr>
              <w:pStyle w:val="6"/>
            </w:pPr>
          </w:p>
        </w:tc>
        <w:tc>
          <w:tcPr>
            <w:tcW w:w="756" w:type="dxa"/>
            <w:vAlign w:val="top"/>
          </w:tcPr>
          <w:p w14:paraId="7FCE91ED">
            <w:pPr>
              <w:pStyle w:val="6"/>
            </w:pPr>
          </w:p>
        </w:tc>
      </w:tr>
      <w:tr w14:paraId="4943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6C264BA2">
            <w:pPr>
              <w:pStyle w:val="6"/>
            </w:pPr>
          </w:p>
        </w:tc>
        <w:tc>
          <w:tcPr>
            <w:tcW w:w="1153" w:type="dxa"/>
            <w:vAlign w:val="top"/>
          </w:tcPr>
          <w:p w14:paraId="2CB6F515">
            <w:pPr>
              <w:pStyle w:val="6"/>
            </w:pPr>
          </w:p>
        </w:tc>
        <w:tc>
          <w:tcPr>
            <w:tcW w:w="2201" w:type="dxa"/>
            <w:vAlign w:val="top"/>
          </w:tcPr>
          <w:p w14:paraId="49D730C5">
            <w:pPr>
              <w:spacing w:before="78" w:line="218" w:lineRule="auto"/>
              <w:ind w:left="7" w:right="205"/>
              <w:rPr>
                <w:rFonts w:ascii="宋体" w:hAnsi="宋体" w:eastAsia="宋体" w:cs="宋体"/>
                <w:sz w:val="18"/>
                <w:szCs w:val="18"/>
              </w:rPr>
            </w:pPr>
            <w:r>
              <w:rPr>
                <w:rFonts w:ascii="宋体" w:hAnsi="宋体" w:eastAsia="宋体" w:cs="宋体"/>
                <w:color w:val="212529"/>
                <w:spacing w:val="-1"/>
                <w:sz w:val="18"/>
                <w:szCs w:val="18"/>
              </w:rPr>
              <w:t>十五、资源勘探工业信息</w:t>
            </w:r>
            <w:r>
              <w:rPr>
                <w:rFonts w:ascii="宋体" w:hAnsi="宋体" w:eastAsia="宋体" w:cs="宋体"/>
                <w:color w:val="212529"/>
                <w:spacing w:val="-2"/>
                <w:sz w:val="18"/>
                <w:szCs w:val="18"/>
              </w:rPr>
              <w:t>等支出</w:t>
            </w:r>
          </w:p>
        </w:tc>
        <w:tc>
          <w:tcPr>
            <w:tcW w:w="1168" w:type="dxa"/>
            <w:vAlign w:val="top"/>
          </w:tcPr>
          <w:p w14:paraId="2AF18B9A">
            <w:pPr>
              <w:pStyle w:val="6"/>
            </w:pPr>
          </w:p>
        </w:tc>
        <w:tc>
          <w:tcPr>
            <w:tcW w:w="1153" w:type="dxa"/>
            <w:vAlign w:val="top"/>
          </w:tcPr>
          <w:p w14:paraId="47A72BA4">
            <w:pPr>
              <w:pStyle w:val="6"/>
            </w:pPr>
          </w:p>
        </w:tc>
        <w:tc>
          <w:tcPr>
            <w:tcW w:w="756" w:type="dxa"/>
            <w:vAlign w:val="top"/>
          </w:tcPr>
          <w:p w14:paraId="43C3594B">
            <w:pPr>
              <w:pStyle w:val="6"/>
            </w:pPr>
          </w:p>
        </w:tc>
      </w:tr>
      <w:tr w14:paraId="146E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513DCA64">
            <w:pPr>
              <w:pStyle w:val="6"/>
            </w:pPr>
          </w:p>
        </w:tc>
        <w:tc>
          <w:tcPr>
            <w:tcW w:w="1153" w:type="dxa"/>
            <w:vAlign w:val="top"/>
          </w:tcPr>
          <w:p w14:paraId="48F5FE6B">
            <w:pPr>
              <w:pStyle w:val="6"/>
            </w:pPr>
          </w:p>
        </w:tc>
        <w:tc>
          <w:tcPr>
            <w:tcW w:w="2201" w:type="dxa"/>
            <w:vAlign w:val="top"/>
          </w:tcPr>
          <w:p w14:paraId="08AEDE6A">
            <w:pPr>
              <w:spacing w:before="183" w:line="219" w:lineRule="auto"/>
              <w:ind w:left="7"/>
              <w:rPr>
                <w:rFonts w:ascii="宋体" w:hAnsi="宋体" w:eastAsia="宋体" w:cs="宋体"/>
                <w:sz w:val="18"/>
                <w:szCs w:val="18"/>
              </w:rPr>
            </w:pPr>
            <w:r>
              <w:rPr>
                <w:rFonts w:ascii="宋体" w:hAnsi="宋体" w:eastAsia="宋体" w:cs="宋体"/>
                <w:color w:val="212529"/>
                <w:spacing w:val="-1"/>
                <w:sz w:val="18"/>
                <w:szCs w:val="18"/>
              </w:rPr>
              <w:t>十六、商业服务业等支出</w:t>
            </w:r>
          </w:p>
        </w:tc>
        <w:tc>
          <w:tcPr>
            <w:tcW w:w="1168" w:type="dxa"/>
            <w:vAlign w:val="top"/>
          </w:tcPr>
          <w:p w14:paraId="084A1CCF">
            <w:pPr>
              <w:pStyle w:val="6"/>
            </w:pPr>
          </w:p>
        </w:tc>
        <w:tc>
          <w:tcPr>
            <w:tcW w:w="1153" w:type="dxa"/>
            <w:vAlign w:val="top"/>
          </w:tcPr>
          <w:p w14:paraId="38508B87">
            <w:pPr>
              <w:pStyle w:val="6"/>
            </w:pPr>
          </w:p>
        </w:tc>
        <w:tc>
          <w:tcPr>
            <w:tcW w:w="756" w:type="dxa"/>
            <w:vAlign w:val="top"/>
          </w:tcPr>
          <w:p w14:paraId="7C8FCC2D">
            <w:pPr>
              <w:pStyle w:val="6"/>
            </w:pPr>
          </w:p>
        </w:tc>
      </w:tr>
      <w:tr w14:paraId="4901C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5E22A0BA">
            <w:pPr>
              <w:pStyle w:val="6"/>
            </w:pPr>
          </w:p>
        </w:tc>
        <w:tc>
          <w:tcPr>
            <w:tcW w:w="1153" w:type="dxa"/>
            <w:vAlign w:val="top"/>
          </w:tcPr>
          <w:p w14:paraId="2BDAEA1D">
            <w:pPr>
              <w:pStyle w:val="6"/>
            </w:pPr>
          </w:p>
        </w:tc>
        <w:tc>
          <w:tcPr>
            <w:tcW w:w="2201" w:type="dxa"/>
            <w:vAlign w:val="top"/>
          </w:tcPr>
          <w:p w14:paraId="1E8A01C9">
            <w:pPr>
              <w:spacing w:before="184" w:line="219" w:lineRule="auto"/>
              <w:ind w:left="7"/>
              <w:rPr>
                <w:rFonts w:ascii="宋体" w:hAnsi="宋体" w:eastAsia="宋体" w:cs="宋体"/>
                <w:sz w:val="18"/>
                <w:szCs w:val="18"/>
              </w:rPr>
            </w:pPr>
            <w:r>
              <w:rPr>
                <w:rFonts w:ascii="宋体" w:hAnsi="宋体" w:eastAsia="宋体" w:cs="宋体"/>
                <w:color w:val="212529"/>
                <w:spacing w:val="-1"/>
                <w:sz w:val="18"/>
                <w:szCs w:val="18"/>
              </w:rPr>
              <w:t>十七、金融支出</w:t>
            </w:r>
          </w:p>
        </w:tc>
        <w:tc>
          <w:tcPr>
            <w:tcW w:w="1168" w:type="dxa"/>
            <w:vAlign w:val="top"/>
          </w:tcPr>
          <w:p w14:paraId="61C9FF9B">
            <w:pPr>
              <w:pStyle w:val="6"/>
            </w:pPr>
          </w:p>
        </w:tc>
        <w:tc>
          <w:tcPr>
            <w:tcW w:w="1153" w:type="dxa"/>
            <w:vAlign w:val="top"/>
          </w:tcPr>
          <w:p w14:paraId="4EE1F7DB">
            <w:pPr>
              <w:pStyle w:val="6"/>
            </w:pPr>
          </w:p>
        </w:tc>
        <w:tc>
          <w:tcPr>
            <w:tcW w:w="756" w:type="dxa"/>
            <w:vAlign w:val="top"/>
          </w:tcPr>
          <w:p w14:paraId="35A3D56E">
            <w:pPr>
              <w:pStyle w:val="6"/>
            </w:pPr>
          </w:p>
        </w:tc>
      </w:tr>
      <w:tr w14:paraId="31EEB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57B12C53">
            <w:pPr>
              <w:pStyle w:val="6"/>
            </w:pPr>
          </w:p>
        </w:tc>
        <w:tc>
          <w:tcPr>
            <w:tcW w:w="1153" w:type="dxa"/>
            <w:vAlign w:val="top"/>
          </w:tcPr>
          <w:p w14:paraId="4EA278CF">
            <w:pPr>
              <w:pStyle w:val="6"/>
            </w:pPr>
          </w:p>
        </w:tc>
        <w:tc>
          <w:tcPr>
            <w:tcW w:w="2201" w:type="dxa"/>
            <w:vAlign w:val="top"/>
          </w:tcPr>
          <w:p w14:paraId="217C5194">
            <w:pPr>
              <w:spacing w:before="184" w:line="219" w:lineRule="auto"/>
              <w:ind w:left="7"/>
              <w:rPr>
                <w:rFonts w:ascii="宋体" w:hAnsi="宋体" w:eastAsia="宋体" w:cs="宋体"/>
                <w:sz w:val="18"/>
                <w:szCs w:val="18"/>
              </w:rPr>
            </w:pPr>
            <w:r>
              <w:rPr>
                <w:rFonts w:ascii="宋体" w:hAnsi="宋体" w:eastAsia="宋体" w:cs="宋体"/>
                <w:color w:val="212529"/>
                <w:spacing w:val="-1"/>
                <w:sz w:val="18"/>
                <w:szCs w:val="18"/>
              </w:rPr>
              <w:t>十八、援助其他地区支出</w:t>
            </w:r>
          </w:p>
        </w:tc>
        <w:tc>
          <w:tcPr>
            <w:tcW w:w="1168" w:type="dxa"/>
            <w:vAlign w:val="top"/>
          </w:tcPr>
          <w:p w14:paraId="2ADDCC42">
            <w:pPr>
              <w:pStyle w:val="6"/>
            </w:pPr>
          </w:p>
        </w:tc>
        <w:tc>
          <w:tcPr>
            <w:tcW w:w="1153" w:type="dxa"/>
            <w:vAlign w:val="top"/>
          </w:tcPr>
          <w:p w14:paraId="681F7A88">
            <w:pPr>
              <w:pStyle w:val="6"/>
            </w:pPr>
          </w:p>
        </w:tc>
        <w:tc>
          <w:tcPr>
            <w:tcW w:w="756" w:type="dxa"/>
            <w:vAlign w:val="top"/>
          </w:tcPr>
          <w:p w14:paraId="5FC9B576">
            <w:pPr>
              <w:pStyle w:val="6"/>
            </w:pPr>
          </w:p>
        </w:tc>
      </w:tr>
      <w:tr w14:paraId="42B0D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7035EC59">
            <w:pPr>
              <w:pStyle w:val="6"/>
            </w:pPr>
          </w:p>
        </w:tc>
        <w:tc>
          <w:tcPr>
            <w:tcW w:w="1153" w:type="dxa"/>
            <w:vAlign w:val="top"/>
          </w:tcPr>
          <w:p w14:paraId="141ACB00">
            <w:pPr>
              <w:pStyle w:val="6"/>
            </w:pPr>
          </w:p>
        </w:tc>
        <w:tc>
          <w:tcPr>
            <w:tcW w:w="2201" w:type="dxa"/>
            <w:vAlign w:val="top"/>
          </w:tcPr>
          <w:p w14:paraId="0C56F91C">
            <w:pPr>
              <w:spacing w:before="78" w:line="218" w:lineRule="auto"/>
              <w:ind w:left="7" w:right="205"/>
              <w:rPr>
                <w:rFonts w:ascii="宋体" w:hAnsi="宋体" w:eastAsia="宋体" w:cs="宋体"/>
                <w:sz w:val="18"/>
                <w:szCs w:val="18"/>
              </w:rPr>
            </w:pPr>
            <w:r>
              <w:rPr>
                <w:rFonts w:ascii="宋体" w:hAnsi="宋体" w:eastAsia="宋体" w:cs="宋体"/>
                <w:color w:val="212529"/>
                <w:spacing w:val="-1"/>
                <w:sz w:val="18"/>
                <w:szCs w:val="18"/>
              </w:rPr>
              <w:t>十九、自然资源海洋气象</w:t>
            </w:r>
            <w:r>
              <w:rPr>
                <w:rFonts w:ascii="宋体" w:hAnsi="宋体" w:eastAsia="宋体" w:cs="宋体"/>
                <w:color w:val="212529"/>
                <w:spacing w:val="-2"/>
                <w:sz w:val="18"/>
                <w:szCs w:val="18"/>
              </w:rPr>
              <w:t>等支出</w:t>
            </w:r>
          </w:p>
        </w:tc>
        <w:tc>
          <w:tcPr>
            <w:tcW w:w="1168" w:type="dxa"/>
            <w:vAlign w:val="top"/>
          </w:tcPr>
          <w:p w14:paraId="6C8B3B01">
            <w:pPr>
              <w:pStyle w:val="6"/>
            </w:pPr>
          </w:p>
        </w:tc>
        <w:tc>
          <w:tcPr>
            <w:tcW w:w="1153" w:type="dxa"/>
            <w:vAlign w:val="top"/>
          </w:tcPr>
          <w:p w14:paraId="207217D6">
            <w:pPr>
              <w:pStyle w:val="6"/>
            </w:pPr>
          </w:p>
        </w:tc>
        <w:tc>
          <w:tcPr>
            <w:tcW w:w="756" w:type="dxa"/>
            <w:vAlign w:val="top"/>
          </w:tcPr>
          <w:p w14:paraId="0E26E85B">
            <w:pPr>
              <w:pStyle w:val="6"/>
            </w:pPr>
          </w:p>
        </w:tc>
      </w:tr>
      <w:tr w14:paraId="62FD1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119" w:type="dxa"/>
            <w:vAlign w:val="top"/>
          </w:tcPr>
          <w:p w14:paraId="37D4A554">
            <w:pPr>
              <w:pStyle w:val="6"/>
            </w:pPr>
          </w:p>
        </w:tc>
        <w:tc>
          <w:tcPr>
            <w:tcW w:w="1153" w:type="dxa"/>
            <w:vAlign w:val="top"/>
          </w:tcPr>
          <w:p w14:paraId="28F3FFD8">
            <w:pPr>
              <w:pStyle w:val="6"/>
            </w:pPr>
          </w:p>
        </w:tc>
        <w:tc>
          <w:tcPr>
            <w:tcW w:w="2201" w:type="dxa"/>
            <w:vAlign w:val="top"/>
          </w:tcPr>
          <w:p w14:paraId="3D832D6D">
            <w:pPr>
              <w:spacing w:before="183" w:line="219" w:lineRule="auto"/>
              <w:ind w:left="10"/>
              <w:rPr>
                <w:rFonts w:ascii="宋体" w:hAnsi="宋体" w:eastAsia="宋体" w:cs="宋体"/>
                <w:sz w:val="18"/>
                <w:szCs w:val="18"/>
              </w:rPr>
            </w:pPr>
            <w:r>
              <w:rPr>
                <w:rFonts w:ascii="宋体" w:hAnsi="宋体" w:eastAsia="宋体" w:cs="宋体"/>
                <w:color w:val="212529"/>
                <w:spacing w:val="-1"/>
                <w:sz w:val="18"/>
                <w:szCs w:val="18"/>
              </w:rPr>
              <w:t>二十、住房保障支出</w:t>
            </w:r>
          </w:p>
        </w:tc>
        <w:tc>
          <w:tcPr>
            <w:tcW w:w="1168" w:type="dxa"/>
            <w:vAlign w:val="top"/>
          </w:tcPr>
          <w:p w14:paraId="17D1FBE8">
            <w:pPr>
              <w:spacing w:before="184" w:line="238" w:lineRule="auto"/>
              <w:ind w:right="24"/>
              <w:jc w:val="right"/>
              <w:rPr>
                <w:rFonts w:ascii="宋体" w:hAnsi="宋体" w:eastAsia="宋体" w:cs="宋体"/>
                <w:sz w:val="18"/>
                <w:szCs w:val="18"/>
              </w:rPr>
            </w:pPr>
            <w:r>
              <w:rPr>
                <w:rFonts w:ascii="宋体" w:hAnsi="宋体" w:eastAsia="宋体" w:cs="宋体"/>
                <w:color w:val="212529"/>
                <w:spacing w:val="-2"/>
                <w:sz w:val="18"/>
                <w:szCs w:val="18"/>
              </w:rPr>
              <w:t>5.64</w:t>
            </w:r>
          </w:p>
        </w:tc>
        <w:tc>
          <w:tcPr>
            <w:tcW w:w="1153" w:type="dxa"/>
            <w:vAlign w:val="top"/>
          </w:tcPr>
          <w:p w14:paraId="5A34513B">
            <w:pPr>
              <w:spacing w:before="184" w:line="238" w:lineRule="auto"/>
              <w:ind w:right="22"/>
              <w:jc w:val="right"/>
              <w:rPr>
                <w:rFonts w:ascii="宋体" w:hAnsi="宋体" w:eastAsia="宋体" w:cs="宋体"/>
                <w:sz w:val="18"/>
                <w:szCs w:val="18"/>
              </w:rPr>
            </w:pPr>
            <w:r>
              <w:rPr>
                <w:rFonts w:ascii="宋体" w:hAnsi="宋体" w:eastAsia="宋体" w:cs="宋体"/>
                <w:color w:val="212529"/>
                <w:spacing w:val="-2"/>
                <w:sz w:val="18"/>
                <w:szCs w:val="18"/>
              </w:rPr>
              <w:t>5.64</w:t>
            </w:r>
          </w:p>
        </w:tc>
        <w:tc>
          <w:tcPr>
            <w:tcW w:w="756" w:type="dxa"/>
            <w:vAlign w:val="top"/>
          </w:tcPr>
          <w:p w14:paraId="15FF30B5">
            <w:pPr>
              <w:pStyle w:val="6"/>
            </w:pPr>
          </w:p>
        </w:tc>
      </w:tr>
      <w:tr w14:paraId="5FFEE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2119" w:type="dxa"/>
            <w:vAlign w:val="top"/>
          </w:tcPr>
          <w:p w14:paraId="19EAF3E6">
            <w:pPr>
              <w:pStyle w:val="6"/>
            </w:pPr>
          </w:p>
        </w:tc>
        <w:tc>
          <w:tcPr>
            <w:tcW w:w="1153" w:type="dxa"/>
            <w:vAlign w:val="top"/>
          </w:tcPr>
          <w:p w14:paraId="263B3EED">
            <w:pPr>
              <w:pStyle w:val="6"/>
            </w:pPr>
          </w:p>
        </w:tc>
        <w:tc>
          <w:tcPr>
            <w:tcW w:w="2201" w:type="dxa"/>
            <w:vAlign w:val="top"/>
          </w:tcPr>
          <w:p w14:paraId="67DE9296">
            <w:pPr>
              <w:spacing w:before="79" w:line="219" w:lineRule="auto"/>
              <w:ind w:left="22" w:right="215" w:hanging="12"/>
              <w:rPr>
                <w:rFonts w:ascii="宋体" w:hAnsi="宋体" w:eastAsia="宋体" w:cs="宋体"/>
                <w:sz w:val="18"/>
                <w:szCs w:val="18"/>
              </w:rPr>
            </w:pPr>
            <w:r>
              <w:rPr>
                <w:rFonts w:ascii="宋体" w:hAnsi="宋体" w:eastAsia="宋体" w:cs="宋体"/>
                <w:color w:val="212529"/>
                <w:spacing w:val="-2"/>
                <w:sz w:val="18"/>
                <w:szCs w:val="18"/>
              </w:rPr>
              <w:t>二十一、粮油物资储备支</w:t>
            </w:r>
            <w:r>
              <w:rPr>
                <w:rFonts w:ascii="宋体" w:hAnsi="宋体" w:eastAsia="宋体" w:cs="宋体"/>
                <w:color w:val="212529"/>
                <w:sz w:val="18"/>
                <w:szCs w:val="18"/>
              </w:rPr>
              <w:t>出</w:t>
            </w:r>
          </w:p>
        </w:tc>
        <w:tc>
          <w:tcPr>
            <w:tcW w:w="1168" w:type="dxa"/>
            <w:vAlign w:val="top"/>
          </w:tcPr>
          <w:p w14:paraId="4368D8DE">
            <w:pPr>
              <w:pStyle w:val="6"/>
            </w:pPr>
          </w:p>
        </w:tc>
        <w:tc>
          <w:tcPr>
            <w:tcW w:w="1153" w:type="dxa"/>
            <w:vAlign w:val="top"/>
          </w:tcPr>
          <w:p w14:paraId="7A98F26D">
            <w:pPr>
              <w:pStyle w:val="6"/>
            </w:pPr>
          </w:p>
        </w:tc>
        <w:tc>
          <w:tcPr>
            <w:tcW w:w="756" w:type="dxa"/>
            <w:vAlign w:val="top"/>
          </w:tcPr>
          <w:p w14:paraId="38BE177A">
            <w:pPr>
              <w:pStyle w:val="6"/>
            </w:pPr>
          </w:p>
        </w:tc>
      </w:tr>
    </w:tbl>
    <w:p w14:paraId="718B23AC">
      <w:pPr>
        <w:pStyle w:val="2"/>
      </w:pPr>
    </w:p>
    <w:p w14:paraId="263A8DDB">
      <w:pPr>
        <w:sectPr>
          <w:headerReference r:id="rId10" w:type="default"/>
          <w:footerReference r:id="rId11" w:type="default"/>
          <w:pgSz w:w="11900" w:h="16840"/>
          <w:pgMar w:top="642" w:right="0" w:bottom="340" w:left="0" w:header="326" w:footer="91" w:gutter="0"/>
          <w:cols w:space="720" w:num="1"/>
        </w:sectPr>
      </w:pPr>
    </w:p>
    <w:p w14:paraId="660AA127">
      <w:pPr>
        <w:spacing w:before="38"/>
      </w:pPr>
    </w:p>
    <w:p w14:paraId="0AC78874">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19"/>
        <w:gridCol w:w="1153"/>
        <w:gridCol w:w="2201"/>
        <w:gridCol w:w="1168"/>
        <w:gridCol w:w="1153"/>
        <w:gridCol w:w="756"/>
      </w:tblGrid>
      <w:tr w14:paraId="6628A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31" w:hRule="atLeast"/>
        </w:trPr>
        <w:tc>
          <w:tcPr>
            <w:tcW w:w="2119" w:type="dxa"/>
            <w:vAlign w:val="top"/>
          </w:tcPr>
          <w:p w14:paraId="15DB8C76">
            <w:pPr>
              <w:pStyle w:val="6"/>
            </w:pPr>
          </w:p>
        </w:tc>
        <w:tc>
          <w:tcPr>
            <w:tcW w:w="1153" w:type="dxa"/>
            <w:vAlign w:val="top"/>
          </w:tcPr>
          <w:p w14:paraId="545AEB7F">
            <w:pPr>
              <w:pStyle w:val="6"/>
            </w:pPr>
          </w:p>
        </w:tc>
        <w:tc>
          <w:tcPr>
            <w:tcW w:w="2201" w:type="dxa"/>
            <w:vAlign w:val="top"/>
          </w:tcPr>
          <w:p w14:paraId="4323B229">
            <w:pPr>
              <w:spacing w:before="55" w:line="218" w:lineRule="auto"/>
              <w:ind w:left="7" w:right="205" w:firstLine="2"/>
              <w:rPr>
                <w:rFonts w:ascii="宋体" w:hAnsi="宋体" w:eastAsia="宋体" w:cs="宋体"/>
                <w:sz w:val="18"/>
                <w:szCs w:val="18"/>
              </w:rPr>
            </w:pPr>
            <w:bookmarkStart w:id="8" w:name="bookmark37"/>
            <w:bookmarkEnd w:id="8"/>
            <w:r>
              <w:rPr>
                <w:rFonts w:ascii="宋体" w:hAnsi="宋体" w:eastAsia="宋体" w:cs="宋体"/>
                <w:color w:val="212529"/>
                <w:spacing w:val="-1"/>
                <w:sz w:val="18"/>
                <w:szCs w:val="18"/>
              </w:rPr>
              <w:t>二十二、国有资本经营预</w:t>
            </w:r>
            <w:r>
              <w:rPr>
                <w:rFonts w:ascii="宋体" w:hAnsi="宋体" w:eastAsia="宋体" w:cs="宋体"/>
                <w:color w:val="212529"/>
                <w:spacing w:val="-2"/>
                <w:sz w:val="18"/>
                <w:szCs w:val="18"/>
              </w:rPr>
              <w:t>算支出</w:t>
            </w:r>
          </w:p>
        </w:tc>
        <w:tc>
          <w:tcPr>
            <w:tcW w:w="1168" w:type="dxa"/>
            <w:vAlign w:val="top"/>
          </w:tcPr>
          <w:p w14:paraId="71D50B46">
            <w:pPr>
              <w:pStyle w:val="6"/>
            </w:pPr>
          </w:p>
        </w:tc>
        <w:tc>
          <w:tcPr>
            <w:tcW w:w="1153" w:type="dxa"/>
            <w:vAlign w:val="top"/>
          </w:tcPr>
          <w:p w14:paraId="4F3670E9">
            <w:pPr>
              <w:pStyle w:val="6"/>
            </w:pPr>
          </w:p>
        </w:tc>
        <w:tc>
          <w:tcPr>
            <w:tcW w:w="756" w:type="dxa"/>
            <w:vAlign w:val="top"/>
          </w:tcPr>
          <w:p w14:paraId="272EB62D">
            <w:pPr>
              <w:pStyle w:val="6"/>
            </w:pPr>
          </w:p>
        </w:tc>
      </w:tr>
      <w:tr w14:paraId="121DC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119" w:type="dxa"/>
            <w:vAlign w:val="top"/>
          </w:tcPr>
          <w:p w14:paraId="4CE00FDB">
            <w:pPr>
              <w:pStyle w:val="6"/>
            </w:pPr>
          </w:p>
        </w:tc>
        <w:tc>
          <w:tcPr>
            <w:tcW w:w="1153" w:type="dxa"/>
            <w:vAlign w:val="top"/>
          </w:tcPr>
          <w:p w14:paraId="7B46D745">
            <w:pPr>
              <w:pStyle w:val="6"/>
            </w:pPr>
          </w:p>
        </w:tc>
        <w:tc>
          <w:tcPr>
            <w:tcW w:w="2201" w:type="dxa"/>
            <w:vAlign w:val="top"/>
          </w:tcPr>
          <w:p w14:paraId="0C0C4D6A">
            <w:pPr>
              <w:spacing w:before="49" w:line="218" w:lineRule="auto"/>
              <w:ind w:left="10" w:right="205"/>
              <w:rPr>
                <w:rFonts w:ascii="宋体" w:hAnsi="宋体" w:eastAsia="宋体" w:cs="宋体"/>
                <w:sz w:val="18"/>
                <w:szCs w:val="18"/>
              </w:rPr>
            </w:pPr>
            <w:r>
              <w:rPr>
                <w:rFonts w:ascii="宋体" w:hAnsi="宋体" w:eastAsia="宋体" w:cs="宋体"/>
                <w:color w:val="212529"/>
                <w:spacing w:val="-1"/>
                <w:sz w:val="18"/>
                <w:szCs w:val="18"/>
              </w:rPr>
              <w:t>二十三、灾害防治及应急</w:t>
            </w:r>
            <w:r>
              <w:rPr>
                <w:rFonts w:ascii="宋体" w:hAnsi="宋体" w:eastAsia="宋体" w:cs="宋体"/>
                <w:color w:val="212529"/>
                <w:spacing w:val="-2"/>
                <w:sz w:val="18"/>
                <w:szCs w:val="18"/>
              </w:rPr>
              <w:t>管理支出</w:t>
            </w:r>
          </w:p>
        </w:tc>
        <w:tc>
          <w:tcPr>
            <w:tcW w:w="1168" w:type="dxa"/>
            <w:vAlign w:val="top"/>
          </w:tcPr>
          <w:p w14:paraId="56E7A8C0">
            <w:pPr>
              <w:pStyle w:val="6"/>
            </w:pPr>
          </w:p>
        </w:tc>
        <w:tc>
          <w:tcPr>
            <w:tcW w:w="1153" w:type="dxa"/>
            <w:vAlign w:val="top"/>
          </w:tcPr>
          <w:p w14:paraId="52E880E1">
            <w:pPr>
              <w:pStyle w:val="6"/>
            </w:pPr>
          </w:p>
        </w:tc>
        <w:tc>
          <w:tcPr>
            <w:tcW w:w="756" w:type="dxa"/>
            <w:vAlign w:val="top"/>
          </w:tcPr>
          <w:p w14:paraId="0467B774">
            <w:pPr>
              <w:pStyle w:val="6"/>
            </w:pPr>
          </w:p>
        </w:tc>
      </w:tr>
      <w:tr w14:paraId="2AA8C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BA8BD52">
            <w:pPr>
              <w:pStyle w:val="6"/>
            </w:pPr>
          </w:p>
        </w:tc>
        <w:tc>
          <w:tcPr>
            <w:tcW w:w="1153" w:type="dxa"/>
            <w:vAlign w:val="top"/>
          </w:tcPr>
          <w:p w14:paraId="75C9D90A">
            <w:pPr>
              <w:pStyle w:val="6"/>
            </w:pPr>
          </w:p>
        </w:tc>
        <w:tc>
          <w:tcPr>
            <w:tcW w:w="2201" w:type="dxa"/>
            <w:vAlign w:val="top"/>
          </w:tcPr>
          <w:p w14:paraId="15ACDD9B">
            <w:pPr>
              <w:spacing w:before="157" w:line="219" w:lineRule="auto"/>
              <w:ind w:left="10"/>
              <w:rPr>
                <w:rFonts w:ascii="宋体" w:hAnsi="宋体" w:eastAsia="宋体" w:cs="宋体"/>
                <w:sz w:val="18"/>
                <w:szCs w:val="18"/>
              </w:rPr>
            </w:pPr>
            <w:r>
              <w:rPr>
                <w:rFonts w:ascii="宋体" w:hAnsi="宋体" w:eastAsia="宋体" w:cs="宋体"/>
                <w:color w:val="212529"/>
                <w:spacing w:val="-2"/>
                <w:sz w:val="18"/>
                <w:szCs w:val="18"/>
              </w:rPr>
              <w:t>二十四、预备费</w:t>
            </w:r>
          </w:p>
        </w:tc>
        <w:tc>
          <w:tcPr>
            <w:tcW w:w="1168" w:type="dxa"/>
            <w:vAlign w:val="top"/>
          </w:tcPr>
          <w:p w14:paraId="280CD54A">
            <w:pPr>
              <w:pStyle w:val="6"/>
            </w:pPr>
          </w:p>
        </w:tc>
        <w:tc>
          <w:tcPr>
            <w:tcW w:w="1153" w:type="dxa"/>
            <w:vAlign w:val="top"/>
          </w:tcPr>
          <w:p w14:paraId="55E38FA6">
            <w:pPr>
              <w:pStyle w:val="6"/>
            </w:pPr>
          </w:p>
        </w:tc>
        <w:tc>
          <w:tcPr>
            <w:tcW w:w="756" w:type="dxa"/>
            <w:vAlign w:val="top"/>
          </w:tcPr>
          <w:p w14:paraId="7F550DE1">
            <w:pPr>
              <w:pStyle w:val="6"/>
            </w:pPr>
          </w:p>
        </w:tc>
      </w:tr>
      <w:tr w14:paraId="7B8F6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4FEE298">
            <w:pPr>
              <w:pStyle w:val="6"/>
            </w:pPr>
          </w:p>
        </w:tc>
        <w:tc>
          <w:tcPr>
            <w:tcW w:w="1153" w:type="dxa"/>
            <w:vAlign w:val="top"/>
          </w:tcPr>
          <w:p w14:paraId="570811B0">
            <w:pPr>
              <w:pStyle w:val="6"/>
            </w:pPr>
          </w:p>
        </w:tc>
        <w:tc>
          <w:tcPr>
            <w:tcW w:w="2201" w:type="dxa"/>
            <w:vAlign w:val="top"/>
          </w:tcPr>
          <w:p w14:paraId="7ED808D1">
            <w:pPr>
              <w:spacing w:before="158" w:line="219" w:lineRule="auto"/>
              <w:ind w:left="10"/>
              <w:rPr>
                <w:rFonts w:ascii="宋体" w:hAnsi="宋体" w:eastAsia="宋体" w:cs="宋体"/>
                <w:sz w:val="18"/>
                <w:szCs w:val="18"/>
              </w:rPr>
            </w:pPr>
            <w:r>
              <w:rPr>
                <w:rFonts w:ascii="宋体" w:hAnsi="宋体" w:eastAsia="宋体" w:cs="宋体"/>
                <w:color w:val="212529"/>
                <w:spacing w:val="-2"/>
                <w:sz w:val="18"/>
                <w:szCs w:val="18"/>
              </w:rPr>
              <w:t>二十五、其他支出</w:t>
            </w:r>
          </w:p>
        </w:tc>
        <w:tc>
          <w:tcPr>
            <w:tcW w:w="1168" w:type="dxa"/>
            <w:vAlign w:val="top"/>
          </w:tcPr>
          <w:p w14:paraId="22C9CCA0">
            <w:pPr>
              <w:pStyle w:val="6"/>
            </w:pPr>
          </w:p>
        </w:tc>
        <w:tc>
          <w:tcPr>
            <w:tcW w:w="1153" w:type="dxa"/>
            <w:vAlign w:val="top"/>
          </w:tcPr>
          <w:p w14:paraId="2BD4F0AC">
            <w:pPr>
              <w:pStyle w:val="6"/>
            </w:pPr>
          </w:p>
        </w:tc>
        <w:tc>
          <w:tcPr>
            <w:tcW w:w="756" w:type="dxa"/>
            <w:vAlign w:val="top"/>
          </w:tcPr>
          <w:p w14:paraId="29009876">
            <w:pPr>
              <w:pStyle w:val="6"/>
            </w:pPr>
          </w:p>
        </w:tc>
      </w:tr>
      <w:tr w14:paraId="7526F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3E9D8CDB">
            <w:pPr>
              <w:pStyle w:val="6"/>
            </w:pPr>
          </w:p>
        </w:tc>
        <w:tc>
          <w:tcPr>
            <w:tcW w:w="1153" w:type="dxa"/>
            <w:vAlign w:val="top"/>
          </w:tcPr>
          <w:p w14:paraId="1B210752">
            <w:pPr>
              <w:pStyle w:val="6"/>
            </w:pPr>
          </w:p>
        </w:tc>
        <w:tc>
          <w:tcPr>
            <w:tcW w:w="2201" w:type="dxa"/>
            <w:vAlign w:val="top"/>
          </w:tcPr>
          <w:p w14:paraId="0030E248">
            <w:pPr>
              <w:spacing w:before="159" w:line="219" w:lineRule="auto"/>
              <w:ind w:left="10"/>
              <w:rPr>
                <w:rFonts w:ascii="宋体" w:hAnsi="宋体" w:eastAsia="宋体" w:cs="宋体"/>
                <w:sz w:val="18"/>
                <w:szCs w:val="18"/>
              </w:rPr>
            </w:pPr>
            <w:r>
              <w:rPr>
                <w:rFonts w:ascii="宋体" w:hAnsi="宋体" w:eastAsia="宋体" w:cs="宋体"/>
                <w:color w:val="212529"/>
                <w:spacing w:val="-1"/>
                <w:sz w:val="18"/>
                <w:szCs w:val="18"/>
              </w:rPr>
              <w:t>二十六、转移性支出</w:t>
            </w:r>
          </w:p>
        </w:tc>
        <w:tc>
          <w:tcPr>
            <w:tcW w:w="1168" w:type="dxa"/>
            <w:vAlign w:val="top"/>
          </w:tcPr>
          <w:p w14:paraId="102E6A3E">
            <w:pPr>
              <w:pStyle w:val="6"/>
            </w:pPr>
          </w:p>
        </w:tc>
        <w:tc>
          <w:tcPr>
            <w:tcW w:w="1153" w:type="dxa"/>
            <w:vAlign w:val="top"/>
          </w:tcPr>
          <w:p w14:paraId="7AE1E7FA">
            <w:pPr>
              <w:pStyle w:val="6"/>
            </w:pPr>
          </w:p>
        </w:tc>
        <w:tc>
          <w:tcPr>
            <w:tcW w:w="756" w:type="dxa"/>
            <w:vAlign w:val="top"/>
          </w:tcPr>
          <w:p w14:paraId="24F20247">
            <w:pPr>
              <w:pStyle w:val="6"/>
            </w:pPr>
          </w:p>
        </w:tc>
      </w:tr>
      <w:tr w14:paraId="44167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912D973">
            <w:pPr>
              <w:pStyle w:val="6"/>
            </w:pPr>
          </w:p>
        </w:tc>
        <w:tc>
          <w:tcPr>
            <w:tcW w:w="1153" w:type="dxa"/>
            <w:vAlign w:val="top"/>
          </w:tcPr>
          <w:p w14:paraId="4248EC73">
            <w:pPr>
              <w:pStyle w:val="6"/>
            </w:pPr>
          </w:p>
        </w:tc>
        <w:tc>
          <w:tcPr>
            <w:tcW w:w="2201" w:type="dxa"/>
            <w:vAlign w:val="top"/>
          </w:tcPr>
          <w:p w14:paraId="668EFAF4">
            <w:pPr>
              <w:spacing w:before="159" w:line="218" w:lineRule="auto"/>
              <w:ind w:left="10"/>
              <w:rPr>
                <w:rFonts w:ascii="宋体" w:hAnsi="宋体" w:eastAsia="宋体" w:cs="宋体"/>
                <w:sz w:val="18"/>
                <w:szCs w:val="18"/>
              </w:rPr>
            </w:pPr>
            <w:r>
              <w:rPr>
                <w:rFonts w:ascii="宋体" w:hAnsi="宋体" w:eastAsia="宋体" w:cs="宋体"/>
                <w:color w:val="212529"/>
                <w:spacing w:val="-1"/>
                <w:sz w:val="18"/>
                <w:szCs w:val="18"/>
              </w:rPr>
              <w:t>二十七、债务还本支出</w:t>
            </w:r>
          </w:p>
        </w:tc>
        <w:tc>
          <w:tcPr>
            <w:tcW w:w="1168" w:type="dxa"/>
            <w:vAlign w:val="top"/>
          </w:tcPr>
          <w:p w14:paraId="6D4D4BA6">
            <w:pPr>
              <w:pStyle w:val="6"/>
            </w:pPr>
          </w:p>
        </w:tc>
        <w:tc>
          <w:tcPr>
            <w:tcW w:w="1153" w:type="dxa"/>
            <w:vAlign w:val="top"/>
          </w:tcPr>
          <w:p w14:paraId="647EB96A">
            <w:pPr>
              <w:pStyle w:val="6"/>
            </w:pPr>
          </w:p>
        </w:tc>
        <w:tc>
          <w:tcPr>
            <w:tcW w:w="756" w:type="dxa"/>
            <w:vAlign w:val="top"/>
          </w:tcPr>
          <w:p w14:paraId="567EF57D">
            <w:pPr>
              <w:pStyle w:val="6"/>
            </w:pPr>
          </w:p>
        </w:tc>
      </w:tr>
      <w:tr w14:paraId="150AB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7025ECDF">
            <w:pPr>
              <w:pStyle w:val="6"/>
            </w:pPr>
          </w:p>
        </w:tc>
        <w:tc>
          <w:tcPr>
            <w:tcW w:w="1153" w:type="dxa"/>
            <w:vAlign w:val="top"/>
          </w:tcPr>
          <w:p w14:paraId="6524D57E">
            <w:pPr>
              <w:pStyle w:val="6"/>
            </w:pPr>
          </w:p>
        </w:tc>
        <w:tc>
          <w:tcPr>
            <w:tcW w:w="2201" w:type="dxa"/>
            <w:vAlign w:val="top"/>
          </w:tcPr>
          <w:p w14:paraId="185AF14D">
            <w:pPr>
              <w:spacing w:before="160" w:line="219" w:lineRule="auto"/>
              <w:ind w:left="10"/>
              <w:rPr>
                <w:rFonts w:ascii="宋体" w:hAnsi="宋体" w:eastAsia="宋体" w:cs="宋体"/>
                <w:sz w:val="18"/>
                <w:szCs w:val="18"/>
              </w:rPr>
            </w:pPr>
            <w:r>
              <w:rPr>
                <w:rFonts w:ascii="宋体" w:hAnsi="宋体" w:eastAsia="宋体" w:cs="宋体"/>
                <w:color w:val="212529"/>
                <w:spacing w:val="-1"/>
                <w:sz w:val="18"/>
                <w:szCs w:val="18"/>
              </w:rPr>
              <w:t>二十八、债务付息支出</w:t>
            </w:r>
          </w:p>
        </w:tc>
        <w:tc>
          <w:tcPr>
            <w:tcW w:w="1168" w:type="dxa"/>
            <w:vAlign w:val="top"/>
          </w:tcPr>
          <w:p w14:paraId="515B58F5">
            <w:pPr>
              <w:pStyle w:val="6"/>
            </w:pPr>
          </w:p>
        </w:tc>
        <w:tc>
          <w:tcPr>
            <w:tcW w:w="1153" w:type="dxa"/>
            <w:vAlign w:val="top"/>
          </w:tcPr>
          <w:p w14:paraId="58C32A28">
            <w:pPr>
              <w:pStyle w:val="6"/>
            </w:pPr>
          </w:p>
        </w:tc>
        <w:tc>
          <w:tcPr>
            <w:tcW w:w="756" w:type="dxa"/>
            <w:vAlign w:val="top"/>
          </w:tcPr>
          <w:p w14:paraId="7F4FF779">
            <w:pPr>
              <w:pStyle w:val="6"/>
            </w:pPr>
          </w:p>
        </w:tc>
      </w:tr>
      <w:tr w14:paraId="5E1B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6683438C">
            <w:pPr>
              <w:pStyle w:val="6"/>
            </w:pPr>
          </w:p>
        </w:tc>
        <w:tc>
          <w:tcPr>
            <w:tcW w:w="1153" w:type="dxa"/>
            <w:vAlign w:val="top"/>
          </w:tcPr>
          <w:p w14:paraId="7E23DD2B">
            <w:pPr>
              <w:pStyle w:val="6"/>
            </w:pPr>
          </w:p>
        </w:tc>
        <w:tc>
          <w:tcPr>
            <w:tcW w:w="2201" w:type="dxa"/>
            <w:vAlign w:val="top"/>
          </w:tcPr>
          <w:p w14:paraId="132FCAD5">
            <w:pPr>
              <w:spacing w:before="57" w:line="219" w:lineRule="auto"/>
              <w:ind w:left="22" w:right="205" w:hanging="12"/>
              <w:rPr>
                <w:rFonts w:ascii="宋体" w:hAnsi="宋体" w:eastAsia="宋体" w:cs="宋体"/>
                <w:sz w:val="18"/>
                <w:szCs w:val="18"/>
              </w:rPr>
            </w:pPr>
            <w:r>
              <w:rPr>
                <w:rFonts w:ascii="宋体" w:hAnsi="宋体" w:eastAsia="宋体" w:cs="宋体"/>
                <w:color w:val="212529"/>
                <w:spacing w:val="-1"/>
                <w:sz w:val="18"/>
                <w:szCs w:val="18"/>
              </w:rPr>
              <w:t>二十九、债务发行费用支</w:t>
            </w:r>
            <w:r>
              <w:rPr>
                <w:rFonts w:ascii="宋体" w:hAnsi="宋体" w:eastAsia="宋体" w:cs="宋体"/>
                <w:color w:val="212529"/>
                <w:sz w:val="18"/>
                <w:szCs w:val="18"/>
              </w:rPr>
              <w:t>出</w:t>
            </w:r>
          </w:p>
        </w:tc>
        <w:tc>
          <w:tcPr>
            <w:tcW w:w="1168" w:type="dxa"/>
            <w:vAlign w:val="top"/>
          </w:tcPr>
          <w:p w14:paraId="0DED234C">
            <w:pPr>
              <w:pStyle w:val="6"/>
            </w:pPr>
          </w:p>
        </w:tc>
        <w:tc>
          <w:tcPr>
            <w:tcW w:w="1153" w:type="dxa"/>
            <w:vAlign w:val="top"/>
          </w:tcPr>
          <w:p w14:paraId="48669E72">
            <w:pPr>
              <w:pStyle w:val="6"/>
            </w:pPr>
          </w:p>
        </w:tc>
        <w:tc>
          <w:tcPr>
            <w:tcW w:w="756" w:type="dxa"/>
            <w:vAlign w:val="top"/>
          </w:tcPr>
          <w:p w14:paraId="4E69CDC1">
            <w:pPr>
              <w:pStyle w:val="6"/>
            </w:pPr>
          </w:p>
        </w:tc>
      </w:tr>
      <w:tr w14:paraId="528F3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165253B3">
            <w:pPr>
              <w:pStyle w:val="6"/>
            </w:pPr>
          </w:p>
        </w:tc>
        <w:tc>
          <w:tcPr>
            <w:tcW w:w="1153" w:type="dxa"/>
            <w:vAlign w:val="top"/>
          </w:tcPr>
          <w:p w14:paraId="5F0E8CD2">
            <w:pPr>
              <w:pStyle w:val="6"/>
            </w:pPr>
          </w:p>
        </w:tc>
        <w:tc>
          <w:tcPr>
            <w:tcW w:w="2201" w:type="dxa"/>
            <w:vAlign w:val="top"/>
          </w:tcPr>
          <w:p w14:paraId="2062EAD9">
            <w:pPr>
              <w:spacing w:before="57" w:line="218" w:lineRule="auto"/>
              <w:ind w:left="21" w:right="205" w:hanging="15"/>
              <w:rPr>
                <w:rFonts w:ascii="宋体" w:hAnsi="宋体" w:eastAsia="宋体" w:cs="宋体"/>
                <w:sz w:val="18"/>
                <w:szCs w:val="18"/>
              </w:rPr>
            </w:pPr>
            <w:r>
              <w:rPr>
                <w:rFonts w:ascii="宋体" w:hAnsi="宋体" w:eastAsia="宋体" w:cs="宋体"/>
                <w:color w:val="212529"/>
                <w:spacing w:val="-1"/>
                <w:sz w:val="18"/>
                <w:szCs w:val="18"/>
              </w:rPr>
              <w:t>三十、抗疫特别国债安排</w:t>
            </w:r>
            <w:r>
              <w:rPr>
                <w:rFonts w:ascii="宋体" w:hAnsi="宋体" w:eastAsia="宋体" w:cs="宋体"/>
                <w:color w:val="212529"/>
                <w:spacing w:val="-5"/>
                <w:sz w:val="18"/>
                <w:szCs w:val="18"/>
              </w:rPr>
              <w:t>的支出</w:t>
            </w:r>
          </w:p>
        </w:tc>
        <w:tc>
          <w:tcPr>
            <w:tcW w:w="1168" w:type="dxa"/>
            <w:vAlign w:val="top"/>
          </w:tcPr>
          <w:p w14:paraId="00E76871">
            <w:pPr>
              <w:pStyle w:val="6"/>
            </w:pPr>
          </w:p>
        </w:tc>
        <w:tc>
          <w:tcPr>
            <w:tcW w:w="1153" w:type="dxa"/>
            <w:vAlign w:val="top"/>
          </w:tcPr>
          <w:p w14:paraId="0C9B9C9E">
            <w:pPr>
              <w:pStyle w:val="6"/>
            </w:pPr>
          </w:p>
        </w:tc>
        <w:tc>
          <w:tcPr>
            <w:tcW w:w="756" w:type="dxa"/>
            <w:vAlign w:val="top"/>
          </w:tcPr>
          <w:p w14:paraId="103C0B77">
            <w:pPr>
              <w:pStyle w:val="6"/>
            </w:pPr>
          </w:p>
        </w:tc>
      </w:tr>
      <w:tr w14:paraId="20F5D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087899B">
            <w:pPr>
              <w:pStyle w:val="6"/>
            </w:pPr>
          </w:p>
        </w:tc>
        <w:tc>
          <w:tcPr>
            <w:tcW w:w="1153" w:type="dxa"/>
            <w:vAlign w:val="top"/>
          </w:tcPr>
          <w:p w14:paraId="279F56DE">
            <w:pPr>
              <w:pStyle w:val="6"/>
            </w:pPr>
          </w:p>
        </w:tc>
        <w:tc>
          <w:tcPr>
            <w:tcW w:w="2201" w:type="dxa"/>
            <w:vAlign w:val="top"/>
          </w:tcPr>
          <w:p w14:paraId="1E5D92D3">
            <w:pPr>
              <w:pStyle w:val="6"/>
            </w:pPr>
          </w:p>
        </w:tc>
        <w:tc>
          <w:tcPr>
            <w:tcW w:w="1168" w:type="dxa"/>
            <w:vAlign w:val="top"/>
          </w:tcPr>
          <w:p w14:paraId="38C3B719">
            <w:pPr>
              <w:pStyle w:val="6"/>
            </w:pPr>
          </w:p>
        </w:tc>
        <w:tc>
          <w:tcPr>
            <w:tcW w:w="1153" w:type="dxa"/>
            <w:vAlign w:val="top"/>
          </w:tcPr>
          <w:p w14:paraId="5E6FD5C9">
            <w:pPr>
              <w:pStyle w:val="6"/>
            </w:pPr>
          </w:p>
        </w:tc>
        <w:tc>
          <w:tcPr>
            <w:tcW w:w="756" w:type="dxa"/>
            <w:vAlign w:val="top"/>
          </w:tcPr>
          <w:p w14:paraId="61FBCB86">
            <w:pPr>
              <w:pStyle w:val="6"/>
            </w:pPr>
          </w:p>
        </w:tc>
      </w:tr>
      <w:tr w14:paraId="65B62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4D925D7C">
            <w:pPr>
              <w:spacing w:before="161" w:line="180" w:lineRule="exact"/>
              <w:ind w:left="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1153" w:type="dxa"/>
            <w:vAlign w:val="top"/>
          </w:tcPr>
          <w:p w14:paraId="5990E30A">
            <w:pPr>
              <w:pStyle w:val="6"/>
              <w:spacing w:before="186" w:line="212" w:lineRule="auto"/>
              <w:ind w:left="588"/>
              <w:rPr>
                <w:sz w:val="13"/>
                <w:szCs w:val="13"/>
              </w:rPr>
            </w:pPr>
            <w:r>
              <w:rPr>
                <w:color w:val="212529"/>
                <w:spacing w:val="9"/>
                <w:sz w:val="13"/>
                <w:szCs w:val="13"/>
              </w:rPr>
              <w:t>117.</w:t>
            </w:r>
            <w:r>
              <w:rPr>
                <w:color w:val="212529"/>
                <w:spacing w:val="20"/>
                <w:sz w:val="13"/>
                <w:szCs w:val="13"/>
              </w:rPr>
              <w:t xml:space="preserve"> </w:t>
            </w:r>
            <w:r>
              <w:rPr>
                <w:color w:val="212529"/>
                <w:spacing w:val="9"/>
                <w:sz w:val="13"/>
                <w:szCs w:val="13"/>
              </w:rPr>
              <w:t>21</w:t>
            </w:r>
          </w:p>
        </w:tc>
        <w:tc>
          <w:tcPr>
            <w:tcW w:w="2201" w:type="dxa"/>
            <w:vAlign w:val="top"/>
          </w:tcPr>
          <w:p w14:paraId="4E5152BF">
            <w:pPr>
              <w:spacing w:before="161" w:line="178" w:lineRule="exact"/>
              <w:ind w:left="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1168" w:type="dxa"/>
            <w:vAlign w:val="top"/>
          </w:tcPr>
          <w:p w14:paraId="39678FEA">
            <w:pPr>
              <w:pStyle w:val="6"/>
              <w:spacing w:before="186" w:line="212" w:lineRule="auto"/>
              <w:ind w:left="605"/>
              <w:rPr>
                <w:sz w:val="13"/>
                <w:szCs w:val="13"/>
              </w:rPr>
            </w:pPr>
            <w:r>
              <w:rPr>
                <w:color w:val="212529"/>
                <w:spacing w:val="8"/>
                <w:sz w:val="13"/>
                <w:szCs w:val="13"/>
              </w:rPr>
              <w:t>117.</w:t>
            </w:r>
            <w:r>
              <w:rPr>
                <w:color w:val="212529"/>
                <w:spacing w:val="26"/>
                <w:sz w:val="13"/>
                <w:szCs w:val="13"/>
              </w:rPr>
              <w:t xml:space="preserve"> </w:t>
            </w:r>
            <w:r>
              <w:rPr>
                <w:color w:val="212529"/>
                <w:spacing w:val="8"/>
                <w:sz w:val="13"/>
                <w:szCs w:val="13"/>
              </w:rPr>
              <w:t>21</w:t>
            </w:r>
          </w:p>
        </w:tc>
        <w:tc>
          <w:tcPr>
            <w:tcW w:w="1153" w:type="dxa"/>
            <w:vAlign w:val="top"/>
          </w:tcPr>
          <w:p w14:paraId="3E68B860">
            <w:pPr>
              <w:pStyle w:val="6"/>
              <w:spacing w:before="186" w:line="212" w:lineRule="auto"/>
              <w:ind w:left="593"/>
              <w:rPr>
                <w:sz w:val="13"/>
                <w:szCs w:val="13"/>
              </w:rPr>
            </w:pPr>
            <w:r>
              <w:rPr>
                <w:color w:val="212529"/>
                <w:spacing w:val="9"/>
                <w:sz w:val="13"/>
                <w:szCs w:val="13"/>
              </w:rPr>
              <w:t>117.</w:t>
            </w:r>
            <w:r>
              <w:rPr>
                <w:color w:val="212529"/>
                <w:spacing w:val="20"/>
                <w:sz w:val="13"/>
                <w:szCs w:val="13"/>
              </w:rPr>
              <w:t xml:space="preserve"> </w:t>
            </w:r>
            <w:r>
              <w:rPr>
                <w:color w:val="212529"/>
                <w:spacing w:val="9"/>
                <w:sz w:val="13"/>
                <w:szCs w:val="13"/>
              </w:rPr>
              <w:t>21</w:t>
            </w:r>
          </w:p>
        </w:tc>
        <w:tc>
          <w:tcPr>
            <w:tcW w:w="756" w:type="dxa"/>
            <w:vAlign w:val="top"/>
          </w:tcPr>
          <w:p w14:paraId="29C833F4">
            <w:pPr>
              <w:pStyle w:val="6"/>
            </w:pPr>
          </w:p>
        </w:tc>
      </w:tr>
      <w:tr w14:paraId="285E6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119" w:type="dxa"/>
            <w:vAlign w:val="top"/>
          </w:tcPr>
          <w:p w14:paraId="5489ADFC">
            <w:pPr>
              <w:spacing w:before="165" w:line="219" w:lineRule="auto"/>
              <w:ind w:left="193"/>
              <w:rPr>
                <w:rFonts w:ascii="仿宋" w:hAnsi="仿宋" w:eastAsia="仿宋" w:cs="仿宋"/>
                <w:sz w:val="18"/>
                <w:szCs w:val="18"/>
              </w:rPr>
            </w:pPr>
            <w:r>
              <w:rPr>
                <w:rFonts w:ascii="仿宋" w:hAnsi="仿宋" w:eastAsia="仿宋" w:cs="仿宋"/>
                <w:color w:val="212529"/>
                <w:spacing w:val="-3"/>
                <w:sz w:val="18"/>
                <w:szCs w:val="18"/>
              </w:rPr>
              <w:t>上年结转</w:t>
            </w:r>
          </w:p>
        </w:tc>
        <w:tc>
          <w:tcPr>
            <w:tcW w:w="1153" w:type="dxa"/>
            <w:vAlign w:val="top"/>
          </w:tcPr>
          <w:p w14:paraId="049024BD">
            <w:pPr>
              <w:pStyle w:val="6"/>
            </w:pPr>
          </w:p>
        </w:tc>
        <w:tc>
          <w:tcPr>
            <w:tcW w:w="2201" w:type="dxa"/>
            <w:vAlign w:val="top"/>
          </w:tcPr>
          <w:p w14:paraId="74B01892">
            <w:pPr>
              <w:spacing w:before="165" w:line="219" w:lineRule="auto"/>
              <w:ind w:left="195"/>
              <w:rPr>
                <w:rFonts w:ascii="仿宋" w:hAnsi="仿宋" w:eastAsia="仿宋" w:cs="仿宋"/>
                <w:sz w:val="18"/>
                <w:szCs w:val="18"/>
              </w:rPr>
            </w:pPr>
            <w:r>
              <w:rPr>
                <w:rFonts w:ascii="仿宋" w:hAnsi="仿宋" w:eastAsia="仿宋" w:cs="仿宋"/>
                <w:color w:val="212529"/>
                <w:spacing w:val="-3"/>
                <w:sz w:val="18"/>
                <w:szCs w:val="18"/>
              </w:rPr>
              <w:t>年终结转</w:t>
            </w:r>
          </w:p>
        </w:tc>
        <w:tc>
          <w:tcPr>
            <w:tcW w:w="1168" w:type="dxa"/>
            <w:vAlign w:val="top"/>
          </w:tcPr>
          <w:p w14:paraId="3E04CD06">
            <w:pPr>
              <w:pStyle w:val="6"/>
            </w:pPr>
          </w:p>
        </w:tc>
        <w:tc>
          <w:tcPr>
            <w:tcW w:w="1153" w:type="dxa"/>
            <w:vAlign w:val="top"/>
          </w:tcPr>
          <w:p w14:paraId="11A73882">
            <w:pPr>
              <w:pStyle w:val="6"/>
            </w:pPr>
          </w:p>
        </w:tc>
        <w:tc>
          <w:tcPr>
            <w:tcW w:w="756" w:type="dxa"/>
            <w:vAlign w:val="top"/>
          </w:tcPr>
          <w:p w14:paraId="04F7E4E8">
            <w:pPr>
              <w:pStyle w:val="6"/>
            </w:pPr>
          </w:p>
        </w:tc>
      </w:tr>
      <w:tr w14:paraId="3ECD9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2119" w:type="dxa"/>
            <w:vAlign w:val="top"/>
          </w:tcPr>
          <w:p w14:paraId="04891099">
            <w:pPr>
              <w:spacing w:before="164" w:line="179" w:lineRule="exact"/>
              <w:ind w:left="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收入总计</w:t>
            </w:r>
          </w:p>
        </w:tc>
        <w:tc>
          <w:tcPr>
            <w:tcW w:w="1153" w:type="dxa"/>
            <w:vAlign w:val="top"/>
          </w:tcPr>
          <w:p w14:paraId="170D5243">
            <w:pPr>
              <w:pStyle w:val="6"/>
              <w:spacing w:before="188" w:line="212" w:lineRule="auto"/>
              <w:ind w:left="588"/>
              <w:rPr>
                <w:sz w:val="13"/>
                <w:szCs w:val="13"/>
              </w:rPr>
            </w:pPr>
            <w:r>
              <w:rPr>
                <w:color w:val="212529"/>
                <w:spacing w:val="9"/>
                <w:sz w:val="13"/>
                <w:szCs w:val="13"/>
              </w:rPr>
              <w:t>117.</w:t>
            </w:r>
            <w:r>
              <w:rPr>
                <w:color w:val="212529"/>
                <w:spacing w:val="20"/>
                <w:sz w:val="13"/>
                <w:szCs w:val="13"/>
              </w:rPr>
              <w:t xml:space="preserve"> </w:t>
            </w:r>
            <w:r>
              <w:rPr>
                <w:color w:val="212529"/>
                <w:spacing w:val="9"/>
                <w:sz w:val="13"/>
                <w:szCs w:val="13"/>
              </w:rPr>
              <w:t>21</w:t>
            </w:r>
          </w:p>
        </w:tc>
        <w:tc>
          <w:tcPr>
            <w:tcW w:w="2201" w:type="dxa"/>
            <w:vAlign w:val="top"/>
          </w:tcPr>
          <w:p w14:paraId="3955BB7F">
            <w:pPr>
              <w:spacing w:before="164" w:line="176" w:lineRule="exact"/>
              <w:ind w:left="6"/>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支出总计</w:t>
            </w:r>
          </w:p>
        </w:tc>
        <w:tc>
          <w:tcPr>
            <w:tcW w:w="1168" w:type="dxa"/>
            <w:vAlign w:val="top"/>
          </w:tcPr>
          <w:p w14:paraId="3EFEDEC3">
            <w:pPr>
              <w:pStyle w:val="6"/>
              <w:spacing w:before="188" w:line="212" w:lineRule="auto"/>
              <w:ind w:left="605"/>
              <w:rPr>
                <w:sz w:val="13"/>
                <w:szCs w:val="13"/>
              </w:rPr>
            </w:pPr>
            <w:r>
              <w:rPr>
                <w:color w:val="212529"/>
                <w:spacing w:val="8"/>
                <w:sz w:val="13"/>
                <w:szCs w:val="13"/>
              </w:rPr>
              <w:t>117.</w:t>
            </w:r>
            <w:r>
              <w:rPr>
                <w:color w:val="212529"/>
                <w:spacing w:val="26"/>
                <w:sz w:val="13"/>
                <w:szCs w:val="13"/>
              </w:rPr>
              <w:t xml:space="preserve"> </w:t>
            </w:r>
            <w:r>
              <w:rPr>
                <w:color w:val="212529"/>
                <w:spacing w:val="8"/>
                <w:sz w:val="13"/>
                <w:szCs w:val="13"/>
              </w:rPr>
              <w:t>21</w:t>
            </w:r>
          </w:p>
        </w:tc>
        <w:tc>
          <w:tcPr>
            <w:tcW w:w="1153" w:type="dxa"/>
            <w:vAlign w:val="top"/>
          </w:tcPr>
          <w:p w14:paraId="4FEF4916">
            <w:pPr>
              <w:pStyle w:val="6"/>
              <w:spacing w:before="188" w:line="212" w:lineRule="auto"/>
              <w:ind w:left="593"/>
              <w:rPr>
                <w:sz w:val="13"/>
                <w:szCs w:val="13"/>
              </w:rPr>
            </w:pPr>
            <w:r>
              <w:rPr>
                <w:color w:val="212529"/>
                <w:spacing w:val="9"/>
                <w:sz w:val="13"/>
                <w:szCs w:val="13"/>
              </w:rPr>
              <w:t>117.</w:t>
            </w:r>
            <w:r>
              <w:rPr>
                <w:color w:val="212529"/>
                <w:spacing w:val="20"/>
                <w:sz w:val="13"/>
                <w:szCs w:val="13"/>
              </w:rPr>
              <w:t xml:space="preserve"> </w:t>
            </w:r>
            <w:r>
              <w:rPr>
                <w:color w:val="212529"/>
                <w:spacing w:val="9"/>
                <w:sz w:val="13"/>
                <w:szCs w:val="13"/>
              </w:rPr>
              <w:t>21</w:t>
            </w:r>
          </w:p>
        </w:tc>
        <w:tc>
          <w:tcPr>
            <w:tcW w:w="756" w:type="dxa"/>
            <w:vAlign w:val="top"/>
          </w:tcPr>
          <w:p w14:paraId="08CB7750">
            <w:pPr>
              <w:pStyle w:val="6"/>
            </w:pPr>
          </w:p>
        </w:tc>
      </w:tr>
    </w:tbl>
    <w:p w14:paraId="41267468">
      <w:pPr>
        <w:pStyle w:val="2"/>
      </w:pPr>
    </w:p>
    <w:p w14:paraId="27E0BD2E">
      <w:pPr>
        <w:sectPr>
          <w:headerReference r:id="rId12" w:type="default"/>
          <w:footerReference r:id="rId13" w:type="default"/>
          <w:pgSz w:w="11900" w:h="16840"/>
          <w:pgMar w:top="642" w:right="0" w:bottom="340" w:left="0" w:header="326" w:footer="93" w:gutter="0"/>
          <w:cols w:space="720" w:num="1"/>
        </w:sectPr>
      </w:pPr>
    </w:p>
    <w:p w14:paraId="71F0919F">
      <w:pPr>
        <w:spacing w:before="118"/>
      </w:pPr>
    </w:p>
    <w:p w14:paraId="2EF14745">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611"/>
        <w:gridCol w:w="3116"/>
        <w:gridCol w:w="1573"/>
        <w:gridCol w:w="1348"/>
        <w:gridCol w:w="1079"/>
        <w:gridCol w:w="1318"/>
        <w:gridCol w:w="1304"/>
        <w:gridCol w:w="1034"/>
        <w:gridCol w:w="1086"/>
      </w:tblGrid>
      <w:tr w14:paraId="6E9DD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611" w:type="dxa"/>
            <w:tcBorders>
              <w:top w:val="single" w:color="FFFFFF" w:sz="6" w:space="0"/>
              <w:left w:val="single" w:color="FFFFFF" w:sz="2" w:space="0"/>
              <w:bottom w:val="single" w:color="FFFFFF" w:sz="6" w:space="0"/>
              <w:right w:val="single" w:color="FFFFFF" w:sz="2" w:space="0"/>
            </w:tcBorders>
            <w:vAlign w:val="top"/>
          </w:tcPr>
          <w:p w14:paraId="07722875">
            <w:pPr>
              <w:pStyle w:val="6"/>
            </w:pPr>
          </w:p>
        </w:tc>
        <w:tc>
          <w:tcPr>
            <w:tcW w:w="3116" w:type="dxa"/>
            <w:tcBorders>
              <w:top w:val="single" w:color="FFFFFF" w:sz="6" w:space="0"/>
              <w:left w:val="single" w:color="FFFFFF" w:sz="2" w:space="0"/>
              <w:bottom w:val="single" w:color="FFFFFF" w:sz="6" w:space="0"/>
              <w:right w:val="single" w:color="FFFFFF" w:sz="2" w:space="0"/>
            </w:tcBorders>
            <w:vAlign w:val="top"/>
          </w:tcPr>
          <w:p w14:paraId="0FB96B66">
            <w:pPr>
              <w:pStyle w:val="6"/>
            </w:pPr>
          </w:p>
        </w:tc>
        <w:tc>
          <w:tcPr>
            <w:tcW w:w="1573" w:type="dxa"/>
            <w:tcBorders>
              <w:top w:val="single" w:color="FFFFFF" w:sz="6" w:space="0"/>
              <w:left w:val="single" w:color="FFFFFF" w:sz="2" w:space="0"/>
              <w:bottom w:val="single" w:color="FFFFFF" w:sz="6" w:space="0"/>
              <w:right w:val="single" w:color="FFFFFF" w:sz="2" w:space="0"/>
            </w:tcBorders>
            <w:vAlign w:val="top"/>
          </w:tcPr>
          <w:p w14:paraId="510F5889">
            <w:pPr>
              <w:pStyle w:val="6"/>
            </w:pPr>
          </w:p>
        </w:tc>
        <w:tc>
          <w:tcPr>
            <w:tcW w:w="1348" w:type="dxa"/>
            <w:tcBorders>
              <w:top w:val="single" w:color="FFFFFF" w:sz="6" w:space="0"/>
              <w:left w:val="single" w:color="FFFFFF" w:sz="2" w:space="0"/>
              <w:bottom w:val="single" w:color="FFFFFF" w:sz="6" w:space="0"/>
              <w:right w:val="single" w:color="FFFFFF" w:sz="2" w:space="0"/>
            </w:tcBorders>
            <w:vAlign w:val="top"/>
          </w:tcPr>
          <w:p w14:paraId="4D296FEA">
            <w:pPr>
              <w:pStyle w:val="6"/>
            </w:pPr>
          </w:p>
        </w:tc>
        <w:tc>
          <w:tcPr>
            <w:tcW w:w="1079" w:type="dxa"/>
            <w:tcBorders>
              <w:top w:val="single" w:color="FFFFFF" w:sz="6" w:space="0"/>
              <w:left w:val="single" w:color="FFFFFF" w:sz="2" w:space="0"/>
              <w:bottom w:val="single" w:color="FFFFFF" w:sz="6" w:space="0"/>
              <w:right w:val="single" w:color="FFFFFF" w:sz="2" w:space="0"/>
            </w:tcBorders>
            <w:vAlign w:val="top"/>
          </w:tcPr>
          <w:p w14:paraId="71873F01">
            <w:pPr>
              <w:pStyle w:val="6"/>
            </w:pPr>
          </w:p>
        </w:tc>
        <w:tc>
          <w:tcPr>
            <w:tcW w:w="1318" w:type="dxa"/>
            <w:tcBorders>
              <w:top w:val="single" w:color="FFFFFF" w:sz="6" w:space="0"/>
              <w:left w:val="single" w:color="FFFFFF" w:sz="2" w:space="0"/>
              <w:bottom w:val="single" w:color="FFFFFF" w:sz="6" w:space="0"/>
              <w:right w:val="single" w:color="FFFFFF" w:sz="2" w:space="0"/>
            </w:tcBorders>
            <w:vAlign w:val="top"/>
          </w:tcPr>
          <w:p w14:paraId="6B2CD8E6">
            <w:pPr>
              <w:pStyle w:val="6"/>
            </w:pPr>
          </w:p>
        </w:tc>
        <w:tc>
          <w:tcPr>
            <w:tcW w:w="1304" w:type="dxa"/>
            <w:tcBorders>
              <w:top w:val="single" w:color="FFFFFF" w:sz="6" w:space="0"/>
              <w:left w:val="single" w:color="FFFFFF" w:sz="2" w:space="0"/>
              <w:bottom w:val="single" w:color="FFFFFF" w:sz="6" w:space="0"/>
              <w:right w:val="single" w:color="FFFFFF" w:sz="2" w:space="0"/>
            </w:tcBorders>
            <w:vAlign w:val="top"/>
          </w:tcPr>
          <w:p w14:paraId="4F4CB539">
            <w:pPr>
              <w:pStyle w:val="6"/>
            </w:pPr>
          </w:p>
        </w:tc>
        <w:tc>
          <w:tcPr>
            <w:tcW w:w="2120" w:type="dxa"/>
            <w:gridSpan w:val="2"/>
            <w:tcBorders>
              <w:top w:val="single" w:color="FFFFFF" w:sz="6" w:space="0"/>
              <w:left w:val="single" w:color="FFFFFF" w:sz="2" w:space="0"/>
              <w:bottom w:val="single" w:color="FFFFFF" w:sz="6" w:space="0"/>
              <w:right w:val="single" w:color="FFFFFF" w:sz="2" w:space="0"/>
            </w:tcBorders>
            <w:vAlign w:val="top"/>
          </w:tcPr>
          <w:p w14:paraId="4BA56C72">
            <w:pPr>
              <w:spacing w:before="130" w:line="219" w:lineRule="auto"/>
              <w:ind w:left="1098"/>
              <w:rPr>
                <w:rFonts w:ascii="宋体" w:hAnsi="宋体" w:eastAsia="宋体" w:cs="宋体"/>
                <w:sz w:val="18"/>
                <w:szCs w:val="18"/>
              </w:rPr>
            </w:pPr>
            <w:r>
              <w:rPr>
                <w:rFonts w:ascii="宋体" w:hAnsi="宋体" w:eastAsia="宋体" w:cs="宋体"/>
                <w:color w:val="212529"/>
                <w:spacing w:val="-2"/>
                <w:sz w:val="18"/>
                <w:szCs w:val="18"/>
              </w:rPr>
              <w:t>预算公开表2</w:t>
            </w:r>
          </w:p>
        </w:tc>
      </w:tr>
      <w:tr w14:paraId="018DF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3469" w:type="dxa"/>
            <w:gridSpan w:val="9"/>
            <w:tcBorders>
              <w:top w:val="single" w:color="FFFFFF" w:sz="6" w:space="0"/>
              <w:left w:val="single" w:color="FFFFFF" w:sz="6" w:space="0"/>
              <w:bottom w:val="single" w:color="FFFFFF" w:sz="6" w:space="0"/>
              <w:right w:val="single" w:color="FFFFFF" w:sz="6" w:space="0"/>
            </w:tcBorders>
            <w:vAlign w:val="top"/>
          </w:tcPr>
          <w:p w14:paraId="4DC47753">
            <w:pPr>
              <w:spacing w:before="97" w:line="239" w:lineRule="exact"/>
              <w:ind w:left="5644"/>
              <w:outlineLvl w:val="1"/>
              <w:rPr>
                <w:rFonts w:ascii="微软雅黑" w:hAnsi="微软雅黑" w:eastAsia="微软雅黑" w:cs="微软雅黑"/>
                <w:sz w:val="23"/>
                <w:szCs w:val="23"/>
              </w:rPr>
            </w:pPr>
            <w:bookmarkStart w:id="9" w:name="bookmark7"/>
            <w:bookmarkEnd w:id="9"/>
            <w:r>
              <w:rPr>
                <w:rFonts w:ascii="微软雅黑" w:hAnsi="微软雅黑" w:eastAsia="微软雅黑" w:cs="微软雅黑"/>
                <w:color w:val="212529"/>
                <w:position w:val="-1"/>
                <w:sz w:val="23"/>
                <w:szCs w:val="23"/>
              </w:rPr>
              <w:t>2025年预算收入总表</w:t>
            </w:r>
          </w:p>
        </w:tc>
      </w:tr>
      <w:tr w14:paraId="4E13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727" w:type="dxa"/>
            <w:gridSpan w:val="2"/>
            <w:tcBorders>
              <w:top w:val="single" w:color="FFFFFF" w:sz="6" w:space="0"/>
              <w:left w:val="single" w:color="FFFFFF" w:sz="2" w:space="0"/>
              <w:right w:val="single" w:color="FFFFFF" w:sz="2" w:space="0"/>
            </w:tcBorders>
            <w:vAlign w:val="top"/>
          </w:tcPr>
          <w:p w14:paraId="7371E98F">
            <w:pPr>
              <w:spacing w:before="124" w:line="219" w:lineRule="auto"/>
              <w:ind w:left="14"/>
              <w:rPr>
                <w:rFonts w:ascii="宋体" w:hAnsi="宋体" w:eastAsia="宋体" w:cs="宋体"/>
                <w:sz w:val="18"/>
                <w:szCs w:val="18"/>
              </w:rPr>
            </w:pPr>
            <w:r>
              <w:rPr>
                <w:rFonts w:ascii="宋体" w:hAnsi="宋体" w:eastAsia="宋体" w:cs="宋体"/>
                <w:color w:val="212529"/>
                <w:spacing w:val="-1"/>
                <w:sz w:val="18"/>
                <w:szCs w:val="18"/>
              </w:rPr>
              <w:t>部门名称：兴县工商业联合会</w:t>
            </w:r>
          </w:p>
        </w:tc>
        <w:tc>
          <w:tcPr>
            <w:tcW w:w="1573" w:type="dxa"/>
            <w:tcBorders>
              <w:top w:val="single" w:color="FFFFFF" w:sz="6" w:space="0"/>
              <w:left w:val="single" w:color="FFFFFF" w:sz="2" w:space="0"/>
              <w:right w:val="single" w:color="FFFFFF" w:sz="2" w:space="0"/>
            </w:tcBorders>
            <w:vAlign w:val="top"/>
          </w:tcPr>
          <w:p w14:paraId="39080AA8">
            <w:pPr>
              <w:pStyle w:val="6"/>
            </w:pPr>
          </w:p>
        </w:tc>
        <w:tc>
          <w:tcPr>
            <w:tcW w:w="1348" w:type="dxa"/>
            <w:tcBorders>
              <w:top w:val="single" w:color="FFFFFF" w:sz="6" w:space="0"/>
              <w:left w:val="single" w:color="FFFFFF" w:sz="2" w:space="0"/>
              <w:right w:val="single" w:color="FFFFFF" w:sz="2" w:space="0"/>
            </w:tcBorders>
            <w:vAlign w:val="top"/>
          </w:tcPr>
          <w:p w14:paraId="11A00E37">
            <w:pPr>
              <w:pStyle w:val="6"/>
            </w:pPr>
          </w:p>
        </w:tc>
        <w:tc>
          <w:tcPr>
            <w:tcW w:w="1079" w:type="dxa"/>
            <w:tcBorders>
              <w:top w:val="single" w:color="FFFFFF" w:sz="6" w:space="0"/>
              <w:left w:val="single" w:color="FFFFFF" w:sz="2" w:space="0"/>
              <w:right w:val="single" w:color="FFFFFF" w:sz="2" w:space="0"/>
            </w:tcBorders>
            <w:vAlign w:val="top"/>
          </w:tcPr>
          <w:p w14:paraId="57EA8B6C">
            <w:pPr>
              <w:pStyle w:val="6"/>
            </w:pPr>
          </w:p>
        </w:tc>
        <w:tc>
          <w:tcPr>
            <w:tcW w:w="1318" w:type="dxa"/>
            <w:tcBorders>
              <w:top w:val="single" w:color="FFFFFF" w:sz="6" w:space="0"/>
              <w:left w:val="single" w:color="FFFFFF" w:sz="2" w:space="0"/>
              <w:right w:val="single" w:color="FFFFFF" w:sz="2" w:space="0"/>
            </w:tcBorders>
            <w:vAlign w:val="top"/>
          </w:tcPr>
          <w:p w14:paraId="15708B86">
            <w:pPr>
              <w:pStyle w:val="6"/>
            </w:pPr>
          </w:p>
        </w:tc>
        <w:tc>
          <w:tcPr>
            <w:tcW w:w="1304" w:type="dxa"/>
            <w:tcBorders>
              <w:top w:val="single" w:color="FFFFFF" w:sz="6" w:space="0"/>
              <w:left w:val="single" w:color="FFFFFF" w:sz="2" w:space="0"/>
              <w:right w:val="single" w:color="FFFFFF" w:sz="2" w:space="0"/>
            </w:tcBorders>
            <w:vAlign w:val="top"/>
          </w:tcPr>
          <w:p w14:paraId="16E2162D">
            <w:pPr>
              <w:pStyle w:val="6"/>
            </w:pPr>
          </w:p>
        </w:tc>
        <w:tc>
          <w:tcPr>
            <w:tcW w:w="2120" w:type="dxa"/>
            <w:gridSpan w:val="2"/>
            <w:tcBorders>
              <w:top w:val="single" w:color="FFFFFF" w:sz="6" w:space="0"/>
              <w:left w:val="single" w:color="FFFFFF" w:sz="2" w:space="0"/>
              <w:right w:val="single" w:color="FFFFFF" w:sz="2" w:space="0"/>
            </w:tcBorders>
            <w:vAlign w:val="top"/>
          </w:tcPr>
          <w:p w14:paraId="3F907C1F">
            <w:pPr>
              <w:spacing w:before="125" w:line="219" w:lineRule="auto"/>
              <w:ind w:left="1189"/>
              <w:rPr>
                <w:rFonts w:ascii="宋体" w:hAnsi="宋体" w:eastAsia="宋体" w:cs="宋体"/>
                <w:sz w:val="18"/>
                <w:szCs w:val="18"/>
              </w:rPr>
            </w:pPr>
            <w:r>
              <w:rPr>
                <w:rFonts w:ascii="宋体" w:hAnsi="宋体" w:eastAsia="宋体" w:cs="宋体"/>
                <w:color w:val="212529"/>
                <w:spacing w:val="-2"/>
                <w:sz w:val="18"/>
                <w:szCs w:val="18"/>
              </w:rPr>
              <w:t>单位：万元</w:t>
            </w:r>
          </w:p>
        </w:tc>
      </w:tr>
      <w:tr w14:paraId="2A295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727" w:type="dxa"/>
            <w:gridSpan w:val="2"/>
            <w:vAlign w:val="top"/>
          </w:tcPr>
          <w:p w14:paraId="0B309A02">
            <w:pPr>
              <w:spacing w:before="126" w:line="175" w:lineRule="exact"/>
              <w:ind w:left="2167"/>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7656" w:type="dxa"/>
            <w:gridSpan w:val="6"/>
            <w:vAlign w:val="top"/>
          </w:tcPr>
          <w:p w14:paraId="73D43E9B">
            <w:pPr>
              <w:spacing w:before="122" w:line="180" w:lineRule="exact"/>
              <w:ind w:left="345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w:t>
            </w:r>
          </w:p>
        </w:tc>
        <w:tc>
          <w:tcPr>
            <w:tcW w:w="1086" w:type="dxa"/>
            <w:vMerge w:val="restart"/>
            <w:tcBorders>
              <w:bottom w:val="nil"/>
            </w:tcBorders>
            <w:vAlign w:val="top"/>
          </w:tcPr>
          <w:p w14:paraId="213F2234">
            <w:pPr>
              <w:pStyle w:val="6"/>
              <w:spacing w:line="273" w:lineRule="auto"/>
            </w:pPr>
          </w:p>
          <w:p w14:paraId="47255AB5">
            <w:pPr>
              <w:spacing w:before="73" w:line="178" w:lineRule="exact"/>
              <w:ind w:left="164"/>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上年结转</w:t>
            </w:r>
          </w:p>
        </w:tc>
      </w:tr>
      <w:tr w14:paraId="36D03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2484D26C">
            <w:pPr>
              <w:spacing w:before="124" w:line="178" w:lineRule="exact"/>
              <w:ind w:left="41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科目编码</w:t>
            </w:r>
          </w:p>
        </w:tc>
        <w:tc>
          <w:tcPr>
            <w:tcW w:w="3116" w:type="dxa"/>
            <w:vAlign w:val="top"/>
          </w:tcPr>
          <w:p w14:paraId="4B0A1E2A">
            <w:pPr>
              <w:spacing w:before="124" w:line="178" w:lineRule="exact"/>
              <w:ind w:left="117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573" w:type="dxa"/>
            <w:vAlign w:val="top"/>
          </w:tcPr>
          <w:p w14:paraId="5A31712C">
            <w:pPr>
              <w:spacing w:before="125" w:line="175" w:lineRule="exact"/>
              <w:ind w:left="59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348" w:type="dxa"/>
            <w:vAlign w:val="top"/>
          </w:tcPr>
          <w:p w14:paraId="046D2A1C">
            <w:pPr>
              <w:spacing w:before="123" w:line="180" w:lineRule="exact"/>
              <w:ind w:left="11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一般公共预算</w:t>
            </w:r>
          </w:p>
        </w:tc>
        <w:tc>
          <w:tcPr>
            <w:tcW w:w="1079" w:type="dxa"/>
            <w:vAlign w:val="top"/>
          </w:tcPr>
          <w:p w14:paraId="12FEA5CB">
            <w:pPr>
              <w:spacing w:before="124" w:line="178" w:lineRule="exact"/>
              <w:ind w:left="79"/>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政府性基金</w:t>
            </w:r>
          </w:p>
        </w:tc>
        <w:tc>
          <w:tcPr>
            <w:tcW w:w="1318" w:type="dxa"/>
            <w:vAlign w:val="top"/>
          </w:tcPr>
          <w:p w14:paraId="006A9701">
            <w:pPr>
              <w:spacing w:before="19" w:line="160" w:lineRule="auto"/>
              <w:ind w:left="551" w:right="27" w:hanging="517"/>
              <w:rPr>
                <w:rFonts w:ascii="微软雅黑" w:hAnsi="微软雅黑" w:eastAsia="微软雅黑" w:cs="微软雅黑"/>
                <w:sz w:val="17"/>
                <w:szCs w:val="17"/>
              </w:rPr>
            </w:pPr>
            <w:r>
              <w:rPr>
                <w:rFonts w:ascii="微软雅黑" w:hAnsi="微软雅黑" w:eastAsia="微软雅黑" w:cs="微软雅黑"/>
                <w:color w:val="212529"/>
                <w:spacing w:val="7"/>
                <w:sz w:val="17"/>
                <w:szCs w:val="17"/>
              </w:rPr>
              <w:t>国有资本经营预</w:t>
            </w:r>
            <w:r>
              <w:rPr>
                <w:rFonts w:ascii="微软雅黑" w:hAnsi="微软雅黑" w:eastAsia="微软雅黑" w:cs="微软雅黑"/>
                <w:color w:val="212529"/>
                <w:spacing w:val="12"/>
                <w:sz w:val="17"/>
                <w:szCs w:val="17"/>
              </w:rPr>
              <w:t>算</w:t>
            </w:r>
          </w:p>
        </w:tc>
        <w:tc>
          <w:tcPr>
            <w:tcW w:w="1304" w:type="dxa"/>
            <w:vAlign w:val="top"/>
          </w:tcPr>
          <w:p w14:paraId="39C8EB74">
            <w:pPr>
              <w:spacing w:before="18" w:line="161" w:lineRule="auto"/>
              <w:ind w:left="463" w:right="112" w:hanging="366"/>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财政专户管理</w:t>
            </w:r>
            <w:r>
              <w:rPr>
                <w:rFonts w:ascii="微软雅黑" w:hAnsi="微软雅黑" w:eastAsia="微软雅黑" w:cs="微软雅黑"/>
                <w:color w:val="212529"/>
                <w:spacing w:val="4"/>
                <w:sz w:val="17"/>
                <w:szCs w:val="17"/>
              </w:rPr>
              <w:t>资金</w:t>
            </w:r>
          </w:p>
        </w:tc>
        <w:tc>
          <w:tcPr>
            <w:tcW w:w="1034" w:type="dxa"/>
            <w:vAlign w:val="top"/>
          </w:tcPr>
          <w:p w14:paraId="5CF0EC4E">
            <w:pPr>
              <w:spacing w:before="123" w:line="179" w:lineRule="exact"/>
              <w:ind w:left="13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单位资金</w:t>
            </w:r>
          </w:p>
        </w:tc>
        <w:tc>
          <w:tcPr>
            <w:tcW w:w="1086" w:type="dxa"/>
            <w:vMerge w:val="continue"/>
            <w:tcBorders>
              <w:top w:val="nil"/>
            </w:tcBorders>
            <w:vAlign w:val="top"/>
          </w:tcPr>
          <w:p w14:paraId="1033A0A7">
            <w:pPr>
              <w:pStyle w:val="6"/>
            </w:pPr>
          </w:p>
        </w:tc>
      </w:tr>
      <w:tr w14:paraId="0FB73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727" w:type="dxa"/>
            <w:gridSpan w:val="2"/>
            <w:vAlign w:val="top"/>
          </w:tcPr>
          <w:p w14:paraId="5082F1E1">
            <w:pPr>
              <w:spacing w:before="126" w:line="175" w:lineRule="exact"/>
              <w:ind w:left="216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573" w:type="dxa"/>
            <w:vAlign w:val="top"/>
          </w:tcPr>
          <w:p w14:paraId="1C2F7097">
            <w:pPr>
              <w:pStyle w:val="6"/>
              <w:spacing w:before="149" w:line="212" w:lineRule="auto"/>
              <w:ind w:left="1005"/>
              <w:rPr>
                <w:sz w:val="13"/>
                <w:szCs w:val="13"/>
              </w:rPr>
            </w:pPr>
            <w:r>
              <w:rPr>
                <w:color w:val="212529"/>
                <w:spacing w:val="9"/>
                <w:sz w:val="13"/>
                <w:szCs w:val="13"/>
              </w:rPr>
              <w:t>117.</w:t>
            </w:r>
            <w:r>
              <w:rPr>
                <w:color w:val="212529"/>
                <w:spacing w:val="20"/>
                <w:sz w:val="13"/>
                <w:szCs w:val="13"/>
              </w:rPr>
              <w:t xml:space="preserve"> </w:t>
            </w:r>
            <w:r>
              <w:rPr>
                <w:color w:val="212529"/>
                <w:spacing w:val="9"/>
                <w:sz w:val="13"/>
                <w:szCs w:val="13"/>
              </w:rPr>
              <w:t>21</w:t>
            </w:r>
          </w:p>
        </w:tc>
        <w:tc>
          <w:tcPr>
            <w:tcW w:w="1348" w:type="dxa"/>
            <w:vAlign w:val="top"/>
          </w:tcPr>
          <w:p w14:paraId="325A1CB4">
            <w:pPr>
              <w:pStyle w:val="6"/>
              <w:spacing w:before="149" w:line="212" w:lineRule="auto"/>
              <w:ind w:left="790"/>
              <w:rPr>
                <w:sz w:val="13"/>
                <w:szCs w:val="13"/>
              </w:rPr>
            </w:pPr>
            <w:r>
              <w:rPr>
                <w:color w:val="212529"/>
                <w:spacing w:val="9"/>
                <w:sz w:val="13"/>
                <w:szCs w:val="13"/>
              </w:rPr>
              <w:t>117.</w:t>
            </w:r>
            <w:r>
              <w:rPr>
                <w:color w:val="212529"/>
                <w:spacing w:val="20"/>
                <w:sz w:val="13"/>
                <w:szCs w:val="13"/>
              </w:rPr>
              <w:t xml:space="preserve"> </w:t>
            </w:r>
            <w:r>
              <w:rPr>
                <w:color w:val="212529"/>
                <w:spacing w:val="9"/>
                <w:sz w:val="13"/>
                <w:szCs w:val="13"/>
              </w:rPr>
              <w:t>21</w:t>
            </w:r>
          </w:p>
        </w:tc>
        <w:tc>
          <w:tcPr>
            <w:tcW w:w="1079" w:type="dxa"/>
            <w:vAlign w:val="top"/>
          </w:tcPr>
          <w:p w14:paraId="716EBFF3">
            <w:pPr>
              <w:pStyle w:val="6"/>
            </w:pPr>
          </w:p>
        </w:tc>
        <w:tc>
          <w:tcPr>
            <w:tcW w:w="1318" w:type="dxa"/>
            <w:vAlign w:val="top"/>
          </w:tcPr>
          <w:p w14:paraId="247BB384">
            <w:pPr>
              <w:pStyle w:val="6"/>
            </w:pPr>
          </w:p>
        </w:tc>
        <w:tc>
          <w:tcPr>
            <w:tcW w:w="1304" w:type="dxa"/>
            <w:vAlign w:val="top"/>
          </w:tcPr>
          <w:p w14:paraId="30D37B21">
            <w:pPr>
              <w:pStyle w:val="6"/>
            </w:pPr>
          </w:p>
        </w:tc>
        <w:tc>
          <w:tcPr>
            <w:tcW w:w="1034" w:type="dxa"/>
            <w:vAlign w:val="top"/>
          </w:tcPr>
          <w:p w14:paraId="0526D3B4">
            <w:pPr>
              <w:pStyle w:val="6"/>
            </w:pPr>
          </w:p>
        </w:tc>
        <w:tc>
          <w:tcPr>
            <w:tcW w:w="1086" w:type="dxa"/>
            <w:vAlign w:val="top"/>
          </w:tcPr>
          <w:p w14:paraId="67F3E191">
            <w:pPr>
              <w:pStyle w:val="6"/>
            </w:pPr>
          </w:p>
        </w:tc>
      </w:tr>
      <w:tr w14:paraId="2FEBB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10282AE6">
            <w:pPr>
              <w:spacing w:before="128" w:line="239" w:lineRule="auto"/>
              <w:ind w:left="9"/>
              <w:rPr>
                <w:rFonts w:ascii="宋体" w:hAnsi="宋体" w:eastAsia="宋体" w:cs="宋体"/>
                <w:sz w:val="18"/>
                <w:szCs w:val="18"/>
              </w:rPr>
            </w:pPr>
            <w:r>
              <w:rPr>
                <w:rFonts w:ascii="宋体" w:hAnsi="宋体" w:eastAsia="宋体" w:cs="宋体"/>
                <w:color w:val="212529"/>
                <w:spacing w:val="-3"/>
                <w:sz w:val="18"/>
                <w:szCs w:val="18"/>
              </w:rPr>
              <w:t>201</w:t>
            </w:r>
          </w:p>
        </w:tc>
        <w:tc>
          <w:tcPr>
            <w:tcW w:w="3116" w:type="dxa"/>
            <w:vAlign w:val="top"/>
          </w:tcPr>
          <w:p w14:paraId="30DC89BB">
            <w:pPr>
              <w:spacing w:before="128" w:line="219" w:lineRule="auto"/>
              <w:rPr>
                <w:rFonts w:ascii="宋体" w:hAnsi="宋体" w:eastAsia="宋体" w:cs="宋体"/>
                <w:sz w:val="18"/>
                <w:szCs w:val="18"/>
              </w:rPr>
            </w:pPr>
            <w:r>
              <w:rPr>
                <w:rFonts w:ascii="宋体" w:hAnsi="宋体" w:eastAsia="宋体" w:cs="宋体"/>
                <w:color w:val="212529"/>
                <w:spacing w:val="-2"/>
                <w:sz w:val="18"/>
                <w:szCs w:val="18"/>
              </w:rPr>
              <w:t>一般公共服务支出</w:t>
            </w:r>
          </w:p>
        </w:tc>
        <w:tc>
          <w:tcPr>
            <w:tcW w:w="1573" w:type="dxa"/>
            <w:vAlign w:val="top"/>
          </w:tcPr>
          <w:p w14:paraId="0F7665BB">
            <w:pPr>
              <w:spacing w:before="129"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91.06</w:t>
            </w:r>
          </w:p>
        </w:tc>
        <w:tc>
          <w:tcPr>
            <w:tcW w:w="1348" w:type="dxa"/>
            <w:vAlign w:val="top"/>
          </w:tcPr>
          <w:p w14:paraId="09660083">
            <w:pPr>
              <w:spacing w:before="129"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91.06</w:t>
            </w:r>
          </w:p>
        </w:tc>
        <w:tc>
          <w:tcPr>
            <w:tcW w:w="1079" w:type="dxa"/>
            <w:vAlign w:val="top"/>
          </w:tcPr>
          <w:p w14:paraId="052A78A2">
            <w:pPr>
              <w:pStyle w:val="6"/>
            </w:pPr>
          </w:p>
        </w:tc>
        <w:tc>
          <w:tcPr>
            <w:tcW w:w="1318" w:type="dxa"/>
            <w:vAlign w:val="top"/>
          </w:tcPr>
          <w:p w14:paraId="607A3AC3">
            <w:pPr>
              <w:pStyle w:val="6"/>
            </w:pPr>
          </w:p>
        </w:tc>
        <w:tc>
          <w:tcPr>
            <w:tcW w:w="1304" w:type="dxa"/>
            <w:vAlign w:val="top"/>
          </w:tcPr>
          <w:p w14:paraId="5D6B2BF3">
            <w:pPr>
              <w:pStyle w:val="6"/>
            </w:pPr>
          </w:p>
        </w:tc>
        <w:tc>
          <w:tcPr>
            <w:tcW w:w="1034" w:type="dxa"/>
            <w:vAlign w:val="top"/>
          </w:tcPr>
          <w:p w14:paraId="22B6E7D4">
            <w:pPr>
              <w:pStyle w:val="6"/>
            </w:pPr>
          </w:p>
        </w:tc>
        <w:tc>
          <w:tcPr>
            <w:tcW w:w="1086" w:type="dxa"/>
            <w:vAlign w:val="top"/>
          </w:tcPr>
          <w:p w14:paraId="4C607879">
            <w:pPr>
              <w:pStyle w:val="6"/>
            </w:pPr>
          </w:p>
        </w:tc>
      </w:tr>
      <w:tr w14:paraId="59AD7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4F12ABF6">
            <w:pPr>
              <w:spacing w:before="129" w:line="239" w:lineRule="auto"/>
              <w:ind w:left="9"/>
              <w:rPr>
                <w:rFonts w:ascii="宋体" w:hAnsi="宋体" w:eastAsia="宋体" w:cs="宋体"/>
                <w:sz w:val="18"/>
                <w:szCs w:val="18"/>
              </w:rPr>
            </w:pPr>
            <w:r>
              <w:rPr>
                <w:rFonts w:ascii="宋体" w:hAnsi="宋体" w:eastAsia="宋体" w:cs="宋体"/>
                <w:color w:val="212529"/>
                <w:spacing w:val="-2"/>
                <w:sz w:val="18"/>
                <w:szCs w:val="18"/>
              </w:rPr>
              <w:t>20128</w:t>
            </w:r>
          </w:p>
        </w:tc>
        <w:tc>
          <w:tcPr>
            <w:tcW w:w="3116" w:type="dxa"/>
            <w:vAlign w:val="top"/>
          </w:tcPr>
          <w:p w14:paraId="40E37B94">
            <w:pPr>
              <w:spacing w:before="129" w:line="219" w:lineRule="auto"/>
              <w:ind w:left="12"/>
              <w:rPr>
                <w:rFonts w:ascii="宋体" w:hAnsi="宋体" w:eastAsia="宋体" w:cs="宋体"/>
                <w:sz w:val="18"/>
                <w:szCs w:val="18"/>
              </w:rPr>
            </w:pPr>
            <w:r>
              <w:rPr>
                <w:rFonts w:ascii="宋体" w:hAnsi="宋体" w:eastAsia="宋体" w:cs="宋体"/>
                <w:color w:val="212529"/>
                <w:spacing w:val="-3"/>
                <w:sz w:val="18"/>
                <w:szCs w:val="18"/>
              </w:rPr>
              <w:t>民主党派及工商联事务</w:t>
            </w:r>
          </w:p>
        </w:tc>
        <w:tc>
          <w:tcPr>
            <w:tcW w:w="1573" w:type="dxa"/>
            <w:vAlign w:val="top"/>
          </w:tcPr>
          <w:p w14:paraId="41AD6919">
            <w:pPr>
              <w:spacing w:before="130"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91.06</w:t>
            </w:r>
          </w:p>
        </w:tc>
        <w:tc>
          <w:tcPr>
            <w:tcW w:w="1348" w:type="dxa"/>
            <w:vAlign w:val="top"/>
          </w:tcPr>
          <w:p w14:paraId="51FDC30F">
            <w:pPr>
              <w:spacing w:before="130"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91.06</w:t>
            </w:r>
          </w:p>
        </w:tc>
        <w:tc>
          <w:tcPr>
            <w:tcW w:w="1079" w:type="dxa"/>
            <w:vAlign w:val="top"/>
          </w:tcPr>
          <w:p w14:paraId="4B6D11A2">
            <w:pPr>
              <w:pStyle w:val="6"/>
            </w:pPr>
          </w:p>
        </w:tc>
        <w:tc>
          <w:tcPr>
            <w:tcW w:w="1318" w:type="dxa"/>
            <w:vAlign w:val="top"/>
          </w:tcPr>
          <w:p w14:paraId="7E755A69">
            <w:pPr>
              <w:pStyle w:val="6"/>
            </w:pPr>
          </w:p>
        </w:tc>
        <w:tc>
          <w:tcPr>
            <w:tcW w:w="1304" w:type="dxa"/>
            <w:vAlign w:val="top"/>
          </w:tcPr>
          <w:p w14:paraId="320B4C44">
            <w:pPr>
              <w:pStyle w:val="6"/>
            </w:pPr>
          </w:p>
        </w:tc>
        <w:tc>
          <w:tcPr>
            <w:tcW w:w="1034" w:type="dxa"/>
            <w:vAlign w:val="top"/>
          </w:tcPr>
          <w:p w14:paraId="5EEA0BBF">
            <w:pPr>
              <w:pStyle w:val="6"/>
            </w:pPr>
          </w:p>
        </w:tc>
        <w:tc>
          <w:tcPr>
            <w:tcW w:w="1086" w:type="dxa"/>
            <w:vAlign w:val="top"/>
          </w:tcPr>
          <w:p w14:paraId="3E978FFF">
            <w:pPr>
              <w:pStyle w:val="6"/>
            </w:pPr>
          </w:p>
        </w:tc>
      </w:tr>
      <w:tr w14:paraId="22CC5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717EBC11">
            <w:pPr>
              <w:spacing w:before="130" w:line="239" w:lineRule="auto"/>
              <w:ind w:left="9"/>
              <w:rPr>
                <w:rFonts w:ascii="宋体" w:hAnsi="宋体" w:eastAsia="宋体" w:cs="宋体"/>
                <w:sz w:val="18"/>
                <w:szCs w:val="18"/>
              </w:rPr>
            </w:pPr>
            <w:r>
              <w:rPr>
                <w:rFonts w:ascii="宋体" w:hAnsi="宋体" w:eastAsia="宋体" w:cs="宋体"/>
                <w:color w:val="212529"/>
                <w:spacing w:val="-2"/>
                <w:sz w:val="18"/>
                <w:szCs w:val="18"/>
              </w:rPr>
              <w:t>2012801</w:t>
            </w:r>
          </w:p>
        </w:tc>
        <w:tc>
          <w:tcPr>
            <w:tcW w:w="3116" w:type="dxa"/>
            <w:vAlign w:val="top"/>
          </w:tcPr>
          <w:p w14:paraId="41EF486F">
            <w:pPr>
              <w:spacing w:before="131" w:line="219" w:lineRule="auto"/>
              <w:rPr>
                <w:rFonts w:ascii="宋体" w:hAnsi="宋体" w:eastAsia="宋体" w:cs="宋体"/>
                <w:sz w:val="18"/>
                <w:szCs w:val="18"/>
              </w:rPr>
            </w:pPr>
            <w:r>
              <w:rPr>
                <w:rFonts w:ascii="宋体" w:hAnsi="宋体" w:eastAsia="宋体" w:cs="宋体"/>
                <w:color w:val="212529"/>
                <w:spacing w:val="-3"/>
                <w:sz w:val="18"/>
                <w:szCs w:val="18"/>
              </w:rPr>
              <w:t>行政运行</w:t>
            </w:r>
          </w:p>
        </w:tc>
        <w:tc>
          <w:tcPr>
            <w:tcW w:w="1573" w:type="dxa"/>
            <w:vAlign w:val="top"/>
          </w:tcPr>
          <w:p w14:paraId="5AE0E5D8">
            <w:pPr>
              <w:spacing w:before="131"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58.94</w:t>
            </w:r>
          </w:p>
        </w:tc>
        <w:tc>
          <w:tcPr>
            <w:tcW w:w="1348" w:type="dxa"/>
            <w:vAlign w:val="top"/>
          </w:tcPr>
          <w:p w14:paraId="25C0BFCB">
            <w:pPr>
              <w:spacing w:before="131"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58.94</w:t>
            </w:r>
          </w:p>
        </w:tc>
        <w:tc>
          <w:tcPr>
            <w:tcW w:w="1079" w:type="dxa"/>
            <w:vAlign w:val="top"/>
          </w:tcPr>
          <w:p w14:paraId="026342AC">
            <w:pPr>
              <w:pStyle w:val="6"/>
            </w:pPr>
          </w:p>
        </w:tc>
        <w:tc>
          <w:tcPr>
            <w:tcW w:w="1318" w:type="dxa"/>
            <w:vAlign w:val="top"/>
          </w:tcPr>
          <w:p w14:paraId="32341038">
            <w:pPr>
              <w:pStyle w:val="6"/>
            </w:pPr>
          </w:p>
        </w:tc>
        <w:tc>
          <w:tcPr>
            <w:tcW w:w="1304" w:type="dxa"/>
            <w:vAlign w:val="top"/>
          </w:tcPr>
          <w:p w14:paraId="543714E4">
            <w:pPr>
              <w:pStyle w:val="6"/>
            </w:pPr>
          </w:p>
        </w:tc>
        <w:tc>
          <w:tcPr>
            <w:tcW w:w="1034" w:type="dxa"/>
            <w:vAlign w:val="top"/>
          </w:tcPr>
          <w:p w14:paraId="2F81948D">
            <w:pPr>
              <w:pStyle w:val="6"/>
            </w:pPr>
          </w:p>
        </w:tc>
        <w:tc>
          <w:tcPr>
            <w:tcW w:w="1086" w:type="dxa"/>
            <w:vAlign w:val="top"/>
          </w:tcPr>
          <w:p w14:paraId="78418CCB">
            <w:pPr>
              <w:pStyle w:val="6"/>
            </w:pPr>
          </w:p>
        </w:tc>
      </w:tr>
      <w:tr w14:paraId="277D1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0074A20C">
            <w:pPr>
              <w:spacing w:before="131" w:line="239" w:lineRule="auto"/>
              <w:ind w:left="9"/>
              <w:rPr>
                <w:rFonts w:ascii="宋体" w:hAnsi="宋体" w:eastAsia="宋体" w:cs="宋体"/>
                <w:sz w:val="18"/>
                <w:szCs w:val="18"/>
              </w:rPr>
            </w:pPr>
            <w:r>
              <w:rPr>
                <w:rFonts w:ascii="宋体" w:hAnsi="宋体" w:eastAsia="宋体" w:cs="宋体"/>
                <w:color w:val="212529"/>
                <w:spacing w:val="-2"/>
                <w:sz w:val="18"/>
                <w:szCs w:val="18"/>
              </w:rPr>
              <w:t>2012899</w:t>
            </w:r>
          </w:p>
        </w:tc>
        <w:tc>
          <w:tcPr>
            <w:tcW w:w="3116" w:type="dxa"/>
            <w:vAlign w:val="top"/>
          </w:tcPr>
          <w:p w14:paraId="4F875369">
            <w:pPr>
              <w:spacing w:before="131" w:line="219" w:lineRule="auto"/>
              <w:rPr>
                <w:rFonts w:ascii="宋体" w:hAnsi="宋体" w:eastAsia="宋体" w:cs="宋体"/>
                <w:sz w:val="18"/>
                <w:szCs w:val="18"/>
              </w:rPr>
            </w:pPr>
            <w:r>
              <w:rPr>
                <w:rFonts w:ascii="宋体" w:hAnsi="宋体" w:eastAsia="宋体" w:cs="宋体"/>
                <w:color w:val="212529"/>
                <w:spacing w:val="-1"/>
                <w:sz w:val="18"/>
                <w:szCs w:val="18"/>
              </w:rPr>
              <w:t>其他民主党派及工商联事务支出</w:t>
            </w:r>
          </w:p>
        </w:tc>
        <w:tc>
          <w:tcPr>
            <w:tcW w:w="1573" w:type="dxa"/>
            <w:vAlign w:val="top"/>
          </w:tcPr>
          <w:p w14:paraId="4A2BE35B">
            <w:pPr>
              <w:spacing w:before="132"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32.12</w:t>
            </w:r>
          </w:p>
        </w:tc>
        <w:tc>
          <w:tcPr>
            <w:tcW w:w="1348" w:type="dxa"/>
            <w:vAlign w:val="top"/>
          </w:tcPr>
          <w:p w14:paraId="1F9CC358">
            <w:pPr>
              <w:spacing w:before="132"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32.12</w:t>
            </w:r>
          </w:p>
        </w:tc>
        <w:tc>
          <w:tcPr>
            <w:tcW w:w="1079" w:type="dxa"/>
            <w:vAlign w:val="top"/>
          </w:tcPr>
          <w:p w14:paraId="66F06A9A">
            <w:pPr>
              <w:pStyle w:val="6"/>
            </w:pPr>
          </w:p>
        </w:tc>
        <w:tc>
          <w:tcPr>
            <w:tcW w:w="1318" w:type="dxa"/>
            <w:vAlign w:val="top"/>
          </w:tcPr>
          <w:p w14:paraId="5B559528">
            <w:pPr>
              <w:pStyle w:val="6"/>
            </w:pPr>
          </w:p>
        </w:tc>
        <w:tc>
          <w:tcPr>
            <w:tcW w:w="1304" w:type="dxa"/>
            <w:vAlign w:val="top"/>
          </w:tcPr>
          <w:p w14:paraId="5F2C1D53">
            <w:pPr>
              <w:pStyle w:val="6"/>
            </w:pPr>
          </w:p>
        </w:tc>
        <w:tc>
          <w:tcPr>
            <w:tcW w:w="1034" w:type="dxa"/>
            <w:vAlign w:val="top"/>
          </w:tcPr>
          <w:p w14:paraId="0C253AB3">
            <w:pPr>
              <w:pStyle w:val="6"/>
            </w:pPr>
          </w:p>
        </w:tc>
        <w:tc>
          <w:tcPr>
            <w:tcW w:w="1086" w:type="dxa"/>
            <w:vAlign w:val="top"/>
          </w:tcPr>
          <w:p w14:paraId="34030252">
            <w:pPr>
              <w:pStyle w:val="6"/>
            </w:pPr>
          </w:p>
        </w:tc>
      </w:tr>
      <w:tr w14:paraId="756C8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313D511F">
            <w:pPr>
              <w:spacing w:before="132" w:line="239" w:lineRule="auto"/>
              <w:ind w:left="9"/>
              <w:rPr>
                <w:rFonts w:ascii="宋体" w:hAnsi="宋体" w:eastAsia="宋体" w:cs="宋体"/>
                <w:sz w:val="18"/>
                <w:szCs w:val="18"/>
              </w:rPr>
            </w:pPr>
            <w:r>
              <w:rPr>
                <w:rFonts w:ascii="宋体" w:hAnsi="宋体" w:eastAsia="宋体" w:cs="宋体"/>
                <w:color w:val="212529"/>
                <w:spacing w:val="-3"/>
                <w:sz w:val="18"/>
                <w:szCs w:val="18"/>
              </w:rPr>
              <w:t>208</w:t>
            </w:r>
          </w:p>
        </w:tc>
        <w:tc>
          <w:tcPr>
            <w:tcW w:w="3116" w:type="dxa"/>
            <w:vAlign w:val="top"/>
          </w:tcPr>
          <w:p w14:paraId="579DFDD3">
            <w:pPr>
              <w:spacing w:before="132" w:line="218" w:lineRule="auto"/>
              <w:rPr>
                <w:rFonts w:ascii="宋体" w:hAnsi="宋体" w:eastAsia="宋体" w:cs="宋体"/>
                <w:sz w:val="18"/>
                <w:szCs w:val="18"/>
              </w:rPr>
            </w:pPr>
            <w:r>
              <w:rPr>
                <w:rFonts w:ascii="宋体" w:hAnsi="宋体" w:eastAsia="宋体" w:cs="宋体"/>
                <w:color w:val="212529"/>
                <w:spacing w:val="-2"/>
                <w:sz w:val="18"/>
                <w:szCs w:val="18"/>
              </w:rPr>
              <w:t>社会保障和就业支出</w:t>
            </w:r>
          </w:p>
        </w:tc>
        <w:tc>
          <w:tcPr>
            <w:tcW w:w="1573" w:type="dxa"/>
            <w:vAlign w:val="top"/>
          </w:tcPr>
          <w:p w14:paraId="46EC6952">
            <w:pPr>
              <w:spacing w:before="133"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16.58</w:t>
            </w:r>
          </w:p>
        </w:tc>
        <w:tc>
          <w:tcPr>
            <w:tcW w:w="1348" w:type="dxa"/>
            <w:vAlign w:val="top"/>
          </w:tcPr>
          <w:p w14:paraId="4FD7A6B2">
            <w:pPr>
              <w:spacing w:before="133"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16.58</w:t>
            </w:r>
          </w:p>
        </w:tc>
        <w:tc>
          <w:tcPr>
            <w:tcW w:w="1079" w:type="dxa"/>
            <w:vAlign w:val="top"/>
          </w:tcPr>
          <w:p w14:paraId="2D874D1D">
            <w:pPr>
              <w:pStyle w:val="6"/>
            </w:pPr>
          </w:p>
        </w:tc>
        <w:tc>
          <w:tcPr>
            <w:tcW w:w="1318" w:type="dxa"/>
            <w:vAlign w:val="top"/>
          </w:tcPr>
          <w:p w14:paraId="40C0E772">
            <w:pPr>
              <w:pStyle w:val="6"/>
            </w:pPr>
          </w:p>
        </w:tc>
        <w:tc>
          <w:tcPr>
            <w:tcW w:w="1304" w:type="dxa"/>
            <w:vAlign w:val="top"/>
          </w:tcPr>
          <w:p w14:paraId="63DEAC08">
            <w:pPr>
              <w:pStyle w:val="6"/>
            </w:pPr>
          </w:p>
        </w:tc>
        <w:tc>
          <w:tcPr>
            <w:tcW w:w="1034" w:type="dxa"/>
            <w:vAlign w:val="top"/>
          </w:tcPr>
          <w:p w14:paraId="2923E7A1">
            <w:pPr>
              <w:pStyle w:val="6"/>
            </w:pPr>
          </w:p>
        </w:tc>
        <w:tc>
          <w:tcPr>
            <w:tcW w:w="1086" w:type="dxa"/>
            <w:vAlign w:val="top"/>
          </w:tcPr>
          <w:p w14:paraId="2D2EC294">
            <w:pPr>
              <w:pStyle w:val="6"/>
            </w:pPr>
          </w:p>
        </w:tc>
      </w:tr>
      <w:tr w14:paraId="7BB0F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00C5FB0E">
            <w:pPr>
              <w:spacing w:before="133" w:line="239" w:lineRule="auto"/>
              <w:ind w:left="9"/>
              <w:rPr>
                <w:rFonts w:ascii="宋体" w:hAnsi="宋体" w:eastAsia="宋体" w:cs="宋体"/>
                <w:sz w:val="18"/>
                <w:szCs w:val="18"/>
              </w:rPr>
            </w:pPr>
            <w:r>
              <w:rPr>
                <w:rFonts w:ascii="宋体" w:hAnsi="宋体" w:eastAsia="宋体" w:cs="宋体"/>
                <w:color w:val="212529"/>
                <w:spacing w:val="-2"/>
                <w:sz w:val="18"/>
                <w:szCs w:val="18"/>
              </w:rPr>
              <w:t>20805</w:t>
            </w:r>
          </w:p>
        </w:tc>
        <w:tc>
          <w:tcPr>
            <w:tcW w:w="3116" w:type="dxa"/>
            <w:vAlign w:val="top"/>
          </w:tcPr>
          <w:p w14:paraId="3616ADD5">
            <w:pPr>
              <w:spacing w:before="133" w:line="219" w:lineRule="auto"/>
              <w:rPr>
                <w:rFonts w:ascii="宋体" w:hAnsi="宋体" w:eastAsia="宋体" w:cs="宋体"/>
                <w:sz w:val="18"/>
                <w:szCs w:val="18"/>
              </w:rPr>
            </w:pPr>
            <w:r>
              <w:rPr>
                <w:rFonts w:ascii="宋体" w:hAnsi="宋体" w:eastAsia="宋体" w:cs="宋体"/>
                <w:color w:val="212529"/>
                <w:spacing w:val="-2"/>
                <w:sz w:val="18"/>
                <w:szCs w:val="18"/>
              </w:rPr>
              <w:t>行政事业单位养老支出</w:t>
            </w:r>
          </w:p>
        </w:tc>
        <w:tc>
          <w:tcPr>
            <w:tcW w:w="1573" w:type="dxa"/>
            <w:vAlign w:val="top"/>
          </w:tcPr>
          <w:p w14:paraId="4368C590">
            <w:pPr>
              <w:spacing w:before="134" w:line="238" w:lineRule="auto"/>
              <w:ind w:right="29"/>
              <w:jc w:val="right"/>
              <w:rPr>
                <w:rFonts w:ascii="宋体" w:hAnsi="宋体" w:eastAsia="宋体" w:cs="宋体"/>
                <w:sz w:val="18"/>
                <w:szCs w:val="18"/>
              </w:rPr>
            </w:pPr>
            <w:r>
              <w:rPr>
                <w:rFonts w:ascii="宋体" w:hAnsi="宋体" w:eastAsia="宋体" w:cs="宋体"/>
                <w:color w:val="212529"/>
                <w:spacing w:val="-4"/>
                <w:sz w:val="18"/>
                <w:szCs w:val="18"/>
              </w:rPr>
              <w:t>16.58</w:t>
            </w:r>
          </w:p>
        </w:tc>
        <w:tc>
          <w:tcPr>
            <w:tcW w:w="1348" w:type="dxa"/>
            <w:vAlign w:val="top"/>
          </w:tcPr>
          <w:p w14:paraId="22224A7B">
            <w:pPr>
              <w:spacing w:before="134" w:line="238" w:lineRule="auto"/>
              <w:ind w:right="19"/>
              <w:jc w:val="right"/>
              <w:rPr>
                <w:rFonts w:ascii="宋体" w:hAnsi="宋体" w:eastAsia="宋体" w:cs="宋体"/>
                <w:sz w:val="18"/>
                <w:szCs w:val="18"/>
              </w:rPr>
            </w:pPr>
            <w:r>
              <w:rPr>
                <w:rFonts w:ascii="宋体" w:hAnsi="宋体" w:eastAsia="宋体" w:cs="宋体"/>
                <w:color w:val="212529"/>
                <w:spacing w:val="-4"/>
                <w:sz w:val="18"/>
                <w:szCs w:val="18"/>
              </w:rPr>
              <w:t>16.58</w:t>
            </w:r>
          </w:p>
        </w:tc>
        <w:tc>
          <w:tcPr>
            <w:tcW w:w="1079" w:type="dxa"/>
            <w:vAlign w:val="top"/>
          </w:tcPr>
          <w:p w14:paraId="74808D19">
            <w:pPr>
              <w:pStyle w:val="6"/>
            </w:pPr>
          </w:p>
        </w:tc>
        <w:tc>
          <w:tcPr>
            <w:tcW w:w="1318" w:type="dxa"/>
            <w:vAlign w:val="top"/>
          </w:tcPr>
          <w:p w14:paraId="1BD7AC67">
            <w:pPr>
              <w:pStyle w:val="6"/>
            </w:pPr>
          </w:p>
        </w:tc>
        <w:tc>
          <w:tcPr>
            <w:tcW w:w="1304" w:type="dxa"/>
            <w:vAlign w:val="top"/>
          </w:tcPr>
          <w:p w14:paraId="60FAAA7A">
            <w:pPr>
              <w:pStyle w:val="6"/>
            </w:pPr>
          </w:p>
        </w:tc>
        <w:tc>
          <w:tcPr>
            <w:tcW w:w="1034" w:type="dxa"/>
            <w:vAlign w:val="top"/>
          </w:tcPr>
          <w:p w14:paraId="78DD1993">
            <w:pPr>
              <w:pStyle w:val="6"/>
            </w:pPr>
          </w:p>
        </w:tc>
        <w:tc>
          <w:tcPr>
            <w:tcW w:w="1086" w:type="dxa"/>
            <w:vAlign w:val="top"/>
          </w:tcPr>
          <w:p w14:paraId="21FFF48B">
            <w:pPr>
              <w:pStyle w:val="6"/>
            </w:pPr>
          </w:p>
        </w:tc>
      </w:tr>
      <w:tr w14:paraId="07BA5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2DD763F7">
            <w:pPr>
              <w:spacing w:before="134" w:line="239" w:lineRule="auto"/>
              <w:ind w:left="9"/>
              <w:rPr>
                <w:rFonts w:ascii="宋体" w:hAnsi="宋体" w:eastAsia="宋体" w:cs="宋体"/>
                <w:sz w:val="18"/>
                <w:szCs w:val="18"/>
              </w:rPr>
            </w:pPr>
            <w:r>
              <w:rPr>
                <w:rFonts w:ascii="宋体" w:hAnsi="宋体" w:eastAsia="宋体" w:cs="宋体"/>
                <w:color w:val="212529"/>
                <w:spacing w:val="-2"/>
                <w:sz w:val="18"/>
                <w:szCs w:val="18"/>
              </w:rPr>
              <w:t>2080501</w:t>
            </w:r>
          </w:p>
        </w:tc>
        <w:tc>
          <w:tcPr>
            <w:tcW w:w="3116" w:type="dxa"/>
            <w:vAlign w:val="top"/>
          </w:tcPr>
          <w:p w14:paraId="166D2930">
            <w:pPr>
              <w:spacing w:before="134" w:line="219" w:lineRule="auto"/>
              <w:rPr>
                <w:rFonts w:ascii="宋体" w:hAnsi="宋体" w:eastAsia="宋体" w:cs="宋体"/>
                <w:sz w:val="18"/>
                <w:szCs w:val="18"/>
              </w:rPr>
            </w:pPr>
            <w:r>
              <w:rPr>
                <w:rFonts w:ascii="宋体" w:hAnsi="宋体" w:eastAsia="宋体" w:cs="宋体"/>
                <w:color w:val="212529"/>
                <w:spacing w:val="-2"/>
                <w:sz w:val="18"/>
                <w:szCs w:val="18"/>
              </w:rPr>
              <w:t>行政单位离退休</w:t>
            </w:r>
          </w:p>
        </w:tc>
        <w:tc>
          <w:tcPr>
            <w:tcW w:w="1573" w:type="dxa"/>
            <w:vAlign w:val="top"/>
          </w:tcPr>
          <w:p w14:paraId="17542EB0">
            <w:pPr>
              <w:spacing w:before="135"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9.96</w:t>
            </w:r>
          </w:p>
        </w:tc>
        <w:tc>
          <w:tcPr>
            <w:tcW w:w="1348" w:type="dxa"/>
            <w:vAlign w:val="top"/>
          </w:tcPr>
          <w:p w14:paraId="19C41DBE">
            <w:pPr>
              <w:spacing w:before="135" w:line="238" w:lineRule="auto"/>
              <w:ind w:right="21"/>
              <w:jc w:val="right"/>
              <w:rPr>
                <w:rFonts w:ascii="宋体" w:hAnsi="宋体" w:eastAsia="宋体" w:cs="宋体"/>
                <w:sz w:val="18"/>
                <w:szCs w:val="18"/>
              </w:rPr>
            </w:pPr>
            <w:r>
              <w:rPr>
                <w:rFonts w:ascii="宋体" w:hAnsi="宋体" w:eastAsia="宋体" w:cs="宋体"/>
                <w:color w:val="212529"/>
                <w:spacing w:val="-2"/>
                <w:sz w:val="18"/>
                <w:szCs w:val="18"/>
              </w:rPr>
              <w:t>9.96</w:t>
            </w:r>
          </w:p>
        </w:tc>
        <w:tc>
          <w:tcPr>
            <w:tcW w:w="1079" w:type="dxa"/>
            <w:vAlign w:val="top"/>
          </w:tcPr>
          <w:p w14:paraId="31824E28">
            <w:pPr>
              <w:pStyle w:val="6"/>
            </w:pPr>
          </w:p>
        </w:tc>
        <w:tc>
          <w:tcPr>
            <w:tcW w:w="1318" w:type="dxa"/>
            <w:vAlign w:val="top"/>
          </w:tcPr>
          <w:p w14:paraId="6D30853A">
            <w:pPr>
              <w:pStyle w:val="6"/>
            </w:pPr>
          </w:p>
        </w:tc>
        <w:tc>
          <w:tcPr>
            <w:tcW w:w="1304" w:type="dxa"/>
            <w:vAlign w:val="top"/>
          </w:tcPr>
          <w:p w14:paraId="656FCD7C">
            <w:pPr>
              <w:pStyle w:val="6"/>
            </w:pPr>
          </w:p>
        </w:tc>
        <w:tc>
          <w:tcPr>
            <w:tcW w:w="1034" w:type="dxa"/>
            <w:vAlign w:val="top"/>
          </w:tcPr>
          <w:p w14:paraId="15794407">
            <w:pPr>
              <w:pStyle w:val="6"/>
            </w:pPr>
          </w:p>
        </w:tc>
        <w:tc>
          <w:tcPr>
            <w:tcW w:w="1086" w:type="dxa"/>
            <w:vAlign w:val="top"/>
          </w:tcPr>
          <w:p w14:paraId="4135F5BC">
            <w:pPr>
              <w:pStyle w:val="6"/>
            </w:pPr>
          </w:p>
        </w:tc>
      </w:tr>
      <w:tr w14:paraId="2C280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572837E0">
            <w:pPr>
              <w:spacing w:before="135" w:line="239" w:lineRule="auto"/>
              <w:ind w:left="9"/>
              <w:rPr>
                <w:rFonts w:ascii="宋体" w:hAnsi="宋体" w:eastAsia="宋体" w:cs="宋体"/>
                <w:sz w:val="18"/>
                <w:szCs w:val="18"/>
              </w:rPr>
            </w:pPr>
            <w:r>
              <w:rPr>
                <w:rFonts w:ascii="宋体" w:hAnsi="宋体" w:eastAsia="宋体" w:cs="宋体"/>
                <w:color w:val="212529"/>
                <w:spacing w:val="-2"/>
                <w:sz w:val="18"/>
                <w:szCs w:val="18"/>
              </w:rPr>
              <w:t>2080505</w:t>
            </w:r>
          </w:p>
        </w:tc>
        <w:tc>
          <w:tcPr>
            <w:tcW w:w="3116" w:type="dxa"/>
            <w:vAlign w:val="top"/>
          </w:tcPr>
          <w:p w14:paraId="628E2A4B">
            <w:pPr>
              <w:spacing w:before="135" w:line="218" w:lineRule="auto"/>
              <w:rPr>
                <w:rFonts w:ascii="宋体" w:hAnsi="宋体" w:eastAsia="宋体" w:cs="宋体"/>
                <w:sz w:val="18"/>
                <w:szCs w:val="18"/>
              </w:rPr>
            </w:pPr>
            <w:r>
              <w:rPr>
                <w:rFonts w:ascii="宋体" w:hAnsi="宋体" w:eastAsia="宋体" w:cs="宋体"/>
                <w:color w:val="212529"/>
                <w:spacing w:val="-1"/>
                <w:sz w:val="18"/>
                <w:szCs w:val="18"/>
              </w:rPr>
              <w:t>机关事业单位基本养老保险缴费支出</w:t>
            </w:r>
          </w:p>
        </w:tc>
        <w:tc>
          <w:tcPr>
            <w:tcW w:w="1573" w:type="dxa"/>
            <w:vAlign w:val="top"/>
          </w:tcPr>
          <w:p w14:paraId="68FBB8D4">
            <w:pPr>
              <w:spacing w:before="136" w:line="238" w:lineRule="auto"/>
              <w:ind w:right="31"/>
              <w:jc w:val="right"/>
              <w:rPr>
                <w:rFonts w:ascii="宋体" w:hAnsi="宋体" w:eastAsia="宋体" w:cs="宋体"/>
                <w:sz w:val="18"/>
                <w:szCs w:val="18"/>
              </w:rPr>
            </w:pPr>
            <w:r>
              <w:rPr>
                <w:rFonts w:ascii="宋体" w:hAnsi="宋体" w:eastAsia="宋体" w:cs="宋体"/>
                <w:color w:val="212529"/>
                <w:spacing w:val="-2"/>
                <w:sz w:val="18"/>
                <w:szCs w:val="18"/>
              </w:rPr>
              <w:t>6.62</w:t>
            </w:r>
          </w:p>
        </w:tc>
        <w:tc>
          <w:tcPr>
            <w:tcW w:w="1348" w:type="dxa"/>
            <w:vAlign w:val="top"/>
          </w:tcPr>
          <w:p w14:paraId="34ADCCCD">
            <w:pPr>
              <w:spacing w:before="136"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6.62</w:t>
            </w:r>
          </w:p>
        </w:tc>
        <w:tc>
          <w:tcPr>
            <w:tcW w:w="1079" w:type="dxa"/>
            <w:vAlign w:val="top"/>
          </w:tcPr>
          <w:p w14:paraId="399F57EB">
            <w:pPr>
              <w:pStyle w:val="6"/>
            </w:pPr>
          </w:p>
        </w:tc>
        <w:tc>
          <w:tcPr>
            <w:tcW w:w="1318" w:type="dxa"/>
            <w:vAlign w:val="top"/>
          </w:tcPr>
          <w:p w14:paraId="329ACD8F">
            <w:pPr>
              <w:pStyle w:val="6"/>
            </w:pPr>
          </w:p>
        </w:tc>
        <w:tc>
          <w:tcPr>
            <w:tcW w:w="1304" w:type="dxa"/>
            <w:vAlign w:val="top"/>
          </w:tcPr>
          <w:p w14:paraId="367F584A">
            <w:pPr>
              <w:pStyle w:val="6"/>
            </w:pPr>
          </w:p>
        </w:tc>
        <w:tc>
          <w:tcPr>
            <w:tcW w:w="1034" w:type="dxa"/>
            <w:vAlign w:val="top"/>
          </w:tcPr>
          <w:p w14:paraId="65F4A3F2">
            <w:pPr>
              <w:pStyle w:val="6"/>
            </w:pPr>
          </w:p>
        </w:tc>
        <w:tc>
          <w:tcPr>
            <w:tcW w:w="1086" w:type="dxa"/>
            <w:vAlign w:val="top"/>
          </w:tcPr>
          <w:p w14:paraId="072BD921">
            <w:pPr>
              <w:pStyle w:val="6"/>
            </w:pPr>
          </w:p>
        </w:tc>
      </w:tr>
      <w:tr w14:paraId="07353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05DBE4A7">
            <w:pPr>
              <w:spacing w:before="136" w:line="239" w:lineRule="auto"/>
              <w:ind w:left="9"/>
              <w:rPr>
                <w:rFonts w:ascii="宋体" w:hAnsi="宋体" w:eastAsia="宋体" w:cs="宋体"/>
                <w:sz w:val="18"/>
                <w:szCs w:val="18"/>
              </w:rPr>
            </w:pPr>
            <w:r>
              <w:rPr>
                <w:rFonts w:ascii="宋体" w:hAnsi="宋体" w:eastAsia="宋体" w:cs="宋体"/>
                <w:color w:val="212529"/>
                <w:spacing w:val="-3"/>
                <w:sz w:val="18"/>
                <w:szCs w:val="18"/>
              </w:rPr>
              <w:t>210</w:t>
            </w:r>
          </w:p>
        </w:tc>
        <w:tc>
          <w:tcPr>
            <w:tcW w:w="3116" w:type="dxa"/>
            <w:vAlign w:val="top"/>
          </w:tcPr>
          <w:p w14:paraId="2E859C2B">
            <w:pPr>
              <w:spacing w:before="136" w:line="219" w:lineRule="auto"/>
              <w:rPr>
                <w:rFonts w:ascii="宋体" w:hAnsi="宋体" w:eastAsia="宋体" w:cs="宋体"/>
                <w:sz w:val="18"/>
                <w:szCs w:val="18"/>
              </w:rPr>
            </w:pPr>
            <w:r>
              <w:rPr>
                <w:rFonts w:ascii="宋体" w:hAnsi="宋体" w:eastAsia="宋体" w:cs="宋体"/>
                <w:color w:val="212529"/>
                <w:spacing w:val="-2"/>
                <w:sz w:val="18"/>
                <w:szCs w:val="18"/>
              </w:rPr>
              <w:t>卫生健康支出</w:t>
            </w:r>
          </w:p>
        </w:tc>
        <w:tc>
          <w:tcPr>
            <w:tcW w:w="1573" w:type="dxa"/>
            <w:vAlign w:val="top"/>
          </w:tcPr>
          <w:p w14:paraId="0E00D0E3">
            <w:pPr>
              <w:spacing w:before="137" w:line="238" w:lineRule="auto"/>
              <w:ind w:right="30"/>
              <w:jc w:val="right"/>
              <w:rPr>
                <w:rFonts w:ascii="宋体" w:hAnsi="宋体" w:eastAsia="宋体" w:cs="宋体"/>
                <w:sz w:val="18"/>
                <w:szCs w:val="18"/>
              </w:rPr>
            </w:pPr>
            <w:r>
              <w:rPr>
                <w:rFonts w:ascii="宋体" w:hAnsi="宋体" w:eastAsia="宋体" w:cs="宋体"/>
                <w:color w:val="212529"/>
                <w:spacing w:val="-2"/>
                <w:sz w:val="18"/>
                <w:szCs w:val="18"/>
              </w:rPr>
              <w:t>3.93</w:t>
            </w:r>
          </w:p>
        </w:tc>
        <w:tc>
          <w:tcPr>
            <w:tcW w:w="1348" w:type="dxa"/>
            <w:vAlign w:val="top"/>
          </w:tcPr>
          <w:p w14:paraId="685D8C0A">
            <w:pPr>
              <w:spacing w:before="137"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3.93</w:t>
            </w:r>
          </w:p>
        </w:tc>
        <w:tc>
          <w:tcPr>
            <w:tcW w:w="1079" w:type="dxa"/>
            <w:vAlign w:val="top"/>
          </w:tcPr>
          <w:p w14:paraId="29437C72">
            <w:pPr>
              <w:pStyle w:val="6"/>
            </w:pPr>
          </w:p>
        </w:tc>
        <w:tc>
          <w:tcPr>
            <w:tcW w:w="1318" w:type="dxa"/>
            <w:vAlign w:val="top"/>
          </w:tcPr>
          <w:p w14:paraId="453E0A26">
            <w:pPr>
              <w:pStyle w:val="6"/>
            </w:pPr>
          </w:p>
        </w:tc>
        <w:tc>
          <w:tcPr>
            <w:tcW w:w="1304" w:type="dxa"/>
            <w:vAlign w:val="top"/>
          </w:tcPr>
          <w:p w14:paraId="3378FF8D">
            <w:pPr>
              <w:pStyle w:val="6"/>
            </w:pPr>
          </w:p>
        </w:tc>
        <w:tc>
          <w:tcPr>
            <w:tcW w:w="1034" w:type="dxa"/>
            <w:vAlign w:val="top"/>
          </w:tcPr>
          <w:p w14:paraId="31592383">
            <w:pPr>
              <w:pStyle w:val="6"/>
            </w:pPr>
          </w:p>
        </w:tc>
        <w:tc>
          <w:tcPr>
            <w:tcW w:w="1086" w:type="dxa"/>
            <w:vAlign w:val="top"/>
          </w:tcPr>
          <w:p w14:paraId="455F3D57">
            <w:pPr>
              <w:pStyle w:val="6"/>
            </w:pPr>
          </w:p>
        </w:tc>
      </w:tr>
      <w:tr w14:paraId="06980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611" w:type="dxa"/>
            <w:vAlign w:val="top"/>
          </w:tcPr>
          <w:p w14:paraId="6F6DAD02">
            <w:pPr>
              <w:spacing w:before="137" w:line="239" w:lineRule="auto"/>
              <w:ind w:left="9"/>
              <w:rPr>
                <w:rFonts w:ascii="宋体" w:hAnsi="宋体" w:eastAsia="宋体" w:cs="宋体"/>
                <w:sz w:val="18"/>
                <w:szCs w:val="18"/>
              </w:rPr>
            </w:pPr>
            <w:r>
              <w:rPr>
                <w:rFonts w:ascii="宋体" w:hAnsi="宋体" w:eastAsia="宋体" w:cs="宋体"/>
                <w:color w:val="212529"/>
                <w:spacing w:val="-2"/>
                <w:sz w:val="18"/>
                <w:szCs w:val="18"/>
              </w:rPr>
              <w:t>21011</w:t>
            </w:r>
          </w:p>
        </w:tc>
        <w:tc>
          <w:tcPr>
            <w:tcW w:w="3116" w:type="dxa"/>
            <w:vAlign w:val="top"/>
          </w:tcPr>
          <w:p w14:paraId="251582D5">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行政事业单位医疗</w:t>
            </w:r>
          </w:p>
        </w:tc>
        <w:tc>
          <w:tcPr>
            <w:tcW w:w="1573" w:type="dxa"/>
            <w:vAlign w:val="top"/>
          </w:tcPr>
          <w:p w14:paraId="5BA81523">
            <w:pPr>
              <w:spacing w:before="138" w:line="238" w:lineRule="auto"/>
              <w:ind w:right="30"/>
              <w:jc w:val="right"/>
              <w:rPr>
                <w:rFonts w:ascii="宋体" w:hAnsi="宋体" w:eastAsia="宋体" w:cs="宋体"/>
                <w:sz w:val="18"/>
                <w:szCs w:val="18"/>
              </w:rPr>
            </w:pPr>
            <w:r>
              <w:rPr>
                <w:rFonts w:ascii="宋体" w:hAnsi="宋体" w:eastAsia="宋体" w:cs="宋体"/>
                <w:color w:val="212529"/>
                <w:spacing w:val="-2"/>
                <w:sz w:val="18"/>
                <w:szCs w:val="18"/>
              </w:rPr>
              <w:t>3.93</w:t>
            </w:r>
          </w:p>
        </w:tc>
        <w:tc>
          <w:tcPr>
            <w:tcW w:w="1348" w:type="dxa"/>
            <w:vAlign w:val="top"/>
          </w:tcPr>
          <w:p w14:paraId="69DE4BB6">
            <w:pPr>
              <w:spacing w:before="138"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3.93</w:t>
            </w:r>
          </w:p>
        </w:tc>
        <w:tc>
          <w:tcPr>
            <w:tcW w:w="1079" w:type="dxa"/>
            <w:vAlign w:val="top"/>
          </w:tcPr>
          <w:p w14:paraId="71541AFF">
            <w:pPr>
              <w:pStyle w:val="6"/>
            </w:pPr>
          </w:p>
        </w:tc>
        <w:tc>
          <w:tcPr>
            <w:tcW w:w="1318" w:type="dxa"/>
            <w:vAlign w:val="top"/>
          </w:tcPr>
          <w:p w14:paraId="40BFA7E3">
            <w:pPr>
              <w:pStyle w:val="6"/>
            </w:pPr>
          </w:p>
        </w:tc>
        <w:tc>
          <w:tcPr>
            <w:tcW w:w="1304" w:type="dxa"/>
            <w:vAlign w:val="top"/>
          </w:tcPr>
          <w:p w14:paraId="1ED9785E">
            <w:pPr>
              <w:pStyle w:val="6"/>
            </w:pPr>
          </w:p>
        </w:tc>
        <w:tc>
          <w:tcPr>
            <w:tcW w:w="1034" w:type="dxa"/>
            <w:vAlign w:val="top"/>
          </w:tcPr>
          <w:p w14:paraId="0A7380B1">
            <w:pPr>
              <w:pStyle w:val="6"/>
            </w:pPr>
          </w:p>
        </w:tc>
        <w:tc>
          <w:tcPr>
            <w:tcW w:w="1086" w:type="dxa"/>
            <w:vAlign w:val="top"/>
          </w:tcPr>
          <w:p w14:paraId="178F5992">
            <w:pPr>
              <w:pStyle w:val="6"/>
            </w:pPr>
          </w:p>
        </w:tc>
      </w:tr>
      <w:tr w14:paraId="58CF6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1E7113B2">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2101101</w:t>
            </w:r>
          </w:p>
        </w:tc>
        <w:tc>
          <w:tcPr>
            <w:tcW w:w="3116" w:type="dxa"/>
            <w:vAlign w:val="top"/>
          </w:tcPr>
          <w:p w14:paraId="3F847E4A">
            <w:pPr>
              <w:spacing w:before="139" w:line="219" w:lineRule="auto"/>
              <w:rPr>
                <w:rFonts w:ascii="宋体" w:hAnsi="宋体" w:eastAsia="宋体" w:cs="宋体"/>
                <w:sz w:val="18"/>
                <w:szCs w:val="18"/>
              </w:rPr>
            </w:pPr>
            <w:r>
              <w:rPr>
                <w:rFonts w:ascii="宋体" w:hAnsi="宋体" w:eastAsia="宋体" w:cs="宋体"/>
                <w:color w:val="212529"/>
                <w:spacing w:val="-2"/>
                <w:sz w:val="18"/>
                <w:szCs w:val="18"/>
              </w:rPr>
              <w:t>行政单位医疗</w:t>
            </w:r>
          </w:p>
        </w:tc>
        <w:tc>
          <w:tcPr>
            <w:tcW w:w="1573" w:type="dxa"/>
            <w:vAlign w:val="top"/>
          </w:tcPr>
          <w:p w14:paraId="3C6717CA">
            <w:pPr>
              <w:spacing w:before="139" w:line="238" w:lineRule="auto"/>
              <w:ind w:right="30"/>
              <w:jc w:val="right"/>
              <w:rPr>
                <w:rFonts w:ascii="宋体" w:hAnsi="宋体" w:eastAsia="宋体" w:cs="宋体"/>
                <w:sz w:val="18"/>
                <w:szCs w:val="18"/>
              </w:rPr>
            </w:pPr>
            <w:r>
              <w:rPr>
                <w:rFonts w:ascii="宋体" w:hAnsi="宋体" w:eastAsia="宋体" w:cs="宋体"/>
                <w:color w:val="212529"/>
                <w:spacing w:val="-2"/>
                <w:sz w:val="18"/>
                <w:szCs w:val="18"/>
              </w:rPr>
              <w:t>2.69</w:t>
            </w:r>
          </w:p>
        </w:tc>
        <w:tc>
          <w:tcPr>
            <w:tcW w:w="1348" w:type="dxa"/>
            <w:vAlign w:val="top"/>
          </w:tcPr>
          <w:p w14:paraId="5CA737FB">
            <w:pPr>
              <w:spacing w:before="139"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2.69</w:t>
            </w:r>
          </w:p>
        </w:tc>
        <w:tc>
          <w:tcPr>
            <w:tcW w:w="1079" w:type="dxa"/>
            <w:vAlign w:val="top"/>
          </w:tcPr>
          <w:p w14:paraId="7F02847E">
            <w:pPr>
              <w:pStyle w:val="6"/>
            </w:pPr>
          </w:p>
        </w:tc>
        <w:tc>
          <w:tcPr>
            <w:tcW w:w="1318" w:type="dxa"/>
            <w:vAlign w:val="top"/>
          </w:tcPr>
          <w:p w14:paraId="1186720B">
            <w:pPr>
              <w:pStyle w:val="6"/>
            </w:pPr>
          </w:p>
        </w:tc>
        <w:tc>
          <w:tcPr>
            <w:tcW w:w="1304" w:type="dxa"/>
            <w:vAlign w:val="top"/>
          </w:tcPr>
          <w:p w14:paraId="5FF3B99E">
            <w:pPr>
              <w:pStyle w:val="6"/>
            </w:pPr>
          </w:p>
        </w:tc>
        <w:tc>
          <w:tcPr>
            <w:tcW w:w="1034" w:type="dxa"/>
            <w:vAlign w:val="top"/>
          </w:tcPr>
          <w:p w14:paraId="799AFBF7">
            <w:pPr>
              <w:pStyle w:val="6"/>
            </w:pPr>
          </w:p>
        </w:tc>
        <w:tc>
          <w:tcPr>
            <w:tcW w:w="1086" w:type="dxa"/>
            <w:vAlign w:val="top"/>
          </w:tcPr>
          <w:p w14:paraId="37A0CBF8">
            <w:pPr>
              <w:pStyle w:val="6"/>
            </w:pPr>
          </w:p>
        </w:tc>
      </w:tr>
      <w:tr w14:paraId="001D0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119AC7A7">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2101103</w:t>
            </w:r>
          </w:p>
        </w:tc>
        <w:tc>
          <w:tcPr>
            <w:tcW w:w="3116" w:type="dxa"/>
            <w:vAlign w:val="top"/>
          </w:tcPr>
          <w:p w14:paraId="6BC4194A">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公务员医疗补助</w:t>
            </w:r>
          </w:p>
        </w:tc>
        <w:tc>
          <w:tcPr>
            <w:tcW w:w="1573" w:type="dxa"/>
            <w:vAlign w:val="top"/>
          </w:tcPr>
          <w:p w14:paraId="366BCB88">
            <w:pPr>
              <w:spacing w:before="139" w:line="238" w:lineRule="auto"/>
              <w:ind w:right="28"/>
              <w:jc w:val="right"/>
              <w:rPr>
                <w:rFonts w:ascii="宋体" w:hAnsi="宋体" w:eastAsia="宋体" w:cs="宋体"/>
                <w:sz w:val="18"/>
                <w:szCs w:val="18"/>
              </w:rPr>
            </w:pPr>
            <w:r>
              <w:rPr>
                <w:rFonts w:ascii="宋体" w:hAnsi="宋体" w:eastAsia="宋体" w:cs="宋体"/>
                <w:color w:val="212529"/>
                <w:spacing w:val="-4"/>
                <w:sz w:val="18"/>
                <w:szCs w:val="18"/>
              </w:rPr>
              <w:t>1.24</w:t>
            </w:r>
          </w:p>
        </w:tc>
        <w:tc>
          <w:tcPr>
            <w:tcW w:w="1348" w:type="dxa"/>
            <w:vAlign w:val="top"/>
          </w:tcPr>
          <w:p w14:paraId="7AFA3AEE">
            <w:pPr>
              <w:spacing w:before="139" w:line="238" w:lineRule="auto"/>
              <w:ind w:right="17"/>
              <w:jc w:val="right"/>
              <w:rPr>
                <w:rFonts w:ascii="宋体" w:hAnsi="宋体" w:eastAsia="宋体" w:cs="宋体"/>
                <w:sz w:val="18"/>
                <w:szCs w:val="18"/>
              </w:rPr>
            </w:pPr>
            <w:r>
              <w:rPr>
                <w:rFonts w:ascii="宋体" w:hAnsi="宋体" w:eastAsia="宋体" w:cs="宋体"/>
                <w:color w:val="212529"/>
                <w:spacing w:val="-4"/>
                <w:sz w:val="18"/>
                <w:szCs w:val="18"/>
              </w:rPr>
              <w:t>1.24</w:t>
            </w:r>
          </w:p>
        </w:tc>
        <w:tc>
          <w:tcPr>
            <w:tcW w:w="1079" w:type="dxa"/>
            <w:vAlign w:val="top"/>
          </w:tcPr>
          <w:p w14:paraId="38A47510">
            <w:pPr>
              <w:pStyle w:val="6"/>
            </w:pPr>
          </w:p>
        </w:tc>
        <w:tc>
          <w:tcPr>
            <w:tcW w:w="1318" w:type="dxa"/>
            <w:vAlign w:val="top"/>
          </w:tcPr>
          <w:p w14:paraId="16E20C9C">
            <w:pPr>
              <w:pStyle w:val="6"/>
            </w:pPr>
          </w:p>
        </w:tc>
        <w:tc>
          <w:tcPr>
            <w:tcW w:w="1304" w:type="dxa"/>
            <w:vAlign w:val="top"/>
          </w:tcPr>
          <w:p w14:paraId="2768F73B">
            <w:pPr>
              <w:pStyle w:val="6"/>
            </w:pPr>
          </w:p>
        </w:tc>
        <w:tc>
          <w:tcPr>
            <w:tcW w:w="1034" w:type="dxa"/>
            <w:vAlign w:val="top"/>
          </w:tcPr>
          <w:p w14:paraId="3C8DD15F">
            <w:pPr>
              <w:pStyle w:val="6"/>
            </w:pPr>
          </w:p>
        </w:tc>
        <w:tc>
          <w:tcPr>
            <w:tcW w:w="1086" w:type="dxa"/>
            <w:vAlign w:val="top"/>
          </w:tcPr>
          <w:p w14:paraId="5ECA0725">
            <w:pPr>
              <w:pStyle w:val="6"/>
            </w:pPr>
          </w:p>
        </w:tc>
      </w:tr>
      <w:tr w14:paraId="69275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72BBCDA2">
            <w:pPr>
              <w:spacing w:before="139"/>
              <w:ind w:left="9"/>
              <w:rPr>
                <w:rFonts w:ascii="宋体" w:hAnsi="宋体" w:eastAsia="宋体" w:cs="宋体"/>
                <w:sz w:val="18"/>
                <w:szCs w:val="18"/>
              </w:rPr>
            </w:pPr>
            <w:r>
              <w:rPr>
                <w:rFonts w:ascii="宋体" w:hAnsi="宋体" w:eastAsia="宋体" w:cs="宋体"/>
                <w:color w:val="212529"/>
                <w:spacing w:val="-3"/>
                <w:sz w:val="18"/>
                <w:szCs w:val="18"/>
              </w:rPr>
              <w:t>221</w:t>
            </w:r>
          </w:p>
        </w:tc>
        <w:tc>
          <w:tcPr>
            <w:tcW w:w="3116" w:type="dxa"/>
            <w:vAlign w:val="top"/>
          </w:tcPr>
          <w:p w14:paraId="01C59E83">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住房保障支出</w:t>
            </w:r>
          </w:p>
        </w:tc>
        <w:tc>
          <w:tcPr>
            <w:tcW w:w="1573" w:type="dxa"/>
            <w:vAlign w:val="top"/>
          </w:tcPr>
          <w:p w14:paraId="5A79FB2E">
            <w:pPr>
              <w:spacing w:before="139" w:line="238" w:lineRule="auto"/>
              <w:ind w:right="30"/>
              <w:jc w:val="right"/>
              <w:rPr>
                <w:rFonts w:ascii="宋体" w:hAnsi="宋体" w:eastAsia="宋体" w:cs="宋体"/>
                <w:sz w:val="18"/>
                <w:szCs w:val="18"/>
              </w:rPr>
            </w:pPr>
            <w:r>
              <w:rPr>
                <w:rFonts w:ascii="宋体" w:hAnsi="宋体" w:eastAsia="宋体" w:cs="宋体"/>
                <w:color w:val="212529"/>
                <w:spacing w:val="-2"/>
                <w:sz w:val="18"/>
                <w:szCs w:val="18"/>
              </w:rPr>
              <w:t>5.64</w:t>
            </w:r>
          </w:p>
        </w:tc>
        <w:tc>
          <w:tcPr>
            <w:tcW w:w="1348" w:type="dxa"/>
            <w:vAlign w:val="top"/>
          </w:tcPr>
          <w:p w14:paraId="4B55FD23">
            <w:pPr>
              <w:spacing w:before="139"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5.64</w:t>
            </w:r>
          </w:p>
        </w:tc>
        <w:tc>
          <w:tcPr>
            <w:tcW w:w="1079" w:type="dxa"/>
            <w:vAlign w:val="top"/>
          </w:tcPr>
          <w:p w14:paraId="36ABD53C">
            <w:pPr>
              <w:pStyle w:val="6"/>
            </w:pPr>
          </w:p>
        </w:tc>
        <w:tc>
          <w:tcPr>
            <w:tcW w:w="1318" w:type="dxa"/>
            <w:vAlign w:val="top"/>
          </w:tcPr>
          <w:p w14:paraId="35ED3623">
            <w:pPr>
              <w:pStyle w:val="6"/>
            </w:pPr>
          </w:p>
        </w:tc>
        <w:tc>
          <w:tcPr>
            <w:tcW w:w="1304" w:type="dxa"/>
            <w:vAlign w:val="top"/>
          </w:tcPr>
          <w:p w14:paraId="44A23933">
            <w:pPr>
              <w:pStyle w:val="6"/>
            </w:pPr>
          </w:p>
        </w:tc>
        <w:tc>
          <w:tcPr>
            <w:tcW w:w="1034" w:type="dxa"/>
            <w:vAlign w:val="top"/>
          </w:tcPr>
          <w:p w14:paraId="343C7737">
            <w:pPr>
              <w:pStyle w:val="6"/>
            </w:pPr>
          </w:p>
        </w:tc>
        <w:tc>
          <w:tcPr>
            <w:tcW w:w="1086" w:type="dxa"/>
            <w:vAlign w:val="top"/>
          </w:tcPr>
          <w:p w14:paraId="76B1A767">
            <w:pPr>
              <w:pStyle w:val="6"/>
            </w:pPr>
          </w:p>
        </w:tc>
      </w:tr>
      <w:tr w14:paraId="0B412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611" w:type="dxa"/>
            <w:vAlign w:val="top"/>
          </w:tcPr>
          <w:p w14:paraId="41B91570">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22102</w:t>
            </w:r>
          </w:p>
        </w:tc>
        <w:tc>
          <w:tcPr>
            <w:tcW w:w="3116" w:type="dxa"/>
            <w:vAlign w:val="top"/>
          </w:tcPr>
          <w:p w14:paraId="5F934876">
            <w:pPr>
              <w:spacing w:before="138" w:line="219" w:lineRule="auto"/>
              <w:rPr>
                <w:rFonts w:ascii="宋体" w:hAnsi="宋体" w:eastAsia="宋体" w:cs="宋体"/>
                <w:sz w:val="18"/>
                <w:szCs w:val="18"/>
              </w:rPr>
            </w:pPr>
            <w:r>
              <w:rPr>
                <w:rFonts w:ascii="宋体" w:hAnsi="宋体" w:eastAsia="宋体" w:cs="宋体"/>
                <w:color w:val="212529"/>
                <w:spacing w:val="-2"/>
                <w:sz w:val="18"/>
                <w:szCs w:val="18"/>
              </w:rPr>
              <w:t>住房改革支出</w:t>
            </w:r>
          </w:p>
        </w:tc>
        <w:tc>
          <w:tcPr>
            <w:tcW w:w="1573" w:type="dxa"/>
            <w:vAlign w:val="top"/>
          </w:tcPr>
          <w:p w14:paraId="20055E3B">
            <w:pPr>
              <w:spacing w:before="139" w:line="238" w:lineRule="auto"/>
              <w:ind w:right="30"/>
              <w:jc w:val="right"/>
              <w:rPr>
                <w:rFonts w:ascii="宋体" w:hAnsi="宋体" w:eastAsia="宋体" w:cs="宋体"/>
                <w:sz w:val="18"/>
                <w:szCs w:val="18"/>
              </w:rPr>
            </w:pPr>
            <w:r>
              <w:rPr>
                <w:rFonts w:ascii="宋体" w:hAnsi="宋体" w:eastAsia="宋体" w:cs="宋体"/>
                <w:color w:val="212529"/>
                <w:spacing w:val="-2"/>
                <w:sz w:val="18"/>
                <w:szCs w:val="18"/>
              </w:rPr>
              <w:t>5.64</w:t>
            </w:r>
          </w:p>
        </w:tc>
        <w:tc>
          <w:tcPr>
            <w:tcW w:w="1348" w:type="dxa"/>
            <w:vAlign w:val="top"/>
          </w:tcPr>
          <w:p w14:paraId="04EE90E5">
            <w:pPr>
              <w:spacing w:before="139"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5.64</w:t>
            </w:r>
          </w:p>
        </w:tc>
        <w:tc>
          <w:tcPr>
            <w:tcW w:w="1079" w:type="dxa"/>
            <w:vAlign w:val="top"/>
          </w:tcPr>
          <w:p w14:paraId="7BB3B107">
            <w:pPr>
              <w:pStyle w:val="6"/>
            </w:pPr>
          </w:p>
        </w:tc>
        <w:tc>
          <w:tcPr>
            <w:tcW w:w="1318" w:type="dxa"/>
            <w:vAlign w:val="top"/>
          </w:tcPr>
          <w:p w14:paraId="21D734AA">
            <w:pPr>
              <w:pStyle w:val="6"/>
            </w:pPr>
          </w:p>
        </w:tc>
        <w:tc>
          <w:tcPr>
            <w:tcW w:w="1304" w:type="dxa"/>
            <w:vAlign w:val="top"/>
          </w:tcPr>
          <w:p w14:paraId="49FFB267">
            <w:pPr>
              <w:pStyle w:val="6"/>
            </w:pPr>
          </w:p>
        </w:tc>
        <w:tc>
          <w:tcPr>
            <w:tcW w:w="1034" w:type="dxa"/>
            <w:vAlign w:val="top"/>
          </w:tcPr>
          <w:p w14:paraId="0D7451BA">
            <w:pPr>
              <w:pStyle w:val="6"/>
            </w:pPr>
          </w:p>
        </w:tc>
        <w:tc>
          <w:tcPr>
            <w:tcW w:w="1086" w:type="dxa"/>
            <w:vAlign w:val="top"/>
          </w:tcPr>
          <w:p w14:paraId="4429704F">
            <w:pPr>
              <w:pStyle w:val="6"/>
            </w:pPr>
          </w:p>
        </w:tc>
      </w:tr>
      <w:tr w14:paraId="17E40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1611" w:type="dxa"/>
            <w:vAlign w:val="top"/>
          </w:tcPr>
          <w:p w14:paraId="6D5A61E7">
            <w:pPr>
              <w:spacing w:before="138" w:line="239" w:lineRule="auto"/>
              <w:ind w:left="9"/>
              <w:rPr>
                <w:rFonts w:ascii="宋体" w:hAnsi="宋体" w:eastAsia="宋体" w:cs="宋体"/>
                <w:sz w:val="18"/>
                <w:szCs w:val="18"/>
              </w:rPr>
            </w:pPr>
            <w:r>
              <w:rPr>
                <w:rFonts w:ascii="宋体" w:hAnsi="宋体" w:eastAsia="宋体" w:cs="宋体"/>
                <w:color w:val="212529"/>
                <w:spacing w:val="-2"/>
                <w:sz w:val="18"/>
                <w:szCs w:val="18"/>
              </w:rPr>
              <w:t>2210201</w:t>
            </w:r>
          </w:p>
        </w:tc>
        <w:tc>
          <w:tcPr>
            <w:tcW w:w="3116" w:type="dxa"/>
            <w:vAlign w:val="top"/>
          </w:tcPr>
          <w:p w14:paraId="01914F82">
            <w:pPr>
              <w:spacing w:before="139" w:line="219" w:lineRule="auto"/>
              <w:rPr>
                <w:rFonts w:ascii="宋体" w:hAnsi="宋体" w:eastAsia="宋体" w:cs="宋体"/>
                <w:sz w:val="18"/>
                <w:szCs w:val="18"/>
              </w:rPr>
            </w:pPr>
            <w:r>
              <w:rPr>
                <w:rFonts w:ascii="宋体" w:hAnsi="宋体" w:eastAsia="宋体" w:cs="宋体"/>
                <w:color w:val="212529"/>
                <w:spacing w:val="-3"/>
                <w:sz w:val="18"/>
                <w:szCs w:val="18"/>
              </w:rPr>
              <w:t>住房公积金</w:t>
            </w:r>
          </w:p>
        </w:tc>
        <w:tc>
          <w:tcPr>
            <w:tcW w:w="1573" w:type="dxa"/>
            <w:vAlign w:val="top"/>
          </w:tcPr>
          <w:p w14:paraId="00768C1F">
            <w:pPr>
              <w:spacing w:before="139" w:line="238" w:lineRule="auto"/>
              <w:ind w:right="30"/>
              <w:jc w:val="right"/>
              <w:rPr>
                <w:rFonts w:ascii="宋体" w:hAnsi="宋体" w:eastAsia="宋体" w:cs="宋体"/>
                <w:sz w:val="18"/>
                <w:szCs w:val="18"/>
              </w:rPr>
            </w:pPr>
            <w:r>
              <w:rPr>
                <w:rFonts w:ascii="宋体" w:hAnsi="宋体" w:eastAsia="宋体" w:cs="宋体"/>
                <w:color w:val="212529"/>
                <w:spacing w:val="-2"/>
                <w:sz w:val="18"/>
                <w:szCs w:val="18"/>
              </w:rPr>
              <w:t>5.64</w:t>
            </w:r>
          </w:p>
        </w:tc>
        <w:tc>
          <w:tcPr>
            <w:tcW w:w="1348" w:type="dxa"/>
            <w:vAlign w:val="top"/>
          </w:tcPr>
          <w:p w14:paraId="089FB7E1">
            <w:pPr>
              <w:spacing w:before="139" w:line="238" w:lineRule="auto"/>
              <w:ind w:right="20"/>
              <w:jc w:val="right"/>
              <w:rPr>
                <w:rFonts w:ascii="宋体" w:hAnsi="宋体" w:eastAsia="宋体" w:cs="宋体"/>
                <w:sz w:val="18"/>
                <w:szCs w:val="18"/>
              </w:rPr>
            </w:pPr>
            <w:r>
              <w:rPr>
                <w:rFonts w:ascii="宋体" w:hAnsi="宋体" w:eastAsia="宋体" w:cs="宋体"/>
                <w:color w:val="212529"/>
                <w:spacing w:val="-2"/>
                <w:sz w:val="18"/>
                <w:szCs w:val="18"/>
              </w:rPr>
              <w:t>5.64</w:t>
            </w:r>
          </w:p>
        </w:tc>
        <w:tc>
          <w:tcPr>
            <w:tcW w:w="1079" w:type="dxa"/>
            <w:vAlign w:val="top"/>
          </w:tcPr>
          <w:p w14:paraId="1838CBB6">
            <w:pPr>
              <w:pStyle w:val="6"/>
            </w:pPr>
          </w:p>
        </w:tc>
        <w:tc>
          <w:tcPr>
            <w:tcW w:w="1318" w:type="dxa"/>
            <w:vAlign w:val="top"/>
          </w:tcPr>
          <w:p w14:paraId="1D2288FE">
            <w:pPr>
              <w:pStyle w:val="6"/>
            </w:pPr>
          </w:p>
        </w:tc>
        <w:tc>
          <w:tcPr>
            <w:tcW w:w="1304" w:type="dxa"/>
            <w:vAlign w:val="top"/>
          </w:tcPr>
          <w:p w14:paraId="60264F8C">
            <w:pPr>
              <w:pStyle w:val="6"/>
            </w:pPr>
          </w:p>
        </w:tc>
        <w:tc>
          <w:tcPr>
            <w:tcW w:w="1034" w:type="dxa"/>
            <w:vAlign w:val="top"/>
          </w:tcPr>
          <w:p w14:paraId="785CC51D">
            <w:pPr>
              <w:pStyle w:val="6"/>
            </w:pPr>
          </w:p>
        </w:tc>
        <w:tc>
          <w:tcPr>
            <w:tcW w:w="1086" w:type="dxa"/>
            <w:vAlign w:val="top"/>
          </w:tcPr>
          <w:p w14:paraId="2ED58C3C">
            <w:pPr>
              <w:pStyle w:val="6"/>
            </w:pPr>
          </w:p>
        </w:tc>
      </w:tr>
    </w:tbl>
    <w:p w14:paraId="1F10B521">
      <w:pPr>
        <w:pStyle w:val="2"/>
      </w:pPr>
    </w:p>
    <w:p w14:paraId="7E1EB925">
      <w:pPr>
        <w:sectPr>
          <w:headerReference r:id="rId14" w:type="default"/>
          <w:footerReference r:id="rId15" w:type="default"/>
          <w:pgSz w:w="16840" w:h="11900"/>
          <w:pgMar w:top="642" w:right="0" w:bottom="340" w:left="0" w:header="326" w:footer="93" w:gutter="0"/>
          <w:cols w:space="720" w:num="1"/>
        </w:sectPr>
      </w:pPr>
    </w:p>
    <w:p w14:paraId="44CF78AE">
      <w:pPr>
        <w:spacing w:before="103"/>
      </w:pPr>
    </w:p>
    <w:p w14:paraId="6266A7E1">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1"/>
        <w:gridCol w:w="3218"/>
        <w:gridCol w:w="1447"/>
        <w:gridCol w:w="1329"/>
        <w:gridCol w:w="1323"/>
      </w:tblGrid>
      <w:tr w14:paraId="67C1F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41" w:type="dxa"/>
            <w:tcBorders>
              <w:top w:val="single" w:color="FFFFFF" w:sz="4" w:space="0"/>
              <w:left w:val="single" w:color="FFFFFF" w:sz="2" w:space="0"/>
              <w:bottom w:val="single" w:color="FFFFFF" w:sz="4" w:space="0"/>
              <w:right w:val="single" w:color="FFFFFF" w:sz="2" w:space="0"/>
            </w:tcBorders>
            <w:vAlign w:val="top"/>
          </w:tcPr>
          <w:p w14:paraId="7DD776B3">
            <w:pPr>
              <w:pStyle w:val="6"/>
            </w:pPr>
          </w:p>
        </w:tc>
        <w:tc>
          <w:tcPr>
            <w:tcW w:w="3218" w:type="dxa"/>
            <w:tcBorders>
              <w:top w:val="single" w:color="FFFFFF" w:sz="4" w:space="0"/>
              <w:left w:val="single" w:color="FFFFFF" w:sz="2" w:space="0"/>
              <w:bottom w:val="single" w:color="FFFFFF" w:sz="4" w:space="0"/>
              <w:right w:val="single" w:color="FFFFFF" w:sz="2" w:space="0"/>
            </w:tcBorders>
            <w:vAlign w:val="top"/>
          </w:tcPr>
          <w:p w14:paraId="24523E8F">
            <w:pPr>
              <w:pStyle w:val="6"/>
            </w:pPr>
          </w:p>
        </w:tc>
        <w:tc>
          <w:tcPr>
            <w:tcW w:w="1447" w:type="dxa"/>
            <w:tcBorders>
              <w:top w:val="single" w:color="FFFFFF" w:sz="4" w:space="0"/>
              <w:left w:val="single" w:color="FFFFFF" w:sz="2" w:space="0"/>
              <w:bottom w:val="single" w:color="FFFFFF" w:sz="4" w:space="0"/>
              <w:right w:val="single" w:color="FFFFFF" w:sz="2" w:space="0"/>
            </w:tcBorders>
            <w:vAlign w:val="top"/>
          </w:tcPr>
          <w:p w14:paraId="0DF955EB">
            <w:pPr>
              <w:pStyle w:val="6"/>
            </w:pPr>
          </w:p>
        </w:tc>
        <w:tc>
          <w:tcPr>
            <w:tcW w:w="1329" w:type="dxa"/>
            <w:tcBorders>
              <w:top w:val="single" w:color="FFFFFF" w:sz="4" w:space="0"/>
              <w:left w:val="single" w:color="FFFFFF" w:sz="2" w:space="0"/>
              <w:bottom w:val="single" w:color="FFFFFF" w:sz="4" w:space="0"/>
              <w:right w:val="single" w:color="FFFFFF" w:sz="2" w:space="0"/>
            </w:tcBorders>
            <w:vAlign w:val="top"/>
          </w:tcPr>
          <w:p w14:paraId="5FD7EAED">
            <w:pPr>
              <w:pStyle w:val="6"/>
            </w:pPr>
          </w:p>
        </w:tc>
        <w:tc>
          <w:tcPr>
            <w:tcW w:w="1323" w:type="dxa"/>
            <w:tcBorders>
              <w:top w:val="single" w:color="FFFFFF" w:sz="4" w:space="0"/>
              <w:left w:val="single" w:color="FFFFFF" w:sz="2" w:space="0"/>
              <w:bottom w:val="single" w:color="FFFFFF" w:sz="4" w:space="0"/>
              <w:right w:val="single" w:color="FFFFFF" w:sz="2" w:space="0"/>
            </w:tcBorders>
            <w:vAlign w:val="top"/>
          </w:tcPr>
          <w:p w14:paraId="3BD016B1">
            <w:pPr>
              <w:spacing w:before="94" w:line="234" w:lineRule="auto"/>
              <w:ind w:left="584"/>
              <w:rPr>
                <w:rFonts w:ascii="宋体" w:hAnsi="宋体" w:eastAsia="宋体" w:cs="宋体"/>
                <w:sz w:val="12"/>
                <w:szCs w:val="12"/>
              </w:rPr>
            </w:pPr>
            <w:r>
              <w:rPr>
                <w:rFonts w:ascii="宋体" w:hAnsi="宋体" w:eastAsia="宋体" w:cs="宋体"/>
                <w:color w:val="212529"/>
                <w:spacing w:val="8"/>
                <w:sz w:val="12"/>
                <w:szCs w:val="12"/>
              </w:rPr>
              <w:t>预算公开表3</w:t>
            </w:r>
          </w:p>
        </w:tc>
      </w:tr>
      <w:tr w14:paraId="43C5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033FCF35">
            <w:pPr>
              <w:spacing w:before="46" w:line="200" w:lineRule="exact"/>
              <w:ind w:left="3665"/>
              <w:outlineLvl w:val="1"/>
              <w:rPr>
                <w:rFonts w:ascii="微软雅黑" w:hAnsi="微软雅黑" w:eastAsia="微软雅黑" w:cs="微软雅黑"/>
                <w:sz w:val="19"/>
                <w:szCs w:val="19"/>
              </w:rPr>
            </w:pPr>
            <w:bookmarkStart w:id="10" w:name="bookmark38"/>
            <w:bookmarkEnd w:id="10"/>
            <w:bookmarkStart w:id="11" w:name="bookmark8"/>
            <w:bookmarkEnd w:id="11"/>
            <w:r>
              <w:rPr>
                <w:rFonts w:ascii="微软雅黑" w:hAnsi="微软雅黑" w:eastAsia="微软雅黑" w:cs="微软雅黑"/>
                <w:color w:val="212529"/>
                <w:spacing w:val="2"/>
                <w:position w:val="-1"/>
                <w:sz w:val="19"/>
                <w:szCs w:val="19"/>
              </w:rPr>
              <w:t>2025年预算支出总表</w:t>
            </w:r>
          </w:p>
        </w:tc>
      </w:tr>
      <w:tr w14:paraId="1A6B9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06" w:type="dxa"/>
            <w:gridSpan w:val="3"/>
            <w:tcBorders>
              <w:top w:val="single" w:color="FFFFFF" w:sz="4" w:space="0"/>
              <w:left w:val="single" w:color="FFFFFF" w:sz="2" w:space="0"/>
              <w:right w:val="single" w:color="FFFFFF" w:sz="2" w:space="0"/>
            </w:tcBorders>
            <w:vAlign w:val="top"/>
          </w:tcPr>
          <w:p w14:paraId="04EE8576">
            <w:pPr>
              <w:spacing w:before="90" w:line="233"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329" w:type="dxa"/>
            <w:tcBorders>
              <w:top w:val="single" w:color="FFFFFF" w:sz="4" w:space="0"/>
              <w:left w:val="single" w:color="FFFFFF" w:sz="2" w:space="0"/>
              <w:right w:val="single" w:color="FFFFFF" w:sz="2" w:space="0"/>
            </w:tcBorders>
            <w:vAlign w:val="top"/>
          </w:tcPr>
          <w:p w14:paraId="06178483">
            <w:pPr>
              <w:pStyle w:val="6"/>
            </w:pPr>
          </w:p>
        </w:tc>
        <w:tc>
          <w:tcPr>
            <w:tcW w:w="1323" w:type="dxa"/>
            <w:tcBorders>
              <w:top w:val="single" w:color="FFFFFF" w:sz="4" w:space="0"/>
              <w:left w:val="single" w:color="FFFFFF" w:sz="2" w:space="0"/>
              <w:right w:val="single" w:color="FFFFFF" w:sz="2" w:space="0"/>
            </w:tcBorders>
            <w:vAlign w:val="top"/>
          </w:tcPr>
          <w:p w14:paraId="0152F2DC">
            <w:pPr>
              <w:spacing w:before="91" w:line="234" w:lineRule="auto"/>
              <w:ind w:left="650"/>
              <w:rPr>
                <w:rFonts w:ascii="宋体" w:hAnsi="宋体" w:eastAsia="宋体" w:cs="宋体"/>
                <w:sz w:val="12"/>
                <w:szCs w:val="12"/>
              </w:rPr>
            </w:pPr>
            <w:r>
              <w:rPr>
                <w:rFonts w:ascii="宋体" w:hAnsi="宋体" w:eastAsia="宋体" w:cs="宋体"/>
                <w:color w:val="212529"/>
                <w:spacing w:val="8"/>
                <w:sz w:val="12"/>
                <w:szCs w:val="12"/>
              </w:rPr>
              <w:t>单位：万元</w:t>
            </w:r>
          </w:p>
        </w:tc>
      </w:tr>
      <w:tr w14:paraId="7284D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059" w:type="dxa"/>
            <w:gridSpan w:val="2"/>
            <w:vAlign w:val="top"/>
          </w:tcPr>
          <w:p w14:paraId="73D1CE4E">
            <w:pPr>
              <w:spacing w:before="78" w:line="154" w:lineRule="exact"/>
              <w:ind w:left="2355"/>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4099" w:type="dxa"/>
            <w:gridSpan w:val="3"/>
            <w:vAlign w:val="top"/>
          </w:tcPr>
          <w:p w14:paraId="7B66A4C7">
            <w:pPr>
              <w:spacing w:before="76" w:line="157" w:lineRule="exact"/>
              <w:ind w:left="1554"/>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0F5E3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841" w:type="dxa"/>
            <w:vAlign w:val="top"/>
          </w:tcPr>
          <w:p w14:paraId="2FC1E83A">
            <w:pPr>
              <w:spacing w:before="76" w:line="157" w:lineRule="exact"/>
              <w:ind w:left="579"/>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3218" w:type="dxa"/>
            <w:vAlign w:val="top"/>
          </w:tcPr>
          <w:p w14:paraId="0073D9F5">
            <w:pPr>
              <w:spacing w:before="76" w:line="157" w:lineRule="exact"/>
              <w:ind w:left="126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447" w:type="dxa"/>
            <w:vAlign w:val="top"/>
          </w:tcPr>
          <w:p w14:paraId="1B7DA1F2">
            <w:pPr>
              <w:spacing w:before="77" w:line="154" w:lineRule="exact"/>
              <w:ind w:left="55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329" w:type="dxa"/>
            <w:vAlign w:val="top"/>
          </w:tcPr>
          <w:p w14:paraId="0E6ED540">
            <w:pPr>
              <w:spacing w:before="76" w:line="156" w:lineRule="exact"/>
              <w:ind w:left="329"/>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323" w:type="dxa"/>
            <w:vAlign w:val="top"/>
          </w:tcPr>
          <w:p w14:paraId="3372B654">
            <w:pPr>
              <w:spacing w:before="76" w:line="156" w:lineRule="exact"/>
              <w:ind w:left="325"/>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4E1EC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5059" w:type="dxa"/>
            <w:gridSpan w:val="2"/>
            <w:vAlign w:val="top"/>
          </w:tcPr>
          <w:p w14:paraId="2860E6B8">
            <w:pPr>
              <w:spacing w:before="78" w:line="154" w:lineRule="exact"/>
              <w:ind w:left="235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447" w:type="dxa"/>
            <w:vAlign w:val="top"/>
          </w:tcPr>
          <w:p w14:paraId="5D5B36FD">
            <w:pPr>
              <w:pStyle w:val="6"/>
              <w:spacing w:before="99" w:line="186" w:lineRule="auto"/>
              <w:ind w:left="954"/>
              <w:rPr>
                <w:sz w:val="13"/>
                <w:szCs w:val="13"/>
              </w:rPr>
            </w:pPr>
            <w:r>
              <w:rPr>
                <w:color w:val="212529"/>
                <w:spacing w:val="2"/>
                <w:sz w:val="13"/>
                <w:szCs w:val="13"/>
              </w:rPr>
              <w:t>117.</w:t>
            </w:r>
            <w:r>
              <w:rPr>
                <w:color w:val="212529"/>
                <w:spacing w:val="10"/>
                <w:w w:val="101"/>
                <w:sz w:val="13"/>
                <w:szCs w:val="13"/>
              </w:rPr>
              <w:t xml:space="preserve"> </w:t>
            </w:r>
            <w:r>
              <w:rPr>
                <w:color w:val="212529"/>
                <w:spacing w:val="2"/>
                <w:sz w:val="13"/>
                <w:szCs w:val="13"/>
              </w:rPr>
              <w:t>21</w:t>
            </w:r>
          </w:p>
        </w:tc>
        <w:tc>
          <w:tcPr>
            <w:tcW w:w="1329" w:type="dxa"/>
            <w:vAlign w:val="top"/>
          </w:tcPr>
          <w:p w14:paraId="6B2C46E4">
            <w:pPr>
              <w:pStyle w:val="6"/>
              <w:spacing w:before="99" w:line="186" w:lineRule="auto"/>
              <w:ind w:left="901"/>
              <w:rPr>
                <w:sz w:val="13"/>
                <w:szCs w:val="13"/>
              </w:rPr>
            </w:pPr>
            <w:r>
              <w:rPr>
                <w:color w:val="212529"/>
                <w:spacing w:val="4"/>
                <w:sz w:val="13"/>
                <w:szCs w:val="13"/>
              </w:rPr>
              <w:t>78.</w:t>
            </w:r>
            <w:r>
              <w:rPr>
                <w:color w:val="212529"/>
                <w:spacing w:val="9"/>
                <w:sz w:val="13"/>
                <w:szCs w:val="13"/>
              </w:rPr>
              <w:t xml:space="preserve"> </w:t>
            </w:r>
            <w:r>
              <w:rPr>
                <w:color w:val="212529"/>
                <w:spacing w:val="4"/>
                <w:sz w:val="13"/>
                <w:szCs w:val="13"/>
              </w:rPr>
              <w:t>05</w:t>
            </w:r>
          </w:p>
        </w:tc>
        <w:tc>
          <w:tcPr>
            <w:tcW w:w="1323" w:type="dxa"/>
            <w:vAlign w:val="top"/>
          </w:tcPr>
          <w:p w14:paraId="2919B9F1">
            <w:pPr>
              <w:pStyle w:val="6"/>
              <w:spacing w:before="99" w:line="186" w:lineRule="auto"/>
              <w:ind w:left="894"/>
              <w:rPr>
                <w:sz w:val="13"/>
                <w:szCs w:val="13"/>
              </w:rPr>
            </w:pPr>
            <w:r>
              <w:rPr>
                <w:color w:val="212529"/>
                <w:spacing w:val="3"/>
                <w:sz w:val="13"/>
                <w:szCs w:val="13"/>
              </w:rPr>
              <w:t>39.</w:t>
            </w:r>
            <w:r>
              <w:rPr>
                <w:color w:val="212529"/>
                <w:spacing w:val="15"/>
                <w:w w:val="101"/>
                <w:sz w:val="13"/>
                <w:szCs w:val="13"/>
              </w:rPr>
              <w:t xml:space="preserve"> </w:t>
            </w:r>
            <w:r>
              <w:rPr>
                <w:color w:val="212529"/>
                <w:spacing w:val="3"/>
                <w:sz w:val="13"/>
                <w:szCs w:val="13"/>
              </w:rPr>
              <w:t>16</w:t>
            </w:r>
          </w:p>
        </w:tc>
      </w:tr>
      <w:tr w14:paraId="6B927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29FFC39D">
            <w:pPr>
              <w:spacing w:before="80"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201</w:t>
            </w:r>
          </w:p>
        </w:tc>
        <w:tc>
          <w:tcPr>
            <w:tcW w:w="3218" w:type="dxa"/>
            <w:vAlign w:val="top"/>
          </w:tcPr>
          <w:p w14:paraId="5B4EB470">
            <w:pPr>
              <w:spacing w:before="80" w:line="229" w:lineRule="auto"/>
              <w:rPr>
                <w:rFonts w:ascii="宋体" w:hAnsi="宋体" w:eastAsia="宋体" w:cs="宋体"/>
                <w:sz w:val="15"/>
                <w:szCs w:val="15"/>
              </w:rPr>
            </w:pPr>
            <w:r>
              <w:rPr>
                <w:rFonts w:ascii="宋体" w:hAnsi="宋体" w:eastAsia="宋体" w:cs="宋体"/>
                <w:color w:val="212529"/>
                <w:spacing w:val="10"/>
                <w:sz w:val="15"/>
                <w:szCs w:val="15"/>
              </w:rPr>
              <w:t>一般公共服务支出</w:t>
            </w:r>
          </w:p>
        </w:tc>
        <w:tc>
          <w:tcPr>
            <w:tcW w:w="1447" w:type="dxa"/>
            <w:vAlign w:val="top"/>
          </w:tcPr>
          <w:p w14:paraId="76B42624">
            <w:pPr>
              <w:spacing w:before="80"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91.06</w:t>
            </w:r>
          </w:p>
        </w:tc>
        <w:tc>
          <w:tcPr>
            <w:tcW w:w="1329" w:type="dxa"/>
            <w:vAlign w:val="top"/>
          </w:tcPr>
          <w:p w14:paraId="23B22D3B">
            <w:pPr>
              <w:pStyle w:val="6"/>
              <w:spacing w:before="99" w:line="186" w:lineRule="auto"/>
              <w:ind w:left="901"/>
              <w:rPr>
                <w:sz w:val="13"/>
                <w:szCs w:val="13"/>
              </w:rPr>
            </w:pPr>
            <w:r>
              <w:rPr>
                <w:color w:val="212529"/>
                <w:spacing w:val="4"/>
                <w:sz w:val="13"/>
                <w:szCs w:val="13"/>
              </w:rPr>
              <w:t>58.</w:t>
            </w:r>
            <w:r>
              <w:rPr>
                <w:color w:val="212529"/>
                <w:spacing w:val="12"/>
                <w:w w:val="102"/>
                <w:sz w:val="13"/>
                <w:szCs w:val="13"/>
              </w:rPr>
              <w:t xml:space="preserve"> </w:t>
            </w:r>
            <w:r>
              <w:rPr>
                <w:color w:val="212529"/>
                <w:spacing w:val="4"/>
                <w:sz w:val="13"/>
                <w:szCs w:val="13"/>
              </w:rPr>
              <w:t>94</w:t>
            </w:r>
          </w:p>
        </w:tc>
        <w:tc>
          <w:tcPr>
            <w:tcW w:w="1323" w:type="dxa"/>
            <w:vAlign w:val="top"/>
          </w:tcPr>
          <w:p w14:paraId="625A6796">
            <w:pPr>
              <w:pStyle w:val="6"/>
              <w:spacing w:before="99" w:line="187" w:lineRule="auto"/>
              <w:ind w:left="894"/>
              <w:rPr>
                <w:sz w:val="13"/>
                <w:szCs w:val="13"/>
              </w:rPr>
            </w:pPr>
            <w:r>
              <w:rPr>
                <w:color w:val="212529"/>
                <w:spacing w:val="1"/>
                <w:sz w:val="13"/>
                <w:szCs w:val="13"/>
              </w:rPr>
              <w:t>32.</w:t>
            </w:r>
            <w:r>
              <w:rPr>
                <w:color w:val="212529"/>
                <w:spacing w:val="24"/>
                <w:w w:val="101"/>
                <w:sz w:val="13"/>
                <w:szCs w:val="13"/>
              </w:rPr>
              <w:t xml:space="preserve"> </w:t>
            </w:r>
            <w:r>
              <w:rPr>
                <w:color w:val="212529"/>
                <w:spacing w:val="1"/>
                <w:sz w:val="13"/>
                <w:szCs w:val="13"/>
              </w:rPr>
              <w:t>12</w:t>
            </w:r>
          </w:p>
        </w:tc>
      </w:tr>
      <w:tr w14:paraId="13971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17BBCC75">
            <w:pPr>
              <w:spacing w:before="80"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20128</w:t>
            </w:r>
          </w:p>
        </w:tc>
        <w:tc>
          <w:tcPr>
            <w:tcW w:w="3218" w:type="dxa"/>
            <w:vAlign w:val="top"/>
          </w:tcPr>
          <w:p w14:paraId="321C86DA">
            <w:pPr>
              <w:spacing w:before="80" w:line="229" w:lineRule="auto"/>
              <w:ind w:left="15"/>
              <w:rPr>
                <w:rFonts w:ascii="宋体" w:hAnsi="宋体" w:eastAsia="宋体" w:cs="宋体"/>
                <w:sz w:val="15"/>
                <w:szCs w:val="15"/>
              </w:rPr>
            </w:pPr>
            <w:r>
              <w:rPr>
                <w:rFonts w:ascii="宋体" w:hAnsi="宋体" w:eastAsia="宋体" w:cs="宋体"/>
                <w:color w:val="212529"/>
                <w:spacing w:val="9"/>
                <w:sz w:val="15"/>
                <w:szCs w:val="15"/>
              </w:rPr>
              <w:t>民主党派及工商联事务</w:t>
            </w:r>
          </w:p>
        </w:tc>
        <w:tc>
          <w:tcPr>
            <w:tcW w:w="1447" w:type="dxa"/>
            <w:vAlign w:val="top"/>
          </w:tcPr>
          <w:p w14:paraId="3B883A86">
            <w:pPr>
              <w:spacing w:before="80" w:line="202" w:lineRule="exact"/>
              <w:ind w:right="16"/>
              <w:jc w:val="right"/>
              <w:rPr>
                <w:rFonts w:ascii="宋体" w:hAnsi="宋体" w:eastAsia="宋体" w:cs="宋体"/>
                <w:sz w:val="15"/>
                <w:szCs w:val="15"/>
              </w:rPr>
            </w:pPr>
            <w:r>
              <w:rPr>
                <w:rFonts w:ascii="宋体" w:hAnsi="宋体" w:eastAsia="宋体" w:cs="宋体"/>
                <w:color w:val="212529"/>
                <w:spacing w:val="4"/>
                <w:position w:val="1"/>
                <w:sz w:val="15"/>
                <w:szCs w:val="15"/>
              </w:rPr>
              <w:t>91.06</w:t>
            </w:r>
          </w:p>
        </w:tc>
        <w:tc>
          <w:tcPr>
            <w:tcW w:w="1329" w:type="dxa"/>
            <w:vAlign w:val="top"/>
          </w:tcPr>
          <w:p w14:paraId="6B95D135">
            <w:pPr>
              <w:pStyle w:val="6"/>
              <w:spacing w:before="99" w:line="186" w:lineRule="auto"/>
              <w:ind w:left="901"/>
              <w:rPr>
                <w:sz w:val="13"/>
                <w:szCs w:val="13"/>
              </w:rPr>
            </w:pPr>
            <w:r>
              <w:rPr>
                <w:color w:val="212529"/>
                <w:spacing w:val="4"/>
                <w:sz w:val="13"/>
                <w:szCs w:val="13"/>
              </w:rPr>
              <w:t>58.</w:t>
            </w:r>
            <w:r>
              <w:rPr>
                <w:color w:val="212529"/>
                <w:spacing w:val="12"/>
                <w:w w:val="102"/>
                <w:sz w:val="13"/>
                <w:szCs w:val="13"/>
              </w:rPr>
              <w:t xml:space="preserve"> </w:t>
            </w:r>
            <w:r>
              <w:rPr>
                <w:color w:val="212529"/>
                <w:spacing w:val="4"/>
                <w:sz w:val="13"/>
                <w:szCs w:val="13"/>
              </w:rPr>
              <w:t>94</w:t>
            </w:r>
          </w:p>
        </w:tc>
        <w:tc>
          <w:tcPr>
            <w:tcW w:w="1323" w:type="dxa"/>
            <w:vAlign w:val="top"/>
          </w:tcPr>
          <w:p w14:paraId="5741B529">
            <w:pPr>
              <w:pStyle w:val="6"/>
              <w:spacing w:before="99" w:line="186" w:lineRule="auto"/>
              <w:ind w:left="894"/>
              <w:rPr>
                <w:sz w:val="13"/>
                <w:szCs w:val="13"/>
              </w:rPr>
            </w:pPr>
            <w:r>
              <w:rPr>
                <w:color w:val="212529"/>
                <w:spacing w:val="1"/>
                <w:sz w:val="13"/>
                <w:szCs w:val="13"/>
              </w:rPr>
              <w:t>32.</w:t>
            </w:r>
            <w:r>
              <w:rPr>
                <w:color w:val="212529"/>
                <w:spacing w:val="24"/>
                <w:w w:val="101"/>
                <w:sz w:val="13"/>
                <w:szCs w:val="13"/>
              </w:rPr>
              <w:t xml:space="preserve"> </w:t>
            </w:r>
            <w:r>
              <w:rPr>
                <w:color w:val="212529"/>
                <w:spacing w:val="1"/>
                <w:sz w:val="13"/>
                <w:szCs w:val="13"/>
              </w:rPr>
              <w:t>12</w:t>
            </w:r>
          </w:p>
        </w:tc>
      </w:tr>
      <w:tr w14:paraId="7C99BD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74DF95B9">
            <w:pPr>
              <w:spacing w:before="81"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2012801</w:t>
            </w:r>
          </w:p>
        </w:tc>
        <w:tc>
          <w:tcPr>
            <w:tcW w:w="3218" w:type="dxa"/>
            <w:vAlign w:val="top"/>
          </w:tcPr>
          <w:p w14:paraId="72C8812B">
            <w:pPr>
              <w:spacing w:before="81" w:line="230" w:lineRule="auto"/>
              <w:rPr>
                <w:rFonts w:ascii="宋体" w:hAnsi="宋体" w:eastAsia="宋体" w:cs="宋体"/>
                <w:sz w:val="15"/>
                <w:szCs w:val="15"/>
              </w:rPr>
            </w:pPr>
            <w:r>
              <w:rPr>
                <w:rFonts w:ascii="宋体" w:hAnsi="宋体" w:eastAsia="宋体" w:cs="宋体"/>
                <w:color w:val="212529"/>
                <w:spacing w:val="9"/>
                <w:sz w:val="15"/>
                <w:szCs w:val="15"/>
              </w:rPr>
              <w:t>行政运行</w:t>
            </w:r>
          </w:p>
        </w:tc>
        <w:tc>
          <w:tcPr>
            <w:tcW w:w="1447" w:type="dxa"/>
            <w:vAlign w:val="top"/>
          </w:tcPr>
          <w:p w14:paraId="018C96ED">
            <w:pPr>
              <w:spacing w:before="81"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58.94</w:t>
            </w:r>
          </w:p>
        </w:tc>
        <w:tc>
          <w:tcPr>
            <w:tcW w:w="1329" w:type="dxa"/>
            <w:vAlign w:val="top"/>
          </w:tcPr>
          <w:p w14:paraId="26684946">
            <w:pPr>
              <w:spacing w:before="81" w:line="202" w:lineRule="exact"/>
              <w:ind w:right="23"/>
              <w:jc w:val="right"/>
              <w:rPr>
                <w:rFonts w:ascii="宋体" w:hAnsi="宋体" w:eastAsia="宋体" w:cs="宋体"/>
                <w:sz w:val="15"/>
                <w:szCs w:val="15"/>
              </w:rPr>
            </w:pPr>
            <w:r>
              <w:rPr>
                <w:rFonts w:ascii="宋体" w:hAnsi="宋体" w:eastAsia="宋体" w:cs="宋体"/>
                <w:color w:val="212529"/>
                <w:spacing w:val="3"/>
                <w:position w:val="1"/>
                <w:sz w:val="15"/>
                <w:szCs w:val="15"/>
              </w:rPr>
              <w:t>58.94</w:t>
            </w:r>
          </w:p>
        </w:tc>
        <w:tc>
          <w:tcPr>
            <w:tcW w:w="1323" w:type="dxa"/>
            <w:vAlign w:val="top"/>
          </w:tcPr>
          <w:p w14:paraId="3FFF6EE9">
            <w:pPr>
              <w:pStyle w:val="6"/>
            </w:pPr>
          </w:p>
        </w:tc>
      </w:tr>
      <w:tr w14:paraId="5D202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15D5A047">
            <w:pPr>
              <w:spacing w:before="81"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2012899</w:t>
            </w:r>
          </w:p>
        </w:tc>
        <w:tc>
          <w:tcPr>
            <w:tcW w:w="3218" w:type="dxa"/>
            <w:vAlign w:val="top"/>
          </w:tcPr>
          <w:p w14:paraId="093D2E3B">
            <w:pPr>
              <w:spacing w:before="81" w:line="229" w:lineRule="auto"/>
              <w:rPr>
                <w:rFonts w:ascii="宋体" w:hAnsi="宋体" w:eastAsia="宋体" w:cs="宋体"/>
                <w:sz w:val="15"/>
                <w:szCs w:val="15"/>
              </w:rPr>
            </w:pPr>
            <w:r>
              <w:rPr>
                <w:rFonts w:ascii="宋体" w:hAnsi="宋体" w:eastAsia="宋体" w:cs="宋体"/>
                <w:color w:val="212529"/>
                <w:spacing w:val="11"/>
                <w:sz w:val="15"/>
                <w:szCs w:val="15"/>
              </w:rPr>
              <w:t>其他民主党派及工商联事务支出</w:t>
            </w:r>
          </w:p>
        </w:tc>
        <w:tc>
          <w:tcPr>
            <w:tcW w:w="1447" w:type="dxa"/>
            <w:vAlign w:val="top"/>
          </w:tcPr>
          <w:p w14:paraId="7F55739D">
            <w:pPr>
              <w:spacing w:before="81"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32.12</w:t>
            </w:r>
          </w:p>
        </w:tc>
        <w:tc>
          <w:tcPr>
            <w:tcW w:w="1329" w:type="dxa"/>
            <w:vAlign w:val="top"/>
          </w:tcPr>
          <w:p w14:paraId="1A45E7D2">
            <w:pPr>
              <w:pStyle w:val="6"/>
            </w:pPr>
          </w:p>
        </w:tc>
        <w:tc>
          <w:tcPr>
            <w:tcW w:w="1323" w:type="dxa"/>
            <w:vAlign w:val="top"/>
          </w:tcPr>
          <w:p w14:paraId="016F25E9">
            <w:pPr>
              <w:spacing w:before="81"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32.12</w:t>
            </w:r>
          </w:p>
        </w:tc>
      </w:tr>
      <w:tr w14:paraId="0EDDF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6E4F36BA">
            <w:pPr>
              <w:spacing w:before="81"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208</w:t>
            </w:r>
          </w:p>
        </w:tc>
        <w:tc>
          <w:tcPr>
            <w:tcW w:w="3218" w:type="dxa"/>
            <w:vAlign w:val="top"/>
          </w:tcPr>
          <w:p w14:paraId="0CB09ADD">
            <w:pPr>
              <w:spacing w:before="82" w:line="228" w:lineRule="auto"/>
              <w:rPr>
                <w:rFonts w:ascii="宋体" w:hAnsi="宋体" w:eastAsia="宋体" w:cs="宋体"/>
                <w:sz w:val="15"/>
                <w:szCs w:val="15"/>
              </w:rPr>
            </w:pPr>
            <w:r>
              <w:rPr>
                <w:rFonts w:ascii="宋体" w:hAnsi="宋体" w:eastAsia="宋体" w:cs="宋体"/>
                <w:color w:val="212529"/>
                <w:spacing w:val="10"/>
                <w:sz w:val="15"/>
                <w:szCs w:val="15"/>
              </w:rPr>
              <w:t>社会保障和就业支出</w:t>
            </w:r>
          </w:p>
        </w:tc>
        <w:tc>
          <w:tcPr>
            <w:tcW w:w="1447" w:type="dxa"/>
            <w:vAlign w:val="top"/>
          </w:tcPr>
          <w:p w14:paraId="45F085E6">
            <w:pPr>
              <w:spacing w:before="81"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16.58</w:t>
            </w:r>
          </w:p>
        </w:tc>
        <w:tc>
          <w:tcPr>
            <w:tcW w:w="1329" w:type="dxa"/>
            <w:vAlign w:val="top"/>
          </w:tcPr>
          <w:p w14:paraId="06A4C5B9">
            <w:pPr>
              <w:pStyle w:val="6"/>
              <w:spacing w:before="101" w:line="186" w:lineRule="auto"/>
              <w:ind w:left="979"/>
              <w:rPr>
                <w:sz w:val="13"/>
                <w:szCs w:val="13"/>
              </w:rPr>
            </w:pPr>
            <w:r>
              <w:rPr>
                <w:color w:val="212529"/>
                <w:spacing w:val="4"/>
                <w:sz w:val="13"/>
                <w:szCs w:val="13"/>
              </w:rPr>
              <w:t>9.</w:t>
            </w:r>
            <w:r>
              <w:rPr>
                <w:color w:val="212529"/>
                <w:spacing w:val="10"/>
                <w:w w:val="101"/>
                <w:sz w:val="13"/>
                <w:szCs w:val="13"/>
              </w:rPr>
              <w:t xml:space="preserve"> </w:t>
            </w:r>
            <w:r>
              <w:rPr>
                <w:color w:val="212529"/>
                <w:spacing w:val="4"/>
                <w:sz w:val="13"/>
                <w:szCs w:val="13"/>
              </w:rPr>
              <w:t>54</w:t>
            </w:r>
          </w:p>
        </w:tc>
        <w:tc>
          <w:tcPr>
            <w:tcW w:w="1323" w:type="dxa"/>
            <w:vAlign w:val="top"/>
          </w:tcPr>
          <w:p w14:paraId="401081DB">
            <w:pPr>
              <w:pStyle w:val="6"/>
              <w:spacing w:before="101" w:line="186" w:lineRule="auto"/>
              <w:ind w:left="975"/>
              <w:rPr>
                <w:sz w:val="13"/>
                <w:szCs w:val="13"/>
              </w:rPr>
            </w:pPr>
            <w:r>
              <w:rPr>
                <w:color w:val="212529"/>
                <w:spacing w:val="2"/>
                <w:sz w:val="13"/>
                <w:szCs w:val="13"/>
              </w:rPr>
              <w:t>7.</w:t>
            </w:r>
            <w:r>
              <w:rPr>
                <w:color w:val="212529"/>
                <w:spacing w:val="15"/>
                <w:w w:val="102"/>
                <w:sz w:val="13"/>
                <w:szCs w:val="13"/>
              </w:rPr>
              <w:t xml:space="preserve"> </w:t>
            </w:r>
            <w:r>
              <w:rPr>
                <w:color w:val="212529"/>
                <w:spacing w:val="2"/>
                <w:sz w:val="13"/>
                <w:szCs w:val="13"/>
              </w:rPr>
              <w:t>04</w:t>
            </w:r>
          </w:p>
        </w:tc>
      </w:tr>
      <w:tr w14:paraId="28A51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6AD4C870">
            <w:pPr>
              <w:spacing w:before="82"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w:t>
            </w:r>
          </w:p>
        </w:tc>
        <w:tc>
          <w:tcPr>
            <w:tcW w:w="3218" w:type="dxa"/>
            <w:vAlign w:val="top"/>
          </w:tcPr>
          <w:p w14:paraId="75364371">
            <w:pPr>
              <w:spacing w:before="82" w:line="229" w:lineRule="auto"/>
              <w:rPr>
                <w:rFonts w:ascii="宋体" w:hAnsi="宋体" w:eastAsia="宋体" w:cs="宋体"/>
                <w:sz w:val="15"/>
                <w:szCs w:val="15"/>
              </w:rPr>
            </w:pPr>
            <w:r>
              <w:rPr>
                <w:rFonts w:ascii="宋体" w:hAnsi="宋体" w:eastAsia="宋体" w:cs="宋体"/>
                <w:color w:val="212529"/>
                <w:spacing w:val="11"/>
                <w:sz w:val="15"/>
                <w:szCs w:val="15"/>
              </w:rPr>
              <w:t>行政事业单位养老支出</w:t>
            </w:r>
          </w:p>
        </w:tc>
        <w:tc>
          <w:tcPr>
            <w:tcW w:w="1447" w:type="dxa"/>
            <w:vAlign w:val="top"/>
          </w:tcPr>
          <w:p w14:paraId="74DC93A9">
            <w:pPr>
              <w:spacing w:before="82" w:line="202" w:lineRule="exact"/>
              <w:ind w:right="16"/>
              <w:jc w:val="right"/>
              <w:rPr>
                <w:rFonts w:ascii="宋体" w:hAnsi="宋体" w:eastAsia="宋体" w:cs="宋体"/>
                <w:sz w:val="15"/>
                <w:szCs w:val="15"/>
              </w:rPr>
            </w:pPr>
            <w:r>
              <w:rPr>
                <w:rFonts w:ascii="宋体" w:hAnsi="宋体" w:eastAsia="宋体" w:cs="宋体"/>
                <w:color w:val="212529"/>
                <w:spacing w:val="2"/>
                <w:position w:val="1"/>
                <w:sz w:val="15"/>
                <w:szCs w:val="15"/>
              </w:rPr>
              <w:t>16.58</w:t>
            </w:r>
          </w:p>
        </w:tc>
        <w:tc>
          <w:tcPr>
            <w:tcW w:w="1329" w:type="dxa"/>
            <w:vAlign w:val="top"/>
          </w:tcPr>
          <w:p w14:paraId="77DBBB53">
            <w:pPr>
              <w:pStyle w:val="6"/>
              <w:spacing w:before="101" w:line="186" w:lineRule="auto"/>
              <w:ind w:left="979"/>
              <w:rPr>
                <w:sz w:val="13"/>
                <w:szCs w:val="13"/>
              </w:rPr>
            </w:pPr>
            <w:r>
              <w:rPr>
                <w:color w:val="212529"/>
                <w:spacing w:val="4"/>
                <w:sz w:val="13"/>
                <w:szCs w:val="13"/>
              </w:rPr>
              <w:t>9.</w:t>
            </w:r>
            <w:r>
              <w:rPr>
                <w:color w:val="212529"/>
                <w:spacing w:val="10"/>
                <w:w w:val="101"/>
                <w:sz w:val="13"/>
                <w:szCs w:val="13"/>
              </w:rPr>
              <w:t xml:space="preserve"> </w:t>
            </w:r>
            <w:r>
              <w:rPr>
                <w:color w:val="212529"/>
                <w:spacing w:val="4"/>
                <w:sz w:val="13"/>
                <w:szCs w:val="13"/>
              </w:rPr>
              <w:t>54</w:t>
            </w:r>
          </w:p>
        </w:tc>
        <w:tc>
          <w:tcPr>
            <w:tcW w:w="1323" w:type="dxa"/>
            <w:vAlign w:val="top"/>
          </w:tcPr>
          <w:p w14:paraId="11E1B2A3">
            <w:pPr>
              <w:pStyle w:val="6"/>
              <w:spacing w:before="101" w:line="186" w:lineRule="auto"/>
              <w:ind w:left="975"/>
              <w:rPr>
                <w:sz w:val="13"/>
                <w:szCs w:val="13"/>
              </w:rPr>
            </w:pPr>
            <w:r>
              <w:rPr>
                <w:color w:val="212529"/>
                <w:spacing w:val="2"/>
                <w:sz w:val="13"/>
                <w:szCs w:val="13"/>
              </w:rPr>
              <w:t>7.</w:t>
            </w:r>
            <w:r>
              <w:rPr>
                <w:color w:val="212529"/>
                <w:spacing w:val="15"/>
                <w:w w:val="102"/>
                <w:sz w:val="13"/>
                <w:szCs w:val="13"/>
              </w:rPr>
              <w:t xml:space="preserve"> </w:t>
            </w:r>
            <w:r>
              <w:rPr>
                <w:color w:val="212529"/>
                <w:spacing w:val="2"/>
                <w:sz w:val="13"/>
                <w:szCs w:val="13"/>
              </w:rPr>
              <w:t>04</w:t>
            </w:r>
          </w:p>
        </w:tc>
      </w:tr>
      <w:tr w14:paraId="0E06B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5B027310">
            <w:pPr>
              <w:spacing w:before="8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2080501</w:t>
            </w:r>
          </w:p>
        </w:tc>
        <w:tc>
          <w:tcPr>
            <w:tcW w:w="3218" w:type="dxa"/>
            <w:vAlign w:val="top"/>
          </w:tcPr>
          <w:p w14:paraId="1E466A79">
            <w:pPr>
              <w:spacing w:before="82" w:line="229" w:lineRule="auto"/>
              <w:rPr>
                <w:rFonts w:ascii="宋体" w:hAnsi="宋体" w:eastAsia="宋体" w:cs="宋体"/>
                <w:sz w:val="15"/>
                <w:szCs w:val="15"/>
              </w:rPr>
            </w:pPr>
            <w:r>
              <w:rPr>
                <w:rFonts w:ascii="宋体" w:hAnsi="宋体" w:eastAsia="宋体" w:cs="宋体"/>
                <w:color w:val="212529"/>
                <w:spacing w:val="10"/>
                <w:sz w:val="15"/>
                <w:szCs w:val="15"/>
              </w:rPr>
              <w:t>行政单位离退休</w:t>
            </w:r>
          </w:p>
        </w:tc>
        <w:tc>
          <w:tcPr>
            <w:tcW w:w="1447" w:type="dxa"/>
            <w:vAlign w:val="top"/>
          </w:tcPr>
          <w:p w14:paraId="0B8C63FF">
            <w:pPr>
              <w:spacing w:before="82"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9.96</w:t>
            </w:r>
          </w:p>
        </w:tc>
        <w:tc>
          <w:tcPr>
            <w:tcW w:w="1329" w:type="dxa"/>
            <w:vAlign w:val="top"/>
          </w:tcPr>
          <w:p w14:paraId="1230A79C">
            <w:pPr>
              <w:spacing w:before="82" w:line="202" w:lineRule="exact"/>
              <w:ind w:right="23"/>
              <w:jc w:val="right"/>
              <w:rPr>
                <w:rFonts w:ascii="宋体" w:hAnsi="宋体" w:eastAsia="宋体" w:cs="宋体"/>
                <w:sz w:val="15"/>
                <w:szCs w:val="15"/>
              </w:rPr>
            </w:pPr>
            <w:r>
              <w:rPr>
                <w:rFonts w:ascii="宋体" w:hAnsi="宋体" w:eastAsia="宋体" w:cs="宋体"/>
                <w:color w:val="212529"/>
                <w:spacing w:val="3"/>
                <w:position w:val="1"/>
                <w:sz w:val="15"/>
                <w:szCs w:val="15"/>
              </w:rPr>
              <w:t>2.92</w:t>
            </w:r>
          </w:p>
        </w:tc>
        <w:tc>
          <w:tcPr>
            <w:tcW w:w="1323" w:type="dxa"/>
            <w:vAlign w:val="top"/>
          </w:tcPr>
          <w:p w14:paraId="3337B694">
            <w:pPr>
              <w:spacing w:before="82"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7.04</w:t>
            </w:r>
          </w:p>
        </w:tc>
      </w:tr>
      <w:tr w14:paraId="51C42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08CAFC39">
            <w:pPr>
              <w:spacing w:before="8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2080505</w:t>
            </w:r>
          </w:p>
        </w:tc>
        <w:tc>
          <w:tcPr>
            <w:tcW w:w="3218" w:type="dxa"/>
            <w:vAlign w:val="top"/>
          </w:tcPr>
          <w:p w14:paraId="4B1F8DA8">
            <w:pPr>
              <w:spacing w:before="83" w:line="228" w:lineRule="auto"/>
              <w:rPr>
                <w:rFonts w:ascii="宋体" w:hAnsi="宋体" w:eastAsia="宋体" w:cs="宋体"/>
                <w:sz w:val="15"/>
                <w:szCs w:val="15"/>
              </w:rPr>
            </w:pPr>
            <w:r>
              <w:rPr>
                <w:rFonts w:ascii="宋体" w:hAnsi="宋体" w:eastAsia="宋体" w:cs="宋体"/>
                <w:color w:val="212529"/>
                <w:spacing w:val="11"/>
                <w:sz w:val="15"/>
                <w:szCs w:val="15"/>
              </w:rPr>
              <w:t>机关事业单位基本养老保险缴费支出</w:t>
            </w:r>
          </w:p>
        </w:tc>
        <w:tc>
          <w:tcPr>
            <w:tcW w:w="1447" w:type="dxa"/>
            <w:vAlign w:val="top"/>
          </w:tcPr>
          <w:p w14:paraId="1B324DF7">
            <w:pPr>
              <w:spacing w:before="83" w:line="201"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6.62</w:t>
            </w:r>
          </w:p>
        </w:tc>
        <w:tc>
          <w:tcPr>
            <w:tcW w:w="1329" w:type="dxa"/>
            <w:vAlign w:val="top"/>
          </w:tcPr>
          <w:p w14:paraId="30578C4C">
            <w:pPr>
              <w:spacing w:before="83" w:line="201" w:lineRule="exact"/>
              <w:ind w:right="23"/>
              <w:jc w:val="right"/>
              <w:rPr>
                <w:rFonts w:ascii="宋体" w:hAnsi="宋体" w:eastAsia="宋体" w:cs="宋体"/>
                <w:sz w:val="15"/>
                <w:szCs w:val="15"/>
              </w:rPr>
            </w:pPr>
            <w:r>
              <w:rPr>
                <w:rFonts w:ascii="宋体" w:hAnsi="宋体" w:eastAsia="宋体" w:cs="宋体"/>
                <w:color w:val="212529"/>
                <w:spacing w:val="3"/>
                <w:position w:val="1"/>
                <w:sz w:val="15"/>
                <w:szCs w:val="15"/>
              </w:rPr>
              <w:t>6.62</w:t>
            </w:r>
          </w:p>
        </w:tc>
        <w:tc>
          <w:tcPr>
            <w:tcW w:w="1323" w:type="dxa"/>
            <w:vAlign w:val="top"/>
          </w:tcPr>
          <w:p w14:paraId="16B53D10">
            <w:pPr>
              <w:pStyle w:val="6"/>
            </w:pPr>
          </w:p>
        </w:tc>
      </w:tr>
      <w:tr w14:paraId="2EFE0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57572C37">
            <w:pPr>
              <w:spacing w:before="83" w:line="202" w:lineRule="exact"/>
              <w:ind w:left="8"/>
              <w:rPr>
                <w:rFonts w:ascii="宋体" w:hAnsi="宋体" w:eastAsia="宋体" w:cs="宋体"/>
                <w:sz w:val="15"/>
                <w:szCs w:val="15"/>
              </w:rPr>
            </w:pPr>
            <w:r>
              <w:rPr>
                <w:rFonts w:ascii="宋体" w:hAnsi="宋体" w:eastAsia="宋体" w:cs="宋体"/>
                <w:color w:val="212529"/>
                <w:spacing w:val="2"/>
                <w:position w:val="1"/>
                <w:sz w:val="15"/>
                <w:szCs w:val="15"/>
              </w:rPr>
              <w:t>210</w:t>
            </w:r>
          </w:p>
        </w:tc>
        <w:tc>
          <w:tcPr>
            <w:tcW w:w="3218" w:type="dxa"/>
            <w:vAlign w:val="top"/>
          </w:tcPr>
          <w:p w14:paraId="00CAA2AC">
            <w:pPr>
              <w:spacing w:before="83" w:line="229" w:lineRule="auto"/>
              <w:rPr>
                <w:rFonts w:ascii="宋体" w:hAnsi="宋体" w:eastAsia="宋体" w:cs="宋体"/>
                <w:sz w:val="15"/>
                <w:szCs w:val="15"/>
              </w:rPr>
            </w:pPr>
            <w:r>
              <w:rPr>
                <w:rFonts w:ascii="宋体" w:hAnsi="宋体" w:eastAsia="宋体" w:cs="宋体"/>
                <w:color w:val="212529"/>
                <w:spacing w:val="10"/>
                <w:sz w:val="15"/>
                <w:szCs w:val="15"/>
              </w:rPr>
              <w:t>卫生健康支出</w:t>
            </w:r>
          </w:p>
        </w:tc>
        <w:tc>
          <w:tcPr>
            <w:tcW w:w="1447" w:type="dxa"/>
            <w:vAlign w:val="top"/>
          </w:tcPr>
          <w:p w14:paraId="566F3AA0">
            <w:pPr>
              <w:spacing w:before="83"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3.93</w:t>
            </w:r>
          </w:p>
        </w:tc>
        <w:tc>
          <w:tcPr>
            <w:tcW w:w="1329" w:type="dxa"/>
            <w:vAlign w:val="top"/>
          </w:tcPr>
          <w:p w14:paraId="19D7146C">
            <w:pPr>
              <w:pStyle w:val="6"/>
            </w:pPr>
          </w:p>
        </w:tc>
        <w:tc>
          <w:tcPr>
            <w:tcW w:w="1323" w:type="dxa"/>
            <w:vAlign w:val="top"/>
          </w:tcPr>
          <w:p w14:paraId="3E2E573B">
            <w:pPr>
              <w:pStyle w:val="6"/>
            </w:pPr>
          </w:p>
        </w:tc>
      </w:tr>
      <w:tr w14:paraId="1594D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4B970CF5">
            <w:pPr>
              <w:spacing w:before="83"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w:t>
            </w:r>
          </w:p>
        </w:tc>
        <w:tc>
          <w:tcPr>
            <w:tcW w:w="3218" w:type="dxa"/>
            <w:vAlign w:val="top"/>
          </w:tcPr>
          <w:p w14:paraId="7B3456CA">
            <w:pPr>
              <w:spacing w:before="83" w:line="230" w:lineRule="auto"/>
              <w:rPr>
                <w:rFonts w:ascii="宋体" w:hAnsi="宋体" w:eastAsia="宋体" w:cs="宋体"/>
                <w:sz w:val="15"/>
                <w:szCs w:val="15"/>
              </w:rPr>
            </w:pPr>
            <w:r>
              <w:rPr>
                <w:rFonts w:ascii="宋体" w:hAnsi="宋体" w:eastAsia="宋体" w:cs="宋体"/>
                <w:color w:val="212529"/>
                <w:spacing w:val="10"/>
                <w:sz w:val="15"/>
                <w:szCs w:val="15"/>
              </w:rPr>
              <w:t>行政事业单位医疗</w:t>
            </w:r>
          </w:p>
        </w:tc>
        <w:tc>
          <w:tcPr>
            <w:tcW w:w="1447" w:type="dxa"/>
            <w:vAlign w:val="top"/>
          </w:tcPr>
          <w:p w14:paraId="5AD72842">
            <w:pPr>
              <w:spacing w:before="83"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3.93</w:t>
            </w:r>
          </w:p>
        </w:tc>
        <w:tc>
          <w:tcPr>
            <w:tcW w:w="1329" w:type="dxa"/>
            <w:vAlign w:val="top"/>
          </w:tcPr>
          <w:p w14:paraId="2C69B5D2">
            <w:pPr>
              <w:pStyle w:val="6"/>
              <w:spacing w:before="102" w:line="186" w:lineRule="auto"/>
              <w:ind w:left="982"/>
              <w:rPr>
                <w:sz w:val="13"/>
                <w:szCs w:val="13"/>
              </w:rPr>
            </w:pPr>
            <w:r>
              <w:rPr>
                <w:color w:val="212529"/>
                <w:spacing w:val="2"/>
                <w:sz w:val="13"/>
                <w:szCs w:val="13"/>
              </w:rPr>
              <w:t>3.</w:t>
            </w:r>
            <w:r>
              <w:rPr>
                <w:color w:val="212529"/>
                <w:spacing w:val="11"/>
                <w:w w:val="102"/>
                <w:sz w:val="13"/>
                <w:szCs w:val="13"/>
              </w:rPr>
              <w:t xml:space="preserve"> </w:t>
            </w:r>
            <w:r>
              <w:rPr>
                <w:color w:val="212529"/>
                <w:spacing w:val="2"/>
                <w:sz w:val="13"/>
                <w:szCs w:val="13"/>
              </w:rPr>
              <w:t>93</w:t>
            </w:r>
          </w:p>
        </w:tc>
        <w:tc>
          <w:tcPr>
            <w:tcW w:w="1323" w:type="dxa"/>
            <w:vAlign w:val="top"/>
          </w:tcPr>
          <w:p w14:paraId="36EA278D">
            <w:pPr>
              <w:pStyle w:val="6"/>
            </w:pPr>
          </w:p>
        </w:tc>
      </w:tr>
      <w:tr w14:paraId="347B7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70FF5721">
            <w:pPr>
              <w:spacing w:before="8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2101101</w:t>
            </w:r>
          </w:p>
        </w:tc>
        <w:tc>
          <w:tcPr>
            <w:tcW w:w="3218" w:type="dxa"/>
            <w:vAlign w:val="top"/>
          </w:tcPr>
          <w:p w14:paraId="18B710EB">
            <w:pPr>
              <w:spacing w:before="83" w:line="230" w:lineRule="auto"/>
              <w:rPr>
                <w:rFonts w:ascii="宋体" w:hAnsi="宋体" w:eastAsia="宋体" w:cs="宋体"/>
                <w:sz w:val="15"/>
                <w:szCs w:val="15"/>
              </w:rPr>
            </w:pPr>
            <w:r>
              <w:rPr>
                <w:rFonts w:ascii="宋体" w:hAnsi="宋体" w:eastAsia="宋体" w:cs="宋体"/>
                <w:color w:val="212529"/>
                <w:spacing w:val="10"/>
                <w:sz w:val="15"/>
                <w:szCs w:val="15"/>
              </w:rPr>
              <w:t>行政单位医疗</w:t>
            </w:r>
          </w:p>
        </w:tc>
        <w:tc>
          <w:tcPr>
            <w:tcW w:w="1447" w:type="dxa"/>
            <w:vAlign w:val="top"/>
          </w:tcPr>
          <w:p w14:paraId="7FDDE712">
            <w:pPr>
              <w:spacing w:before="84" w:line="201"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2.69</w:t>
            </w:r>
          </w:p>
        </w:tc>
        <w:tc>
          <w:tcPr>
            <w:tcW w:w="1329" w:type="dxa"/>
            <w:vAlign w:val="top"/>
          </w:tcPr>
          <w:p w14:paraId="04A847B9">
            <w:pPr>
              <w:spacing w:before="84" w:line="201" w:lineRule="exact"/>
              <w:ind w:right="23"/>
              <w:jc w:val="right"/>
              <w:rPr>
                <w:rFonts w:ascii="宋体" w:hAnsi="宋体" w:eastAsia="宋体" w:cs="宋体"/>
                <w:sz w:val="15"/>
                <w:szCs w:val="15"/>
              </w:rPr>
            </w:pPr>
            <w:r>
              <w:rPr>
                <w:rFonts w:ascii="宋体" w:hAnsi="宋体" w:eastAsia="宋体" w:cs="宋体"/>
                <w:color w:val="212529"/>
                <w:spacing w:val="3"/>
                <w:position w:val="1"/>
                <w:sz w:val="15"/>
                <w:szCs w:val="15"/>
              </w:rPr>
              <w:t>2.69</w:t>
            </w:r>
          </w:p>
        </w:tc>
        <w:tc>
          <w:tcPr>
            <w:tcW w:w="1323" w:type="dxa"/>
            <w:vAlign w:val="top"/>
          </w:tcPr>
          <w:p w14:paraId="33B7A86B">
            <w:pPr>
              <w:pStyle w:val="6"/>
            </w:pPr>
          </w:p>
        </w:tc>
      </w:tr>
      <w:tr w14:paraId="15C0F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67740631">
            <w:pPr>
              <w:spacing w:before="84"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2101103</w:t>
            </w:r>
          </w:p>
        </w:tc>
        <w:tc>
          <w:tcPr>
            <w:tcW w:w="3218" w:type="dxa"/>
            <w:vAlign w:val="top"/>
          </w:tcPr>
          <w:p w14:paraId="749AA8C0">
            <w:pPr>
              <w:spacing w:before="84" w:line="229" w:lineRule="auto"/>
              <w:ind w:left="3"/>
              <w:rPr>
                <w:rFonts w:ascii="宋体" w:hAnsi="宋体" w:eastAsia="宋体" w:cs="宋体"/>
                <w:sz w:val="15"/>
                <w:szCs w:val="15"/>
              </w:rPr>
            </w:pPr>
            <w:r>
              <w:rPr>
                <w:rFonts w:ascii="宋体" w:hAnsi="宋体" w:eastAsia="宋体" w:cs="宋体"/>
                <w:color w:val="212529"/>
                <w:spacing w:val="10"/>
                <w:sz w:val="15"/>
                <w:szCs w:val="15"/>
              </w:rPr>
              <w:t>公务员医疗补助</w:t>
            </w:r>
          </w:p>
        </w:tc>
        <w:tc>
          <w:tcPr>
            <w:tcW w:w="1447" w:type="dxa"/>
            <w:vAlign w:val="top"/>
          </w:tcPr>
          <w:p w14:paraId="42CA6DB8">
            <w:pPr>
              <w:spacing w:before="84" w:line="202" w:lineRule="exact"/>
              <w:ind w:right="16"/>
              <w:jc w:val="right"/>
              <w:rPr>
                <w:rFonts w:ascii="宋体" w:hAnsi="宋体" w:eastAsia="宋体" w:cs="宋体"/>
                <w:sz w:val="15"/>
                <w:szCs w:val="15"/>
              </w:rPr>
            </w:pPr>
            <w:r>
              <w:rPr>
                <w:rFonts w:ascii="宋体" w:hAnsi="宋体" w:eastAsia="宋体" w:cs="宋体"/>
                <w:color w:val="212529"/>
                <w:spacing w:val="1"/>
                <w:position w:val="1"/>
                <w:sz w:val="15"/>
                <w:szCs w:val="15"/>
              </w:rPr>
              <w:t>1.24</w:t>
            </w:r>
          </w:p>
        </w:tc>
        <w:tc>
          <w:tcPr>
            <w:tcW w:w="1329" w:type="dxa"/>
            <w:vAlign w:val="top"/>
          </w:tcPr>
          <w:p w14:paraId="6CF43D39">
            <w:pPr>
              <w:spacing w:before="84" w:line="202" w:lineRule="exact"/>
              <w:ind w:right="23"/>
              <w:jc w:val="right"/>
              <w:rPr>
                <w:rFonts w:ascii="宋体" w:hAnsi="宋体" w:eastAsia="宋体" w:cs="宋体"/>
                <w:sz w:val="15"/>
                <w:szCs w:val="15"/>
              </w:rPr>
            </w:pPr>
            <w:r>
              <w:rPr>
                <w:rFonts w:ascii="宋体" w:hAnsi="宋体" w:eastAsia="宋体" w:cs="宋体"/>
                <w:color w:val="212529"/>
                <w:spacing w:val="1"/>
                <w:position w:val="1"/>
                <w:sz w:val="15"/>
                <w:szCs w:val="15"/>
              </w:rPr>
              <w:t>1.24</w:t>
            </w:r>
          </w:p>
        </w:tc>
        <w:tc>
          <w:tcPr>
            <w:tcW w:w="1323" w:type="dxa"/>
            <w:vAlign w:val="top"/>
          </w:tcPr>
          <w:p w14:paraId="2D4DE0B3">
            <w:pPr>
              <w:pStyle w:val="6"/>
            </w:pPr>
          </w:p>
        </w:tc>
      </w:tr>
      <w:tr w14:paraId="0B4C9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29ECDA5D">
            <w:pPr>
              <w:spacing w:before="84" w:line="204" w:lineRule="exact"/>
              <w:ind w:left="8"/>
              <w:rPr>
                <w:rFonts w:ascii="宋体" w:hAnsi="宋体" w:eastAsia="宋体" w:cs="宋体"/>
                <w:sz w:val="15"/>
                <w:szCs w:val="15"/>
              </w:rPr>
            </w:pPr>
            <w:r>
              <w:rPr>
                <w:rFonts w:ascii="宋体" w:hAnsi="宋体" w:eastAsia="宋体" w:cs="宋体"/>
                <w:color w:val="212529"/>
                <w:spacing w:val="2"/>
                <w:position w:val="1"/>
                <w:sz w:val="15"/>
                <w:szCs w:val="15"/>
              </w:rPr>
              <w:t>221</w:t>
            </w:r>
          </w:p>
        </w:tc>
        <w:tc>
          <w:tcPr>
            <w:tcW w:w="3218" w:type="dxa"/>
            <w:vAlign w:val="top"/>
          </w:tcPr>
          <w:p w14:paraId="6631D257">
            <w:pPr>
              <w:spacing w:before="84" w:line="229" w:lineRule="auto"/>
              <w:rPr>
                <w:rFonts w:ascii="宋体" w:hAnsi="宋体" w:eastAsia="宋体" w:cs="宋体"/>
                <w:sz w:val="15"/>
                <w:szCs w:val="15"/>
              </w:rPr>
            </w:pPr>
            <w:r>
              <w:rPr>
                <w:rFonts w:ascii="宋体" w:hAnsi="宋体" w:eastAsia="宋体" w:cs="宋体"/>
                <w:color w:val="212529"/>
                <w:spacing w:val="10"/>
                <w:sz w:val="15"/>
                <w:szCs w:val="15"/>
              </w:rPr>
              <w:t>住房保障支出</w:t>
            </w:r>
          </w:p>
        </w:tc>
        <w:tc>
          <w:tcPr>
            <w:tcW w:w="1447" w:type="dxa"/>
            <w:vAlign w:val="top"/>
          </w:tcPr>
          <w:p w14:paraId="757B5877">
            <w:pPr>
              <w:spacing w:before="84"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29" w:type="dxa"/>
            <w:vAlign w:val="top"/>
          </w:tcPr>
          <w:p w14:paraId="6DC1131B">
            <w:pPr>
              <w:pStyle w:val="6"/>
              <w:spacing w:before="103" w:line="161" w:lineRule="auto"/>
              <w:ind w:left="982"/>
              <w:rPr>
                <w:sz w:val="15"/>
                <w:szCs w:val="15"/>
              </w:rPr>
            </w:pPr>
            <w:r>
              <w:rPr>
                <w:color w:val="212529"/>
                <w:spacing w:val="5"/>
                <w:sz w:val="15"/>
                <w:szCs w:val="15"/>
              </w:rPr>
              <w:t>5.64</w:t>
            </w:r>
          </w:p>
        </w:tc>
        <w:tc>
          <w:tcPr>
            <w:tcW w:w="1323" w:type="dxa"/>
            <w:vAlign w:val="top"/>
          </w:tcPr>
          <w:p w14:paraId="5C448D54">
            <w:pPr>
              <w:pStyle w:val="6"/>
            </w:pPr>
          </w:p>
        </w:tc>
      </w:tr>
      <w:tr w14:paraId="568E6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841" w:type="dxa"/>
            <w:vAlign w:val="top"/>
          </w:tcPr>
          <w:p w14:paraId="33AB4DB9">
            <w:pPr>
              <w:spacing w:before="85"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w:t>
            </w:r>
          </w:p>
        </w:tc>
        <w:tc>
          <w:tcPr>
            <w:tcW w:w="3218" w:type="dxa"/>
            <w:vAlign w:val="top"/>
          </w:tcPr>
          <w:p w14:paraId="356E1946">
            <w:pPr>
              <w:spacing w:before="85" w:line="229" w:lineRule="auto"/>
              <w:rPr>
                <w:rFonts w:ascii="宋体" w:hAnsi="宋体" w:eastAsia="宋体" w:cs="宋体"/>
                <w:sz w:val="15"/>
                <w:szCs w:val="15"/>
              </w:rPr>
            </w:pPr>
            <w:r>
              <w:rPr>
                <w:rFonts w:ascii="宋体" w:hAnsi="宋体" w:eastAsia="宋体" w:cs="宋体"/>
                <w:color w:val="212529"/>
                <w:spacing w:val="10"/>
                <w:sz w:val="15"/>
                <w:szCs w:val="15"/>
              </w:rPr>
              <w:t>住房改革支出</w:t>
            </w:r>
          </w:p>
        </w:tc>
        <w:tc>
          <w:tcPr>
            <w:tcW w:w="1447" w:type="dxa"/>
            <w:vAlign w:val="top"/>
          </w:tcPr>
          <w:p w14:paraId="7F28E8F5">
            <w:pPr>
              <w:spacing w:before="85" w:line="201"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29" w:type="dxa"/>
            <w:vAlign w:val="top"/>
          </w:tcPr>
          <w:p w14:paraId="42BA54D7">
            <w:pPr>
              <w:pStyle w:val="6"/>
              <w:spacing w:before="104" w:line="161" w:lineRule="auto"/>
              <w:ind w:left="982"/>
              <w:rPr>
                <w:sz w:val="15"/>
                <w:szCs w:val="15"/>
              </w:rPr>
            </w:pPr>
            <w:r>
              <w:rPr>
                <w:color w:val="212529"/>
                <w:spacing w:val="5"/>
                <w:sz w:val="15"/>
                <w:szCs w:val="15"/>
              </w:rPr>
              <w:t>5.64</w:t>
            </w:r>
          </w:p>
        </w:tc>
        <w:tc>
          <w:tcPr>
            <w:tcW w:w="1323" w:type="dxa"/>
            <w:vAlign w:val="top"/>
          </w:tcPr>
          <w:p w14:paraId="2D89E9FE">
            <w:pPr>
              <w:pStyle w:val="6"/>
            </w:pPr>
          </w:p>
        </w:tc>
      </w:tr>
      <w:tr w14:paraId="00E4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841" w:type="dxa"/>
            <w:vAlign w:val="top"/>
          </w:tcPr>
          <w:p w14:paraId="1963A638">
            <w:pPr>
              <w:spacing w:before="85"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2210201</w:t>
            </w:r>
          </w:p>
        </w:tc>
        <w:tc>
          <w:tcPr>
            <w:tcW w:w="3218" w:type="dxa"/>
            <w:vAlign w:val="top"/>
          </w:tcPr>
          <w:p w14:paraId="638F7141">
            <w:pPr>
              <w:spacing w:before="85" w:line="230" w:lineRule="auto"/>
              <w:rPr>
                <w:rFonts w:ascii="宋体" w:hAnsi="宋体" w:eastAsia="宋体" w:cs="宋体"/>
                <w:sz w:val="15"/>
                <w:szCs w:val="15"/>
              </w:rPr>
            </w:pPr>
            <w:r>
              <w:rPr>
                <w:rFonts w:ascii="宋体" w:hAnsi="宋体" w:eastAsia="宋体" w:cs="宋体"/>
                <w:color w:val="212529"/>
                <w:spacing w:val="10"/>
                <w:sz w:val="15"/>
                <w:szCs w:val="15"/>
              </w:rPr>
              <w:t>住房公积金</w:t>
            </w:r>
          </w:p>
        </w:tc>
        <w:tc>
          <w:tcPr>
            <w:tcW w:w="1447" w:type="dxa"/>
            <w:vAlign w:val="top"/>
          </w:tcPr>
          <w:p w14:paraId="1C5150D0">
            <w:pPr>
              <w:spacing w:before="85" w:line="202" w:lineRule="exact"/>
              <w:ind w:right="16"/>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29" w:type="dxa"/>
            <w:vAlign w:val="top"/>
          </w:tcPr>
          <w:p w14:paraId="03D23A4A">
            <w:pPr>
              <w:spacing w:before="85" w:line="202" w:lineRule="exact"/>
              <w:ind w:right="23"/>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23" w:type="dxa"/>
            <w:vAlign w:val="top"/>
          </w:tcPr>
          <w:p w14:paraId="06A7904A">
            <w:pPr>
              <w:pStyle w:val="6"/>
            </w:pPr>
          </w:p>
        </w:tc>
      </w:tr>
    </w:tbl>
    <w:p w14:paraId="11205D1E">
      <w:pPr>
        <w:pStyle w:val="2"/>
      </w:pPr>
    </w:p>
    <w:p w14:paraId="12F2E3E4">
      <w:pPr>
        <w:sectPr>
          <w:headerReference r:id="rId16" w:type="default"/>
          <w:footerReference r:id="rId17" w:type="default"/>
          <w:pgSz w:w="11900" w:h="16840"/>
          <w:pgMar w:top="642" w:right="0" w:bottom="340" w:left="0" w:header="326" w:footer="93" w:gutter="0"/>
          <w:cols w:space="720" w:num="1"/>
        </w:sectPr>
      </w:pPr>
    </w:p>
    <w:p w14:paraId="34907515">
      <w:pPr>
        <w:spacing w:before="103"/>
      </w:pPr>
    </w:p>
    <w:p w14:paraId="52D06445">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7"/>
        <w:gridCol w:w="1069"/>
        <w:gridCol w:w="1998"/>
        <w:gridCol w:w="1069"/>
        <w:gridCol w:w="1101"/>
        <w:gridCol w:w="886"/>
        <w:gridCol w:w="1118"/>
      </w:tblGrid>
      <w:tr w14:paraId="31189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917" w:type="dxa"/>
            <w:tcBorders>
              <w:top w:val="single" w:color="FFFFFF" w:sz="4" w:space="0"/>
              <w:left w:val="single" w:color="FFFFFF" w:sz="2" w:space="0"/>
              <w:bottom w:val="single" w:color="FFFFFF" w:sz="4" w:space="0"/>
              <w:right w:val="single" w:color="FFFFFF" w:sz="2" w:space="0"/>
            </w:tcBorders>
            <w:vAlign w:val="top"/>
          </w:tcPr>
          <w:p w14:paraId="40C0D295">
            <w:pPr>
              <w:pStyle w:val="6"/>
            </w:pPr>
          </w:p>
        </w:tc>
        <w:tc>
          <w:tcPr>
            <w:tcW w:w="1069" w:type="dxa"/>
            <w:tcBorders>
              <w:top w:val="single" w:color="FFFFFF" w:sz="4" w:space="0"/>
              <w:left w:val="single" w:color="FFFFFF" w:sz="2" w:space="0"/>
              <w:bottom w:val="single" w:color="FFFFFF" w:sz="4" w:space="0"/>
              <w:right w:val="single" w:color="FFFFFF" w:sz="2" w:space="0"/>
            </w:tcBorders>
            <w:vAlign w:val="top"/>
          </w:tcPr>
          <w:p w14:paraId="42451D1E">
            <w:pPr>
              <w:pStyle w:val="6"/>
            </w:pPr>
          </w:p>
        </w:tc>
        <w:tc>
          <w:tcPr>
            <w:tcW w:w="1998" w:type="dxa"/>
            <w:tcBorders>
              <w:top w:val="single" w:color="FFFFFF" w:sz="4" w:space="0"/>
              <w:left w:val="single" w:color="FFFFFF" w:sz="2" w:space="0"/>
              <w:bottom w:val="single" w:color="FFFFFF" w:sz="4" w:space="0"/>
              <w:right w:val="single" w:color="FFFFFF" w:sz="2" w:space="0"/>
            </w:tcBorders>
            <w:vAlign w:val="top"/>
          </w:tcPr>
          <w:p w14:paraId="35DF1330">
            <w:pPr>
              <w:pStyle w:val="6"/>
            </w:pPr>
          </w:p>
        </w:tc>
        <w:tc>
          <w:tcPr>
            <w:tcW w:w="1069" w:type="dxa"/>
            <w:tcBorders>
              <w:top w:val="single" w:color="FFFFFF" w:sz="4" w:space="0"/>
              <w:left w:val="single" w:color="FFFFFF" w:sz="2" w:space="0"/>
              <w:bottom w:val="single" w:color="FFFFFF" w:sz="4" w:space="0"/>
              <w:right w:val="single" w:color="FFFFFF" w:sz="2" w:space="0"/>
            </w:tcBorders>
            <w:vAlign w:val="top"/>
          </w:tcPr>
          <w:p w14:paraId="3FF1F703">
            <w:pPr>
              <w:pStyle w:val="6"/>
            </w:pPr>
          </w:p>
        </w:tc>
        <w:tc>
          <w:tcPr>
            <w:tcW w:w="1101" w:type="dxa"/>
            <w:tcBorders>
              <w:top w:val="single" w:color="FFFFFF" w:sz="4" w:space="0"/>
              <w:left w:val="single" w:color="FFFFFF" w:sz="2" w:space="0"/>
              <w:bottom w:val="single" w:color="FFFFFF" w:sz="4" w:space="0"/>
              <w:right w:val="single" w:color="FFFFFF" w:sz="2" w:space="0"/>
            </w:tcBorders>
            <w:vAlign w:val="top"/>
          </w:tcPr>
          <w:p w14:paraId="7D623474">
            <w:pPr>
              <w:pStyle w:val="6"/>
            </w:pPr>
          </w:p>
        </w:tc>
        <w:tc>
          <w:tcPr>
            <w:tcW w:w="2004" w:type="dxa"/>
            <w:gridSpan w:val="2"/>
            <w:tcBorders>
              <w:top w:val="single" w:color="FFFFFF" w:sz="4" w:space="0"/>
              <w:left w:val="single" w:color="FFFFFF" w:sz="2" w:space="0"/>
              <w:bottom w:val="single" w:color="FFFFFF" w:sz="4" w:space="0"/>
              <w:right w:val="single" w:color="FFFFFF" w:sz="2" w:space="0"/>
            </w:tcBorders>
            <w:vAlign w:val="top"/>
          </w:tcPr>
          <w:p w14:paraId="51B4EEC1">
            <w:pPr>
              <w:spacing w:before="115" w:line="225" w:lineRule="auto"/>
              <w:ind w:left="1188"/>
              <w:rPr>
                <w:rFonts w:ascii="宋体" w:hAnsi="宋体" w:eastAsia="宋体" w:cs="宋体"/>
                <w:sz w:val="14"/>
                <w:szCs w:val="14"/>
              </w:rPr>
            </w:pPr>
            <w:r>
              <w:rPr>
                <w:rFonts w:ascii="宋体" w:hAnsi="宋体" w:eastAsia="宋体" w:cs="宋体"/>
                <w:color w:val="212529"/>
                <w:sz w:val="14"/>
                <w:szCs w:val="14"/>
              </w:rPr>
              <w:t>预</w:t>
            </w:r>
          </w:p>
        </w:tc>
      </w:tr>
      <w:tr w14:paraId="5ED3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158" w:type="dxa"/>
            <w:gridSpan w:val="7"/>
            <w:tcBorders>
              <w:top w:val="single" w:color="FFFFFF" w:sz="4" w:space="0"/>
              <w:left w:val="single" w:color="FFFFFF" w:sz="4" w:space="0"/>
              <w:bottom w:val="single" w:color="FFFFFF" w:sz="4" w:space="0"/>
              <w:right w:val="single" w:color="FFFFFF" w:sz="4" w:space="0"/>
            </w:tcBorders>
            <w:vAlign w:val="top"/>
          </w:tcPr>
          <w:p w14:paraId="49307D3E">
            <w:pPr>
              <w:spacing w:before="78" w:line="201" w:lineRule="exact"/>
              <w:ind w:left="3464"/>
              <w:outlineLvl w:val="1"/>
              <w:rPr>
                <w:rFonts w:ascii="微软雅黑" w:hAnsi="微软雅黑" w:eastAsia="微软雅黑" w:cs="微软雅黑"/>
                <w:sz w:val="20"/>
                <w:szCs w:val="20"/>
              </w:rPr>
            </w:pPr>
            <w:bookmarkStart w:id="12" w:name="bookmark39"/>
            <w:bookmarkEnd w:id="12"/>
            <w:bookmarkStart w:id="13" w:name="bookmark9"/>
            <w:bookmarkEnd w:id="13"/>
            <w:r>
              <w:rPr>
                <w:rFonts w:ascii="微软雅黑" w:hAnsi="微软雅黑" w:eastAsia="微软雅黑" w:cs="微软雅黑"/>
                <w:color w:val="212529"/>
                <w:spacing w:val="-5"/>
                <w:position w:val="-1"/>
                <w:sz w:val="20"/>
                <w:szCs w:val="20"/>
              </w:rPr>
              <w:t>2025年财政拨款收支总表</w:t>
            </w:r>
          </w:p>
        </w:tc>
      </w:tr>
      <w:tr w14:paraId="42801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040" w:type="dxa"/>
            <w:gridSpan w:val="6"/>
            <w:tcBorders>
              <w:top w:val="single" w:color="FFFFFF" w:sz="4" w:space="0"/>
              <w:left w:val="single" w:color="FFFFFF" w:sz="2" w:space="0"/>
              <w:right w:val="single" w:color="FFFFFF" w:sz="2" w:space="0"/>
            </w:tcBorders>
            <w:vAlign w:val="top"/>
          </w:tcPr>
          <w:p w14:paraId="7CFBC788">
            <w:pPr>
              <w:spacing w:before="123" w:line="233"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118" w:type="dxa"/>
            <w:tcBorders>
              <w:top w:val="single" w:color="FFFFFF" w:sz="4" w:space="0"/>
              <w:left w:val="single" w:color="FFFFFF" w:sz="2" w:space="0"/>
              <w:right w:val="single" w:color="FFFFFF" w:sz="2" w:space="0"/>
            </w:tcBorders>
            <w:vAlign w:val="top"/>
          </w:tcPr>
          <w:p w14:paraId="2AB5D9E1">
            <w:pPr>
              <w:spacing w:before="123" w:line="234" w:lineRule="auto"/>
              <w:ind w:left="445"/>
              <w:rPr>
                <w:rFonts w:ascii="宋体" w:hAnsi="宋体" w:eastAsia="宋体" w:cs="宋体"/>
                <w:sz w:val="12"/>
                <w:szCs w:val="12"/>
              </w:rPr>
            </w:pPr>
            <w:r>
              <w:rPr>
                <w:rFonts w:ascii="宋体" w:hAnsi="宋体" w:eastAsia="宋体" w:cs="宋体"/>
                <w:color w:val="212529"/>
                <w:spacing w:val="8"/>
                <w:sz w:val="12"/>
                <w:szCs w:val="12"/>
              </w:rPr>
              <w:t>单位：万元</w:t>
            </w:r>
          </w:p>
        </w:tc>
      </w:tr>
      <w:tr w14:paraId="35138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986" w:type="dxa"/>
            <w:gridSpan w:val="2"/>
            <w:vAlign w:val="top"/>
          </w:tcPr>
          <w:p w14:paraId="630D0C90">
            <w:pPr>
              <w:spacing w:before="107" w:line="157" w:lineRule="exact"/>
              <w:ind w:left="1326"/>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收入</w:t>
            </w:r>
          </w:p>
        </w:tc>
        <w:tc>
          <w:tcPr>
            <w:tcW w:w="6172" w:type="dxa"/>
            <w:gridSpan w:val="5"/>
            <w:vAlign w:val="top"/>
          </w:tcPr>
          <w:p w14:paraId="4F992B15">
            <w:pPr>
              <w:spacing w:before="107" w:line="154" w:lineRule="exact"/>
              <w:ind w:left="2914"/>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支出</w:t>
            </w:r>
          </w:p>
        </w:tc>
      </w:tr>
      <w:tr w14:paraId="17722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Merge w:val="restart"/>
            <w:tcBorders>
              <w:bottom w:val="nil"/>
            </w:tcBorders>
            <w:vAlign w:val="top"/>
          </w:tcPr>
          <w:p w14:paraId="29FB4566">
            <w:pPr>
              <w:spacing w:before="304" w:line="154" w:lineRule="exact"/>
              <w:ind w:left="78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069" w:type="dxa"/>
            <w:vMerge w:val="restart"/>
            <w:tcBorders>
              <w:bottom w:val="nil"/>
            </w:tcBorders>
            <w:vAlign w:val="top"/>
          </w:tcPr>
          <w:p w14:paraId="43ED08AE">
            <w:pPr>
              <w:spacing w:before="302" w:line="157" w:lineRule="exact"/>
              <w:ind w:left="359"/>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金额</w:t>
            </w:r>
          </w:p>
        </w:tc>
        <w:tc>
          <w:tcPr>
            <w:tcW w:w="1998" w:type="dxa"/>
            <w:vMerge w:val="restart"/>
            <w:tcBorders>
              <w:bottom w:val="nil"/>
            </w:tcBorders>
            <w:vAlign w:val="top"/>
          </w:tcPr>
          <w:p w14:paraId="22549BA9">
            <w:pPr>
              <w:spacing w:before="304" w:line="154" w:lineRule="exact"/>
              <w:ind w:left="82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4174" w:type="dxa"/>
            <w:gridSpan w:val="4"/>
            <w:vAlign w:val="top"/>
          </w:tcPr>
          <w:p w14:paraId="1EE5D009">
            <w:pPr>
              <w:spacing w:before="107" w:line="157" w:lineRule="exact"/>
              <w:ind w:left="1911"/>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金额</w:t>
            </w:r>
          </w:p>
        </w:tc>
      </w:tr>
      <w:tr w14:paraId="07D5F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Merge w:val="continue"/>
            <w:tcBorders>
              <w:top w:val="nil"/>
            </w:tcBorders>
            <w:vAlign w:val="top"/>
          </w:tcPr>
          <w:p w14:paraId="6C94767A">
            <w:pPr>
              <w:pStyle w:val="6"/>
            </w:pPr>
          </w:p>
        </w:tc>
        <w:tc>
          <w:tcPr>
            <w:tcW w:w="1069" w:type="dxa"/>
            <w:vMerge w:val="continue"/>
            <w:tcBorders>
              <w:top w:val="nil"/>
            </w:tcBorders>
            <w:vAlign w:val="top"/>
          </w:tcPr>
          <w:p w14:paraId="4ED27B03">
            <w:pPr>
              <w:pStyle w:val="6"/>
            </w:pPr>
          </w:p>
        </w:tc>
        <w:tc>
          <w:tcPr>
            <w:tcW w:w="1998" w:type="dxa"/>
            <w:vMerge w:val="continue"/>
            <w:tcBorders>
              <w:top w:val="nil"/>
            </w:tcBorders>
            <w:vAlign w:val="top"/>
          </w:tcPr>
          <w:p w14:paraId="34A602EC">
            <w:pPr>
              <w:pStyle w:val="6"/>
            </w:pPr>
          </w:p>
        </w:tc>
        <w:tc>
          <w:tcPr>
            <w:tcW w:w="1069" w:type="dxa"/>
            <w:vAlign w:val="top"/>
          </w:tcPr>
          <w:p w14:paraId="3C0F3534">
            <w:pPr>
              <w:spacing w:before="108" w:line="154" w:lineRule="exact"/>
              <w:ind w:left="368"/>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101" w:type="dxa"/>
            <w:vAlign w:val="top"/>
          </w:tcPr>
          <w:p w14:paraId="579C0226">
            <w:pPr>
              <w:spacing w:before="107" w:line="157" w:lineRule="exact"/>
              <w:ind w:left="57"/>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886" w:type="dxa"/>
            <w:vAlign w:val="top"/>
          </w:tcPr>
          <w:p w14:paraId="6EA114C1">
            <w:pPr>
              <w:spacing w:before="21" w:line="159" w:lineRule="auto"/>
              <w:ind w:left="273" w:right="37" w:hanging="240"/>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政府性基金预算</w:t>
            </w:r>
          </w:p>
        </w:tc>
        <w:tc>
          <w:tcPr>
            <w:tcW w:w="1118" w:type="dxa"/>
            <w:vAlign w:val="top"/>
          </w:tcPr>
          <w:p w14:paraId="3366D3C5">
            <w:pPr>
              <w:spacing w:before="21" w:line="159" w:lineRule="auto"/>
              <w:ind w:left="386" w:right="77" w:hanging="304"/>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国有资本经营</w:t>
            </w:r>
            <w:r>
              <w:rPr>
                <w:rFonts w:ascii="微软雅黑" w:hAnsi="微软雅黑" w:eastAsia="微软雅黑" w:cs="微软雅黑"/>
                <w:color w:val="212529"/>
                <w:spacing w:val="11"/>
                <w:sz w:val="15"/>
                <w:szCs w:val="15"/>
              </w:rPr>
              <w:t>预算</w:t>
            </w:r>
          </w:p>
        </w:tc>
      </w:tr>
      <w:tr w14:paraId="4AB20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0611CEEB">
            <w:pPr>
              <w:spacing w:before="110" w:line="229" w:lineRule="auto"/>
              <w:ind w:left="8"/>
              <w:rPr>
                <w:rFonts w:ascii="宋体" w:hAnsi="宋体" w:eastAsia="宋体" w:cs="宋体"/>
                <w:sz w:val="15"/>
                <w:szCs w:val="15"/>
              </w:rPr>
            </w:pPr>
            <w:r>
              <w:rPr>
                <w:rFonts w:ascii="宋体" w:hAnsi="宋体" w:eastAsia="宋体" w:cs="宋体"/>
                <w:color w:val="212529"/>
                <w:spacing w:val="10"/>
                <w:sz w:val="15"/>
                <w:szCs w:val="15"/>
              </w:rPr>
              <w:t>一、一般公共预算</w:t>
            </w:r>
          </w:p>
        </w:tc>
        <w:tc>
          <w:tcPr>
            <w:tcW w:w="1069" w:type="dxa"/>
            <w:vAlign w:val="top"/>
          </w:tcPr>
          <w:p w14:paraId="41D2AD74">
            <w:pPr>
              <w:spacing w:before="110" w:line="202" w:lineRule="exact"/>
              <w:ind w:right="20"/>
              <w:jc w:val="right"/>
              <w:rPr>
                <w:rFonts w:ascii="宋体" w:hAnsi="宋体" w:eastAsia="宋体" w:cs="宋体"/>
                <w:sz w:val="15"/>
                <w:szCs w:val="15"/>
              </w:rPr>
            </w:pPr>
            <w:r>
              <w:rPr>
                <w:rFonts w:ascii="宋体" w:hAnsi="宋体" w:eastAsia="宋体" w:cs="宋体"/>
                <w:color w:val="212529"/>
                <w:spacing w:val="2"/>
                <w:position w:val="1"/>
                <w:sz w:val="15"/>
                <w:szCs w:val="15"/>
              </w:rPr>
              <w:t>117.21</w:t>
            </w:r>
          </w:p>
        </w:tc>
        <w:tc>
          <w:tcPr>
            <w:tcW w:w="1998" w:type="dxa"/>
            <w:vAlign w:val="top"/>
          </w:tcPr>
          <w:p w14:paraId="1016B0FF">
            <w:pPr>
              <w:spacing w:before="110" w:line="229" w:lineRule="auto"/>
              <w:ind w:left="11"/>
              <w:rPr>
                <w:rFonts w:ascii="宋体" w:hAnsi="宋体" w:eastAsia="宋体" w:cs="宋体"/>
                <w:sz w:val="15"/>
                <w:szCs w:val="15"/>
              </w:rPr>
            </w:pPr>
            <w:r>
              <w:rPr>
                <w:rFonts w:ascii="宋体" w:hAnsi="宋体" w:eastAsia="宋体" w:cs="宋体"/>
                <w:color w:val="212529"/>
                <w:spacing w:val="10"/>
                <w:sz w:val="15"/>
                <w:szCs w:val="15"/>
              </w:rPr>
              <w:t>一、一般公共服务支出</w:t>
            </w:r>
          </w:p>
        </w:tc>
        <w:tc>
          <w:tcPr>
            <w:tcW w:w="1069" w:type="dxa"/>
            <w:vAlign w:val="top"/>
          </w:tcPr>
          <w:p w14:paraId="0D9B6515">
            <w:pPr>
              <w:spacing w:before="110"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91.06</w:t>
            </w:r>
          </w:p>
        </w:tc>
        <w:tc>
          <w:tcPr>
            <w:tcW w:w="1101" w:type="dxa"/>
            <w:vAlign w:val="top"/>
          </w:tcPr>
          <w:p w14:paraId="31F93FEA">
            <w:pPr>
              <w:spacing w:before="110" w:line="202" w:lineRule="exact"/>
              <w:ind w:right="17"/>
              <w:jc w:val="right"/>
              <w:rPr>
                <w:rFonts w:ascii="宋体" w:hAnsi="宋体" w:eastAsia="宋体" w:cs="宋体"/>
                <w:sz w:val="15"/>
                <w:szCs w:val="15"/>
              </w:rPr>
            </w:pPr>
            <w:r>
              <w:rPr>
                <w:rFonts w:ascii="宋体" w:hAnsi="宋体" w:eastAsia="宋体" w:cs="宋体"/>
                <w:color w:val="212529"/>
                <w:spacing w:val="4"/>
                <w:position w:val="1"/>
                <w:sz w:val="15"/>
                <w:szCs w:val="15"/>
              </w:rPr>
              <w:t>91.06</w:t>
            </w:r>
          </w:p>
        </w:tc>
        <w:tc>
          <w:tcPr>
            <w:tcW w:w="886" w:type="dxa"/>
            <w:vAlign w:val="top"/>
          </w:tcPr>
          <w:p w14:paraId="369389D6">
            <w:pPr>
              <w:pStyle w:val="6"/>
            </w:pPr>
          </w:p>
        </w:tc>
        <w:tc>
          <w:tcPr>
            <w:tcW w:w="1118" w:type="dxa"/>
            <w:vAlign w:val="top"/>
          </w:tcPr>
          <w:p w14:paraId="24A05F8C">
            <w:pPr>
              <w:pStyle w:val="6"/>
            </w:pPr>
          </w:p>
        </w:tc>
      </w:tr>
      <w:tr w14:paraId="43FC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6EDED1B8">
            <w:pPr>
              <w:spacing w:before="110" w:line="228" w:lineRule="auto"/>
              <w:ind w:left="9"/>
              <w:rPr>
                <w:rFonts w:ascii="宋体" w:hAnsi="宋体" w:eastAsia="宋体" w:cs="宋体"/>
                <w:sz w:val="15"/>
                <w:szCs w:val="15"/>
              </w:rPr>
            </w:pPr>
            <w:r>
              <w:rPr>
                <w:rFonts w:ascii="宋体" w:hAnsi="宋体" w:eastAsia="宋体" w:cs="宋体"/>
                <w:color w:val="212529"/>
                <w:spacing w:val="10"/>
                <w:sz w:val="15"/>
                <w:szCs w:val="15"/>
              </w:rPr>
              <w:t>二、政府性基金预算</w:t>
            </w:r>
          </w:p>
        </w:tc>
        <w:tc>
          <w:tcPr>
            <w:tcW w:w="1069" w:type="dxa"/>
            <w:vAlign w:val="top"/>
          </w:tcPr>
          <w:p w14:paraId="6A3E7FD0">
            <w:pPr>
              <w:pStyle w:val="6"/>
            </w:pPr>
          </w:p>
        </w:tc>
        <w:tc>
          <w:tcPr>
            <w:tcW w:w="1998" w:type="dxa"/>
            <w:vAlign w:val="top"/>
          </w:tcPr>
          <w:p w14:paraId="3E1AD4B2">
            <w:pPr>
              <w:spacing w:before="110" w:line="230" w:lineRule="auto"/>
              <w:ind w:left="12"/>
              <w:rPr>
                <w:rFonts w:ascii="宋体" w:hAnsi="宋体" w:eastAsia="宋体" w:cs="宋体"/>
                <w:sz w:val="15"/>
                <w:szCs w:val="15"/>
              </w:rPr>
            </w:pPr>
            <w:r>
              <w:rPr>
                <w:rFonts w:ascii="宋体" w:hAnsi="宋体" w:eastAsia="宋体" w:cs="宋体"/>
                <w:color w:val="212529"/>
                <w:spacing w:val="10"/>
                <w:sz w:val="15"/>
                <w:szCs w:val="15"/>
              </w:rPr>
              <w:t>二、外交支出</w:t>
            </w:r>
          </w:p>
        </w:tc>
        <w:tc>
          <w:tcPr>
            <w:tcW w:w="1069" w:type="dxa"/>
            <w:vAlign w:val="top"/>
          </w:tcPr>
          <w:p w14:paraId="4248C85B">
            <w:pPr>
              <w:pStyle w:val="6"/>
            </w:pPr>
          </w:p>
        </w:tc>
        <w:tc>
          <w:tcPr>
            <w:tcW w:w="1101" w:type="dxa"/>
            <w:vAlign w:val="top"/>
          </w:tcPr>
          <w:p w14:paraId="6153D7E8">
            <w:pPr>
              <w:pStyle w:val="6"/>
            </w:pPr>
          </w:p>
        </w:tc>
        <w:tc>
          <w:tcPr>
            <w:tcW w:w="886" w:type="dxa"/>
            <w:vAlign w:val="top"/>
          </w:tcPr>
          <w:p w14:paraId="77F7EAC1">
            <w:pPr>
              <w:pStyle w:val="6"/>
            </w:pPr>
          </w:p>
        </w:tc>
        <w:tc>
          <w:tcPr>
            <w:tcW w:w="1118" w:type="dxa"/>
            <w:vAlign w:val="top"/>
          </w:tcPr>
          <w:p w14:paraId="48DC86A5">
            <w:pPr>
              <w:pStyle w:val="6"/>
            </w:pPr>
          </w:p>
        </w:tc>
      </w:tr>
      <w:tr w14:paraId="3C2701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AA6CAE0">
            <w:pPr>
              <w:spacing w:before="110" w:line="228" w:lineRule="auto"/>
              <w:ind w:left="6"/>
              <w:rPr>
                <w:rFonts w:ascii="宋体" w:hAnsi="宋体" w:eastAsia="宋体" w:cs="宋体"/>
                <w:sz w:val="15"/>
                <w:szCs w:val="15"/>
              </w:rPr>
            </w:pPr>
            <w:r>
              <w:rPr>
                <w:rFonts w:ascii="宋体" w:hAnsi="宋体" w:eastAsia="宋体" w:cs="宋体"/>
                <w:color w:val="212529"/>
                <w:spacing w:val="8"/>
                <w:sz w:val="15"/>
                <w:szCs w:val="15"/>
              </w:rPr>
              <w:t>三、</w:t>
            </w:r>
            <w:r>
              <w:rPr>
                <w:rFonts w:ascii="宋体" w:hAnsi="宋体" w:eastAsia="宋体" w:cs="宋体"/>
                <w:color w:val="212529"/>
                <w:spacing w:val="-44"/>
                <w:sz w:val="15"/>
                <w:szCs w:val="15"/>
              </w:rPr>
              <w:t xml:space="preserve"> </w:t>
            </w:r>
            <w:r>
              <w:rPr>
                <w:rFonts w:ascii="宋体" w:hAnsi="宋体" w:eastAsia="宋体" w:cs="宋体"/>
                <w:color w:val="212529"/>
                <w:spacing w:val="8"/>
                <w:sz w:val="15"/>
                <w:szCs w:val="15"/>
              </w:rPr>
              <w:t>国有资本经营预算</w:t>
            </w:r>
          </w:p>
        </w:tc>
        <w:tc>
          <w:tcPr>
            <w:tcW w:w="1069" w:type="dxa"/>
            <w:vAlign w:val="top"/>
          </w:tcPr>
          <w:p w14:paraId="54A71243">
            <w:pPr>
              <w:pStyle w:val="6"/>
            </w:pPr>
          </w:p>
        </w:tc>
        <w:tc>
          <w:tcPr>
            <w:tcW w:w="1998" w:type="dxa"/>
            <w:vAlign w:val="top"/>
          </w:tcPr>
          <w:p w14:paraId="0BD42849">
            <w:pPr>
              <w:spacing w:before="110" w:line="230" w:lineRule="auto"/>
              <w:ind w:left="9"/>
              <w:rPr>
                <w:rFonts w:ascii="宋体" w:hAnsi="宋体" w:eastAsia="宋体" w:cs="宋体"/>
                <w:sz w:val="15"/>
                <w:szCs w:val="15"/>
              </w:rPr>
            </w:pPr>
            <w:r>
              <w:rPr>
                <w:rFonts w:ascii="宋体" w:hAnsi="宋体" w:eastAsia="宋体" w:cs="宋体"/>
                <w:color w:val="212529"/>
                <w:spacing w:val="5"/>
                <w:sz w:val="15"/>
                <w:szCs w:val="15"/>
              </w:rPr>
              <w:t>三、</w:t>
            </w:r>
            <w:r>
              <w:rPr>
                <w:rFonts w:ascii="宋体" w:hAnsi="宋体" w:eastAsia="宋体" w:cs="宋体"/>
                <w:color w:val="212529"/>
                <w:spacing w:val="-43"/>
                <w:sz w:val="15"/>
                <w:szCs w:val="15"/>
              </w:rPr>
              <w:t xml:space="preserve"> </w:t>
            </w:r>
            <w:r>
              <w:rPr>
                <w:rFonts w:ascii="宋体" w:hAnsi="宋体" w:eastAsia="宋体" w:cs="宋体"/>
                <w:color w:val="212529"/>
                <w:spacing w:val="5"/>
                <w:sz w:val="15"/>
                <w:szCs w:val="15"/>
              </w:rPr>
              <w:t>国防支出</w:t>
            </w:r>
          </w:p>
        </w:tc>
        <w:tc>
          <w:tcPr>
            <w:tcW w:w="1069" w:type="dxa"/>
            <w:vAlign w:val="top"/>
          </w:tcPr>
          <w:p w14:paraId="4302BC6E">
            <w:pPr>
              <w:pStyle w:val="6"/>
            </w:pPr>
          </w:p>
        </w:tc>
        <w:tc>
          <w:tcPr>
            <w:tcW w:w="1101" w:type="dxa"/>
            <w:vAlign w:val="top"/>
          </w:tcPr>
          <w:p w14:paraId="4C82E46F">
            <w:pPr>
              <w:pStyle w:val="6"/>
            </w:pPr>
          </w:p>
        </w:tc>
        <w:tc>
          <w:tcPr>
            <w:tcW w:w="886" w:type="dxa"/>
            <w:vAlign w:val="top"/>
          </w:tcPr>
          <w:p w14:paraId="50FDB75B">
            <w:pPr>
              <w:pStyle w:val="6"/>
            </w:pPr>
          </w:p>
        </w:tc>
        <w:tc>
          <w:tcPr>
            <w:tcW w:w="1118" w:type="dxa"/>
            <w:vAlign w:val="top"/>
          </w:tcPr>
          <w:p w14:paraId="72826725">
            <w:pPr>
              <w:pStyle w:val="6"/>
            </w:pPr>
          </w:p>
        </w:tc>
      </w:tr>
      <w:tr w14:paraId="6FB3E4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BF7D170">
            <w:pPr>
              <w:pStyle w:val="6"/>
            </w:pPr>
          </w:p>
        </w:tc>
        <w:tc>
          <w:tcPr>
            <w:tcW w:w="1069" w:type="dxa"/>
            <w:vAlign w:val="top"/>
          </w:tcPr>
          <w:p w14:paraId="51F61EC0">
            <w:pPr>
              <w:pStyle w:val="6"/>
            </w:pPr>
          </w:p>
        </w:tc>
        <w:tc>
          <w:tcPr>
            <w:tcW w:w="1998" w:type="dxa"/>
            <w:vAlign w:val="top"/>
          </w:tcPr>
          <w:p w14:paraId="640C6C22">
            <w:pPr>
              <w:spacing w:before="110" w:line="229" w:lineRule="auto"/>
              <w:ind w:left="24"/>
              <w:rPr>
                <w:rFonts w:ascii="宋体" w:hAnsi="宋体" w:eastAsia="宋体" w:cs="宋体"/>
                <w:sz w:val="15"/>
                <w:szCs w:val="15"/>
              </w:rPr>
            </w:pPr>
            <w:r>
              <w:rPr>
                <w:rFonts w:ascii="宋体" w:hAnsi="宋体" w:eastAsia="宋体" w:cs="宋体"/>
                <w:color w:val="212529"/>
                <w:spacing w:val="9"/>
                <w:sz w:val="15"/>
                <w:szCs w:val="15"/>
              </w:rPr>
              <w:t>四、公共安全支出</w:t>
            </w:r>
          </w:p>
        </w:tc>
        <w:tc>
          <w:tcPr>
            <w:tcW w:w="1069" w:type="dxa"/>
            <w:vAlign w:val="top"/>
          </w:tcPr>
          <w:p w14:paraId="0A47C0CA">
            <w:pPr>
              <w:pStyle w:val="6"/>
            </w:pPr>
          </w:p>
        </w:tc>
        <w:tc>
          <w:tcPr>
            <w:tcW w:w="1101" w:type="dxa"/>
            <w:vAlign w:val="top"/>
          </w:tcPr>
          <w:p w14:paraId="2EFF05F4">
            <w:pPr>
              <w:pStyle w:val="6"/>
            </w:pPr>
          </w:p>
        </w:tc>
        <w:tc>
          <w:tcPr>
            <w:tcW w:w="886" w:type="dxa"/>
            <w:vAlign w:val="top"/>
          </w:tcPr>
          <w:p w14:paraId="489A7A14">
            <w:pPr>
              <w:pStyle w:val="6"/>
            </w:pPr>
          </w:p>
        </w:tc>
        <w:tc>
          <w:tcPr>
            <w:tcW w:w="1118" w:type="dxa"/>
            <w:vAlign w:val="top"/>
          </w:tcPr>
          <w:p w14:paraId="2449613F">
            <w:pPr>
              <w:pStyle w:val="6"/>
            </w:pPr>
          </w:p>
        </w:tc>
      </w:tr>
      <w:tr w14:paraId="64225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FBE029A">
            <w:pPr>
              <w:pStyle w:val="6"/>
            </w:pPr>
          </w:p>
        </w:tc>
        <w:tc>
          <w:tcPr>
            <w:tcW w:w="1069" w:type="dxa"/>
            <w:vAlign w:val="top"/>
          </w:tcPr>
          <w:p w14:paraId="4C298F90">
            <w:pPr>
              <w:pStyle w:val="6"/>
            </w:pPr>
          </w:p>
        </w:tc>
        <w:tc>
          <w:tcPr>
            <w:tcW w:w="1998" w:type="dxa"/>
            <w:vAlign w:val="top"/>
          </w:tcPr>
          <w:p w14:paraId="0753C0AC">
            <w:pPr>
              <w:spacing w:before="111" w:line="229" w:lineRule="auto"/>
              <w:ind w:left="12"/>
              <w:rPr>
                <w:rFonts w:ascii="宋体" w:hAnsi="宋体" w:eastAsia="宋体" w:cs="宋体"/>
                <w:sz w:val="15"/>
                <w:szCs w:val="15"/>
              </w:rPr>
            </w:pPr>
            <w:r>
              <w:rPr>
                <w:rFonts w:ascii="宋体" w:hAnsi="宋体" w:eastAsia="宋体" w:cs="宋体"/>
                <w:color w:val="212529"/>
                <w:spacing w:val="10"/>
                <w:sz w:val="15"/>
                <w:szCs w:val="15"/>
              </w:rPr>
              <w:t>五、教育支出</w:t>
            </w:r>
          </w:p>
        </w:tc>
        <w:tc>
          <w:tcPr>
            <w:tcW w:w="1069" w:type="dxa"/>
            <w:vAlign w:val="top"/>
          </w:tcPr>
          <w:p w14:paraId="5D851204">
            <w:pPr>
              <w:pStyle w:val="6"/>
            </w:pPr>
          </w:p>
        </w:tc>
        <w:tc>
          <w:tcPr>
            <w:tcW w:w="1101" w:type="dxa"/>
            <w:vAlign w:val="top"/>
          </w:tcPr>
          <w:p w14:paraId="0C196290">
            <w:pPr>
              <w:pStyle w:val="6"/>
            </w:pPr>
          </w:p>
        </w:tc>
        <w:tc>
          <w:tcPr>
            <w:tcW w:w="886" w:type="dxa"/>
            <w:vAlign w:val="top"/>
          </w:tcPr>
          <w:p w14:paraId="7CA91CBB">
            <w:pPr>
              <w:pStyle w:val="6"/>
            </w:pPr>
          </w:p>
        </w:tc>
        <w:tc>
          <w:tcPr>
            <w:tcW w:w="1118" w:type="dxa"/>
            <w:vAlign w:val="top"/>
          </w:tcPr>
          <w:p w14:paraId="7CDEDE27">
            <w:pPr>
              <w:pStyle w:val="6"/>
            </w:pPr>
          </w:p>
        </w:tc>
      </w:tr>
      <w:tr w14:paraId="54838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22FFF3F">
            <w:pPr>
              <w:pStyle w:val="6"/>
            </w:pPr>
          </w:p>
        </w:tc>
        <w:tc>
          <w:tcPr>
            <w:tcW w:w="1069" w:type="dxa"/>
            <w:vAlign w:val="top"/>
          </w:tcPr>
          <w:p w14:paraId="3E94FCC8">
            <w:pPr>
              <w:pStyle w:val="6"/>
            </w:pPr>
          </w:p>
        </w:tc>
        <w:tc>
          <w:tcPr>
            <w:tcW w:w="1998" w:type="dxa"/>
            <w:vAlign w:val="top"/>
          </w:tcPr>
          <w:p w14:paraId="30009AAC">
            <w:pPr>
              <w:spacing w:before="111" w:line="228" w:lineRule="auto"/>
              <w:ind w:left="9"/>
              <w:rPr>
                <w:rFonts w:ascii="宋体" w:hAnsi="宋体" w:eastAsia="宋体" w:cs="宋体"/>
                <w:sz w:val="15"/>
                <w:szCs w:val="15"/>
              </w:rPr>
            </w:pPr>
            <w:r>
              <w:rPr>
                <w:rFonts w:ascii="宋体" w:hAnsi="宋体" w:eastAsia="宋体" w:cs="宋体"/>
                <w:color w:val="212529"/>
                <w:spacing w:val="10"/>
                <w:sz w:val="15"/>
                <w:szCs w:val="15"/>
              </w:rPr>
              <w:t>六、科学技术支出</w:t>
            </w:r>
          </w:p>
        </w:tc>
        <w:tc>
          <w:tcPr>
            <w:tcW w:w="1069" w:type="dxa"/>
            <w:vAlign w:val="top"/>
          </w:tcPr>
          <w:p w14:paraId="20C870F7">
            <w:pPr>
              <w:pStyle w:val="6"/>
            </w:pPr>
          </w:p>
        </w:tc>
        <w:tc>
          <w:tcPr>
            <w:tcW w:w="1101" w:type="dxa"/>
            <w:vAlign w:val="top"/>
          </w:tcPr>
          <w:p w14:paraId="5B4A9E99">
            <w:pPr>
              <w:pStyle w:val="6"/>
            </w:pPr>
          </w:p>
        </w:tc>
        <w:tc>
          <w:tcPr>
            <w:tcW w:w="886" w:type="dxa"/>
            <w:vAlign w:val="top"/>
          </w:tcPr>
          <w:p w14:paraId="6C864EE2">
            <w:pPr>
              <w:pStyle w:val="6"/>
            </w:pPr>
          </w:p>
        </w:tc>
        <w:tc>
          <w:tcPr>
            <w:tcW w:w="1118" w:type="dxa"/>
            <w:vAlign w:val="top"/>
          </w:tcPr>
          <w:p w14:paraId="1D601FEE">
            <w:pPr>
              <w:pStyle w:val="6"/>
            </w:pPr>
          </w:p>
        </w:tc>
      </w:tr>
      <w:tr w14:paraId="2FE7A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560C870C">
            <w:pPr>
              <w:pStyle w:val="6"/>
            </w:pPr>
          </w:p>
        </w:tc>
        <w:tc>
          <w:tcPr>
            <w:tcW w:w="1069" w:type="dxa"/>
            <w:vAlign w:val="top"/>
          </w:tcPr>
          <w:p w14:paraId="4BB2695D">
            <w:pPr>
              <w:pStyle w:val="6"/>
            </w:pPr>
          </w:p>
        </w:tc>
        <w:tc>
          <w:tcPr>
            <w:tcW w:w="1998" w:type="dxa"/>
            <w:vAlign w:val="top"/>
          </w:tcPr>
          <w:p w14:paraId="33029E5E">
            <w:pPr>
              <w:spacing w:before="25" w:line="211" w:lineRule="auto"/>
              <w:ind w:left="22" w:right="41" w:hanging="13"/>
              <w:rPr>
                <w:rFonts w:ascii="宋体" w:hAnsi="宋体" w:eastAsia="宋体" w:cs="宋体"/>
                <w:sz w:val="15"/>
                <w:szCs w:val="15"/>
              </w:rPr>
            </w:pPr>
            <w:r>
              <w:rPr>
                <w:rFonts w:ascii="宋体" w:hAnsi="宋体" w:eastAsia="宋体" w:cs="宋体"/>
                <w:color w:val="212529"/>
                <w:spacing w:val="11"/>
                <w:sz w:val="15"/>
                <w:szCs w:val="15"/>
              </w:rPr>
              <w:t>七、文化旅游体育与传媒支</w:t>
            </w:r>
            <w:r>
              <w:rPr>
                <w:rFonts w:ascii="宋体" w:hAnsi="宋体" w:eastAsia="宋体" w:cs="宋体"/>
                <w:color w:val="212529"/>
                <w:sz w:val="15"/>
                <w:szCs w:val="15"/>
              </w:rPr>
              <w:t>出</w:t>
            </w:r>
          </w:p>
        </w:tc>
        <w:tc>
          <w:tcPr>
            <w:tcW w:w="1069" w:type="dxa"/>
            <w:vAlign w:val="top"/>
          </w:tcPr>
          <w:p w14:paraId="372C9F42">
            <w:pPr>
              <w:pStyle w:val="6"/>
            </w:pPr>
          </w:p>
        </w:tc>
        <w:tc>
          <w:tcPr>
            <w:tcW w:w="1101" w:type="dxa"/>
            <w:vAlign w:val="top"/>
          </w:tcPr>
          <w:p w14:paraId="10D5E65E">
            <w:pPr>
              <w:pStyle w:val="6"/>
            </w:pPr>
          </w:p>
        </w:tc>
        <w:tc>
          <w:tcPr>
            <w:tcW w:w="886" w:type="dxa"/>
            <w:vAlign w:val="top"/>
          </w:tcPr>
          <w:p w14:paraId="2EE726F5">
            <w:pPr>
              <w:pStyle w:val="6"/>
            </w:pPr>
          </w:p>
        </w:tc>
        <w:tc>
          <w:tcPr>
            <w:tcW w:w="1118" w:type="dxa"/>
            <w:vAlign w:val="top"/>
          </w:tcPr>
          <w:p w14:paraId="5C322DAE">
            <w:pPr>
              <w:pStyle w:val="6"/>
            </w:pPr>
          </w:p>
        </w:tc>
      </w:tr>
      <w:tr w14:paraId="12215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1DA2682">
            <w:pPr>
              <w:pStyle w:val="6"/>
            </w:pPr>
          </w:p>
        </w:tc>
        <w:tc>
          <w:tcPr>
            <w:tcW w:w="1069" w:type="dxa"/>
            <w:vAlign w:val="top"/>
          </w:tcPr>
          <w:p w14:paraId="7E66D00C">
            <w:pPr>
              <w:pStyle w:val="6"/>
            </w:pPr>
          </w:p>
        </w:tc>
        <w:tc>
          <w:tcPr>
            <w:tcW w:w="1998" w:type="dxa"/>
            <w:vAlign w:val="top"/>
          </w:tcPr>
          <w:p w14:paraId="390B3996">
            <w:pPr>
              <w:spacing w:before="112" w:line="228" w:lineRule="auto"/>
              <w:ind w:left="12"/>
              <w:rPr>
                <w:rFonts w:ascii="宋体" w:hAnsi="宋体" w:eastAsia="宋体" w:cs="宋体"/>
                <w:sz w:val="15"/>
                <w:szCs w:val="15"/>
              </w:rPr>
            </w:pPr>
            <w:r>
              <w:rPr>
                <w:rFonts w:ascii="宋体" w:hAnsi="宋体" w:eastAsia="宋体" w:cs="宋体"/>
                <w:color w:val="212529"/>
                <w:spacing w:val="11"/>
                <w:sz w:val="15"/>
                <w:szCs w:val="15"/>
              </w:rPr>
              <w:t>八、社会保障和就业支出</w:t>
            </w:r>
          </w:p>
        </w:tc>
        <w:tc>
          <w:tcPr>
            <w:tcW w:w="1069" w:type="dxa"/>
            <w:vAlign w:val="top"/>
          </w:tcPr>
          <w:p w14:paraId="0AE08343">
            <w:pPr>
              <w:spacing w:before="112" w:line="202" w:lineRule="exact"/>
              <w:ind w:right="17"/>
              <w:jc w:val="right"/>
              <w:rPr>
                <w:rFonts w:ascii="宋体" w:hAnsi="宋体" w:eastAsia="宋体" w:cs="宋体"/>
                <w:sz w:val="15"/>
                <w:szCs w:val="15"/>
              </w:rPr>
            </w:pPr>
            <w:r>
              <w:rPr>
                <w:rFonts w:ascii="宋体" w:hAnsi="宋体" w:eastAsia="宋体" w:cs="宋体"/>
                <w:color w:val="212529"/>
                <w:spacing w:val="2"/>
                <w:position w:val="1"/>
                <w:sz w:val="15"/>
                <w:szCs w:val="15"/>
              </w:rPr>
              <w:t>16.58</w:t>
            </w:r>
          </w:p>
        </w:tc>
        <w:tc>
          <w:tcPr>
            <w:tcW w:w="1101" w:type="dxa"/>
            <w:vAlign w:val="top"/>
          </w:tcPr>
          <w:p w14:paraId="105BB932">
            <w:pPr>
              <w:spacing w:before="112" w:line="202" w:lineRule="exact"/>
              <w:ind w:right="17"/>
              <w:jc w:val="right"/>
              <w:rPr>
                <w:rFonts w:ascii="宋体" w:hAnsi="宋体" w:eastAsia="宋体" w:cs="宋体"/>
                <w:sz w:val="15"/>
                <w:szCs w:val="15"/>
              </w:rPr>
            </w:pPr>
            <w:r>
              <w:rPr>
                <w:rFonts w:ascii="宋体" w:hAnsi="宋体" w:eastAsia="宋体" w:cs="宋体"/>
                <w:color w:val="212529"/>
                <w:spacing w:val="1"/>
                <w:position w:val="1"/>
                <w:sz w:val="15"/>
                <w:szCs w:val="15"/>
              </w:rPr>
              <w:t>.58</w:t>
            </w:r>
          </w:p>
        </w:tc>
        <w:tc>
          <w:tcPr>
            <w:tcW w:w="886" w:type="dxa"/>
            <w:vAlign w:val="top"/>
          </w:tcPr>
          <w:p w14:paraId="626C5B88">
            <w:pPr>
              <w:pStyle w:val="6"/>
            </w:pPr>
          </w:p>
        </w:tc>
        <w:tc>
          <w:tcPr>
            <w:tcW w:w="1118" w:type="dxa"/>
            <w:vAlign w:val="top"/>
          </w:tcPr>
          <w:p w14:paraId="0F11A8CE">
            <w:pPr>
              <w:pStyle w:val="6"/>
            </w:pPr>
          </w:p>
        </w:tc>
      </w:tr>
      <w:tr w14:paraId="3CBD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1895BAC">
            <w:pPr>
              <w:pStyle w:val="6"/>
            </w:pPr>
          </w:p>
        </w:tc>
        <w:tc>
          <w:tcPr>
            <w:tcW w:w="1069" w:type="dxa"/>
            <w:vAlign w:val="top"/>
          </w:tcPr>
          <w:p w14:paraId="76F4C27F">
            <w:pPr>
              <w:pStyle w:val="6"/>
            </w:pPr>
          </w:p>
        </w:tc>
        <w:tc>
          <w:tcPr>
            <w:tcW w:w="1998" w:type="dxa"/>
            <w:vAlign w:val="top"/>
          </w:tcPr>
          <w:p w14:paraId="7880023E">
            <w:pPr>
              <w:spacing w:before="113" w:line="228" w:lineRule="auto"/>
              <w:ind w:left="12"/>
              <w:rPr>
                <w:rFonts w:ascii="宋体" w:hAnsi="宋体" w:eastAsia="宋体" w:cs="宋体"/>
                <w:sz w:val="15"/>
                <w:szCs w:val="15"/>
              </w:rPr>
            </w:pPr>
            <w:r>
              <w:rPr>
                <w:rFonts w:ascii="宋体" w:hAnsi="宋体" w:eastAsia="宋体" w:cs="宋体"/>
                <w:color w:val="212529"/>
                <w:spacing w:val="10"/>
                <w:sz w:val="15"/>
                <w:szCs w:val="15"/>
              </w:rPr>
              <w:t>九、社会保险基金支出</w:t>
            </w:r>
          </w:p>
        </w:tc>
        <w:tc>
          <w:tcPr>
            <w:tcW w:w="1069" w:type="dxa"/>
            <w:vAlign w:val="top"/>
          </w:tcPr>
          <w:p w14:paraId="5CD2F804">
            <w:pPr>
              <w:pStyle w:val="6"/>
            </w:pPr>
          </w:p>
        </w:tc>
        <w:tc>
          <w:tcPr>
            <w:tcW w:w="1101" w:type="dxa"/>
            <w:vAlign w:val="top"/>
          </w:tcPr>
          <w:p w14:paraId="6D735ED9">
            <w:pPr>
              <w:pStyle w:val="6"/>
            </w:pPr>
          </w:p>
        </w:tc>
        <w:tc>
          <w:tcPr>
            <w:tcW w:w="886" w:type="dxa"/>
            <w:vAlign w:val="top"/>
          </w:tcPr>
          <w:p w14:paraId="10D80141">
            <w:pPr>
              <w:pStyle w:val="6"/>
            </w:pPr>
          </w:p>
        </w:tc>
        <w:tc>
          <w:tcPr>
            <w:tcW w:w="1118" w:type="dxa"/>
            <w:vAlign w:val="top"/>
          </w:tcPr>
          <w:p w14:paraId="5AB31E5A">
            <w:pPr>
              <w:pStyle w:val="6"/>
            </w:pPr>
          </w:p>
        </w:tc>
      </w:tr>
      <w:tr w14:paraId="1710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2D11EEB">
            <w:pPr>
              <w:pStyle w:val="6"/>
            </w:pPr>
          </w:p>
        </w:tc>
        <w:tc>
          <w:tcPr>
            <w:tcW w:w="1069" w:type="dxa"/>
            <w:vAlign w:val="top"/>
          </w:tcPr>
          <w:p w14:paraId="36C68EE3">
            <w:pPr>
              <w:pStyle w:val="6"/>
            </w:pPr>
          </w:p>
        </w:tc>
        <w:tc>
          <w:tcPr>
            <w:tcW w:w="1998" w:type="dxa"/>
            <w:vAlign w:val="top"/>
          </w:tcPr>
          <w:p w14:paraId="22379B9D">
            <w:pPr>
              <w:spacing w:before="113" w:line="229" w:lineRule="auto"/>
              <w:ind w:left="10"/>
              <w:rPr>
                <w:rFonts w:ascii="宋体" w:hAnsi="宋体" w:eastAsia="宋体" w:cs="宋体"/>
                <w:sz w:val="15"/>
                <w:szCs w:val="15"/>
              </w:rPr>
            </w:pPr>
            <w:r>
              <w:rPr>
                <w:rFonts w:ascii="宋体" w:hAnsi="宋体" w:eastAsia="宋体" w:cs="宋体"/>
                <w:color w:val="212529"/>
                <w:spacing w:val="10"/>
                <w:sz w:val="15"/>
                <w:szCs w:val="15"/>
              </w:rPr>
              <w:t>十、卫生健康支出</w:t>
            </w:r>
          </w:p>
        </w:tc>
        <w:tc>
          <w:tcPr>
            <w:tcW w:w="1069" w:type="dxa"/>
            <w:vAlign w:val="top"/>
          </w:tcPr>
          <w:p w14:paraId="7DA3AF51">
            <w:pPr>
              <w:spacing w:before="113"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3.93</w:t>
            </w:r>
          </w:p>
        </w:tc>
        <w:tc>
          <w:tcPr>
            <w:tcW w:w="1101" w:type="dxa"/>
            <w:vAlign w:val="top"/>
          </w:tcPr>
          <w:p w14:paraId="57B547BF">
            <w:pPr>
              <w:spacing w:before="113"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3.93</w:t>
            </w:r>
          </w:p>
        </w:tc>
        <w:tc>
          <w:tcPr>
            <w:tcW w:w="886" w:type="dxa"/>
            <w:vAlign w:val="top"/>
          </w:tcPr>
          <w:p w14:paraId="03306533">
            <w:pPr>
              <w:pStyle w:val="6"/>
            </w:pPr>
          </w:p>
        </w:tc>
        <w:tc>
          <w:tcPr>
            <w:tcW w:w="1118" w:type="dxa"/>
            <w:vAlign w:val="top"/>
          </w:tcPr>
          <w:p w14:paraId="0408FD06">
            <w:pPr>
              <w:pStyle w:val="6"/>
            </w:pPr>
          </w:p>
        </w:tc>
      </w:tr>
      <w:tr w14:paraId="56EAE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02468AE5">
            <w:pPr>
              <w:pStyle w:val="6"/>
            </w:pPr>
          </w:p>
        </w:tc>
        <w:tc>
          <w:tcPr>
            <w:tcW w:w="1069" w:type="dxa"/>
            <w:vAlign w:val="top"/>
          </w:tcPr>
          <w:p w14:paraId="3FB27BDE">
            <w:pPr>
              <w:pStyle w:val="6"/>
            </w:pPr>
          </w:p>
        </w:tc>
        <w:tc>
          <w:tcPr>
            <w:tcW w:w="1998" w:type="dxa"/>
            <w:vAlign w:val="top"/>
          </w:tcPr>
          <w:p w14:paraId="2441B494">
            <w:pPr>
              <w:spacing w:before="113" w:line="230" w:lineRule="auto"/>
              <w:ind w:left="10"/>
              <w:rPr>
                <w:rFonts w:ascii="宋体" w:hAnsi="宋体" w:eastAsia="宋体" w:cs="宋体"/>
                <w:sz w:val="15"/>
                <w:szCs w:val="15"/>
              </w:rPr>
            </w:pPr>
            <w:r>
              <w:rPr>
                <w:rFonts w:ascii="宋体" w:hAnsi="宋体" w:eastAsia="宋体" w:cs="宋体"/>
                <w:color w:val="212529"/>
                <w:spacing w:val="11"/>
                <w:sz w:val="15"/>
                <w:szCs w:val="15"/>
              </w:rPr>
              <w:t>十一、节能环保支出</w:t>
            </w:r>
          </w:p>
        </w:tc>
        <w:tc>
          <w:tcPr>
            <w:tcW w:w="1069" w:type="dxa"/>
            <w:vAlign w:val="top"/>
          </w:tcPr>
          <w:p w14:paraId="66EB5B1C">
            <w:pPr>
              <w:pStyle w:val="6"/>
            </w:pPr>
          </w:p>
        </w:tc>
        <w:tc>
          <w:tcPr>
            <w:tcW w:w="1101" w:type="dxa"/>
            <w:vAlign w:val="top"/>
          </w:tcPr>
          <w:p w14:paraId="2E038330">
            <w:pPr>
              <w:pStyle w:val="6"/>
            </w:pPr>
          </w:p>
        </w:tc>
        <w:tc>
          <w:tcPr>
            <w:tcW w:w="886" w:type="dxa"/>
            <w:vAlign w:val="top"/>
          </w:tcPr>
          <w:p w14:paraId="09C4039A">
            <w:pPr>
              <w:pStyle w:val="6"/>
            </w:pPr>
          </w:p>
        </w:tc>
        <w:tc>
          <w:tcPr>
            <w:tcW w:w="1118" w:type="dxa"/>
            <w:vAlign w:val="top"/>
          </w:tcPr>
          <w:p w14:paraId="69807C4D">
            <w:pPr>
              <w:pStyle w:val="6"/>
            </w:pPr>
          </w:p>
        </w:tc>
      </w:tr>
      <w:tr w14:paraId="54F81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D70E670">
            <w:pPr>
              <w:pStyle w:val="6"/>
            </w:pPr>
          </w:p>
        </w:tc>
        <w:tc>
          <w:tcPr>
            <w:tcW w:w="1069" w:type="dxa"/>
            <w:vAlign w:val="top"/>
          </w:tcPr>
          <w:p w14:paraId="793B0BB4">
            <w:pPr>
              <w:pStyle w:val="6"/>
            </w:pPr>
          </w:p>
        </w:tc>
        <w:tc>
          <w:tcPr>
            <w:tcW w:w="1998" w:type="dxa"/>
            <w:vAlign w:val="top"/>
          </w:tcPr>
          <w:p w14:paraId="538CD757">
            <w:pPr>
              <w:spacing w:before="114" w:line="229" w:lineRule="auto"/>
              <w:ind w:left="10"/>
              <w:rPr>
                <w:rFonts w:ascii="宋体" w:hAnsi="宋体" w:eastAsia="宋体" w:cs="宋体"/>
                <w:sz w:val="15"/>
                <w:szCs w:val="15"/>
              </w:rPr>
            </w:pPr>
            <w:r>
              <w:rPr>
                <w:rFonts w:ascii="宋体" w:hAnsi="宋体" w:eastAsia="宋体" w:cs="宋体"/>
                <w:color w:val="212529"/>
                <w:spacing w:val="11"/>
                <w:sz w:val="15"/>
                <w:szCs w:val="15"/>
              </w:rPr>
              <w:t>十二、城乡社区支出</w:t>
            </w:r>
          </w:p>
        </w:tc>
        <w:tc>
          <w:tcPr>
            <w:tcW w:w="1069" w:type="dxa"/>
            <w:vAlign w:val="top"/>
          </w:tcPr>
          <w:p w14:paraId="68039910">
            <w:pPr>
              <w:pStyle w:val="6"/>
            </w:pPr>
          </w:p>
        </w:tc>
        <w:tc>
          <w:tcPr>
            <w:tcW w:w="1101" w:type="dxa"/>
            <w:vAlign w:val="top"/>
          </w:tcPr>
          <w:p w14:paraId="50BC4043">
            <w:pPr>
              <w:pStyle w:val="6"/>
            </w:pPr>
          </w:p>
        </w:tc>
        <w:tc>
          <w:tcPr>
            <w:tcW w:w="886" w:type="dxa"/>
            <w:vAlign w:val="top"/>
          </w:tcPr>
          <w:p w14:paraId="6C7A062C">
            <w:pPr>
              <w:pStyle w:val="6"/>
            </w:pPr>
          </w:p>
        </w:tc>
        <w:tc>
          <w:tcPr>
            <w:tcW w:w="1118" w:type="dxa"/>
            <w:vAlign w:val="top"/>
          </w:tcPr>
          <w:p w14:paraId="558CEE69">
            <w:pPr>
              <w:pStyle w:val="6"/>
            </w:pPr>
          </w:p>
        </w:tc>
      </w:tr>
      <w:tr w14:paraId="3C693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03B1F912">
            <w:pPr>
              <w:pStyle w:val="6"/>
            </w:pPr>
          </w:p>
        </w:tc>
        <w:tc>
          <w:tcPr>
            <w:tcW w:w="1069" w:type="dxa"/>
            <w:vAlign w:val="top"/>
          </w:tcPr>
          <w:p w14:paraId="4D315BA7">
            <w:pPr>
              <w:pStyle w:val="6"/>
            </w:pPr>
          </w:p>
        </w:tc>
        <w:tc>
          <w:tcPr>
            <w:tcW w:w="1998" w:type="dxa"/>
            <w:vAlign w:val="top"/>
          </w:tcPr>
          <w:p w14:paraId="4162542A">
            <w:pPr>
              <w:spacing w:before="114" w:line="229" w:lineRule="auto"/>
              <w:ind w:left="10"/>
              <w:rPr>
                <w:rFonts w:ascii="宋体" w:hAnsi="宋体" w:eastAsia="宋体" w:cs="宋体"/>
                <w:sz w:val="15"/>
                <w:szCs w:val="15"/>
              </w:rPr>
            </w:pPr>
            <w:r>
              <w:rPr>
                <w:rFonts w:ascii="宋体" w:hAnsi="宋体" w:eastAsia="宋体" w:cs="宋体"/>
                <w:color w:val="212529"/>
                <w:spacing w:val="10"/>
                <w:sz w:val="15"/>
                <w:szCs w:val="15"/>
              </w:rPr>
              <w:t>十三、农林水支出</w:t>
            </w:r>
          </w:p>
        </w:tc>
        <w:tc>
          <w:tcPr>
            <w:tcW w:w="1069" w:type="dxa"/>
            <w:vAlign w:val="top"/>
          </w:tcPr>
          <w:p w14:paraId="4802E506">
            <w:pPr>
              <w:pStyle w:val="6"/>
            </w:pPr>
          </w:p>
        </w:tc>
        <w:tc>
          <w:tcPr>
            <w:tcW w:w="1101" w:type="dxa"/>
            <w:vAlign w:val="top"/>
          </w:tcPr>
          <w:p w14:paraId="60B6977C">
            <w:pPr>
              <w:pStyle w:val="6"/>
            </w:pPr>
          </w:p>
        </w:tc>
        <w:tc>
          <w:tcPr>
            <w:tcW w:w="886" w:type="dxa"/>
            <w:vAlign w:val="top"/>
          </w:tcPr>
          <w:p w14:paraId="635F7ECC">
            <w:pPr>
              <w:pStyle w:val="6"/>
            </w:pPr>
          </w:p>
        </w:tc>
        <w:tc>
          <w:tcPr>
            <w:tcW w:w="1118" w:type="dxa"/>
            <w:vAlign w:val="top"/>
          </w:tcPr>
          <w:p w14:paraId="3CEE4B01">
            <w:pPr>
              <w:pStyle w:val="6"/>
            </w:pPr>
          </w:p>
        </w:tc>
      </w:tr>
      <w:tr w14:paraId="32E3B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6B92BB6A">
            <w:pPr>
              <w:pStyle w:val="6"/>
            </w:pPr>
          </w:p>
        </w:tc>
        <w:tc>
          <w:tcPr>
            <w:tcW w:w="1069" w:type="dxa"/>
            <w:vAlign w:val="top"/>
          </w:tcPr>
          <w:p w14:paraId="36E644CD">
            <w:pPr>
              <w:pStyle w:val="6"/>
            </w:pPr>
          </w:p>
        </w:tc>
        <w:tc>
          <w:tcPr>
            <w:tcW w:w="1998" w:type="dxa"/>
            <w:vAlign w:val="top"/>
          </w:tcPr>
          <w:p w14:paraId="0228CF03">
            <w:pPr>
              <w:spacing w:before="115" w:line="229" w:lineRule="auto"/>
              <w:ind w:left="10"/>
              <w:rPr>
                <w:rFonts w:ascii="宋体" w:hAnsi="宋体" w:eastAsia="宋体" w:cs="宋体"/>
                <w:sz w:val="15"/>
                <w:szCs w:val="15"/>
              </w:rPr>
            </w:pPr>
            <w:r>
              <w:rPr>
                <w:rFonts w:ascii="宋体" w:hAnsi="宋体" w:eastAsia="宋体" w:cs="宋体"/>
                <w:color w:val="212529"/>
                <w:spacing w:val="11"/>
                <w:sz w:val="15"/>
                <w:szCs w:val="15"/>
              </w:rPr>
              <w:t>十四、交通运输支出</w:t>
            </w:r>
          </w:p>
        </w:tc>
        <w:tc>
          <w:tcPr>
            <w:tcW w:w="1069" w:type="dxa"/>
            <w:vAlign w:val="top"/>
          </w:tcPr>
          <w:p w14:paraId="35D5E904">
            <w:pPr>
              <w:pStyle w:val="6"/>
            </w:pPr>
          </w:p>
        </w:tc>
        <w:tc>
          <w:tcPr>
            <w:tcW w:w="1101" w:type="dxa"/>
            <w:vAlign w:val="top"/>
          </w:tcPr>
          <w:p w14:paraId="52F567FC">
            <w:pPr>
              <w:pStyle w:val="6"/>
            </w:pPr>
          </w:p>
        </w:tc>
        <w:tc>
          <w:tcPr>
            <w:tcW w:w="886" w:type="dxa"/>
            <w:vAlign w:val="top"/>
          </w:tcPr>
          <w:p w14:paraId="6BAEA00D">
            <w:pPr>
              <w:pStyle w:val="6"/>
            </w:pPr>
          </w:p>
        </w:tc>
        <w:tc>
          <w:tcPr>
            <w:tcW w:w="1118" w:type="dxa"/>
            <w:vAlign w:val="top"/>
          </w:tcPr>
          <w:p w14:paraId="6B26286C">
            <w:pPr>
              <w:pStyle w:val="6"/>
            </w:pPr>
          </w:p>
        </w:tc>
      </w:tr>
      <w:tr w14:paraId="1337C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6EB72AD0">
            <w:pPr>
              <w:pStyle w:val="6"/>
            </w:pPr>
          </w:p>
        </w:tc>
        <w:tc>
          <w:tcPr>
            <w:tcW w:w="1069" w:type="dxa"/>
            <w:vAlign w:val="top"/>
          </w:tcPr>
          <w:p w14:paraId="2AFA5520">
            <w:pPr>
              <w:pStyle w:val="6"/>
            </w:pPr>
          </w:p>
        </w:tc>
        <w:tc>
          <w:tcPr>
            <w:tcW w:w="1998" w:type="dxa"/>
            <w:vAlign w:val="top"/>
          </w:tcPr>
          <w:p w14:paraId="40701E8D">
            <w:pPr>
              <w:spacing w:before="29" w:line="209" w:lineRule="auto"/>
              <w:ind w:left="10" w:right="41"/>
              <w:rPr>
                <w:rFonts w:ascii="宋体" w:hAnsi="宋体" w:eastAsia="宋体" w:cs="宋体"/>
                <w:sz w:val="15"/>
                <w:szCs w:val="15"/>
              </w:rPr>
            </w:pPr>
            <w:r>
              <w:rPr>
                <w:rFonts w:ascii="宋体" w:hAnsi="宋体" w:eastAsia="宋体" w:cs="宋体"/>
                <w:color w:val="212529"/>
                <w:spacing w:val="11"/>
                <w:sz w:val="15"/>
                <w:szCs w:val="15"/>
              </w:rPr>
              <w:t>十五、资源勘探工业信息等</w:t>
            </w:r>
            <w:r>
              <w:rPr>
                <w:rFonts w:ascii="宋体" w:hAnsi="宋体" w:eastAsia="宋体" w:cs="宋体"/>
                <w:color w:val="212529"/>
                <w:spacing w:val="6"/>
                <w:sz w:val="15"/>
                <w:szCs w:val="15"/>
              </w:rPr>
              <w:t>支出</w:t>
            </w:r>
          </w:p>
        </w:tc>
        <w:tc>
          <w:tcPr>
            <w:tcW w:w="1069" w:type="dxa"/>
            <w:vAlign w:val="top"/>
          </w:tcPr>
          <w:p w14:paraId="5947E6A8">
            <w:pPr>
              <w:pStyle w:val="6"/>
            </w:pPr>
          </w:p>
        </w:tc>
        <w:tc>
          <w:tcPr>
            <w:tcW w:w="1101" w:type="dxa"/>
            <w:vAlign w:val="top"/>
          </w:tcPr>
          <w:p w14:paraId="48BB89E4">
            <w:pPr>
              <w:pStyle w:val="6"/>
            </w:pPr>
          </w:p>
        </w:tc>
        <w:tc>
          <w:tcPr>
            <w:tcW w:w="886" w:type="dxa"/>
            <w:vAlign w:val="top"/>
          </w:tcPr>
          <w:p w14:paraId="759673A0">
            <w:pPr>
              <w:pStyle w:val="6"/>
            </w:pPr>
          </w:p>
        </w:tc>
        <w:tc>
          <w:tcPr>
            <w:tcW w:w="1118" w:type="dxa"/>
            <w:vAlign w:val="top"/>
          </w:tcPr>
          <w:p w14:paraId="35A26762">
            <w:pPr>
              <w:pStyle w:val="6"/>
            </w:pPr>
          </w:p>
        </w:tc>
      </w:tr>
      <w:tr w14:paraId="498FE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10D98742">
            <w:pPr>
              <w:pStyle w:val="6"/>
            </w:pPr>
          </w:p>
        </w:tc>
        <w:tc>
          <w:tcPr>
            <w:tcW w:w="1069" w:type="dxa"/>
            <w:vAlign w:val="top"/>
          </w:tcPr>
          <w:p w14:paraId="51D8FC21">
            <w:pPr>
              <w:pStyle w:val="6"/>
            </w:pPr>
          </w:p>
        </w:tc>
        <w:tc>
          <w:tcPr>
            <w:tcW w:w="1998" w:type="dxa"/>
            <w:vAlign w:val="top"/>
          </w:tcPr>
          <w:p w14:paraId="2D32AB22">
            <w:pPr>
              <w:spacing w:before="115" w:line="229" w:lineRule="auto"/>
              <w:ind w:left="10"/>
              <w:rPr>
                <w:rFonts w:ascii="宋体" w:hAnsi="宋体" w:eastAsia="宋体" w:cs="宋体"/>
                <w:sz w:val="15"/>
                <w:szCs w:val="15"/>
              </w:rPr>
            </w:pPr>
            <w:r>
              <w:rPr>
                <w:rFonts w:ascii="宋体" w:hAnsi="宋体" w:eastAsia="宋体" w:cs="宋体"/>
                <w:color w:val="212529"/>
                <w:spacing w:val="11"/>
                <w:sz w:val="15"/>
                <w:szCs w:val="15"/>
              </w:rPr>
              <w:t>十六、商业服务业等支出</w:t>
            </w:r>
          </w:p>
        </w:tc>
        <w:tc>
          <w:tcPr>
            <w:tcW w:w="1069" w:type="dxa"/>
            <w:vAlign w:val="top"/>
          </w:tcPr>
          <w:p w14:paraId="46247F03">
            <w:pPr>
              <w:pStyle w:val="6"/>
            </w:pPr>
          </w:p>
        </w:tc>
        <w:tc>
          <w:tcPr>
            <w:tcW w:w="1101" w:type="dxa"/>
            <w:vAlign w:val="top"/>
          </w:tcPr>
          <w:p w14:paraId="7C219C2C">
            <w:pPr>
              <w:pStyle w:val="6"/>
            </w:pPr>
          </w:p>
        </w:tc>
        <w:tc>
          <w:tcPr>
            <w:tcW w:w="886" w:type="dxa"/>
            <w:vAlign w:val="top"/>
          </w:tcPr>
          <w:p w14:paraId="1C449E90">
            <w:pPr>
              <w:pStyle w:val="6"/>
            </w:pPr>
          </w:p>
        </w:tc>
        <w:tc>
          <w:tcPr>
            <w:tcW w:w="1118" w:type="dxa"/>
            <w:vAlign w:val="top"/>
          </w:tcPr>
          <w:p w14:paraId="592EC05B">
            <w:pPr>
              <w:pStyle w:val="6"/>
            </w:pPr>
          </w:p>
        </w:tc>
      </w:tr>
      <w:tr w14:paraId="7B42F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FF03A1C">
            <w:pPr>
              <w:pStyle w:val="6"/>
            </w:pPr>
          </w:p>
        </w:tc>
        <w:tc>
          <w:tcPr>
            <w:tcW w:w="1069" w:type="dxa"/>
            <w:vAlign w:val="top"/>
          </w:tcPr>
          <w:p w14:paraId="0B442F51">
            <w:pPr>
              <w:pStyle w:val="6"/>
            </w:pPr>
          </w:p>
        </w:tc>
        <w:tc>
          <w:tcPr>
            <w:tcW w:w="1998" w:type="dxa"/>
            <w:vAlign w:val="top"/>
          </w:tcPr>
          <w:p w14:paraId="1350E1A2">
            <w:pPr>
              <w:spacing w:before="115" w:line="230" w:lineRule="auto"/>
              <w:ind w:left="10"/>
              <w:rPr>
                <w:rFonts w:ascii="宋体" w:hAnsi="宋体" w:eastAsia="宋体" w:cs="宋体"/>
                <w:sz w:val="15"/>
                <w:szCs w:val="15"/>
              </w:rPr>
            </w:pPr>
            <w:r>
              <w:rPr>
                <w:rFonts w:ascii="宋体" w:hAnsi="宋体" w:eastAsia="宋体" w:cs="宋体"/>
                <w:color w:val="212529"/>
                <w:spacing w:val="10"/>
                <w:sz w:val="15"/>
                <w:szCs w:val="15"/>
              </w:rPr>
              <w:t>十七、金融支出</w:t>
            </w:r>
          </w:p>
        </w:tc>
        <w:tc>
          <w:tcPr>
            <w:tcW w:w="1069" w:type="dxa"/>
            <w:vAlign w:val="top"/>
          </w:tcPr>
          <w:p w14:paraId="178FCFD4">
            <w:pPr>
              <w:pStyle w:val="6"/>
            </w:pPr>
          </w:p>
        </w:tc>
        <w:tc>
          <w:tcPr>
            <w:tcW w:w="1101" w:type="dxa"/>
            <w:vAlign w:val="top"/>
          </w:tcPr>
          <w:p w14:paraId="07804C81">
            <w:pPr>
              <w:pStyle w:val="6"/>
            </w:pPr>
          </w:p>
        </w:tc>
        <w:tc>
          <w:tcPr>
            <w:tcW w:w="886" w:type="dxa"/>
            <w:vAlign w:val="top"/>
          </w:tcPr>
          <w:p w14:paraId="7766B79F">
            <w:pPr>
              <w:pStyle w:val="6"/>
            </w:pPr>
          </w:p>
        </w:tc>
        <w:tc>
          <w:tcPr>
            <w:tcW w:w="1118" w:type="dxa"/>
            <w:vAlign w:val="top"/>
          </w:tcPr>
          <w:p w14:paraId="498A29B4">
            <w:pPr>
              <w:pStyle w:val="6"/>
            </w:pPr>
          </w:p>
        </w:tc>
      </w:tr>
      <w:tr w14:paraId="609BC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34C93E3">
            <w:pPr>
              <w:pStyle w:val="6"/>
            </w:pPr>
          </w:p>
        </w:tc>
        <w:tc>
          <w:tcPr>
            <w:tcW w:w="1069" w:type="dxa"/>
            <w:vAlign w:val="top"/>
          </w:tcPr>
          <w:p w14:paraId="07ABF446">
            <w:pPr>
              <w:pStyle w:val="6"/>
            </w:pPr>
          </w:p>
        </w:tc>
        <w:tc>
          <w:tcPr>
            <w:tcW w:w="1998" w:type="dxa"/>
            <w:vAlign w:val="top"/>
          </w:tcPr>
          <w:p w14:paraId="6CE7CF66">
            <w:pPr>
              <w:spacing w:before="115" w:line="230" w:lineRule="auto"/>
              <w:ind w:left="10"/>
              <w:rPr>
                <w:rFonts w:ascii="宋体" w:hAnsi="宋体" w:eastAsia="宋体" w:cs="宋体"/>
                <w:sz w:val="15"/>
                <w:szCs w:val="15"/>
              </w:rPr>
            </w:pPr>
            <w:r>
              <w:rPr>
                <w:rFonts w:ascii="宋体" w:hAnsi="宋体" w:eastAsia="宋体" w:cs="宋体"/>
                <w:color w:val="212529"/>
                <w:spacing w:val="11"/>
                <w:sz w:val="15"/>
                <w:szCs w:val="15"/>
              </w:rPr>
              <w:t>十八、援助其他地区支出</w:t>
            </w:r>
          </w:p>
        </w:tc>
        <w:tc>
          <w:tcPr>
            <w:tcW w:w="1069" w:type="dxa"/>
            <w:vAlign w:val="top"/>
          </w:tcPr>
          <w:p w14:paraId="527A76AB">
            <w:pPr>
              <w:pStyle w:val="6"/>
            </w:pPr>
          </w:p>
        </w:tc>
        <w:tc>
          <w:tcPr>
            <w:tcW w:w="1101" w:type="dxa"/>
            <w:vAlign w:val="top"/>
          </w:tcPr>
          <w:p w14:paraId="61F3BC28">
            <w:pPr>
              <w:pStyle w:val="6"/>
            </w:pPr>
          </w:p>
        </w:tc>
        <w:tc>
          <w:tcPr>
            <w:tcW w:w="886" w:type="dxa"/>
            <w:vAlign w:val="top"/>
          </w:tcPr>
          <w:p w14:paraId="5ABB9019">
            <w:pPr>
              <w:pStyle w:val="6"/>
            </w:pPr>
          </w:p>
        </w:tc>
        <w:tc>
          <w:tcPr>
            <w:tcW w:w="1118" w:type="dxa"/>
            <w:vAlign w:val="top"/>
          </w:tcPr>
          <w:p w14:paraId="038763F9">
            <w:pPr>
              <w:pStyle w:val="6"/>
            </w:pPr>
          </w:p>
        </w:tc>
      </w:tr>
      <w:tr w14:paraId="2C58E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2382E39">
            <w:pPr>
              <w:pStyle w:val="6"/>
            </w:pPr>
          </w:p>
        </w:tc>
        <w:tc>
          <w:tcPr>
            <w:tcW w:w="1069" w:type="dxa"/>
            <w:vAlign w:val="top"/>
          </w:tcPr>
          <w:p w14:paraId="4852A950">
            <w:pPr>
              <w:pStyle w:val="6"/>
            </w:pPr>
          </w:p>
        </w:tc>
        <w:tc>
          <w:tcPr>
            <w:tcW w:w="1998" w:type="dxa"/>
            <w:vAlign w:val="top"/>
          </w:tcPr>
          <w:p w14:paraId="41BD4B0B">
            <w:pPr>
              <w:spacing w:before="29" w:line="209" w:lineRule="auto"/>
              <w:ind w:left="10" w:right="41"/>
              <w:rPr>
                <w:rFonts w:ascii="宋体" w:hAnsi="宋体" w:eastAsia="宋体" w:cs="宋体"/>
                <w:sz w:val="15"/>
                <w:szCs w:val="15"/>
              </w:rPr>
            </w:pPr>
            <w:r>
              <w:rPr>
                <w:rFonts w:ascii="宋体" w:hAnsi="宋体" w:eastAsia="宋体" w:cs="宋体"/>
                <w:color w:val="212529"/>
                <w:spacing w:val="7"/>
                <w:sz w:val="15"/>
                <w:szCs w:val="15"/>
              </w:rPr>
              <w:t>十九、</w:t>
            </w:r>
            <w:r>
              <w:rPr>
                <w:rFonts w:ascii="宋体" w:hAnsi="宋体" w:eastAsia="宋体" w:cs="宋体"/>
                <w:color w:val="212529"/>
                <w:spacing w:val="-25"/>
                <w:sz w:val="15"/>
                <w:szCs w:val="15"/>
              </w:rPr>
              <w:t xml:space="preserve"> </w:t>
            </w:r>
            <w:r>
              <w:rPr>
                <w:rFonts w:ascii="宋体" w:hAnsi="宋体" w:eastAsia="宋体" w:cs="宋体"/>
                <w:color w:val="212529"/>
                <w:spacing w:val="7"/>
                <w:sz w:val="15"/>
                <w:szCs w:val="15"/>
              </w:rPr>
              <w:t>自然资源海洋气象等</w:t>
            </w:r>
            <w:r>
              <w:rPr>
                <w:rFonts w:ascii="宋体" w:hAnsi="宋体" w:eastAsia="宋体" w:cs="宋体"/>
                <w:color w:val="212529"/>
                <w:spacing w:val="6"/>
                <w:sz w:val="15"/>
                <w:szCs w:val="15"/>
              </w:rPr>
              <w:t>支出</w:t>
            </w:r>
          </w:p>
        </w:tc>
        <w:tc>
          <w:tcPr>
            <w:tcW w:w="1069" w:type="dxa"/>
            <w:vAlign w:val="top"/>
          </w:tcPr>
          <w:p w14:paraId="3CAD7182">
            <w:pPr>
              <w:pStyle w:val="6"/>
            </w:pPr>
          </w:p>
        </w:tc>
        <w:tc>
          <w:tcPr>
            <w:tcW w:w="1101" w:type="dxa"/>
            <w:vAlign w:val="top"/>
          </w:tcPr>
          <w:p w14:paraId="10085AF3">
            <w:pPr>
              <w:pStyle w:val="6"/>
            </w:pPr>
          </w:p>
        </w:tc>
        <w:tc>
          <w:tcPr>
            <w:tcW w:w="886" w:type="dxa"/>
            <w:vAlign w:val="top"/>
          </w:tcPr>
          <w:p w14:paraId="0225301B">
            <w:pPr>
              <w:pStyle w:val="6"/>
            </w:pPr>
          </w:p>
        </w:tc>
        <w:tc>
          <w:tcPr>
            <w:tcW w:w="1118" w:type="dxa"/>
            <w:vAlign w:val="top"/>
          </w:tcPr>
          <w:p w14:paraId="12F10F67">
            <w:pPr>
              <w:pStyle w:val="6"/>
            </w:pPr>
          </w:p>
        </w:tc>
      </w:tr>
      <w:tr w14:paraId="489C0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0FAA0E1C">
            <w:pPr>
              <w:pStyle w:val="6"/>
            </w:pPr>
          </w:p>
        </w:tc>
        <w:tc>
          <w:tcPr>
            <w:tcW w:w="1069" w:type="dxa"/>
            <w:vAlign w:val="top"/>
          </w:tcPr>
          <w:p w14:paraId="2311FDAD">
            <w:pPr>
              <w:pStyle w:val="6"/>
            </w:pPr>
          </w:p>
        </w:tc>
        <w:tc>
          <w:tcPr>
            <w:tcW w:w="1998" w:type="dxa"/>
            <w:vAlign w:val="top"/>
          </w:tcPr>
          <w:p w14:paraId="36E5B1F7">
            <w:pPr>
              <w:spacing w:before="116" w:line="229" w:lineRule="auto"/>
              <w:ind w:left="12"/>
              <w:rPr>
                <w:rFonts w:ascii="宋体" w:hAnsi="宋体" w:eastAsia="宋体" w:cs="宋体"/>
                <w:sz w:val="15"/>
                <w:szCs w:val="15"/>
              </w:rPr>
            </w:pPr>
            <w:r>
              <w:rPr>
                <w:rFonts w:ascii="宋体" w:hAnsi="宋体" w:eastAsia="宋体" w:cs="宋体"/>
                <w:color w:val="212529"/>
                <w:spacing w:val="10"/>
                <w:sz w:val="15"/>
                <w:szCs w:val="15"/>
              </w:rPr>
              <w:t>二十、住房保障支出</w:t>
            </w:r>
          </w:p>
        </w:tc>
        <w:tc>
          <w:tcPr>
            <w:tcW w:w="1069" w:type="dxa"/>
            <w:vAlign w:val="top"/>
          </w:tcPr>
          <w:p w14:paraId="64304BFB">
            <w:pPr>
              <w:spacing w:before="116"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101" w:type="dxa"/>
            <w:vAlign w:val="top"/>
          </w:tcPr>
          <w:p w14:paraId="49A291A7">
            <w:pPr>
              <w:spacing w:before="116" w:line="202" w:lineRule="exact"/>
              <w:ind w:right="17"/>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886" w:type="dxa"/>
            <w:vAlign w:val="top"/>
          </w:tcPr>
          <w:p w14:paraId="38DFA507">
            <w:pPr>
              <w:pStyle w:val="6"/>
            </w:pPr>
          </w:p>
        </w:tc>
        <w:tc>
          <w:tcPr>
            <w:tcW w:w="1118" w:type="dxa"/>
            <w:vAlign w:val="top"/>
          </w:tcPr>
          <w:p w14:paraId="47E00507">
            <w:pPr>
              <w:pStyle w:val="6"/>
            </w:pPr>
          </w:p>
        </w:tc>
      </w:tr>
      <w:tr w14:paraId="4FC64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6BB599D">
            <w:pPr>
              <w:pStyle w:val="6"/>
            </w:pPr>
          </w:p>
        </w:tc>
        <w:tc>
          <w:tcPr>
            <w:tcW w:w="1069" w:type="dxa"/>
            <w:vAlign w:val="top"/>
          </w:tcPr>
          <w:p w14:paraId="25FF2ED5">
            <w:pPr>
              <w:pStyle w:val="6"/>
            </w:pPr>
          </w:p>
        </w:tc>
        <w:tc>
          <w:tcPr>
            <w:tcW w:w="1998" w:type="dxa"/>
            <w:vAlign w:val="top"/>
          </w:tcPr>
          <w:p w14:paraId="68D84B45">
            <w:pPr>
              <w:spacing w:before="116" w:line="228" w:lineRule="auto"/>
              <w:ind w:left="12"/>
              <w:rPr>
                <w:rFonts w:ascii="宋体" w:hAnsi="宋体" w:eastAsia="宋体" w:cs="宋体"/>
                <w:sz w:val="15"/>
                <w:szCs w:val="15"/>
              </w:rPr>
            </w:pPr>
            <w:r>
              <w:rPr>
                <w:rFonts w:ascii="宋体" w:hAnsi="宋体" w:eastAsia="宋体" w:cs="宋体"/>
                <w:color w:val="212529"/>
                <w:spacing w:val="11"/>
                <w:sz w:val="15"/>
                <w:szCs w:val="15"/>
              </w:rPr>
              <w:t>二十一、粮油物资储备支出</w:t>
            </w:r>
          </w:p>
        </w:tc>
        <w:tc>
          <w:tcPr>
            <w:tcW w:w="1069" w:type="dxa"/>
            <w:vAlign w:val="top"/>
          </w:tcPr>
          <w:p w14:paraId="63E5F5BF">
            <w:pPr>
              <w:pStyle w:val="6"/>
            </w:pPr>
          </w:p>
        </w:tc>
        <w:tc>
          <w:tcPr>
            <w:tcW w:w="1101" w:type="dxa"/>
            <w:vAlign w:val="top"/>
          </w:tcPr>
          <w:p w14:paraId="137C3D6E">
            <w:pPr>
              <w:pStyle w:val="6"/>
            </w:pPr>
          </w:p>
        </w:tc>
        <w:tc>
          <w:tcPr>
            <w:tcW w:w="886" w:type="dxa"/>
            <w:vAlign w:val="top"/>
          </w:tcPr>
          <w:p w14:paraId="17D4D0CF">
            <w:pPr>
              <w:pStyle w:val="6"/>
            </w:pPr>
          </w:p>
        </w:tc>
        <w:tc>
          <w:tcPr>
            <w:tcW w:w="1118" w:type="dxa"/>
            <w:vAlign w:val="top"/>
          </w:tcPr>
          <w:p w14:paraId="5FD496D7">
            <w:pPr>
              <w:pStyle w:val="6"/>
            </w:pPr>
          </w:p>
        </w:tc>
      </w:tr>
      <w:tr w14:paraId="4FDB3A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75D22926">
            <w:pPr>
              <w:pStyle w:val="6"/>
            </w:pPr>
          </w:p>
        </w:tc>
        <w:tc>
          <w:tcPr>
            <w:tcW w:w="1069" w:type="dxa"/>
            <w:vAlign w:val="top"/>
          </w:tcPr>
          <w:p w14:paraId="17D80C77">
            <w:pPr>
              <w:pStyle w:val="6"/>
            </w:pPr>
          </w:p>
        </w:tc>
        <w:tc>
          <w:tcPr>
            <w:tcW w:w="1998" w:type="dxa"/>
            <w:vAlign w:val="top"/>
          </w:tcPr>
          <w:p w14:paraId="2D2E8A49">
            <w:pPr>
              <w:spacing w:before="30" w:line="208" w:lineRule="auto"/>
              <w:ind w:left="10" w:right="41" w:firstLine="1"/>
              <w:rPr>
                <w:rFonts w:ascii="宋体" w:hAnsi="宋体" w:eastAsia="宋体" w:cs="宋体"/>
                <w:sz w:val="15"/>
                <w:szCs w:val="15"/>
              </w:rPr>
            </w:pPr>
            <w:r>
              <w:rPr>
                <w:rFonts w:ascii="宋体" w:hAnsi="宋体" w:eastAsia="宋体" w:cs="宋体"/>
                <w:color w:val="212529"/>
                <w:spacing w:val="8"/>
                <w:sz w:val="15"/>
                <w:szCs w:val="15"/>
              </w:rPr>
              <w:t>二十二、</w:t>
            </w:r>
            <w:r>
              <w:rPr>
                <w:rFonts w:ascii="宋体" w:hAnsi="宋体" w:eastAsia="宋体" w:cs="宋体"/>
                <w:color w:val="212529"/>
                <w:spacing w:val="-39"/>
                <w:sz w:val="15"/>
                <w:szCs w:val="15"/>
              </w:rPr>
              <w:t xml:space="preserve"> </w:t>
            </w:r>
            <w:r>
              <w:rPr>
                <w:rFonts w:ascii="宋体" w:hAnsi="宋体" w:eastAsia="宋体" w:cs="宋体"/>
                <w:color w:val="212529"/>
                <w:spacing w:val="8"/>
                <w:sz w:val="15"/>
                <w:szCs w:val="15"/>
              </w:rPr>
              <w:t>国有资本经营预算</w:t>
            </w:r>
            <w:r>
              <w:rPr>
                <w:rFonts w:ascii="宋体" w:hAnsi="宋体" w:eastAsia="宋体" w:cs="宋体"/>
                <w:color w:val="212529"/>
                <w:spacing w:val="6"/>
                <w:sz w:val="15"/>
                <w:szCs w:val="15"/>
              </w:rPr>
              <w:t>支出</w:t>
            </w:r>
          </w:p>
        </w:tc>
        <w:tc>
          <w:tcPr>
            <w:tcW w:w="1069" w:type="dxa"/>
            <w:vAlign w:val="top"/>
          </w:tcPr>
          <w:p w14:paraId="6331482B">
            <w:pPr>
              <w:pStyle w:val="6"/>
            </w:pPr>
          </w:p>
        </w:tc>
        <w:tc>
          <w:tcPr>
            <w:tcW w:w="1101" w:type="dxa"/>
            <w:vAlign w:val="top"/>
          </w:tcPr>
          <w:p w14:paraId="38D62E72">
            <w:pPr>
              <w:pStyle w:val="6"/>
            </w:pPr>
          </w:p>
        </w:tc>
        <w:tc>
          <w:tcPr>
            <w:tcW w:w="886" w:type="dxa"/>
            <w:vAlign w:val="top"/>
          </w:tcPr>
          <w:p w14:paraId="138C946E">
            <w:pPr>
              <w:pStyle w:val="6"/>
            </w:pPr>
          </w:p>
        </w:tc>
        <w:tc>
          <w:tcPr>
            <w:tcW w:w="1118" w:type="dxa"/>
            <w:vAlign w:val="top"/>
          </w:tcPr>
          <w:p w14:paraId="0E0EC935">
            <w:pPr>
              <w:pStyle w:val="6"/>
            </w:pPr>
          </w:p>
        </w:tc>
      </w:tr>
      <w:tr w14:paraId="13806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69EC4E2C">
            <w:pPr>
              <w:pStyle w:val="6"/>
            </w:pPr>
          </w:p>
        </w:tc>
        <w:tc>
          <w:tcPr>
            <w:tcW w:w="1069" w:type="dxa"/>
            <w:vAlign w:val="top"/>
          </w:tcPr>
          <w:p w14:paraId="3865AB02">
            <w:pPr>
              <w:pStyle w:val="6"/>
            </w:pPr>
          </w:p>
        </w:tc>
        <w:tc>
          <w:tcPr>
            <w:tcW w:w="1998" w:type="dxa"/>
            <w:vAlign w:val="top"/>
          </w:tcPr>
          <w:p w14:paraId="300CB378">
            <w:pPr>
              <w:spacing w:before="30" w:line="208" w:lineRule="auto"/>
              <w:ind w:left="11" w:right="41"/>
              <w:rPr>
                <w:rFonts w:ascii="宋体" w:hAnsi="宋体" w:eastAsia="宋体" w:cs="宋体"/>
                <w:sz w:val="15"/>
                <w:szCs w:val="15"/>
              </w:rPr>
            </w:pPr>
            <w:r>
              <w:rPr>
                <w:rFonts w:ascii="宋体" w:hAnsi="宋体" w:eastAsia="宋体" w:cs="宋体"/>
                <w:color w:val="212529"/>
                <w:spacing w:val="11"/>
                <w:sz w:val="15"/>
                <w:szCs w:val="15"/>
              </w:rPr>
              <w:t>二十三、灾害防治及应急管</w:t>
            </w:r>
            <w:r>
              <w:rPr>
                <w:rFonts w:ascii="宋体" w:hAnsi="宋体" w:eastAsia="宋体" w:cs="宋体"/>
                <w:color w:val="212529"/>
                <w:spacing w:val="8"/>
                <w:sz w:val="15"/>
                <w:szCs w:val="15"/>
              </w:rPr>
              <w:t>理支出</w:t>
            </w:r>
          </w:p>
        </w:tc>
        <w:tc>
          <w:tcPr>
            <w:tcW w:w="1069" w:type="dxa"/>
            <w:vAlign w:val="top"/>
          </w:tcPr>
          <w:p w14:paraId="1C279177">
            <w:pPr>
              <w:pStyle w:val="6"/>
            </w:pPr>
          </w:p>
        </w:tc>
        <w:tc>
          <w:tcPr>
            <w:tcW w:w="1101" w:type="dxa"/>
            <w:vAlign w:val="top"/>
          </w:tcPr>
          <w:p w14:paraId="1C5CCE8F">
            <w:pPr>
              <w:pStyle w:val="6"/>
            </w:pPr>
          </w:p>
        </w:tc>
        <w:tc>
          <w:tcPr>
            <w:tcW w:w="886" w:type="dxa"/>
            <w:vAlign w:val="top"/>
          </w:tcPr>
          <w:p w14:paraId="53C26516">
            <w:pPr>
              <w:pStyle w:val="6"/>
            </w:pPr>
          </w:p>
        </w:tc>
        <w:tc>
          <w:tcPr>
            <w:tcW w:w="1118" w:type="dxa"/>
            <w:vAlign w:val="top"/>
          </w:tcPr>
          <w:p w14:paraId="1AED0D40">
            <w:pPr>
              <w:pStyle w:val="6"/>
            </w:pPr>
          </w:p>
        </w:tc>
      </w:tr>
      <w:tr w14:paraId="5DBEA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ADEBD78">
            <w:pPr>
              <w:pStyle w:val="6"/>
            </w:pPr>
          </w:p>
        </w:tc>
        <w:tc>
          <w:tcPr>
            <w:tcW w:w="1069" w:type="dxa"/>
            <w:vAlign w:val="top"/>
          </w:tcPr>
          <w:p w14:paraId="5FB2AC15">
            <w:pPr>
              <w:pStyle w:val="6"/>
            </w:pPr>
          </w:p>
        </w:tc>
        <w:tc>
          <w:tcPr>
            <w:tcW w:w="1998" w:type="dxa"/>
            <w:vAlign w:val="top"/>
          </w:tcPr>
          <w:p w14:paraId="43B3F588">
            <w:pPr>
              <w:spacing w:before="116" w:line="230" w:lineRule="auto"/>
              <w:ind w:left="12"/>
              <w:rPr>
                <w:rFonts w:ascii="宋体" w:hAnsi="宋体" w:eastAsia="宋体" w:cs="宋体"/>
                <w:sz w:val="15"/>
                <w:szCs w:val="15"/>
              </w:rPr>
            </w:pPr>
            <w:r>
              <w:rPr>
                <w:rFonts w:ascii="宋体" w:hAnsi="宋体" w:eastAsia="宋体" w:cs="宋体"/>
                <w:color w:val="212529"/>
                <w:spacing w:val="10"/>
                <w:sz w:val="15"/>
                <w:szCs w:val="15"/>
              </w:rPr>
              <w:t>二十四、预备费</w:t>
            </w:r>
          </w:p>
        </w:tc>
        <w:tc>
          <w:tcPr>
            <w:tcW w:w="1069" w:type="dxa"/>
            <w:vAlign w:val="top"/>
          </w:tcPr>
          <w:p w14:paraId="4721EB0A">
            <w:pPr>
              <w:pStyle w:val="6"/>
            </w:pPr>
          </w:p>
        </w:tc>
        <w:tc>
          <w:tcPr>
            <w:tcW w:w="1101" w:type="dxa"/>
            <w:vAlign w:val="top"/>
          </w:tcPr>
          <w:p w14:paraId="67795CD4">
            <w:pPr>
              <w:pStyle w:val="6"/>
            </w:pPr>
          </w:p>
        </w:tc>
        <w:tc>
          <w:tcPr>
            <w:tcW w:w="886" w:type="dxa"/>
            <w:vAlign w:val="top"/>
          </w:tcPr>
          <w:p w14:paraId="28901A3D">
            <w:pPr>
              <w:pStyle w:val="6"/>
            </w:pPr>
          </w:p>
        </w:tc>
        <w:tc>
          <w:tcPr>
            <w:tcW w:w="1118" w:type="dxa"/>
            <w:vAlign w:val="top"/>
          </w:tcPr>
          <w:p w14:paraId="1E57CEE3">
            <w:pPr>
              <w:pStyle w:val="6"/>
            </w:pPr>
          </w:p>
        </w:tc>
      </w:tr>
      <w:tr w14:paraId="4BB18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6FBD850A">
            <w:pPr>
              <w:pStyle w:val="6"/>
            </w:pPr>
          </w:p>
        </w:tc>
        <w:tc>
          <w:tcPr>
            <w:tcW w:w="1069" w:type="dxa"/>
            <w:vAlign w:val="top"/>
          </w:tcPr>
          <w:p w14:paraId="2EC24555">
            <w:pPr>
              <w:pStyle w:val="6"/>
            </w:pPr>
          </w:p>
        </w:tc>
        <w:tc>
          <w:tcPr>
            <w:tcW w:w="1998" w:type="dxa"/>
            <w:vAlign w:val="top"/>
          </w:tcPr>
          <w:p w14:paraId="4481CBC7">
            <w:pPr>
              <w:spacing w:before="117" w:line="230" w:lineRule="auto"/>
              <w:ind w:left="12"/>
              <w:rPr>
                <w:rFonts w:ascii="宋体" w:hAnsi="宋体" w:eastAsia="宋体" w:cs="宋体"/>
                <w:sz w:val="15"/>
                <w:szCs w:val="15"/>
              </w:rPr>
            </w:pPr>
            <w:r>
              <w:rPr>
                <w:rFonts w:ascii="宋体" w:hAnsi="宋体" w:eastAsia="宋体" w:cs="宋体"/>
                <w:color w:val="212529"/>
                <w:spacing w:val="10"/>
                <w:sz w:val="15"/>
                <w:szCs w:val="15"/>
              </w:rPr>
              <w:t>二十五、其他支出</w:t>
            </w:r>
          </w:p>
        </w:tc>
        <w:tc>
          <w:tcPr>
            <w:tcW w:w="1069" w:type="dxa"/>
            <w:vAlign w:val="top"/>
          </w:tcPr>
          <w:p w14:paraId="325FEFD1">
            <w:pPr>
              <w:pStyle w:val="6"/>
            </w:pPr>
          </w:p>
        </w:tc>
        <w:tc>
          <w:tcPr>
            <w:tcW w:w="1101" w:type="dxa"/>
            <w:vAlign w:val="top"/>
          </w:tcPr>
          <w:p w14:paraId="1DFC0090">
            <w:pPr>
              <w:pStyle w:val="6"/>
            </w:pPr>
          </w:p>
        </w:tc>
        <w:tc>
          <w:tcPr>
            <w:tcW w:w="886" w:type="dxa"/>
            <w:vAlign w:val="top"/>
          </w:tcPr>
          <w:p w14:paraId="6B38F1AE">
            <w:pPr>
              <w:pStyle w:val="6"/>
            </w:pPr>
          </w:p>
        </w:tc>
        <w:tc>
          <w:tcPr>
            <w:tcW w:w="1118" w:type="dxa"/>
            <w:vAlign w:val="top"/>
          </w:tcPr>
          <w:p w14:paraId="79EB11CD">
            <w:pPr>
              <w:pStyle w:val="6"/>
            </w:pPr>
          </w:p>
        </w:tc>
      </w:tr>
      <w:tr w14:paraId="74A6E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03FBB18">
            <w:pPr>
              <w:pStyle w:val="6"/>
            </w:pPr>
          </w:p>
        </w:tc>
        <w:tc>
          <w:tcPr>
            <w:tcW w:w="1069" w:type="dxa"/>
            <w:vAlign w:val="top"/>
          </w:tcPr>
          <w:p w14:paraId="5CED901F">
            <w:pPr>
              <w:pStyle w:val="6"/>
            </w:pPr>
          </w:p>
        </w:tc>
        <w:tc>
          <w:tcPr>
            <w:tcW w:w="1998" w:type="dxa"/>
            <w:vAlign w:val="top"/>
          </w:tcPr>
          <w:p w14:paraId="6C9EEEB4">
            <w:pPr>
              <w:spacing w:before="117" w:line="230" w:lineRule="auto"/>
              <w:ind w:left="12"/>
              <w:rPr>
                <w:rFonts w:ascii="宋体" w:hAnsi="宋体" w:eastAsia="宋体" w:cs="宋体"/>
                <w:sz w:val="15"/>
                <w:szCs w:val="15"/>
              </w:rPr>
            </w:pPr>
            <w:r>
              <w:rPr>
                <w:rFonts w:ascii="宋体" w:hAnsi="宋体" w:eastAsia="宋体" w:cs="宋体"/>
                <w:color w:val="212529"/>
                <w:spacing w:val="10"/>
                <w:sz w:val="15"/>
                <w:szCs w:val="15"/>
              </w:rPr>
              <w:t>二十六、转移性支出</w:t>
            </w:r>
          </w:p>
        </w:tc>
        <w:tc>
          <w:tcPr>
            <w:tcW w:w="1069" w:type="dxa"/>
            <w:vAlign w:val="top"/>
          </w:tcPr>
          <w:p w14:paraId="57ECA07A">
            <w:pPr>
              <w:pStyle w:val="6"/>
            </w:pPr>
          </w:p>
        </w:tc>
        <w:tc>
          <w:tcPr>
            <w:tcW w:w="1101" w:type="dxa"/>
            <w:vAlign w:val="top"/>
          </w:tcPr>
          <w:p w14:paraId="4383A0EE">
            <w:pPr>
              <w:pStyle w:val="6"/>
            </w:pPr>
          </w:p>
        </w:tc>
        <w:tc>
          <w:tcPr>
            <w:tcW w:w="886" w:type="dxa"/>
            <w:vAlign w:val="top"/>
          </w:tcPr>
          <w:p w14:paraId="651DDD07">
            <w:pPr>
              <w:pStyle w:val="6"/>
            </w:pPr>
          </w:p>
        </w:tc>
        <w:tc>
          <w:tcPr>
            <w:tcW w:w="1118" w:type="dxa"/>
            <w:vAlign w:val="top"/>
          </w:tcPr>
          <w:p w14:paraId="5B8644A8">
            <w:pPr>
              <w:pStyle w:val="6"/>
            </w:pPr>
          </w:p>
        </w:tc>
      </w:tr>
      <w:tr w14:paraId="7C200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4BAD9B5">
            <w:pPr>
              <w:pStyle w:val="6"/>
            </w:pPr>
          </w:p>
        </w:tc>
        <w:tc>
          <w:tcPr>
            <w:tcW w:w="1069" w:type="dxa"/>
            <w:vAlign w:val="top"/>
          </w:tcPr>
          <w:p w14:paraId="40E5F92B">
            <w:pPr>
              <w:pStyle w:val="6"/>
            </w:pPr>
          </w:p>
        </w:tc>
        <w:tc>
          <w:tcPr>
            <w:tcW w:w="1998" w:type="dxa"/>
            <w:vAlign w:val="top"/>
          </w:tcPr>
          <w:p w14:paraId="0B1B5A62">
            <w:pPr>
              <w:spacing w:before="118" w:line="228" w:lineRule="auto"/>
              <w:ind w:left="12"/>
              <w:rPr>
                <w:rFonts w:ascii="宋体" w:hAnsi="宋体" w:eastAsia="宋体" w:cs="宋体"/>
                <w:sz w:val="15"/>
                <w:szCs w:val="15"/>
              </w:rPr>
            </w:pPr>
            <w:r>
              <w:rPr>
                <w:rFonts w:ascii="宋体" w:hAnsi="宋体" w:eastAsia="宋体" w:cs="宋体"/>
                <w:color w:val="212529"/>
                <w:spacing w:val="10"/>
                <w:sz w:val="15"/>
                <w:szCs w:val="15"/>
              </w:rPr>
              <w:t>二十七、债务还本支出</w:t>
            </w:r>
          </w:p>
        </w:tc>
        <w:tc>
          <w:tcPr>
            <w:tcW w:w="1069" w:type="dxa"/>
            <w:vAlign w:val="top"/>
          </w:tcPr>
          <w:p w14:paraId="66B454C3">
            <w:pPr>
              <w:pStyle w:val="6"/>
            </w:pPr>
          </w:p>
        </w:tc>
        <w:tc>
          <w:tcPr>
            <w:tcW w:w="1101" w:type="dxa"/>
            <w:vAlign w:val="top"/>
          </w:tcPr>
          <w:p w14:paraId="53E6526F">
            <w:pPr>
              <w:pStyle w:val="6"/>
            </w:pPr>
          </w:p>
        </w:tc>
        <w:tc>
          <w:tcPr>
            <w:tcW w:w="886" w:type="dxa"/>
            <w:vAlign w:val="top"/>
          </w:tcPr>
          <w:p w14:paraId="09B3CDEE">
            <w:pPr>
              <w:pStyle w:val="6"/>
            </w:pPr>
          </w:p>
        </w:tc>
        <w:tc>
          <w:tcPr>
            <w:tcW w:w="1118" w:type="dxa"/>
            <w:vAlign w:val="top"/>
          </w:tcPr>
          <w:p w14:paraId="22237364">
            <w:pPr>
              <w:pStyle w:val="6"/>
            </w:pPr>
          </w:p>
        </w:tc>
      </w:tr>
      <w:tr w14:paraId="21835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4833E2C2">
            <w:pPr>
              <w:pStyle w:val="6"/>
            </w:pPr>
          </w:p>
        </w:tc>
        <w:tc>
          <w:tcPr>
            <w:tcW w:w="1069" w:type="dxa"/>
            <w:vAlign w:val="top"/>
          </w:tcPr>
          <w:p w14:paraId="5619085E">
            <w:pPr>
              <w:pStyle w:val="6"/>
            </w:pPr>
          </w:p>
        </w:tc>
        <w:tc>
          <w:tcPr>
            <w:tcW w:w="1998" w:type="dxa"/>
            <w:vAlign w:val="top"/>
          </w:tcPr>
          <w:p w14:paraId="7152B3AE">
            <w:pPr>
              <w:spacing w:before="118" w:line="229" w:lineRule="auto"/>
              <w:ind w:left="12"/>
              <w:rPr>
                <w:rFonts w:ascii="宋体" w:hAnsi="宋体" w:eastAsia="宋体" w:cs="宋体"/>
                <w:sz w:val="15"/>
                <w:szCs w:val="15"/>
              </w:rPr>
            </w:pPr>
            <w:r>
              <w:rPr>
                <w:rFonts w:ascii="宋体" w:hAnsi="宋体" w:eastAsia="宋体" w:cs="宋体"/>
                <w:color w:val="212529"/>
                <w:spacing w:val="10"/>
                <w:sz w:val="15"/>
                <w:szCs w:val="15"/>
              </w:rPr>
              <w:t>二十八、债务付息支出</w:t>
            </w:r>
          </w:p>
        </w:tc>
        <w:tc>
          <w:tcPr>
            <w:tcW w:w="1069" w:type="dxa"/>
            <w:vAlign w:val="top"/>
          </w:tcPr>
          <w:p w14:paraId="6E1A25A4">
            <w:pPr>
              <w:pStyle w:val="6"/>
            </w:pPr>
          </w:p>
        </w:tc>
        <w:tc>
          <w:tcPr>
            <w:tcW w:w="1101" w:type="dxa"/>
            <w:vAlign w:val="top"/>
          </w:tcPr>
          <w:p w14:paraId="49280769">
            <w:pPr>
              <w:pStyle w:val="6"/>
            </w:pPr>
          </w:p>
        </w:tc>
        <w:tc>
          <w:tcPr>
            <w:tcW w:w="886" w:type="dxa"/>
            <w:vAlign w:val="top"/>
          </w:tcPr>
          <w:p w14:paraId="6CD3062D">
            <w:pPr>
              <w:pStyle w:val="6"/>
            </w:pPr>
          </w:p>
        </w:tc>
        <w:tc>
          <w:tcPr>
            <w:tcW w:w="1118" w:type="dxa"/>
            <w:vAlign w:val="top"/>
          </w:tcPr>
          <w:p w14:paraId="5AA66E4B">
            <w:pPr>
              <w:pStyle w:val="6"/>
            </w:pPr>
          </w:p>
        </w:tc>
      </w:tr>
      <w:tr w14:paraId="61C56C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35B6BB1A">
            <w:pPr>
              <w:pStyle w:val="6"/>
            </w:pPr>
          </w:p>
        </w:tc>
        <w:tc>
          <w:tcPr>
            <w:tcW w:w="1069" w:type="dxa"/>
            <w:vAlign w:val="top"/>
          </w:tcPr>
          <w:p w14:paraId="3290E437">
            <w:pPr>
              <w:pStyle w:val="6"/>
            </w:pPr>
          </w:p>
        </w:tc>
        <w:tc>
          <w:tcPr>
            <w:tcW w:w="1998" w:type="dxa"/>
            <w:vAlign w:val="top"/>
          </w:tcPr>
          <w:p w14:paraId="2F0DBF76">
            <w:pPr>
              <w:spacing w:before="118" w:line="229" w:lineRule="auto"/>
              <w:ind w:left="12"/>
              <w:rPr>
                <w:rFonts w:ascii="宋体" w:hAnsi="宋体" w:eastAsia="宋体" w:cs="宋体"/>
                <w:sz w:val="15"/>
                <w:szCs w:val="15"/>
              </w:rPr>
            </w:pPr>
            <w:r>
              <w:rPr>
                <w:rFonts w:ascii="宋体" w:hAnsi="宋体" w:eastAsia="宋体" w:cs="宋体"/>
                <w:color w:val="212529"/>
                <w:spacing w:val="11"/>
                <w:sz w:val="15"/>
                <w:szCs w:val="15"/>
              </w:rPr>
              <w:t>二十九、债务发行费用支出</w:t>
            </w:r>
          </w:p>
        </w:tc>
        <w:tc>
          <w:tcPr>
            <w:tcW w:w="1069" w:type="dxa"/>
            <w:vAlign w:val="top"/>
          </w:tcPr>
          <w:p w14:paraId="5437C4E0">
            <w:pPr>
              <w:pStyle w:val="6"/>
            </w:pPr>
          </w:p>
        </w:tc>
        <w:tc>
          <w:tcPr>
            <w:tcW w:w="1101" w:type="dxa"/>
            <w:vAlign w:val="top"/>
          </w:tcPr>
          <w:p w14:paraId="504D38A9">
            <w:pPr>
              <w:pStyle w:val="6"/>
            </w:pPr>
          </w:p>
        </w:tc>
        <w:tc>
          <w:tcPr>
            <w:tcW w:w="886" w:type="dxa"/>
            <w:vAlign w:val="top"/>
          </w:tcPr>
          <w:p w14:paraId="33E0C5DD">
            <w:pPr>
              <w:pStyle w:val="6"/>
            </w:pPr>
          </w:p>
        </w:tc>
        <w:tc>
          <w:tcPr>
            <w:tcW w:w="1118" w:type="dxa"/>
            <w:vAlign w:val="top"/>
          </w:tcPr>
          <w:p w14:paraId="2F08E446">
            <w:pPr>
              <w:pStyle w:val="6"/>
            </w:pPr>
          </w:p>
        </w:tc>
      </w:tr>
      <w:tr w14:paraId="3EAC4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52C1626D">
            <w:pPr>
              <w:pStyle w:val="6"/>
            </w:pPr>
          </w:p>
        </w:tc>
        <w:tc>
          <w:tcPr>
            <w:tcW w:w="1069" w:type="dxa"/>
            <w:vAlign w:val="top"/>
          </w:tcPr>
          <w:p w14:paraId="7473278E">
            <w:pPr>
              <w:pStyle w:val="6"/>
            </w:pPr>
          </w:p>
        </w:tc>
        <w:tc>
          <w:tcPr>
            <w:tcW w:w="1998" w:type="dxa"/>
            <w:vAlign w:val="top"/>
          </w:tcPr>
          <w:p w14:paraId="2FC6FD51">
            <w:pPr>
              <w:spacing w:before="32" w:line="207" w:lineRule="auto"/>
              <w:ind w:left="10" w:right="41" w:hanging="1"/>
              <w:rPr>
                <w:rFonts w:ascii="宋体" w:hAnsi="宋体" w:eastAsia="宋体" w:cs="宋体"/>
                <w:sz w:val="15"/>
                <w:szCs w:val="15"/>
              </w:rPr>
            </w:pPr>
            <w:r>
              <w:rPr>
                <w:rFonts w:ascii="宋体" w:hAnsi="宋体" w:eastAsia="宋体" w:cs="宋体"/>
                <w:color w:val="212529"/>
                <w:spacing w:val="11"/>
                <w:sz w:val="15"/>
                <w:szCs w:val="15"/>
              </w:rPr>
              <w:t>三十、抗疫特别国债安排的</w:t>
            </w:r>
            <w:r>
              <w:rPr>
                <w:rFonts w:ascii="宋体" w:hAnsi="宋体" w:eastAsia="宋体" w:cs="宋体"/>
                <w:color w:val="212529"/>
                <w:spacing w:val="6"/>
                <w:sz w:val="15"/>
                <w:szCs w:val="15"/>
              </w:rPr>
              <w:t>支出</w:t>
            </w:r>
          </w:p>
        </w:tc>
        <w:tc>
          <w:tcPr>
            <w:tcW w:w="1069" w:type="dxa"/>
            <w:vAlign w:val="top"/>
          </w:tcPr>
          <w:p w14:paraId="07EF0A7D">
            <w:pPr>
              <w:pStyle w:val="6"/>
            </w:pPr>
          </w:p>
        </w:tc>
        <w:tc>
          <w:tcPr>
            <w:tcW w:w="1101" w:type="dxa"/>
            <w:vAlign w:val="top"/>
          </w:tcPr>
          <w:p w14:paraId="76A7A633">
            <w:pPr>
              <w:pStyle w:val="6"/>
            </w:pPr>
          </w:p>
        </w:tc>
        <w:tc>
          <w:tcPr>
            <w:tcW w:w="886" w:type="dxa"/>
            <w:vAlign w:val="top"/>
          </w:tcPr>
          <w:p w14:paraId="13900094">
            <w:pPr>
              <w:pStyle w:val="6"/>
            </w:pPr>
          </w:p>
        </w:tc>
        <w:tc>
          <w:tcPr>
            <w:tcW w:w="1118" w:type="dxa"/>
            <w:vAlign w:val="top"/>
          </w:tcPr>
          <w:p w14:paraId="628D789D">
            <w:pPr>
              <w:pStyle w:val="6"/>
            </w:pPr>
          </w:p>
        </w:tc>
      </w:tr>
      <w:tr w14:paraId="57FBF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917" w:type="dxa"/>
            <w:vAlign w:val="top"/>
          </w:tcPr>
          <w:p w14:paraId="2114CE12">
            <w:pPr>
              <w:pStyle w:val="6"/>
            </w:pPr>
          </w:p>
        </w:tc>
        <w:tc>
          <w:tcPr>
            <w:tcW w:w="1069" w:type="dxa"/>
            <w:vAlign w:val="top"/>
          </w:tcPr>
          <w:p w14:paraId="11892C0C">
            <w:pPr>
              <w:pStyle w:val="6"/>
            </w:pPr>
          </w:p>
        </w:tc>
        <w:tc>
          <w:tcPr>
            <w:tcW w:w="1998" w:type="dxa"/>
            <w:vAlign w:val="top"/>
          </w:tcPr>
          <w:p w14:paraId="1255DD4F">
            <w:pPr>
              <w:pStyle w:val="6"/>
            </w:pPr>
          </w:p>
        </w:tc>
        <w:tc>
          <w:tcPr>
            <w:tcW w:w="1069" w:type="dxa"/>
            <w:vAlign w:val="top"/>
          </w:tcPr>
          <w:p w14:paraId="129DA60B">
            <w:pPr>
              <w:pStyle w:val="6"/>
            </w:pPr>
          </w:p>
        </w:tc>
        <w:tc>
          <w:tcPr>
            <w:tcW w:w="1101" w:type="dxa"/>
            <w:vAlign w:val="top"/>
          </w:tcPr>
          <w:p w14:paraId="6639EF37">
            <w:pPr>
              <w:pStyle w:val="6"/>
            </w:pPr>
          </w:p>
        </w:tc>
        <w:tc>
          <w:tcPr>
            <w:tcW w:w="886" w:type="dxa"/>
            <w:vAlign w:val="top"/>
          </w:tcPr>
          <w:p w14:paraId="5A659C6D">
            <w:pPr>
              <w:pStyle w:val="6"/>
            </w:pPr>
          </w:p>
        </w:tc>
        <w:tc>
          <w:tcPr>
            <w:tcW w:w="1118" w:type="dxa"/>
            <w:vAlign w:val="top"/>
          </w:tcPr>
          <w:p w14:paraId="221CF7C9">
            <w:pPr>
              <w:pStyle w:val="6"/>
            </w:pPr>
          </w:p>
        </w:tc>
      </w:tr>
      <w:tr w14:paraId="46B91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1917" w:type="dxa"/>
            <w:vAlign w:val="top"/>
          </w:tcPr>
          <w:p w14:paraId="26509B21">
            <w:pPr>
              <w:spacing w:before="116" w:line="158" w:lineRule="exact"/>
              <w:ind w:left="460"/>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本年收入合计</w:t>
            </w:r>
          </w:p>
        </w:tc>
        <w:tc>
          <w:tcPr>
            <w:tcW w:w="1069" w:type="dxa"/>
            <w:vAlign w:val="top"/>
          </w:tcPr>
          <w:p w14:paraId="1E74D058">
            <w:pPr>
              <w:pStyle w:val="6"/>
              <w:spacing w:before="137" w:line="187" w:lineRule="auto"/>
              <w:ind w:left="293"/>
              <w:rPr>
                <w:sz w:val="13"/>
                <w:szCs w:val="13"/>
              </w:rPr>
            </w:pPr>
            <w:r>
              <w:rPr>
                <w:color w:val="212529"/>
                <w:spacing w:val="2"/>
                <w:sz w:val="13"/>
                <w:szCs w:val="13"/>
              </w:rPr>
              <w:t>117.</w:t>
            </w:r>
            <w:r>
              <w:rPr>
                <w:color w:val="212529"/>
                <w:spacing w:val="10"/>
                <w:w w:val="101"/>
                <w:sz w:val="13"/>
                <w:szCs w:val="13"/>
              </w:rPr>
              <w:t xml:space="preserve"> </w:t>
            </w:r>
            <w:r>
              <w:rPr>
                <w:color w:val="212529"/>
                <w:spacing w:val="2"/>
                <w:sz w:val="13"/>
                <w:szCs w:val="13"/>
              </w:rPr>
              <w:t>21</w:t>
            </w:r>
          </w:p>
        </w:tc>
        <w:tc>
          <w:tcPr>
            <w:tcW w:w="1998" w:type="dxa"/>
            <w:vAlign w:val="top"/>
          </w:tcPr>
          <w:p w14:paraId="30F20CB6">
            <w:pPr>
              <w:spacing w:before="116" w:line="156" w:lineRule="exact"/>
              <w:ind w:left="504"/>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本年支出合计</w:t>
            </w:r>
          </w:p>
        </w:tc>
        <w:tc>
          <w:tcPr>
            <w:tcW w:w="1069" w:type="dxa"/>
            <w:vAlign w:val="top"/>
          </w:tcPr>
          <w:p w14:paraId="45783377">
            <w:pPr>
              <w:pStyle w:val="6"/>
              <w:spacing w:before="137" w:line="187" w:lineRule="auto"/>
              <w:ind w:left="296"/>
              <w:rPr>
                <w:sz w:val="13"/>
                <w:szCs w:val="13"/>
              </w:rPr>
            </w:pPr>
            <w:r>
              <w:rPr>
                <w:color w:val="212529"/>
                <w:spacing w:val="2"/>
                <w:sz w:val="13"/>
                <w:szCs w:val="13"/>
              </w:rPr>
              <w:t>117.</w:t>
            </w:r>
            <w:r>
              <w:rPr>
                <w:color w:val="212529"/>
                <w:spacing w:val="10"/>
                <w:w w:val="101"/>
                <w:sz w:val="13"/>
                <w:szCs w:val="13"/>
              </w:rPr>
              <w:t xml:space="preserve"> </w:t>
            </w:r>
            <w:r>
              <w:rPr>
                <w:color w:val="212529"/>
                <w:spacing w:val="2"/>
                <w:sz w:val="13"/>
                <w:szCs w:val="13"/>
              </w:rPr>
              <w:t>21</w:t>
            </w:r>
          </w:p>
        </w:tc>
        <w:tc>
          <w:tcPr>
            <w:tcW w:w="1101" w:type="dxa"/>
            <w:vAlign w:val="top"/>
          </w:tcPr>
          <w:p w14:paraId="5A7F1D94">
            <w:pPr>
              <w:pStyle w:val="6"/>
              <w:spacing w:before="137" w:line="187" w:lineRule="auto"/>
              <w:ind w:left="315"/>
              <w:rPr>
                <w:sz w:val="13"/>
                <w:szCs w:val="13"/>
              </w:rPr>
            </w:pPr>
            <w:r>
              <w:rPr>
                <w:color w:val="212529"/>
                <w:spacing w:val="2"/>
                <w:sz w:val="13"/>
                <w:szCs w:val="13"/>
              </w:rPr>
              <w:t>117.</w:t>
            </w:r>
            <w:r>
              <w:rPr>
                <w:color w:val="212529"/>
                <w:spacing w:val="10"/>
                <w:w w:val="101"/>
                <w:sz w:val="13"/>
                <w:szCs w:val="13"/>
              </w:rPr>
              <w:t xml:space="preserve"> </w:t>
            </w:r>
            <w:r>
              <w:rPr>
                <w:color w:val="212529"/>
                <w:spacing w:val="2"/>
                <w:sz w:val="13"/>
                <w:szCs w:val="13"/>
              </w:rPr>
              <w:t>21</w:t>
            </w:r>
          </w:p>
        </w:tc>
        <w:tc>
          <w:tcPr>
            <w:tcW w:w="886" w:type="dxa"/>
            <w:vAlign w:val="top"/>
          </w:tcPr>
          <w:p w14:paraId="08EA11A3">
            <w:pPr>
              <w:pStyle w:val="6"/>
            </w:pPr>
          </w:p>
        </w:tc>
        <w:tc>
          <w:tcPr>
            <w:tcW w:w="1118" w:type="dxa"/>
            <w:vAlign w:val="top"/>
          </w:tcPr>
          <w:p w14:paraId="76C67DD1">
            <w:pPr>
              <w:pStyle w:val="6"/>
            </w:pPr>
          </w:p>
        </w:tc>
      </w:tr>
    </w:tbl>
    <w:p w14:paraId="3665DA51">
      <w:pPr>
        <w:pStyle w:val="2"/>
      </w:pPr>
    </w:p>
    <w:p w14:paraId="314E91BA">
      <w:pPr>
        <w:sectPr>
          <w:headerReference r:id="rId18" w:type="default"/>
          <w:footerReference r:id="rId19" w:type="default"/>
          <w:pgSz w:w="11900" w:h="16840"/>
          <w:pgMar w:top="642" w:right="0" w:bottom="340" w:left="0" w:header="326" w:footer="93" w:gutter="0"/>
          <w:cols w:space="720" w:num="1"/>
        </w:sectPr>
      </w:pPr>
    </w:p>
    <w:p w14:paraId="71B6FCC1">
      <w:pPr>
        <w:spacing w:before="38"/>
      </w:pPr>
    </w:p>
    <w:p w14:paraId="0D0D41B7">
      <w:pPr>
        <w:spacing w:before="38"/>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17"/>
        <w:gridCol w:w="1069"/>
        <w:gridCol w:w="1998"/>
        <w:gridCol w:w="1069"/>
        <w:gridCol w:w="1101"/>
        <w:gridCol w:w="886"/>
        <w:gridCol w:w="1118"/>
      </w:tblGrid>
      <w:tr w14:paraId="3E1CD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917" w:type="dxa"/>
            <w:vAlign w:val="top"/>
          </w:tcPr>
          <w:p w14:paraId="534DFF40">
            <w:pPr>
              <w:spacing w:before="113" w:line="229" w:lineRule="auto"/>
              <w:ind w:left="7"/>
              <w:rPr>
                <w:rFonts w:ascii="宋体" w:hAnsi="宋体" w:eastAsia="宋体" w:cs="宋体"/>
                <w:sz w:val="15"/>
                <w:szCs w:val="15"/>
              </w:rPr>
            </w:pPr>
            <w:bookmarkStart w:id="14" w:name="bookmark40"/>
            <w:bookmarkEnd w:id="14"/>
            <w:r>
              <w:rPr>
                <w:rFonts w:ascii="宋体" w:hAnsi="宋体" w:eastAsia="宋体" w:cs="宋体"/>
                <w:color w:val="212529"/>
                <w:spacing w:val="8"/>
                <w:sz w:val="15"/>
                <w:szCs w:val="15"/>
              </w:rPr>
              <w:t>上年财</w:t>
            </w:r>
          </w:p>
        </w:tc>
        <w:tc>
          <w:tcPr>
            <w:tcW w:w="1069" w:type="dxa"/>
            <w:vAlign w:val="top"/>
          </w:tcPr>
          <w:p w14:paraId="3F829801">
            <w:pPr>
              <w:pStyle w:val="6"/>
            </w:pPr>
          </w:p>
        </w:tc>
        <w:tc>
          <w:tcPr>
            <w:tcW w:w="1998" w:type="dxa"/>
            <w:vAlign w:val="top"/>
          </w:tcPr>
          <w:p w14:paraId="02AAB139">
            <w:pPr>
              <w:spacing w:before="113" w:line="229" w:lineRule="auto"/>
              <w:ind w:left="10"/>
              <w:rPr>
                <w:rFonts w:ascii="宋体" w:hAnsi="宋体" w:eastAsia="宋体" w:cs="宋体"/>
                <w:sz w:val="15"/>
                <w:szCs w:val="15"/>
              </w:rPr>
            </w:pPr>
            <w:r>
              <w:rPr>
                <w:rFonts w:ascii="宋体" w:hAnsi="宋体" w:eastAsia="宋体" w:cs="宋体"/>
                <w:color w:val="212529"/>
                <w:spacing w:val="9"/>
                <w:sz w:val="15"/>
                <w:szCs w:val="15"/>
              </w:rPr>
              <w:t>年终结转</w:t>
            </w:r>
          </w:p>
        </w:tc>
        <w:tc>
          <w:tcPr>
            <w:tcW w:w="1069" w:type="dxa"/>
            <w:vAlign w:val="top"/>
          </w:tcPr>
          <w:p w14:paraId="540294C1">
            <w:pPr>
              <w:pStyle w:val="6"/>
            </w:pPr>
          </w:p>
        </w:tc>
        <w:tc>
          <w:tcPr>
            <w:tcW w:w="1101" w:type="dxa"/>
            <w:vAlign w:val="top"/>
          </w:tcPr>
          <w:p w14:paraId="0BD28AE8">
            <w:pPr>
              <w:pStyle w:val="6"/>
            </w:pPr>
          </w:p>
        </w:tc>
        <w:tc>
          <w:tcPr>
            <w:tcW w:w="886" w:type="dxa"/>
            <w:vAlign w:val="top"/>
          </w:tcPr>
          <w:p w14:paraId="48D03F40">
            <w:pPr>
              <w:pStyle w:val="6"/>
            </w:pPr>
          </w:p>
        </w:tc>
        <w:tc>
          <w:tcPr>
            <w:tcW w:w="1118" w:type="dxa"/>
            <w:vAlign w:val="top"/>
          </w:tcPr>
          <w:p w14:paraId="75C35C27">
            <w:pPr>
              <w:pStyle w:val="6"/>
            </w:pPr>
          </w:p>
        </w:tc>
      </w:tr>
      <w:tr w14:paraId="46B1E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917" w:type="dxa"/>
            <w:vAlign w:val="top"/>
          </w:tcPr>
          <w:p w14:paraId="11EE5254">
            <w:pPr>
              <w:spacing w:before="110" w:line="229" w:lineRule="auto"/>
              <w:ind w:left="8"/>
              <w:rPr>
                <w:rFonts w:ascii="宋体" w:hAnsi="宋体" w:eastAsia="宋体" w:cs="宋体"/>
                <w:sz w:val="15"/>
                <w:szCs w:val="15"/>
              </w:rPr>
            </w:pPr>
            <w:r>
              <w:rPr>
                <w:rFonts w:ascii="宋体" w:hAnsi="宋体" w:eastAsia="宋体" w:cs="宋体"/>
                <w:color w:val="212529"/>
                <w:spacing w:val="10"/>
                <w:sz w:val="15"/>
                <w:szCs w:val="15"/>
              </w:rPr>
              <w:t>一、一般公共预算</w:t>
            </w:r>
          </w:p>
        </w:tc>
        <w:tc>
          <w:tcPr>
            <w:tcW w:w="1069" w:type="dxa"/>
            <w:vAlign w:val="top"/>
          </w:tcPr>
          <w:p w14:paraId="305241D9">
            <w:pPr>
              <w:pStyle w:val="6"/>
            </w:pPr>
          </w:p>
        </w:tc>
        <w:tc>
          <w:tcPr>
            <w:tcW w:w="1998" w:type="dxa"/>
            <w:vAlign w:val="top"/>
          </w:tcPr>
          <w:p w14:paraId="52BF07D2">
            <w:pPr>
              <w:pStyle w:val="6"/>
            </w:pPr>
          </w:p>
        </w:tc>
        <w:tc>
          <w:tcPr>
            <w:tcW w:w="1069" w:type="dxa"/>
            <w:vAlign w:val="top"/>
          </w:tcPr>
          <w:p w14:paraId="1C7BACA6">
            <w:pPr>
              <w:pStyle w:val="6"/>
            </w:pPr>
          </w:p>
        </w:tc>
        <w:tc>
          <w:tcPr>
            <w:tcW w:w="1101" w:type="dxa"/>
            <w:vAlign w:val="top"/>
          </w:tcPr>
          <w:p w14:paraId="642929DF">
            <w:pPr>
              <w:pStyle w:val="6"/>
            </w:pPr>
          </w:p>
        </w:tc>
        <w:tc>
          <w:tcPr>
            <w:tcW w:w="886" w:type="dxa"/>
            <w:vAlign w:val="top"/>
          </w:tcPr>
          <w:p w14:paraId="70E40C4A">
            <w:pPr>
              <w:pStyle w:val="6"/>
            </w:pPr>
          </w:p>
        </w:tc>
        <w:tc>
          <w:tcPr>
            <w:tcW w:w="1118" w:type="dxa"/>
            <w:vAlign w:val="top"/>
          </w:tcPr>
          <w:p w14:paraId="05FC6368">
            <w:pPr>
              <w:pStyle w:val="6"/>
            </w:pPr>
          </w:p>
        </w:tc>
      </w:tr>
      <w:tr w14:paraId="7E265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917" w:type="dxa"/>
            <w:vAlign w:val="top"/>
          </w:tcPr>
          <w:p w14:paraId="7CA4AC6C">
            <w:pPr>
              <w:spacing w:before="112" w:line="228" w:lineRule="auto"/>
              <w:ind w:left="9"/>
              <w:rPr>
                <w:rFonts w:ascii="宋体" w:hAnsi="宋体" w:eastAsia="宋体" w:cs="宋体"/>
                <w:sz w:val="15"/>
                <w:szCs w:val="15"/>
              </w:rPr>
            </w:pPr>
            <w:r>
              <w:rPr>
                <w:rFonts w:ascii="宋体" w:hAnsi="宋体" w:eastAsia="宋体" w:cs="宋体"/>
                <w:color w:val="212529"/>
                <w:spacing w:val="10"/>
                <w:sz w:val="15"/>
                <w:szCs w:val="15"/>
              </w:rPr>
              <w:t>二、政府性基金预算</w:t>
            </w:r>
          </w:p>
        </w:tc>
        <w:tc>
          <w:tcPr>
            <w:tcW w:w="1069" w:type="dxa"/>
            <w:vAlign w:val="top"/>
          </w:tcPr>
          <w:p w14:paraId="5603D5CB">
            <w:pPr>
              <w:pStyle w:val="6"/>
            </w:pPr>
          </w:p>
        </w:tc>
        <w:tc>
          <w:tcPr>
            <w:tcW w:w="1998" w:type="dxa"/>
            <w:vAlign w:val="top"/>
          </w:tcPr>
          <w:p w14:paraId="3E2E552F">
            <w:pPr>
              <w:pStyle w:val="6"/>
            </w:pPr>
          </w:p>
        </w:tc>
        <w:tc>
          <w:tcPr>
            <w:tcW w:w="1069" w:type="dxa"/>
            <w:vAlign w:val="top"/>
          </w:tcPr>
          <w:p w14:paraId="45F64E9D">
            <w:pPr>
              <w:pStyle w:val="6"/>
            </w:pPr>
          </w:p>
        </w:tc>
        <w:tc>
          <w:tcPr>
            <w:tcW w:w="1101" w:type="dxa"/>
            <w:vAlign w:val="top"/>
          </w:tcPr>
          <w:p w14:paraId="445886A7">
            <w:pPr>
              <w:pStyle w:val="6"/>
            </w:pPr>
          </w:p>
        </w:tc>
        <w:tc>
          <w:tcPr>
            <w:tcW w:w="886" w:type="dxa"/>
            <w:vAlign w:val="top"/>
          </w:tcPr>
          <w:p w14:paraId="1225F664">
            <w:pPr>
              <w:pStyle w:val="6"/>
            </w:pPr>
          </w:p>
        </w:tc>
        <w:tc>
          <w:tcPr>
            <w:tcW w:w="1118" w:type="dxa"/>
            <w:vAlign w:val="top"/>
          </w:tcPr>
          <w:p w14:paraId="75DD7243">
            <w:pPr>
              <w:pStyle w:val="6"/>
            </w:pPr>
          </w:p>
        </w:tc>
      </w:tr>
      <w:tr w14:paraId="7E9CB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24F32A5E">
            <w:pPr>
              <w:spacing w:before="114" w:line="228" w:lineRule="auto"/>
              <w:ind w:left="6"/>
              <w:rPr>
                <w:rFonts w:ascii="宋体" w:hAnsi="宋体" w:eastAsia="宋体" w:cs="宋体"/>
                <w:sz w:val="15"/>
                <w:szCs w:val="15"/>
              </w:rPr>
            </w:pPr>
            <w:r>
              <w:rPr>
                <w:rFonts w:ascii="宋体" w:hAnsi="宋体" w:eastAsia="宋体" w:cs="宋体"/>
                <w:color w:val="212529"/>
                <w:spacing w:val="8"/>
                <w:sz w:val="15"/>
                <w:szCs w:val="15"/>
              </w:rPr>
              <w:t>三、</w:t>
            </w:r>
            <w:r>
              <w:rPr>
                <w:rFonts w:ascii="宋体" w:hAnsi="宋体" w:eastAsia="宋体" w:cs="宋体"/>
                <w:color w:val="212529"/>
                <w:spacing w:val="-44"/>
                <w:sz w:val="15"/>
                <w:szCs w:val="15"/>
              </w:rPr>
              <w:t xml:space="preserve"> </w:t>
            </w:r>
            <w:r>
              <w:rPr>
                <w:rFonts w:ascii="宋体" w:hAnsi="宋体" w:eastAsia="宋体" w:cs="宋体"/>
                <w:color w:val="212529"/>
                <w:spacing w:val="8"/>
                <w:sz w:val="15"/>
                <w:szCs w:val="15"/>
              </w:rPr>
              <w:t>国有资本经营预算</w:t>
            </w:r>
          </w:p>
        </w:tc>
        <w:tc>
          <w:tcPr>
            <w:tcW w:w="1069" w:type="dxa"/>
            <w:vAlign w:val="top"/>
          </w:tcPr>
          <w:p w14:paraId="3A29CFCB">
            <w:pPr>
              <w:pStyle w:val="6"/>
            </w:pPr>
          </w:p>
        </w:tc>
        <w:tc>
          <w:tcPr>
            <w:tcW w:w="1998" w:type="dxa"/>
            <w:vAlign w:val="top"/>
          </w:tcPr>
          <w:p w14:paraId="5ECB6789">
            <w:pPr>
              <w:pStyle w:val="6"/>
            </w:pPr>
          </w:p>
        </w:tc>
        <w:tc>
          <w:tcPr>
            <w:tcW w:w="1069" w:type="dxa"/>
            <w:vAlign w:val="top"/>
          </w:tcPr>
          <w:p w14:paraId="41888412">
            <w:pPr>
              <w:pStyle w:val="6"/>
            </w:pPr>
          </w:p>
        </w:tc>
        <w:tc>
          <w:tcPr>
            <w:tcW w:w="1101" w:type="dxa"/>
            <w:vAlign w:val="top"/>
          </w:tcPr>
          <w:p w14:paraId="5E89C0D5">
            <w:pPr>
              <w:pStyle w:val="6"/>
            </w:pPr>
          </w:p>
        </w:tc>
        <w:tc>
          <w:tcPr>
            <w:tcW w:w="886" w:type="dxa"/>
            <w:vAlign w:val="top"/>
          </w:tcPr>
          <w:p w14:paraId="0013E4C4">
            <w:pPr>
              <w:pStyle w:val="6"/>
            </w:pPr>
          </w:p>
        </w:tc>
        <w:tc>
          <w:tcPr>
            <w:tcW w:w="1118" w:type="dxa"/>
            <w:vAlign w:val="top"/>
          </w:tcPr>
          <w:p w14:paraId="67BF7E17">
            <w:pPr>
              <w:pStyle w:val="6"/>
            </w:pPr>
          </w:p>
        </w:tc>
      </w:tr>
      <w:tr w14:paraId="1DB49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917" w:type="dxa"/>
            <w:vAlign w:val="top"/>
          </w:tcPr>
          <w:p w14:paraId="63801658">
            <w:pPr>
              <w:pStyle w:val="6"/>
            </w:pPr>
          </w:p>
        </w:tc>
        <w:tc>
          <w:tcPr>
            <w:tcW w:w="1069" w:type="dxa"/>
            <w:vAlign w:val="top"/>
          </w:tcPr>
          <w:p w14:paraId="6DEFC6CF">
            <w:pPr>
              <w:pStyle w:val="6"/>
            </w:pPr>
          </w:p>
        </w:tc>
        <w:tc>
          <w:tcPr>
            <w:tcW w:w="1998" w:type="dxa"/>
            <w:vAlign w:val="top"/>
          </w:tcPr>
          <w:p w14:paraId="4AB066D7">
            <w:pPr>
              <w:pStyle w:val="6"/>
            </w:pPr>
          </w:p>
        </w:tc>
        <w:tc>
          <w:tcPr>
            <w:tcW w:w="1069" w:type="dxa"/>
            <w:vAlign w:val="top"/>
          </w:tcPr>
          <w:p w14:paraId="4B067685">
            <w:pPr>
              <w:pStyle w:val="6"/>
            </w:pPr>
          </w:p>
        </w:tc>
        <w:tc>
          <w:tcPr>
            <w:tcW w:w="1101" w:type="dxa"/>
            <w:vAlign w:val="top"/>
          </w:tcPr>
          <w:p w14:paraId="61EF1C7E">
            <w:pPr>
              <w:pStyle w:val="6"/>
            </w:pPr>
          </w:p>
        </w:tc>
        <w:tc>
          <w:tcPr>
            <w:tcW w:w="886" w:type="dxa"/>
            <w:vAlign w:val="top"/>
          </w:tcPr>
          <w:p w14:paraId="4D45FD44">
            <w:pPr>
              <w:pStyle w:val="6"/>
            </w:pPr>
          </w:p>
        </w:tc>
        <w:tc>
          <w:tcPr>
            <w:tcW w:w="1118" w:type="dxa"/>
            <w:vAlign w:val="top"/>
          </w:tcPr>
          <w:p w14:paraId="34E274A3">
            <w:pPr>
              <w:pStyle w:val="6"/>
            </w:pPr>
          </w:p>
        </w:tc>
      </w:tr>
      <w:tr w14:paraId="6B943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917" w:type="dxa"/>
            <w:vAlign w:val="top"/>
          </w:tcPr>
          <w:p w14:paraId="4D2B65DF">
            <w:pPr>
              <w:spacing w:before="114" w:line="158" w:lineRule="exact"/>
              <w:ind w:left="62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收入总计</w:t>
            </w:r>
          </w:p>
        </w:tc>
        <w:tc>
          <w:tcPr>
            <w:tcW w:w="1069" w:type="dxa"/>
            <w:vAlign w:val="top"/>
          </w:tcPr>
          <w:p w14:paraId="7F0A46D9">
            <w:pPr>
              <w:pStyle w:val="6"/>
              <w:spacing w:before="135" w:line="187" w:lineRule="auto"/>
              <w:ind w:left="293"/>
              <w:rPr>
                <w:sz w:val="13"/>
                <w:szCs w:val="13"/>
              </w:rPr>
            </w:pPr>
            <w:r>
              <w:rPr>
                <w:color w:val="212529"/>
                <w:spacing w:val="2"/>
                <w:sz w:val="13"/>
                <w:szCs w:val="13"/>
              </w:rPr>
              <w:t>117.</w:t>
            </w:r>
            <w:r>
              <w:rPr>
                <w:color w:val="212529"/>
                <w:spacing w:val="10"/>
                <w:w w:val="101"/>
                <w:sz w:val="13"/>
                <w:szCs w:val="13"/>
              </w:rPr>
              <w:t xml:space="preserve"> </w:t>
            </w:r>
            <w:r>
              <w:rPr>
                <w:color w:val="212529"/>
                <w:spacing w:val="2"/>
                <w:sz w:val="13"/>
                <w:szCs w:val="13"/>
              </w:rPr>
              <w:t>21</w:t>
            </w:r>
          </w:p>
        </w:tc>
        <w:tc>
          <w:tcPr>
            <w:tcW w:w="1998" w:type="dxa"/>
            <w:vAlign w:val="top"/>
          </w:tcPr>
          <w:p w14:paraId="3A5E3CD7">
            <w:pPr>
              <w:spacing w:before="114" w:line="155" w:lineRule="exact"/>
              <w:ind w:left="66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支出总计</w:t>
            </w:r>
          </w:p>
        </w:tc>
        <w:tc>
          <w:tcPr>
            <w:tcW w:w="1069" w:type="dxa"/>
            <w:vAlign w:val="top"/>
          </w:tcPr>
          <w:p w14:paraId="012C0B02">
            <w:pPr>
              <w:pStyle w:val="6"/>
              <w:spacing w:before="135" w:line="187" w:lineRule="auto"/>
              <w:ind w:left="296"/>
              <w:rPr>
                <w:sz w:val="13"/>
                <w:szCs w:val="13"/>
              </w:rPr>
            </w:pPr>
            <w:r>
              <w:rPr>
                <w:color w:val="212529"/>
                <w:spacing w:val="1"/>
                <w:sz w:val="13"/>
                <w:szCs w:val="13"/>
              </w:rPr>
              <w:t>117.</w:t>
            </w:r>
            <w:r>
              <w:rPr>
                <w:color w:val="212529"/>
                <w:spacing w:val="16"/>
                <w:w w:val="101"/>
                <w:sz w:val="13"/>
                <w:szCs w:val="13"/>
              </w:rPr>
              <w:t xml:space="preserve"> </w:t>
            </w:r>
            <w:r>
              <w:rPr>
                <w:color w:val="212529"/>
                <w:spacing w:val="1"/>
                <w:sz w:val="13"/>
                <w:szCs w:val="13"/>
              </w:rPr>
              <w:t>21</w:t>
            </w:r>
          </w:p>
        </w:tc>
        <w:tc>
          <w:tcPr>
            <w:tcW w:w="1101" w:type="dxa"/>
            <w:vAlign w:val="top"/>
          </w:tcPr>
          <w:p w14:paraId="515BF988">
            <w:pPr>
              <w:pStyle w:val="6"/>
              <w:spacing w:before="135" w:line="187" w:lineRule="auto"/>
              <w:ind w:left="315"/>
              <w:rPr>
                <w:sz w:val="13"/>
                <w:szCs w:val="13"/>
              </w:rPr>
            </w:pPr>
            <w:r>
              <w:rPr>
                <w:color w:val="212529"/>
                <w:spacing w:val="2"/>
                <w:sz w:val="13"/>
                <w:szCs w:val="13"/>
              </w:rPr>
              <w:t>117.</w:t>
            </w:r>
            <w:r>
              <w:rPr>
                <w:color w:val="212529"/>
                <w:spacing w:val="10"/>
                <w:w w:val="101"/>
                <w:sz w:val="13"/>
                <w:szCs w:val="13"/>
              </w:rPr>
              <w:t xml:space="preserve"> </w:t>
            </w:r>
            <w:r>
              <w:rPr>
                <w:color w:val="212529"/>
                <w:spacing w:val="2"/>
                <w:sz w:val="13"/>
                <w:szCs w:val="13"/>
              </w:rPr>
              <w:t>21</w:t>
            </w:r>
          </w:p>
        </w:tc>
        <w:tc>
          <w:tcPr>
            <w:tcW w:w="886" w:type="dxa"/>
            <w:vAlign w:val="top"/>
          </w:tcPr>
          <w:p w14:paraId="14E1422F">
            <w:pPr>
              <w:pStyle w:val="6"/>
            </w:pPr>
          </w:p>
        </w:tc>
        <w:tc>
          <w:tcPr>
            <w:tcW w:w="1118" w:type="dxa"/>
            <w:vAlign w:val="top"/>
          </w:tcPr>
          <w:p w14:paraId="58C68A39">
            <w:pPr>
              <w:pStyle w:val="6"/>
            </w:pPr>
          </w:p>
        </w:tc>
      </w:tr>
    </w:tbl>
    <w:p w14:paraId="3ABFB37E">
      <w:pPr>
        <w:pStyle w:val="2"/>
      </w:pPr>
    </w:p>
    <w:p w14:paraId="344B0905">
      <w:pPr>
        <w:sectPr>
          <w:headerReference r:id="rId20" w:type="default"/>
          <w:footerReference r:id="rId21" w:type="default"/>
          <w:pgSz w:w="11900" w:h="16840"/>
          <w:pgMar w:top="642" w:right="0" w:bottom="340" w:left="0" w:header="326" w:footer="90" w:gutter="0"/>
          <w:cols w:space="720" w:num="1"/>
        </w:sectPr>
      </w:pPr>
    </w:p>
    <w:p w14:paraId="69828E64">
      <w:pPr>
        <w:spacing w:before="103"/>
      </w:pPr>
    </w:p>
    <w:p w14:paraId="617AF546">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0"/>
        <w:gridCol w:w="3186"/>
        <w:gridCol w:w="1544"/>
        <w:gridCol w:w="1350"/>
        <w:gridCol w:w="1388"/>
      </w:tblGrid>
      <w:tr w14:paraId="03AAA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09219FE6">
            <w:pPr>
              <w:pStyle w:val="6"/>
            </w:pPr>
          </w:p>
        </w:tc>
      </w:tr>
      <w:tr w14:paraId="2134D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1D1DD775">
            <w:pPr>
              <w:spacing w:before="34" w:line="200" w:lineRule="exact"/>
              <w:ind w:left="2354"/>
              <w:outlineLvl w:val="1"/>
              <w:rPr>
                <w:rFonts w:ascii="微软雅黑" w:hAnsi="微软雅黑" w:eastAsia="微软雅黑" w:cs="微软雅黑"/>
                <w:sz w:val="20"/>
                <w:szCs w:val="20"/>
              </w:rPr>
            </w:pPr>
            <w:bookmarkStart w:id="15" w:name="bookmark41"/>
            <w:bookmarkEnd w:id="15"/>
            <w:bookmarkStart w:id="16" w:name="bookmark10"/>
            <w:bookmarkEnd w:id="16"/>
            <w:r>
              <w:rPr>
                <w:rFonts w:ascii="微软雅黑" w:hAnsi="微软雅黑" w:eastAsia="微软雅黑" w:cs="微软雅黑"/>
                <w:color w:val="212529"/>
                <w:position w:val="-1"/>
                <w:sz w:val="20"/>
                <w:szCs w:val="20"/>
              </w:rPr>
              <w:t>2025年一般公共预算支出预算表</w:t>
            </w:r>
            <w:r>
              <w:rPr>
                <w:rFonts w:ascii="微软雅黑" w:hAnsi="微软雅黑" w:eastAsia="微软雅黑" w:cs="微软雅黑"/>
                <w:color w:val="212529"/>
                <w:spacing w:val="58"/>
                <w:position w:val="-1"/>
                <w:sz w:val="20"/>
                <w:szCs w:val="20"/>
              </w:rPr>
              <w:t xml:space="preserve"> </w:t>
            </w:r>
            <w:r>
              <w:rPr>
                <w:rFonts w:ascii="微软雅黑" w:hAnsi="微软雅黑" w:eastAsia="微软雅黑" w:cs="微软雅黑"/>
                <w:color w:val="212529"/>
                <w:position w:val="-1"/>
                <w:sz w:val="20"/>
                <w:szCs w:val="20"/>
              </w:rPr>
              <w:t>(不含上年结转)</w:t>
            </w:r>
          </w:p>
        </w:tc>
      </w:tr>
      <w:tr w14:paraId="0FD29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7770" w:type="dxa"/>
            <w:gridSpan w:val="4"/>
            <w:tcBorders>
              <w:top w:val="single" w:color="FFFFFF" w:sz="4" w:space="0"/>
              <w:left w:val="single" w:color="FFFFFF" w:sz="2" w:space="0"/>
              <w:right w:val="single" w:color="FFFFFF" w:sz="2" w:space="0"/>
            </w:tcBorders>
            <w:vAlign w:val="top"/>
          </w:tcPr>
          <w:p w14:paraId="10F52395">
            <w:pPr>
              <w:spacing w:before="79"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388" w:type="dxa"/>
            <w:tcBorders>
              <w:top w:val="single" w:color="FFFFFF" w:sz="4" w:space="0"/>
              <w:left w:val="single" w:color="FFFFFF" w:sz="2" w:space="0"/>
              <w:right w:val="single" w:color="FFFFFF" w:sz="2" w:space="0"/>
            </w:tcBorders>
            <w:vAlign w:val="top"/>
          </w:tcPr>
          <w:p w14:paraId="7BFB09C9">
            <w:pPr>
              <w:spacing w:before="79" w:line="235" w:lineRule="auto"/>
              <w:ind w:left="715"/>
              <w:rPr>
                <w:rFonts w:ascii="宋体" w:hAnsi="宋体" w:eastAsia="宋体" w:cs="宋体"/>
                <w:sz w:val="12"/>
                <w:szCs w:val="12"/>
              </w:rPr>
            </w:pPr>
            <w:r>
              <w:rPr>
                <w:rFonts w:ascii="宋体" w:hAnsi="宋体" w:eastAsia="宋体" w:cs="宋体"/>
                <w:color w:val="212529"/>
                <w:spacing w:val="8"/>
                <w:sz w:val="12"/>
                <w:szCs w:val="12"/>
              </w:rPr>
              <w:t>单位：万元</w:t>
            </w:r>
          </w:p>
        </w:tc>
      </w:tr>
      <w:tr w14:paraId="310A5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876" w:type="dxa"/>
            <w:gridSpan w:val="2"/>
            <w:vAlign w:val="top"/>
          </w:tcPr>
          <w:p w14:paraId="670AD333">
            <w:pPr>
              <w:spacing w:before="67" w:line="153" w:lineRule="exact"/>
              <w:ind w:left="226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4282" w:type="dxa"/>
            <w:gridSpan w:val="3"/>
            <w:vAlign w:val="top"/>
          </w:tcPr>
          <w:p w14:paraId="515042ED">
            <w:pPr>
              <w:spacing w:before="64" w:line="157" w:lineRule="exact"/>
              <w:ind w:left="1644"/>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1DE85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77C6F3A7">
            <w:pPr>
              <w:spacing w:before="65" w:line="156" w:lineRule="exact"/>
              <w:ind w:left="504"/>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3186" w:type="dxa"/>
            <w:vAlign w:val="top"/>
          </w:tcPr>
          <w:p w14:paraId="5C1B99EE">
            <w:pPr>
              <w:spacing w:before="65" w:line="156" w:lineRule="exact"/>
              <w:ind w:left="1250"/>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544" w:type="dxa"/>
            <w:vAlign w:val="top"/>
          </w:tcPr>
          <w:p w14:paraId="701BF99E">
            <w:pPr>
              <w:spacing w:before="66" w:line="154" w:lineRule="exact"/>
              <w:ind w:left="60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350" w:type="dxa"/>
            <w:vAlign w:val="top"/>
          </w:tcPr>
          <w:p w14:paraId="268B5613">
            <w:pPr>
              <w:spacing w:before="64" w:line="157" w:lineRule="exact"/>
              <w:ind w:left="338"/>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388" w:type="dxa"/>
            <w:vAlign w:val="top"/>
          </w:tcPr>
          <w:p w14:paraId="616B1499">
            <w:pPr>
              <w:spacing w:before="65" w:line="156" w:lineRule="exact"/>
              <w:ind w:left="357"/>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2FA64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876" w:type="dxa"/>
            <w:gridSpan w:val="2"/>
            <w:vAlign w:val="top"/>
          </w:tcPr>
          <w:p w14:paraId="6C7F4B25">
            <w:pPr>
              <w:spacing w:before="66" w:line="155" w:lineRule="exact"/>
              <w:ind w:left="226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544" w:type="dxa"/>
            <w:vAlign w:val="top"/>
          </w:tcPr>
          <w:p w14:paraId="654BCCFB">
            <w:pPr>
              <w:pStyle w:val="6"/>
              <w:spacing w:before="87" w:line="186" w:lineRule="auto"/>
              <w:ind w:left="1049"/>
              <w:rPr>
                <w:sz w:val="13"/>
                <w:szCs w:val="13"/>
              </w:rPr>
            </w:pPr>
            <w:r>
              <w:rPr>
                <w:color w:val="212529"/>
                <w:spacing w:val="1"/>
                <w:sz w:val="13"/>
                <w:szCs w:val="13"/>
              </w:rPr>
              <w:t>117.</w:t>
            </w:r>
            <w:r>
              <w:rPr>
                <w:color w:val="212529"/>
                <w:spacing w:val="16"/>
                <w:w w:val="101"/>
                <w:sz w:val="13"/>
                <w:szCs w:val="13"/>
              </w:rPr>
              <w:t xml:space="preserve"> </w:t>
            </w:r>
            <w:r>
              <w:rPr>
                <w:color w:val="212529"/>
                <w:spacing w:val="1"/>
                <w:sz w:val="13"/>
                <w:szCs w:val="13"/>
              </w:rPr>
              <w:t>21</w:t>
            </w:r>
          </w:p>
        </w:tc>
        <w:tc>
          <w:tcPr>
            <w:tcW w:w="1350" w:type="dxa"/>
            <w:vAlign w:val="top"/>
          </w:tcPr>
          <w:p w14:paraId="4B8D1C5F">
            <w:pPr>
              <w:pStyle w:val="6"/>
              <w:spacing w:before="87" w:line="186" w:lineRule="auto"/>
              <w:ind w:left="921"/>
              <w:rPr>
                <w:sz w:val="13"/>
                <w:szCs w:val="13"/>
              </w:rPr>
            </w:pPr>
            <w:r>
              <w:rPr>
                <w:color w:val="212529"/>
                <w:spacing w:val="4"/>
                <w:sz w:val="13"/>
                <w:szCs w:val="13"/>
              </w:rPr>
              <w:t>78.</w:t>
            </w:r>
            <w:r>
              <w:rPr>
                <w:color w:val="212529"/>
                <w:spacing w:val="9"/>
                <w:sz w:val="13"/>
                <w:szCs w:val="13"/>
              </w:rPr>
              <w:t xml:space="preserve"> </w:t>
            </w:r>
            <w:r>
              <w:rPr>
                <w:color w:val="212529"/>
                <w:spacing w:val="4"/>
                <w:sz w:val="13"/>
                <w:szCs w:val="13"/>
              </w:rPr>
              <w:t>05</w:t>
            </w:r>
          </w:p>
        </w:tc>
        <w:tc>
          <w:tcPr>
            <w:tcW w:w="1388" w:type="dxa"/>
            <w:vAlign w:val="top"/>
          </w:tcPr>
          <w:p w14:paraId="247D179E">
            <w:pPr>
              <w:pStyle w:val="6"/>
              <w:spacing w:before="87" w:line="186" w:lineRule="auto"/>
              <w:ind w:left="959"/>
              <w:rPr>
                <w:sz w:val="13"/>
                <w:szCs w:val="13"/>
              </w:rPr>
            </w:pPr>
            <w:r>
              <w:rPr>
                <w:color w:val="212529"/>
                <w:spacing w:val="3"/>
                <w:sz w:val="13"/>
                <w:szCs w:val="13"/>
              </w:rPr>
              <w:t>39.</w:t>
            </w:r>
            <w:r>
              <w:rPr>
                <w:color w:val="212529"/>
                <w:spacing w:val="15"/>
                <w:w w:val="101"/>
                <w:sz w:val="13"/>
                <w:szCs w:val="13"/>
              </w:rPr>
              <w:t xml:space="preserve"> </w:t>
            </w:r>
            <w:r>
              <w:rPr>
                <w:color w:val="212529"/>
                <w:spacing w:val="3"/>
                <w:sz w:val="13"/>
                <w:szCs w:val="13"/>
              </w:rPr>
              <w:t>16</w:t>
            </w:r>
          </w:p>
        </w:tc>
      </w:tr>
      <w:tr w14:paraId="1422D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09506FD5">
            <w:pPr>
              <w:spacing w:before="69" w:line="202" w:lineRule="exact"/>
              <w:ind w:left="8"/>
              <w:rPr>
                <w:rFonts w:ascii="宋体" w:hAnsi="宋体" w:eastAsia="宋体" w:cs="宋体"/>
                <w:sz w:val="15"/>
                <w:szCs w:val="15"/>
              </w:rPr>
            </w:pPr>
            <w:r>
              <w:rPr>
                <w:rFonts w:ascii="宋体" w:hAnsi="宋体" w:eastAsia="宋体" w:cs="宋体"/>
                <w:color w:val="212529"/>
                <w:spacing w:val="2"/>
                <w:position w:val="1"/>
                <w:sz w:val="15"/>
                <w:szCs w:val="15"/>
              </w:rPr>
              <w:t>201</w:t>
            </w:r>
          </w:p>
        </w:tc>
        <w:tc>
          <w:tcPr>
            <w:tcW w:w="3186" w:type="dxa"/>
            <w:vAlign w:val="top"/>
          </w:tcPr>
          <w:p w14:paraId="202F935D">
            <w:pPr>
              <w:spacing w:before="69" w:line="229" w:lineRule="auto"/>
              <w:ind w:left="2"/>
              <w:rPr>
                <w:rFonts w:ascii="宋体" w:hAnsi="宋体" w:eastAsia="宋体" w:cs="宋体"/>
                <w:sz w:val="15"/>
                <w:szCs w:val="15"/>
              </w:rPr>
            </w:pPr>
            <w:r>
              <w:rPr>
                <w:rFonts w:ascii="宋体" w:hAnsi="宋体" w:eastAsia="宋体" w:cs="宋体"/>
                <w:color w:val="212529"/>
                <w:spacing w:val="10"/>
                <w:sz w:val="15"/>
                <w:szCs w:val="15"/>
              </w:rPr>
              <w:t>一般公共服务支出</w:t>
            </w:r>
          </w:p>
        </w:tc>
        <w:tc>
          <w:tcPr>
            <w:tcW w:w="1544" w:type="dxa"/>
            <w:vAlign w:val="top"/>
          </w:tcPr>
          <w:p w14:paraId="67006CC6">
            <w:pPr>
              <w:spacing w:before="69" w:line="201" w:lineRule="exact"/>
              <w:ind w:right="18"/>
              <w:jc w:val="right"/>
              <w:rPr>
                <w:rFonts w:ascii="宋体" w:hAnsi="宋体" w:eastAsia="宋体" w:cs="宋体"/>
                <w:sz w:val="15"/>
                <w:szCs w:val="15"/>
              </w:rPr>
            </w:pPr>
            <w:r>
              <w:rPr>
                <w:rFonts w:ascii="宋体" w:hAnsi="宋体" w:eastAsia="宋体" w:cs="宋体"/>
                <w:color w:val="212529"/>
                <w:spacing w:val="4"/>
                <w:position w:val="1"/>
                <w:sz w:val="15"/>
                <w:szCs w:val="15"/>
              </w:rPr>
              <w:t>91.06</w:t>
            </w:r>
          </w:p>
        </w:tc>
        <w:tc>
          <w:tcPr>
            <w:tcW w:w="1350" w:type="dxa"/>
            <w:vAlign w:val="top"/>
          </w:tcPr>
          <w:p w14:paraId="79BEB898">
            <w:pPr>
              <w:spacing w:before="69" w:line="201"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58.94</w:t>
            </w:r>
          </w:p>
        </w:tc>
        <w:tc>
          <w:tcPr>
            <w:tcW w:w="1388" w:type="dxa"/>
            <w:vAlign w:val="top"/>
          </w:tcPr>
          <w:p w14:paraId="1312352D">
            <w:pPr>
              <w:spacing w:before="69" w:line="201"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32.12</w:t>
            </w:r>
          </w:p>
        </w:tc>
      </w:tr>
      <w:tr w14:paraId="01249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3A689608">
            <w:pPr>
              <w:spacing w:before="69"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20128</w:t>
            </w:r>
          </w:p>
        </w:tc>
        <w:tc>
          <w:tcPr>
            <w:tcW w:w="3186" w:type="dxa"/>
            <w:vAlign w:val="top"/>
          </w:tcPr>
          <w:p w14:paraId="3CB4E55E">
            <w:pPr>
              <w:spacing w:before="69" w:line="229" w:lineRule="auto"/>
              <w:ind w:left="16"/>
              <w:rPr>
                <w:rFonts w:ascii="宋体" w:hAnsi="宋体" w:eastAsia="宋体" w:cs="宋体"/>
                <w:sz w:val="15"/>
                <w:szCs w:val="15"/>
              </w:rPr>
            </w:pPr>
            <w:r>
              <w:rPr>
                <w:rFonts w:ascii="宋体" w:hAnsi="宋体" w:eastAsia="宋体" w:cs="宋体"/>
                <w:color w:val="212529"/>
                <w:spacing w:val="9"/>
                <w:sz w:val="15"/>
                <w:szCs w:val="15"/>
              </w:rPr>
              <w:t>民主党派及工商联事务</w:t>
            </w:r>
          </w:p>
        </w:tc>
        <w:tc>
          <w:tcPr>
            <w:tcW w:w="1544" w:type="dxa"/>
            <w:vAlign w:val="top"/>
          </w:tcPr>
          <w:p w14:paraId="263D2CCC">
            <w:pPr>
              <w:spacing w:before="69" w:line="202" w:lineRule="exact"/>
              <w:ind w:right="18"/>
              <w:jc w:val="right"/>
              <w:rPr>
                <w:rFonts w:ascii="宋体" w:hAnsi="宋体" w:eastAsia="宋体" w:cs="宋体"/>
                <w:sz w:val="15"/>
                <w:szCs w:val="15"/>
              </w:rPr>
            </w:pPr>
            <w:r>
              <w:rPr>
                <w:rFonts w:ascii="宋体" w:hAnsi="宋体" w:eastAsia="宋体" w:cs="宋体"/>
                <w:color w:val="212529"/>
                <w:spacing w:val="4"/>
                <w:position w:val="1"/>
                <w:sz w:val="15"/>
                <w:szCs w:val="15"/>
              </w:rPr>
              <w:t>91.06</w:t>
            </w:r>
          </w:p>
        </w:tc>
        <w:tc>
          <w:tcPr>
            <w:tcW w:w="1350" w:type="dxa"/>
            <w:vAlign w:val="top"/>
          </w:tcPr>
          <w:p w14:paraId="3887FF67">
            <w:pPr>
              <w:spacing w:before="69"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58.94</w:t>
            </w:r>
          </w:p>
        </w:tc>
        <w:tc>
          <w:tcPr>
            <w:tcW w:w="1388" w:type="dxa"/>
            <w:vAlign w:val="top"/>
          </w:tcPr>
          <w:p w14:paraId="624E78A6">
            <w:pPr>
              <w:spacing w:before="69"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32.12</w:t>
            </w:r>
          </w:p>
        </w:tc>
      </w:tr>
      <w:tr w14:paraId="4A58C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53D64784">
            <w:pPr>
              <w:spacing w:before="70"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2012801</w:t>
            </w:r>
          </w:p>
        </w:tc>
        <w:tc>
          <w:tcPr>
            <w:tcW w:w="3186" w:type="dxa"/>
            <w:vAlign w:val="top"/>
          </w:tcPr>
          <w:p w14:paraId="78C1DF2C">
            <w:pPr>
              <w:spacing w:before="70" w:line="230" w:lineRule="auto"/>
              <w:rPr>
                <w:rFonts w:ascii="宋体" w:hAnsi="宋体" w:eastAsia="宋体" w:cs="宋体"/>
                <w:sz w:val="15"/>
                <w:szCs w:val="15"/>
              </w:rPr>
            </w:pPr>
            <w:r>
              <w:rPr>
                <w:rFonts w:ascii="宋体" w:hAnsi="宋体" w:eastAsia="宋体" w:cs="宋体"/>
                <w:color w:val="212529"/>
                <w:spacing w:val="9"/>
                <w:sz w:val="15"/>
                <w:szCs w:val="15"/>
              </w:rPr>
              <w:t>行政运行</w:t>
            </w:r>
          </w:p>
        </w:tc>
        <w:tc>
          <w:tcPr>
            <w:tcW w:w="1544" w:type="dxa"/>
            <w:vAlign w:val="top"/>
          </w:tcPr>
          <w:p w14:paraId="3C01FE1C">
            <w:pPr>
              <w:spacing w:before="70"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58.94</w:t>
            </w:r>
          </w:p>
        </w:tc>
        <w:tc>
          <w:tcPr>
            <w:tcW w:w="1350" w:type="dxa"/>
            <w:vAlign w:val="top"/>
          </w:tcPr>
          <w:p w14:paraId="7F37D6DC">
            <w:pPr>
              <w:spacing w:before="70"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58.94</w:t>
            </w:r>
          </w:p>
        </w:tc>
        <w:tc>
          <w:tcPr>
            <w:tcW w:w="1388" w:type="dxa"/>
            <w:vAlign w:val="top"/>
          </w:tcPr>
          <w:p w14:paraId="00A024BA">
            <w:pPr>
              <w:pStyle w:val="6"/>
            </w:pPr>
          </w:p>
        </w:tc>
      </w:tr>
      <w:tr w14:paraId="48CA2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7604CA05">
            <w:pPr>
              <w:spacing w:before="71"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2012899</w:t>
            </w:r>
          </w:p>
        </w:tc>
        <w:tc>
          <w:tcPr>
            <w:tcW w:w="3186" w:type="dxa"/>
            <w:vAlign w:val="top"/>
          </w:tcPr>
          <w:p w14:paraId="5BAF0B8E">
            <w:pPr>
              <w:spacing w:before="71" w:line="229" w:lineRule="auto"/>
              <w:rPr>
                <w:rFonts w:ascii="宋体" w:hAnsi="宋体" w:eastAsia="宋体" w:cs="宋体"/>
                <w:sz w:val="15"/>
                <w:szCs w:val="15"/>
              </w:rPr>
            </w:pPr>
            <w:r>
              <w:rPr>
                <w:rFonts w:ascii="宋体" w:hAnsi="宋体" w:eastAsia="宋体" w:cs="宋体"/>
                <w:color w:val="212529"/>
                <w:spacing w:val="11"/>
                <w:sz w:val="15"/>
                <w:szCs w:val="15"/>
              </w:rPr>
              <w:t>其他民主党派及工商联事务支出</w:t>
            </w:r>
          </w:p>
        </w:tc>
        <w:tc>
          <w:tcPr>
            <w:tcW w:w="1544" w:type="dxa"/>
            <w:vAlign w:val="top"/>
          </w:tcPr>
          <w:p w14:paraId="6D8F7604">
            <w:pPr>
              <w:spacing w:before="71"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32.12</w:t>
            </w:r>
          </w:p>
        </w:tc>
        <w:tc>
          <w:tcPr>
            <w:tcW w:w="1350" w:type="dxa"/>
            <w:vAlign w:val="top"/>
          </w:tcPr>
          <w:p w14:paraId="2C26019C">
            <w:pPr>
              <w:pStyle w:val="6"/>
            </w:pPr>
          </w:p>
        </w:tc>
        <w:tc>
          <w:tcPr>
            <w:tcW w:w="1388" w:type="dxa"/>
            <w:vAlign w:val="top"/>
          </w:tcPr>
          <w:p w14:paraId="6FF0AE72">
            <w:pPr>
              <w:spacing w:before="71"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32.12</w:t>
            </w:r>
          </w:p>
        </w:tc>
      </w:tr>
      <w:tr w14:paraId="19D88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13360A4E">
            <w:pPr>
              <w:spacing w:before="71" w:line="203" w:lineRule="exact"/>
              <w:ind w:left="8"/>
              <w:rPr>
                <w:rFonts w:ascii="宋体" w:hAnsi="宋体" w:eastAsia="宋体" w:cs="宋体"/>
                <w:sz w:val="15"/>
                <w:szCs w:val="15"/>
              </w:rPr>
            </w:pPr>
            <w:r>
              <w:rPr>
                <w:rFonts w:ascii="宋体" w:hAnsi="宋体" w:eastAsia="宋体" w:cs="宋体"/>
                <w:color w:val="212529"/>
                <w:spacing w:val="2"/>
                <w:position w:val="1"/>
                <w:sz w:val="15"/>
                <w:szCs w:val="15"/>
              </w:rPr>
              <w:t>208</w:t>
            </w:r>
          </w:p>
        </w:tc>
        <w:tc>
          <w:tcPr>
            <w:tcW w:w="3186" w:type="dxa"/>
            <w:vAlign w:val="top"/>
          </w:tcPr>
          <w:p w14:paraId="5B94309D">
            <w:pPr>
              <w:spacing w:before="72" w:line="228" w:lineRule="auto"/>
              <w:ind w:left="1"/>
              <w:rPr>
                <w:rFonts w:ascii="宋体" w:hAnsi="宋体" w:eastAsia="宋体" w:cs="宋体"/>
                <w:sz w:val="15"/>
                <w:szCs w:val="15"/>
              </w:rPr>
            </w:pPr>
            <w:r>
              <w:rPr>
                <w:rFonts w:ascii="宋体" w:hAnsi="宋体" w:eastAsia="宋体" w:cs="宋体"/>
                <w:color w:val="212529"/>
                <w:spacing w:val="10"/>
                <w:sz w:val="15"/>
                <w:szCs w:val="15"/>
              </w:rPr>
              <w:t>社会保障和就业支出</w:t>
            </w:r>
          </w:p>
        </w:tc>
        <w:tc>
          <w:tcPr>
            <w:tcW w:w="1544" w:type="dxa"/>
            <w:vAlign w:val="top"/>
          </w:tcPr>
          <w:p w14:paraId="7FEB476B">
            <w:pPr>
              <w:spacing w:before="71" w:line="202" w:lineRule="exact"/>
              <w:ind w:right="18"/>
              <w:jc w:val="right"/>
              <w:rPr>
                <w:rFonts w:ascii="宋体" w:hAnsi="宋体" w:eastAsia="宋体" w:cs="宋体"/>
                <w:sz w:val="15"/>
                <w:szCs w:val="15"/>
              </w:rPr>
            </w:pPr>
            <w:r>
              <w:rPr>
                <w:rFonts w:ascii="宋体" w:hAnsi="宋体" w:eastAsia="宋体" w:cs="宋体"/>
                <w:color w:val="212529"/>
                <w:spacing w:val="2"/>
                <w:position w:val="1"/>
                <w:sz w:val="15"/>
                <w:szCs w:val="15"/>
              </w:rPr>
              <w:t>16.58</w:t>
            </w:r>
          </w:p>
        </w:tc>
        <w:tc>
          <w:tcPr>
            <w:tcW w:w="1350" w:type="dxa"/>
            <w:vAlign w:val="top"/>
          </w:tcPr>
          <w:p w14:paraId="675DD8A9">
            <w:pPr>
              <w:spacing w:before="71"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9.54</w:t>
            </w:r>
          </w:p>
        </w:tc>
        <w:tc>
          <w:tcPr>
            <w:tcW w:w="1388" w:type="dxa"/>
            <w:vAlign w:val="top"/>
          </w:tcPr>
          <w:p w14:paraId="381DCF1F">
            <w:pPr>
              <w:spacing w:before="71"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7.04</w:t>
            </w:r>
          </w:p>
        </w:tc>
      </w:tr>
      <w:tr w14:paraId="4E236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1FBDF48F">
            <w:pPr>
              <w:spacing w:before="72"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w:t>
            </w:r>
          </w:p>
        </w:tc>
        <w:tc>
          <w:tcPr>
            <w:tcW w:w="3186" w:type="dxa"/>
            <w:vAlign w:val="top"/>
          </w:tcPr>
          <w:p w14:paraId="027C5A43">
            <w:pPr>
              <w:spacing w:before="72" w:line="229" w:lineRule="auto"/>
              <w:rPr>
                <w:rFonts w:ascii="宋体" w:hAnsi="宋体" w:eastAsia="宋体" w:cs="宋体"/>
                <w:sz w:val="15"/>
                <w:szCs w:val="15"/>
              </w:rPr>
            </w:pPr>
            <w:r>
              <w:rPr>
                <w:rFonts w:ascii="宋体" w:hAnsi="宋体" w:eastAsia="宋体" w:cs="宋体"/>
                <w:color w:val="212529"/>
                <w:spacing w:val="11"/>
                <w:sz w:val="15"/>
                <w:szCs w:val="15"/>
              </w:rPr>
              <w:t>行政事业单位养老支出</w:t>
            </w:r>
          </w:p>
        </w:tc>
        <w:tc>
          <w:tcPr>
            <w:tcW w:w="1544" w:type="dxa"/>
            <w:vAlign w:val="top"/>
          </w:tcPr>
          <w:p w14:paraId="7DBE5548">
            <w:pPr>
              <w:spacing w:before="72" w:line="202" w:lineRule="exact"/>
              <w:ind w:right="18"/>
              <w:jc w:val="right"/>
              <w:rPr>
                <w:rFonts w:ascii="宋体" w:hAnsi="宋体" w:eastAsia="宋体" w:cs="宋体"/>
                <w:sz w:val="15"/>
                <w:szCs w:val="15"/>
              </w:rPr>
            </w:pPr>
            <w:r>
              <w:rPr>
                <w:rFonts w:ascii="宋体" w:hAnsi="宋体" w:eastAsia="宋体" w:cs="宋体"/>
                <w:color w:val="212529"/>
                <w:spacing w:val="2"/>
                <w:position w:val="1"/>
                <w:sz w:val="15"/>
                <w:szCs w:val="15"/>
              </w:rPr>
              <w:t>16.58</w:t>
            </w:r>
          </w:p>
        </w:tc>
        <w:tc>
          <w:tcPr>
            <w:tcW w:w="1350" w:type="dxa"/>
            <w:vAlign w:val="top"/>
          </w:tcPr>
          <w:p w14:paraId="69BC5353">
            <w:pPr>
              <w:spacing w:before="72"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9.54</w:t>
            </w:r>
          </w:p>
        </w:tc>
        <w:tc>
          <w:tcPr>
            <w:tcW w:w="1388" w:type="dxa"/>
            <w:vAlign w:val="top"/>
          </w:tcPr>
          <w:p w14:paraId="5B80AC69">
            <w:pPr>
              <w:spacing w:before="72"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7.04</w:t>
            </w:r>
          </w:p>
        </w:tc>
      </w:tr>
      <w:tr w14:paraId="4FBE3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0E2FC47B">
            <w:pPr>
              <w:spacing w:before="73"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2080501</w:t>
            </w:r>
          </w:p>
        </w:tc>
        <w:tc>
          <w:tcPr>
            <w:tcW w:w="3186" w:type="dxa"/>
            <w:vAlign w:val="top"/>
          </w:tcPr>
          <w:p w14:paraId="474D27BE">
            <w:pPr>
              <w:spacing w:before="73" w:line="229" w:lineRule="auto"/>
              <w:rPr>
                <w:rFonts w:ascii="宋体" w:hAnsi="宋体" w:eastAsia="宋体" w:cs="宋体"/>
                <w:sz w:val="15"/>
                <w:szCs w:val="15"/>
              </w:rPr>
            </w:pPr>
            <w:r>
              <w:rPr>
                <w:rFonts w:ascii="宋体" w:hAnsi="宋体" w:eastAsia="宋体" w:cs="宋体"/>
                <w:color w:val="212529"/>
                <w:spacing w:val="10"/>
                <w:sz w:val="15"/>
                <w:szCs w:val="15"/>
              </w:rPr>
              <w:t>行政单位离退休</w:t>
            </w:r>
          </w:p>
        </w:tc>
        <w:tc>
          <w:tcPr>
            <w:tcW w:w="1544" w:type="dxa"/>
            <w:vAlign w:val="top"/>
          </w:tcPr>
          <w:p w14:paraId="6261C39D">
            <w:pPr>
              <w:spacing w:before="73"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9.96</w:t>
            </w:r>
          </w:p>
        </w:tc>
        <w:tc>
          <w:tcPr>
            <w:tcW w:w="1350" w:type="dxa"/>
            <w:vAlign w:val="top"/>
          </w:tcPr>
          <w:p w14:paraId="1F41F68C">
            <w:pPr>
              <w:spacing w:before="73"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2.92</w:t>
            </w:r>
          </w:p>
        </w:tc>
        <w:tc>
          <w:tcPr>
            <w:tcW w:w="1388" w:type="dxa"/>
            <w:vAlign w:val="top"/>
          </w:tcPr>
          <w:p w14:paraId="49AD7097">
            <w:pPr>
              <w:spacing w:before="73"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7.04</w:t>
            </w:r>
          </w:p>
        </w:tc>
      </w:tr>
      <w:tr w14:paraId="105EE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4C79F17D">
            <w:pPr>
              <w:spacing w:before="74" w:line="203" w:lineRule="exact"/>
              <w:ind w:left="8"/>
              <w:rPr>
                <w:rFonts w:ascii="宋体" w:hAnsi="宋体" w:eastAsia="宋体" w:cs="宋体"/>
                <w:sz w:val="15"/>
                <w:szCs w:val="15"/>
              </w:rPr>
            </w:pPr>
            <w:r>
              <w:rPr>
                <w:rFonts w:ascii="宋体" w:hAnsi="宋体" w:eastAsia="宋体" w:cs="宋体"/>
                <w:color w:val="212529"/>
                <w:position w:val="1"/>
                <w:sz w:val="15"/>
                <w:szCs w:val="15"/>
              </w:rPr>
              <w:t>2</w:t>
            </w:r>
          </w:p>
        </w:tc>
        <w:tc>
          <w:tcPr>
            <w:tcW w:w="3186" w:type="dxa"/>
            <w:vAlign w:val="top"/>
          </w:tcPr>
          <w:p w14:paraId="51B3388B">
            <w:pPr>
              <w:spacing w:before="74" w:line="228" w:lineRule="auto"/>
              <w:rPr>
                <w:rFonts w:ascii="宋体" w:hAnsi="宋体" w:eastAsia="宋体" w:cs="宋体"/>
                <w:sz w:val="15"/>
                <w:szCs w:val="15"/>
              </w:rPr>
            </w:pPr>
            <w:r>
              <w:rPr>
                <w:rFonts w:ascii="宋体" w:hAnsi="宋体" w:eastAsia="宋体" w:cs="宋体"/>
                <w:color w:val="212529"/>
                <w:spacing w:val="11"/>
                <w:sz w:val="15"/>
                <w:szCs w:val="15"/>
              </w:rPr>
              <w:t>机关事业单位基本养老保险缴费支出</w:t>
            </w:r>
          </w:p>
        </w:tc>
        <w:tc>
          <w:tcPr>
            <w:tcW w:w="1544" w:type="dxa"/>
            <w:vAlign w:val="top"/>
          </w:tcPr>
          <w:p w14:paraId="6AC24B96">
            <w:pPr>
              <w:spacing w:before="74" w:line="201"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6.62</w:t>
            </w:r>
          </w:p>
        </w:tc>
        <w:tc>
          <w:tcPr>
            <w:tcW w:w="1350" w:type="dxa"/>
            <w:vAlign w:val="top"/>
          </w:tcPr>
          <w:p w14:paraId="0B015C7A">
            <w:pPr>
              <w:spacing w:before="74" w:line="201"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6.62</w:t>
            </w:r>
          </w:p>
        </w:tc>
        <w:tc>
          <w:tcPr>
            <w:tcW w:w="1388" w:type="dxa"/>
            <w:vAlign w:val="top"/>
          </w:tcPr>
          <w:p w14:paraId="0FA7538F">
            <w:pPr>
              <w:pStyle w:val="6"/>
            </w:pPr>
          </w:p>
        </w:tc>
      </w:tr>
      <w:tr w14:paraId="004D9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0EFFBC10">
            <w:pPr>
              <w:pStyle w:val="6"/>
            </w:pPr>
          </w:p>
        </w:tc>
        <w:tc>
          <w:tcPr>
            <w:tcW w:w="3186" w:type="dxa"/>
            <w:vAlign w:val="top"/>
          </w:tcPr>
          <w:p w14:paraId="283FA0B0">
            <w:pPr>
              <w:spacing w:before="74" w:line="229" w:lineRule="auto"/>
              <w:ind w:left="1"/>
              <w:rPr>
                <w:rFonts w:ascii="宋体" w:hAnsi="宋体" w:eastAsia="宋体" w:cs="宋体"/>
                <w:sz w:val="15"/>
                <w:szCs w:val="15"/>
              </w:rPr>
            </w:pPr>
            <w:r>
              <w:rPr>
                <w:rFonts w:ascii="宋体" w:hAnsi="宋体" w:eastAsia="宋体" w:cs="宋体"/>
                <w:color w:val="212529"/>
                <w:spacing w:val="10"/>
                <w:sz w:val="15"/>
                <w:szCs w:val="15"/>
              </w:rPr>
              <w:t>卫生健康支出</w:t>
            </w:r>
          </w:p>
        </w:tc>
        <w:tc>
          <w:tcPr>
            <w:tcW w:w="1544" w:type="dxa"/>
            <w:vAlign w:val="top"/>
          </w:tcPr>
          <w:p w14:paraId="3ECBC932">
            <w:pPr>
              <w:spacing w:before="74"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3.93</w:t>
            </w:r>
          </w:p>
        </w:tc>
        <w:tc>
          <w:tcPr>
            <w:tcW w:w="1350" w:type="dxa"/>
            <w:vAlign w:val="top"/>
          </w:tcPr>
          <w:p w14:paraId="26881E94">
            <w:pPr>
              <w:spacing w:before="74" w:line="202" w:lineRule="exact"/>
              <w:ind w:left="1002"/>
              <w:rPr>
                <w:rFonts w:ascii="宋体" w:hAnsi="宋体" w:eastAsia="宋体" w:cs="宋体"/>
                <w:sz w:val="15"/>
                <w:szCs w:val="15"/>
              </w:rPr>
            </w:pPr>
            <w:r>
              <w:rPr>
                <w:rFonts w:ascii="宋体" w:hAnsi="宋体" w:eastAsia="宋体" w:cs="宋体"/>
                <w:color w:val="212529"/>
                <w:position w:val="1"/>
                <w:sz w:val="15"/>
                <w:szCs w:val="15"/>
              </w:rPr>
              <w:t>3.</w:t>
            </w:r>
          </w:p>
        </w:tc>
        <w:tc>
          <w:tcPr>
            <w:tcW w:w="1388" w:type="dxa"/>
            <w:vAlign w:val="top"/>
          </w:tcPr>
          <w:p w14:paraId="3268FD49">
            <w:pPr>
              <w:pStyle w:val="6"/>
            </w:pPr>
          </w:p>
        </w:tc>
      </w:tr>
      <w:tr w14:paraId="5716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90" w:type="dxa"/>
            <w:vAlign w:val="top"/>
          </w:tcPr>
          <w:p w14:paraId="0E7D1922">
            <w:pPr>
              <w:spacing w:before="75"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w:t>
            </w:r>
          </w:p>
        </w:tc>
        <w:tc>
          <w:tcPr>
            <w:tcW w:w="3186" w:type="dxa"/>
            <w:vAlign w:val="top"/>
          </w:tcPr>
          <w:p w14:paraId="7DD5AADE">
            <w:pPr>
              <w:spacing w:before="75" w:line="230" w:lineRule="auto"/>
              <w:rPr>
                <w:rFonts w:ascii="宋体" w:hAnsi="宋体" w:eastAsia="宋体" w:cs="宋体"/>
                <w:sz w:val="15"/>
                <w:szCs w:val="15"/>
              </w:rPr>
            </w:pPr>
            <w:r>
              <w:rPr>
                <w:rFonts w:ascii="宋体" w:hAnsi="宋体" w:eastAsia="宋体" w:cs="宋体"/>
                <w:color w:val="212529"/>
                <w:spacing w:val="10"/>
                <w:sz w:val="15"/>
                <w:szCs w:val="15"/>
              </w:rPr>
              <w:t>行政事业单位医疗</w:t>
            </w:r>
          </w:p>
        </w:tc>
        <w:tc>
          <w:tcPr>
            <w:tcW w:w="1544" w:type="dxa"/>
            <w:vAlign w:val="top"/>
          </w:tcPr>
          <w:p w14:paraId="5F12DE55">
            <w:pPr>
              <w:spacing w:before="75"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3.93</w:t>
            </w:r>
          </w:p>
        </w:tc>
        <w:tc>
          <w:tcPr>
            <w:tcW w:w="1350" w:type="dxa"/>
            <w:vAlign w:val="top"/>
          </w:tcPr>
          <w:p w14:paraId="6749F134">
            <w:pPr>
              <w:spacing w:before="191" w:line="63" w:lineRule="exact"/>
              <w:ind w:left="1084"/>
              <w:rPr>
                <w:rFonts w:ascii="宋体" w:hAnsi="宋体" w:eastAsia="宋体" w:cs="宋体"/>
                <w:sz w:val="15"/>
                <w:szCs w:val="15"/>
              </w:rPr>
            </w:pPr>
            <w:r>
              <w:rPr>
                <w:rFonts w:ascii="宋体" w:hAnsi="宋体" w:eastAsia="宋体" w:cs="宋体"/>
                <w:color w:val="212529"/>
                <w:position w:val="1"/>
                <w:sz w:val="15"/>
                <w:szCs w:val="15"/>
              </w:rPr>
              <w:t>.</w:t>
            </w:r>
          </w:p>
        </w:tc>
        <w:tc>
          <w:tcPr>
            <w:tcW w:w="1388" w:type="dxa"/>
            <w:vAlign w:val="top"/>
          </w:tcPr>
          <w:p w14:paraId="15F62623">
            <w:pPr>
              <w:pStyle w:val="6"/>
            </w:pPr>
          </w:p>
        </w:tc>
      </w:tr>
      <w:tr w14:paraId="4638C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90" w:type="dxa"/>
            <w:vAlign w:val="top"/>
          </w:tcPr>
          <w:p w14:paraId="006076FE">
            <w:pPr>
              <w:spacing w:before="75"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2101101</w:t>
            </w:r>
          </w:p>
        </w:tc>
        <w:tc>
          <w:tcPr>
            <w:tcW w:w="3186" w:type="dxa"/>
            <w:vAlign w:val="top"/>
          </w:tcPr>
          <w:p w14:paraId="176A0F1E">
            <w:pPr>
              <w:spacing w:before="75" w:line="230" w:lineRule="auto"/>
              <w:rPr>
                <w:rFonts w:ascii="宋体" w:hAnsi="宋体" w:eastAsia="宋体" w:cs="宋体"/>
                <w:sz w:val="15"/>
                <w:szCs w:val="15"/>
              </w:rPr>
            </w:pPr>
            <w:r>
              <w:rPr>
                <w:rFonts w:ascii="宋体" w:hAnsi="宋体" w:eastAsia="宋体" w:cs="宋体"/>
                <w:color w:val="212529"/>
                <w:spacing w:val="10"/>
                <w:sz w:val="15"/>
                <w:szCs w:val="15"/>
              </w:rPr>
              <w:t>行政单位医疗</w:t>
            </w:r>
          </w:p>
        </w:tc>
        <w:tc>
          <w:tcPr>
            <w:tcW w:w="1544" w:type="dxa"/>
            <w:vAlign w:val="top"/>
          </w:tcPr>
          <w:p w14:paraId="311AA5D2">
            <w:pPr>
              <w:spacing w:before="75"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2.69</w:t>
            </w:r>
          </w:p>
        </w:tc>
        <w:tc>
          <w:tcPr>
            <w:tcW w:w="1350" w:type="dxa"/>
            <w:vAlign w:val="top"/>
          </w:tcPr>
          <w:p w14:paraId="72A78591">
            <w:pPr>
              <w:spacing w:before="75" w:line="202" w:lineRule="exact"/>
              <w:ind w:right="24"/>
              <w:jc w:val="right"/>
              <w:rPr>
                <w:rFonts w:ascii="宋体" w:hAnsi="宋体" w:eastAsia="宋体" w:cs="宋体"/>
                <w:sz w:val="15"/>
                <w:szCs w:val="15"/>
              </w:rPr>
            </w:pPr>
            <w:r>
              <w:rPr>
                <w:rFonts w:ascii="宋体" w:hAnsi="宋体" w:eastAsia="宋体" w:cs="宋体"/>
                <w:color w:val="212529"/>
                <w:spacing w:val="1"/>
                <w:position w:val="1"/>
                <w:sz w:val="15"/>
                <w:szCs w:val="15"/>
              </w:rPr>
              <w:t>.69</w:t>
            </w:r>
          </w:p>
        </w:tc>
        <w:tc>
          <w:tcPr>
            <w:tcW w:w="1388" w:type="dxa"/>
            <w:vAlign w:val="top"/>
          </w:tcPr>
          <w:p w14:paraId="1F567A7E">
            <w:pPr>
              <w:pStyle w:val="6"/>
            </w:pPr>
          </w:p>
        </w:tc>
      </w:tr>
      <w:tr w14:paraId="49E5E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6316BD3A">
            <w:pPr>
              <w:spacing w:before="74" w:line="203" w:lineRule="exact"/>
              <w:ind w:left="8"/>
              <w:rPr>
                <w:rFonts w:ascii="宋体" w:hAnsi="宋体" w:eastAsia="宋体" w:cs="宋体"/>
                <w:sz w:val="15"/>
                <w:szCs w:val="15"/>
              </w:rPr>
            </w:pPr>
            <w:r>
              <w:rPr>
                <w:rFonts w:ascii="宋体" w:hAnsi="宋体" w:eastAsia="宋体" w:cs="宋体"/>
                <w:color w:val="212529"/>
                <w:spacing w:val="4"/>
                <w:position w:val="1"/>
                <w:sz w:val="15"/>
                <w:szCs w:val="15"/>
              </w:rPr>
              <w:t>2101103</w:t>
            </w:r>
          </w:p>
        </w:tc>
        <w:tc>
          <w:tcPr>
            <w:tcW w:w="3186" w:type="dxa"/>
            <w:vAlign w:val="top"/>
          </w:tcPr>
          <w:p w14:paraId="23F185F5">
            <w:pPr>
              <w:spacing w:before="74" w:line="229" w:lineRule="auto"/>
              <w:ind w:left="5"/>
              <w:rPr>
                <w:rFonts w:ascii="宋体" w:hAnsi="宋体" w:eastAsia="宋体" w:cs="宋体"/>
                <w:sz w:val="15"/>
                <w:szCs w:val="15"/>
              </w:rPr>
            </w:pPr>
            <w:r>
              <w:rPr>
                <w:rFonts w:ascii="宋体" w:hAnsi="宋体" w:eastAsia="宋体" w:cs="宋体"/>
                <w:color w:val="212529"/>
                <w:spacing w:val="10"/>
                <w:sz w:val="15"/>
                <w:szCs w:val="15"/>
              </w:rPr>
              <w:t>公务员医疗补助</w:t>
            </w:r>
          </w:p>
        </w:tc>
        <w:tc>
          <w:tcPr>
            <w:tcW w:w="1544" w:type="dxa"/>
            <w:vAlign w:val="top"/>
          </w:tcPr>
          <w:p w14:paraId="7D8E9A63">
            <w:pPr>
              <w:spacing w:before="74" w:line="202"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1.24</w:t>
            </w:r>
          </w:p>
        </w:tc>
        <w:tc>
          <w:tcPr>
            <w:tcW w:w="1350" w:type="dxa"/>
            <w:vAlign w:val="top"/>
          </w:tcPr>
          <w:p w14:paraId="3F14085D">
            <w:pPr>
              <w:spacing w:before="74" w:line="202" w:lineRule="exact"/>
              <w:ind w:right="24"/>
              <w:jc w:val="right"/>
              <w:rPr>
                <w:rFonts w:ascii="宋体" w:hAnsi="宋体" w:eastAsia="宋体" w:cs="宋体"/>
                <w:sz w:val="15"/>
                <w:szCs w:val="15"/>
              </w:rPr>
            </w:pPr>
            <w:r>
              <w:rPr>
                <w:rFonts w:ascii="宋体" w:hAnsi="宋体" w:eastAsia="宋体" w:cs="宋体"/>
                <w:color w:val="212529"/>
                <w:spacing w:val="1"/>
                <w:position w:val="1"/>
                <w:sz w:val="15"/>
                <w:szCs w:val="15"/>
              </w:rPr>
              <w:t>1.24</w:t>
            </w:r>
          </w:p>
        </w:tc>
        <w:tc>
          <w:tcPr>
            <w:tcW w:w="1388" w:type="dxa"/>
            <w:vAlign w:val="top"/>
          </w:tcPr>
          <w:p w14:paraId="2584356A">
            <w:pPr>
              <w:pStyle w:val="6"/>
            </w:pPr>
          </w:p>
        </w:tc>
      </w:tr>
      <w:tr w14:paraId="4F4B3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690" w:type="dxa"/>
            <w:vAlign w:val="top"/>
          </w:tcPr>
          <w:p w14:paraId="165D0C69">
            <w:pPr>
              <w:spacing w:before="75" w:line="204" w:lineRule="exact"/>
              <w:ind w:left="8"/>
              <w:rPr>
                <w:rFonts w:ascii="宋体" w:hAnsi="宋体" w:eastAsia="宋体" w:cs="宋体"/>
                <w:sz w:val="15"/>
                <w:szCs w:val="15"/>
              </w:rPr>
            </w:pPr>
            <w:r>
              <w:rPr>
                <w:rFonts w:ascii="宋体" w:hAnsi="宋体" w:eastAsia="宋体" w:cs="宋体"/>
                <w:color w:val="212529"/>
                <w:spacing w:val="2"/>
                <w:position w:val="1"/>
                <w:sz w:val="15"/>
                <w:szCs w:val="15"/>
              </w:rPr>
              <w:t>221</w:t>
            </w:r>
          </w:p>
        </w:tc>
        <w:tc>
          <w:tcPr>
            <w:tcW w:w="3186" w:type="dxa"/>
            <w:vAlign w:val="top"/>
          </w:tcPr>
          <w:p w14:paraId="51D09488">
            <w:pPr>
              <w:spacing w:before="75" w:line="229" w:lineRule="auto"/>
              <w:rPr>
                <w:rFonts w:ascii="宋体" w:hAnsi="宋体" w:eastAsia="宋体" w:cs="宋体"/>
                <w:sz w:val="15"/>
                <w:szCs w:val="15"/>
              </w:rPr>
            </w:pPr>
            <w:r>
              <w:rPr>
                <w:rFonts w:ascii="宋体" w:hAnsi="宋体" w:eastAsia="宋体" w:cs="宋体"/>
                <w:color w:val="212529"/>
                <w:spacing w:val="10"/>
                <w:sz w:val="15"/>
                <w:szCs w:val="15"/>
              </w:rPr>
              <w:t>住房保障支出</w:t>
            </w:r>
          </w:p>
        </w:tc>
        <w:tc>
          <w:tcPr>
            <w:tcW w:w="1544" w:type="dxa"/>
            <w:vAlign w:val="top"/>
          </w:tcPr>
          <w:p w14:paraId="5C260493">
            <w:pPr>
              <w:spacing w:before="75"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50" w:type="dxa"/>
            <w:vAlign w:val="top"/>
          </w:tcPr>
          <w:p w14:paraId="6C10D89A">
            <w:pPr>
              <w:spacing w:before="75"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88" w:type="dxa"/>
            <w:vAlign w:val="top"/>
          </w:tcPr>
          <w:p w14:paraId="1A3F0F57">
            <w:pPr>
              <w:pStyle w:val="6"/>
            </w:pPr>
          </w:p>
        </w:tc>
      </w:tr>
      <w:tr w14:paraId="6AFB2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1690" w:type="dxa"/>
            <w:vAlign w:val="top"/>
          </w:tcPr>
          <w:p w14:paraId="60A795B6">
            <w:pPr>
              <w:spacing w:before="75"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w:t>
            </w:r>
          </w:p>
        </w:tc>
        <w:tc>
          <w:tcPr>
            <w:tcW w:w="3186" w:type="dxa"/>
            <w:vAlign w:val="top"/>
          </w:tcPr>
          <w:p w14:paraId="3046DA2F">
            <w:pPr>
              <w:spacing w:before="75" w:line="229" w:lineRule="auto"/>
              <w:rPr>
                <w:rFonts w:ascii="宋体" w:hAnsi="宋体" w:eastAsia="宋体" w:cs="宋体"/>
                <w:sz w:val="15"/>
                <w:szCs w:val="15"/>
              </w:rPr>
            </w:pPr>
            <w:r>
              <w:rPr>
                <w:rFonts w:ascii="宋体" w:hAnsi="宋体" w:eastAsia="宋体" w:cs="宋体"/>
                <w:color w:val="212529"/>
                <w:spacing w:val="10"/>
                <w:sz w:val="15"/>
                <w:szCs w:val="15"/>
              </w:rPr>
              <w:t>住房改革支出</w:t>
            </w:r>
          </w:p>
        </w:tc>
        <w:tc>
          <w:tcPr>
            <w:tcW w:w="1544" w:type="dxa"/>
            <w:vAlign w:val="top"/>
          </w:tcPr>
          <w:p w14:paraId="37C3B178">
            <w:pPr>
              <w:spacing w:before="75"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50" w:type="dxa"/>
            <w:vAlign w:val="top"/>
          </w:tcPr>
          <w:p w14:paraId="7592961F">
            <w:pPr>
              <w:spacing w:before="75"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88" w:type="dxa"/>
            <w:vAlign w:val="top"/>
          </w:tcPr>
          <w:p w14:paraId="4334C603">
            <w:pPr>
              <w:pStyle w:val="6"/>
            </w:pPr>
          </w:p>
        </w:tc>
      </w:tr>
      <w:tr w14:paraId="3A1EB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1690" w:type="dxa"/>
            <w:vAlign w:val="top"/>
          </w:tcPr>
          <w:p w14:paraId="7E2C61B6">
            <w:pPr>
              <w:spacing w:before="76" w:line="202" w:lineRule="exact"/>
              <w:ind w:left="8"/>
              <w:rPr>
                <w:rFonts w:ascii="宋体" w:hAnsi="宋体" w:eastAsia="宋体" w:cs="宋体"/>
                <w:sz w:val="15"/>
                <w:szCs w:val="15"/>
              </w:rPr>
            </w:pPr>
            <w:r>
              <w:rPr>
                <w:rFonts w:ascii="宋体" w:hAnsi="宋体" w:eastAsia="宋体" w:cs="宋体"/>
                <w:color w:val="212529"/>
                <w:spacing w:val="4"/>
                <w:position w:val="1"/>
                <w:sz w:val="15"/>
                <w:szCs w:val="15"/>
              </w:rPr>
              <w:t>2210201</w:t>
            </w:r>
          </w:p>
        </w:tc>
        <w:tc>
          <w:tcPr>
            <w:tcW w:w="3186" w:type="dxa"/>
            <w:vAlign w:val="top"/>
          </w:tcPr>
          <w:p w14:paraId="6F741386">
            <w:pPr>
              <w:spacing w:before="75" w:line="230" w:lineRule="auto"/>
              <w:rPr>
                <w:rFonts w:ascii="宋体" w:hAnsi="宋体" w:eastAsia="宋体" w:cs="宋体"/>
                <w:sz w:val="15"/>
                <w:szCs w:val="15"/>
              </w:rPr>
            </w:pPr>
            <w:r>
              <w:rPr>
                <w:rFonts w:ascii="宋体" w:hAnsi="宋体" w:eastAsia="宋体" w:cs="宋体"/>
                <w:color w:val="212529"/>
                <w:spacing w:val="10"/>
                <w:sz w:val="15"/>
                <w:szCs w:val="15"/>
              </w:rPr>
              <w:t>住房公积金</w:t>
            </w:r>
          </w:p>
        </w:tc>
        <w:tc>
          <w:tcPr>
            <w:tcW w:w="1544" w:type="dxa"/>
            <w:vAlign w:val="top"/>
          </w:tcPr>
          <w:p w14:paraId="7F756A72">
            <w:pPr>
              <w:spacing w:before="76"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50" w:type="dxa"/>
            <w:vAlign w:val="top"/>
          </w:tcPr>
          <w:p w14:paraId="433EC119">
            <w:pPr>
              <w:spacing w:before="76"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388" w:type="dxa"/>
            <w:vAlign w:val="top"/>
          </w:tcPr>
          <w:p w14:paraId="38C25A18">
            <w:pPr>
              <w:pStyle w:val="6"/>
            </w:pPr>
          </w:p>
        </w:tc>
      </w:tr>
    </w:tbl>
    <w:p w14:paraId="179213A5">
      <w:pPr>
        <w:pStyle w:val="2"/>
      </w:pPr>
    </w:p>
    <w:p w14:paraId="7B720909">
      <w:pPr>
        <w:sectPr>
          <w:headerReference r:id="rId22" w:type="default"/>
          <w:footerReference r:id="rId23" w:type="default"/>
          <w:pgSz w:w="11900" w:h="16840"/>
          <w:pgMar w:top="642" w:right="0" w:bottom="340" w:left="0" w:header="326" w:footer="93" w:gutter="0"/>
          <w:cols w:space="720" w:num="1"/>
        </w:sectPr>
      </w:pPr>
    </w:p>
    <w:p w14:paraId="1191971F">
      <w:pPr>
        <w:spacing w:before="103"/>
      </w:pPr>
    </w:p>
    <w:p w14:paraId="5F54C2F7">
      <w:pPr>
        <w:spacing w:before="103"/>
      </w:pPr>
    </w:p>
    <w:tbl>
      <w:tblPr>
        <w:tblStyle w:val="5"/>
        <w:tblW w:w="9082"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07"/>
        <w:gridCol w:w="2343"/>
        <w:gridCol w:w="1134"/>
        <w:gridCol w:w="1134"/>
        <w:gridCol w:w="1064"/>
      </w:tblGrid>
      <w:tr w14:paraId="4A1B2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082" w:type="dxa"/>
            <w:gridSpan w:val="5"/>
            <w:tcBorders>
              <w:top w:val="single" w:color="FFFFFF" w:sz="4" w:space="0"/>
              <w:left w:val="single" w:color="FFFFFF" w:sz="2" w:space="0"/>
              <w:bottom w:val="single" w:color="FFFFFF" w:sz="4" w:space="0"/>
              <w:right w:val="single" w:color="FFFFFF" w:sz="2" w:space="0"/>
            </w:tcBorders>
            <w:vAlign w:val="top"/>
          </w:tcPr>
          <w:p w14:paraId="24C26EE4">
            <w:pPr>
              <w:pStyle w:val="6"/>
            </w:pPr>
          </w:p>
        </w:tc>
      </w:tr>
      <w:tr w14:paraId="7DB42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082" w:type="dxa"/>
            <w:gridSpan w:val="5"/>
            <w:tcBorders>
              <w:top w:val="single" w:color="FFFFFF" w:sz="4" w:space="0"/>
              <w:left w:val="single" w:color="FFFFFF" w:sz="4" w:space="0"/>
              <w:bottom w:val="single" w:color="FFFFFF" w:sz="4" w:space="0"/>
              <w:right w:val="single" w:color="FFFFFF" w:sz="4" w:space="0"/>
            </w:tcBorders>
            <w:vAlign w:val="top"/>
          </w:tcPr>
          <w:p w14:paraId="07CFA2D5">
            <w:pPr>
              <w:spacing w:before="35" w:line="201" w:lineRule="exact"/>
              <w:ind w:left="1611"/>
              <w:outlineLvl w:val="1"/>
              <w:rPr>
                <w:rFonts w:ascii="微软雅黑" w:hAnsi="微软雅黑" w:eastAsia="微软雅黑" w:cs="微软雅黑"/>
                <w:sz w:val="20"/>
                <w:szCs w:val="20"/>
              </w:rPr>
            </w:pPr>
            <w:bookmarkStart w:id="17" w:name="bookmark42"/>
            <w:bookmarkEnd w:id="17"/>
            <w:bookmarkStart w:id="18" w:name="bookmark11"/>
            <w:bookmarkEnd w:id="18"/>
            <w:bookmarkStart w:id="19" w:name="bookmark12"/>
            <w:bookmarkEnd w:id="19"/>
            <w:r>
              <w:rPr>
                <w:rFonts w:ascii="微软雅黑" w:hAnsi="微软雅黑" w:eastAsia="微软雅黑" w:cs="微软雅黑"/>
                <w:color w:val="212529"/>
                <w:spacing w:val="1"/>
                <w:position w:val="-1"/>
                <w:sz w:val="20"/>
                <w:szCs w:val="20"/>
              </w:rPr>
              <w:t>2025年一般公共预算安排基本支出分经济科目表</w:t>
            </w:r>
            <w:r>
              <w:rPr>
                <w:rFonts w:ascii="微软雅黑" w:hAnsi="微软雅黑" w:eastAsia="微软雅黑" w:cs="微软雅黑"/>
                <w:color w:val="212529"/>
                <w:spacing w:val="46"/>
                <w:position w:val="-1"/>
                <w:sz w:val="20"/>
                <w:szCs w:val="20"/>
              </w:rPr>
              <w:t xml:space="preserve"> </w:t>
            </w:r>
            <w:r>
              <w:rPr>
                <w:rFonts w:ascii="微软雅黑" w:hAnsi="微软雅黑" w:eastAsia="微软雅黑" w:cs="微软雅黑"/>
                <w:color w:val="212529"/>
                <w:spacing w:val="1"/>
                <w:position w:val="-1"/>
                <w:sz w:val="20"/>
                <w:szCs w:val="20"/>
              </w:rPr>
              <w:t>(</w:t>
            </w:r>
            <w:r>
              <w:rPr>
                <w:rFonts w:ascii="微软雅黑" w:hAnsi="微软雅黑" w:eastAsia="微软雅黑" w:cs="微软雅黑"/>
                <w:color w:val="212529"/>
                <w:position w:val="-1"/>
                <w:sz w:val="20"/>
                <w:szCs w:val="20"/>
              </w:rPr>
              <w:t>不含上年结转)</w:t>
            </w:r>
          </w:p>
        </w:tc>
      </w:tr>
      <w:tr w14:paraId="5A238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6884" w:type="dxa"/>
            <w:gridSpan w:val="3"/>
            <w:tcBorders>
              <w:top w:val="single" w:color="FFFFFF" w:sz="4" w:space="0"/>
              <w:left w:val="single" w:color="FFFFFF" w:sz="2" w:space="0"/>
              <w:right w:val="single" w:color="FFFFFF" w:sz="2" w:space="0"/>
            </w:tcBorders>
            <w:vAlign w:val="top"/>
          </w:tcPr>
          <w:p w14:paraId="5F8073E3">
            <w:pPr>
              <w:spacing w:before="79" w:line="233"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134" w:type="dxa"/>
            <w:tcBorders>
              <w:top w:val="single" w:color="FFFFFF" w:sz="4" w:space="0"/>
              <w:left w:val="single" w:color="FFFFFF" w:sz="2" w:space="0"/>
              <w:right w:val="single" w:color="FFFFFF" w:sz="2" w:space="0"/>
            </w:tcBorders>
            <w:vAlign w:val="top"/>
          </w:tcPr>
          <w:p w14:paraId="2897E1D7">
            <w:pPr>
              <w:pStyle w:val="6"/>
            </w:pPr>
          </w:p>
        </w:tc>
        <w:tc>
          <w:tcPr>
            <w:tcW w:w="1064" w:type="dxa"/>
            <w:tcBorders>
              <w:top w:val="single" w:color="FFFFFF" w:sz="4" w:space="0"/>
              <w:left w:val="single" w:color="FFFFFF" w:sz="2" w:space="0"/>
              <w:right w:val="single" w:color="FFFFFF" w:sz="2" w:space="0"/>
            </w:tcBorders>
            <w:vAlign w:val="top"/>
          </w:tcPr>
          <w:p w14:paraId="6A162227">
            <w:pPr>
              <w:spacing w:before="80" w:line="234" w:lineRule="auto"/>
              <w:ind w:left="393"/>
              <w:rPr>
                <w:rFonts w:ascii="宋体" w:hAnsi="宋体" w:eastAsia="宋体" w:cs="宋体"/>
                <w:sz w:val="12"/>
                <w:szCs w:val="12"/>
              </w:rPr>
            </w:pPr>
            <w:r>
              <w:rPr>
                <w:rFonts w:ascii="宋体" w:hAnsi="宋体" w:eastAsia="宋体" w:cs="宋体"/>
                <w:color w:val="212529"/>
                <w:spacing w:val="8"/>
                <w:sz w:val="12"/>
                <w:szCs w:val="12"/>
              </w:rPr>
              <w:t>单位：万元</w:t>
            </w:r>
          </w:p>
        </w:tc>
      </w:tr>
      <w:tr w14:paraId="203D0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Merge w:val="restart"/>
            <w:tcBorders>
              <w:bottom w:val="nil"/>
            </w:tcBorders>
            <w:vAlign w:val="top"/>
          </w:tcPr>
          <w:p w14:paraId="1C7DCDDD">
            <w:pPr>
              <w:spacing w:before="215" w:line="158" w:lineRule="exact"/>
              <w:ind w:left="71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部门预算支出经济科目名称</w:t>
            </w:r>
          </w:p>
        </w:tc>
        <w:tc>
          <w:tcPr>
            <w:tcW w:w="2343" w:type="dxa"/>
            <w:vMerge w:val="restart"/>
            <w:tcBorders>
              <w:bottom w:val="nil"/>
            </w:tcBorders>
            <w:vAlign w:val="top"/>
          </w:tcPr>
          <w:p w14:paraId="273C006A">
            <w:pPr>
              <w:spacing w:before="215" w:line="158" w:lineRule="exact"/>
              <w:ind w:left="188"/>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政府预算支出经济科目名称</w:t>
            </w:r>
          </w:p>
        </w:tc>
        <w:tc>
          <w:tcPr>
            <w:tcW w:w="3332" w:type="dxa"/>
            <w:gridSpan w:val="3"/>
            <w:vAlign w:val="top"/>
          </w:tcPr>
          <w:p w14:paraId="06C940E5">
            <w:pPr>
              <w:spacing w:before="64" w:line="157" w:lineRule="exact"/>
              <w:ind w:left="1174"/>
              <w:rPr>
                <w:rFonts w:ascii="微软雅黑" w:hAnsi="微软雅黑" w:eastAsia="微软雅黑" w:cs="微软雅黑"/>
                <w:sz w:val="15"/>
                <w:szCs w:val="15"/>
              </w:rPr>
            </w:pPr>
            <w:r>
              <w:rPr>
                <w:rFonts w:ascii="微软雅黑" w:hAnsi="微软雅黑" w:eastAsia="微软雅黑" w:cs="微软雅黑"/>
                <w:color w:val="212529"/>
                <w:spacing w:val="1"/>
                <w:sz w:val="15"/>
                <w:szCs w:val="15"/>
              </w:rPr>
              <w:t>2025年预算数</w:t>
            </w:r>
          </w:p>
        </w:tc>
      </w:tr>
      <w:tr w14:paraId="7F90A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Merge w:val="continue"/>
            <w:tcBorders>
              <w:top w:val="nil"/>
            </w:tcBorders>
            <w:vAlign w:val="top"/>
          </w:tcPr>
          <w:p w14:paraId="32B25D4C">
            <w:pPr>
              <w:pStyle w:val="6"/>
            </w:pPr>
          </w:p>
        </w:tc>
        <w:tc>
          <w:tcPr>
            <w:tcW w:w="2343" w:type="dxa"/>
            <w:vMerge w:val="continue"/>
            <w:tcBorders>
              <w:top w:val="nil"/>
            </w:tcBorders>
            <w:vAlign w:val="top"/>
          </w:tcPr>
          <w:p w14:paraId="1B060874">
            <w:pPr>
              <w:pStyle w:val="6"/>
            </w:pPr>
          </w:p>
        </w:tc>
        <w:tc>
          <w:tcPr>
            <w:tcW w:w="1134" w:type="dxa"/>
            <w:vAlign w:val="top"/>
          </w:tcPr>
          <w:p w14:paraId="02092F63">
            <w:pPr>
              <w:spacing w:before="66" w:line="154" w:lineRule="exact"/>
              <w:ind w:left="40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11AEC8B3">
            <w:pPr>
              <w:spacing w:before="64" w:line="156" w:lineRule="exact"/>
              <w:ind w:left="23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人员经费</w:t>
            </w:r>
          </w:p>
        </w:tc>
        <w:tc>
          <w:tcPr>
            <w:tcW w:w="1064" w:type="dxa"/>
            <w:vAlign w:val="top"/>
          </w:tcPr>
          <w:p w14:paraId="564F1984">
            <w:pPr>
              <w:spacing w:before="64" w:line="156" w:lineRule="exact"/>
              <w:ind w:left="206"/>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公用经费</w:t>
            </w:r>
          </w:p>
        </w:tc>
      </w:tr>
      <w:tr w14:paraId="3B21D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5750" w:type="dxa"/>
            <w:gridSpan w:val="2"/>
            <w:vAlign w:val="top"/>
          </w:tcPr>
          <w:p w14:paraId="4328ED8C">
            <w:pPr>
              <w:spacing w:before="65" w:line="158" w:lineRule="exact"/>
              <w:ind w:left="2717"/>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合计</w:t>
            </w:r>
          </w:p>
        </w:tc>
        <w:tc>
          <w:tcPr>
            <w:tcW w:w="1134" w:type="dxa"/>
            <w:vAlign w:val="top"/>
          </w:tcPr>
          <w:p w14:paraId="2A38BB08">
            <w:pPr>
              <w:pStyle w:val="6"/>
              <w:spacing w:before="87" w:line="186" w:lineRule="auto"/>
              <w:ind w:left="711"/>
              <w:rPr>
                <w:sz w:val="13"/>
                <w:szCs w:val="13"/>
              </w:rPr>
            </w:pPr>
            <w:r>
              <w:rPr>
                <w:color w:val="212529"/>
                <w:spacing w:val="4"/>
                <w:sz w:val="13"/>
                <w:szCs w:val="13"/>
              </w:rPr>
              <w:t>78.</w:t>
            </w:r>
            <w:r>
              <w:rPr>
                <w:color w:val="212529"/>
                <w:spacing w:val="9"/>
                <w:sz w:val="13"/>
                <w:szCs w:val="13"/>
              </w:rPr>
              <w:t xml:space="preserve"> </w:t>
            </w:r>
            <w:r>
              <w:rPr>
                <w:color w:val="212529"/>
                <w:spacing w:val="4"/>
                <w:sz w:val="13"/>
                <w:szCs w:val="13"/>
              </w:rPr>
              <w:t>05</w:t>
            </w:r>
          </w:p>
        </w:tc>
        <w:tc>
          <w:tcPr>
            <w:tcW w:w="1134" w:type="dxa"/>
            <w:vAlign w:val="top"/>
          </w:tcPr>
          <w:p w14:paraId="07B838EC">
            <w:pPr>
              <w:pStyle w:val="6"/>
              <w:spacing w:before="87" w:line="186" w:lineRule="auto"/>
              <w:ind w:left="713"/>
              <w:rPr>
                <w:sz w:val="13"/>
                <w:szCs w:val="13"/>
              </w:rPr>
            </w:pPr>
            <w:r>
              <w:rPr>
                <w:color w:val="212529"/>
                <w:spacing w:val="4"/>
                <w:sz w:val="13"/>
                <w:szCs w:val="13"/>
              </w:rPr>
              <w:t>70.</w:t>
            </w:r>
            <w:r>
              <w:rPr>
                <w:color w:val="212529"/>
                <w:spacing w:val="9"/>
                <w:sz w:val="13"/>
                <w:szCs w:val="13"/>
              </w:rPr>
              <w:t xml:space="preserve"> </w:t>
            </w:r>
            <w:r>
              <w:rPr>
                <w:color w:val="212529"/>
                <w:spacing w:val="4"/>
                <w:sz w:val="13"/>
                <w:szCs w:val="13"/>
              </w:rPr>
              <w:t>53</w:t>
            </w:r>
          </w:p>
        </w:tc>
        <w:tc>
          <w:tcPr>
            <w:tcW w:w="1064" w:type="dxa"/>
            <w:vAlign w:val="top"/>
          </w:tcPr>
          <w:p w14:paraId="6BF8CB64">
            <w:pPr>
              <w:pStyle w:val="6"/>
              <w:spacing w:before="87" w:line="186" w:lineRule="auto"/>
              <w:ind w:left="718"/>
              <w:rPr>
                <w:sz w:val="13"/>
                <w:szCs w:val="13"/>
              </w:rPr>
            </w:pPr>
            <w:r>
              <w:rPr>
                <w:color w:val="212529"/>
                <w:spacing w:val="1"/>
                <w:sz w:val="13"/>
                <w:szCs w:val="13"/>
              </w:rPr>
              <w:t>7.</w:t>
            </w:r>
            <w:r>
              <w:rPr>
                <w:color w:val="212529"/>
                <w:spacing w:val="16"/>
                <w:sz w:val="13"/>
                <w:szCs w:val="13"/>
              </w:rPr>
              <w:t xml:space="preserve"> </w:t>
            </w:r>
            <w:r>
              <w:rPr>
                <w:color w:val="212529"/>
                <w:spacing w:val="1"/>
                <w:sz w:val="13"/>
                <w:szCs w:val="13"/>
              </w:rPr>
              <w:t>52</w:t>
            </w:r>
          </w:p>
        </w:tc>
      </w:tr>
      <w:tr w14:paraId="10081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343E98B2">
            <w:pPr>
              <w:spacing w:before="68" w:line="230" w:lineRule="auto"/>
              <w:ind w:left="8"/>
              <w:rPr>
                <w:rFonts w:ascii="宋体" w:hAnsi="宋体" w:eastAsia="宋体" w:cs="宋体"/>
                <w:sz w:val="15"/>
                <w:szCs w:val="15"/>
              </w:rPr>
            </w:pPr>
            <w:r>
              <w:rPr>
                <w:rFonts w:ascii="宋体" w:hAnsi="宋体" w:eastAsia="宋体" w:cs="宋体"/>
                <w:color w:val="212529"/>
                <w:spacing w:val="10"/>
                <w:sz w:val="15"/>
                <w:szCs w:val="15"/>
              </w:rPr>
              <w:t>工资福利支出</w:t>
            </w:r>
          </w:p>
        </w:tc>
        <w:tc>
          <w:tcPr>
            <w:tcW w:w="2343" w:type="dxa"/>
            <w:vAlign w:val="top"/>
          </w:tcPr>
          <w:p w14:paraId="4937E323">
            <w:pPr>
              <w:pStyle w:val="6"/>
            </w:pPr>
          </w:p>
        </w:tc>
        <w:tc>
          <w:tcPr>
            <w:tcW w:w="1134" w:type="dxa"/>
            <w:vAlign w:val="top"/>
          </w:tcPr>
          <w:p w14:paraId="31C0153A">
            <w:pPr>
              <w:spacing w:before="69" w:line="201" w:lineRule="exact"/>
              <w:ind w:right="18"/>
              <w:jc w:val="right"/>
              <w:rPr>
                <w:rFonts w:ascii="宋体" w:hAnsi="宋体" w:eastAsia="宋体" w:cs="宋体"/>
                <w:sz w:val="15"/>
                <w:szCs w:val="15"/>
              </w:rPr>
            </w:pPr>
            <w:r>
              <w:rPr>
                <w:rFonts w:ascii="宋体" w:hAnsi="宋体" w:eastAsia="宋体" w:cs="宋体"/>
                <w:color w:val="212529"/>
                <w:spacing w:val="4"/>
                <w:position w:val="1"/>
                <w:sz w:val="15"/>
                <w:szCs w:val="15"/>
              </w:rPr>
              <w:t>67.61</w:t>
            </w:r>
          </w:p>
        </w:tc>
        <w:tc>
          <w:tcPr>
            <w:tcW w:w="1134" w:type="dxa"/>
            <w:vAlign w:val="top"/>
          </w:tcPr>
          <w:p w14:paraId="61963777">
            <w:pPr>
              <w:spacing w:before="69" w:line="201" w:lineRule="exact"/>
              <w:ind w:right="15"/>
              <w:jc w:val="right"/>
              <w:rPr>
                <w:rFonts w:ascii="宋体" w:hAnsi="宋体" w:eastAsia="宋体" w:cs="宋体"/>
                <w:sz w:val="15"/>
                <w:szCs w:val="15"/>
              </w:rPr>
            </w:pPr>
            <w:r>
              <w:rPr>
                <w:rFonts w:ascii="宋体" w:hAnsi="宋体" w:eastAsia="宋体" w:cs="宋体"/>
                <w:color w:val="212529"/>
                <w:spacing w:val="4"/>
                <w:position w:val="1"/>
                <w:sz w:val="15"/>
                <w:szCs w:val="15"/>
              </w:rPr>
              <w:t>67.61</w:t>
            </w:r>
          </w:p>
        </w:tc>
        <w:tc>
          <w:tcPr>
            <w:tcW w:w="1064" w:type="dxa"/>
            <w:vAlign w:val="top"/>
          </w:tcPr>
          <w:p w14:paraId="3FE5E252">
            <w:pPr>
              <w:pStyle w:val="6"/>
            </w:pPr>
          </w:p>
        </w:tc>
      </w:tr>
      <w:tr w14:paraId="4FFFB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06B7F0D1">
            <w:pPr>
              <w:spacing w:before="69" w:line="228" w:lineRule="auto"/>
              <w:ind w:left="330"/>
              <w:rPr>
                <w:rFonts w:ascii="宋体" w:hAnsi="宋体" w:eastAsia="宋体" w:cs="宋体"/>
                <w:sz w:val="15"/>
                <w:szCs w:val="15"/>
              </w:rPr>
            </w:pPr>
            <w:r>
              <w:rPr>
                <w:rFonts w:ascii="宋体" w:hAnsi="宋体" w:eastAsia="宋体" w:cs="宋体"/>
                <w:color w:val="212529"/>
                <w:spacing w:val="9"/>
                <w:sz w:val="15"/>
                <w:szCs w:val="15"/>
              </w:rPr>
              <w:t>基本工资</w:t>
            </w:r>
          </w:p>
        </w:tc>
        <w:tc>
          <w:tcPr>
            <w:tcW w:w="2343" w:type="dxa"/>
            <w:vAlign w:val="top"/>
          </w:tcPr>
          <w:p w14:paraId="76C00C26">
            <w:pPr>
              <w:spacing w:before="69" w:line="229" w:lineRule="auto"/>
              <w:ind w:left="331"/>
              <w:rPr>
                <w:rFonts w:ascii="宋体" w:hAnsi="宋体" w:eastAsia="宋体" w:cs="宋体"/>
                <w:sz w:val="15"/>
                <w:szCs w:val="15"/>
              </w:rPr>
            </w:pPr>
            <w:r>
              <w:rPr>
                <w:rFonts w:ascii="宋体" w:hAnsi="宋体" w:eastAsia="宋体" w:cs="宋体"/>
                <w:color w:val="212529"/>
                <w:spacing w:val="10"/>
                <w:sz w:val="15"/>
                <w:szCs w:val="15"/>
              </w:rPr>
              <w:t>工资奖金津补贴</w:t>
            </w:r>
          </w:p>
        </w:tc>
        <w:tc>
          <w:tcPr>
            <w:tcW w:w="1134" w:type="dxa"/>
            <w:vAlign w:val="top"/>
          </w:tcPr>
          <w:p w14:paraId="660F417A">
            <w:pPr>
              <w:spacing w:before="69" w:line="202" w:lineRule="exact"/>
              <w:ind w:right="18"/>
              <w:jc w:val="right"/>
              <w:rPr>
                <w:rFonts w:ascii="宋体" w:hAnsi="宋体" w:eastAsia="宋体" w:cs="宋体"/>
                <w:sz w:val="15"/>
                <w:szCs w:val="15"/>
              </w:rPr>
            </w:pPr>
            <w:r>
              <w:rPr>
                <w:rFonts w:ascii="宋体" w:hAnsi="宋体" w:eastAsia="宋体" w:cs="宋体"/>
                <w:color w:val="212529"/>
                <w:spacing w:val="4"/>
                <w:position w:val="1"/>
                <w:sz w:val="15"/>
                <w:szCs w:val="15"/>
              </w:rPr>
              <w:t>24.88</w:t>
            </w:r>
          </w:p>
        </w:tc>
        <w:tc>
          <w:tcPr>
            <w:tcW w:w="1134" w:type="dxa"/>
            <w:vAlign w:val="top"/>
          </w:tcPr>
          <w:p w14:paraId="2EF5D52B">
            <w:pPr>
              <w:spacing w:before="69" w:line="202" w:lineRule="exact"/>
              <w:ind w:right="15"/>
              <w:jc w:val="right"/>
              <w:rPr>
                <w:rFonts w:ascii="宋体" w:hAnsi="宋体" w:eastAsia="宋体" w:cs="宋体"/>
                <w:sz w:val="15"/>
                <w:szCs w:val="15"/>
              </w:rPr>
            </w:pPr>
            <w:r>
              <w:rPr>
                <w:rFonts w:ascii="宋体" w:hAnsi="宋体" w:eastAsia="宋体" w:cs="宋体"/>
                <w:color w:val="212529"/>
                <w:spacing w:val="4"/>
                <w:position w:val="1"/>
                <w:sz w:val="15"/>
                <w:szCs w:val="15"/>
              </w:rPr>
              <w:t>24.88</w:t>
            </w:r>
          </w:p>
        </w:tc>
        <w:tc>
          <w:tcPr>
            <w:tcW w:w="1064" w:type="dxa"/>
            <w:vAlign w:val="top"/>
          </w:tcPr>
          <w:p w14:paraId="361C7C84">
            <w:pPr>
              <w:pStyle w:val="6"/>
            </w:pPr>
          </w:p>
        </w:tc>
      </w:tr>
      <w:tr w14:paraId="58481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4192E27B">
            <w:pPr>
              <w:spacing w:before="70" w:line="229" w:lineRule="auto"/>
              <w:ind w:left="330"/>
              <w:rPr>
                <w:rFonts w:ascii="宋体" w:hAnsi="宋体" w:eastAsia="宋体" w:cs="宋体"/>
                <w:sz w:val="15"/>
                <w:szCs w:val="15"/>
              </w:rPr>
            </w:pPr>
            <w:r>
              <w:rPr>
                <w:rFonts w:ascii="宋体" w:hAnsi="宋体" w:eastAsia="宋体" w:cs="宋体"/>
                <w:color w:val="212529"/>
                <w:spacing w:val="9"/>
                <w:sz w:val="15"/>
                <w:szCs w:val="15"/>
              </w:rPr>
              <w:t>津贴补贴</w:t>
            </w:r>
          </w:p>
        </w:tc>
        <w:tc>
          <w:tcPr>
            <w:tcW w:w="2343" w:type="dxa"/>
            <w:vAlign w:val="top"/>
          </w:tcPr>
          <w:p w14:paraId="474DE76F">
            <w:pPr>
              <w:spacing w:before="70" w:line="229" w:lineRule="auto"/>
              <w:ind w:left="331"/>
              <w:rPr>
                <w:rFonts w:ascii="宋体" w:hAnsi="宋体" w:eastAsia="宋体" w:cs="宋体"/>
                <w:sz w:val="15"/>
                <w:szCs w:val="15"/>
              </w:rPr>
            </w:pPr>
            <w:r>
              <w:rPr>
                <w:rFonts w:ascii="宋体" w:hAnsi="宋体" w:eastAsia="宋体" w:cs="宋体"/>
                <w:color w:val="212529"/>
                <w:spacing w:val="10"/>
                <w:sz w:val="15"/>
                <w:szCs w:val="15"/>
              </w:rPr>
              <w:t>工资奖金津补贴</w:t>
            </w:r>
          </w:p>
        </w:tc>
        <w:tc>
          <w:tcPr>
            <w:tcW w:w="1134" w:type="dxa"/>
            <w:vAlign w:val="top"/>
          </w:tcPr>
          <w:p w14:paraId="7AE76378">
            <w:pPr>
              <w:spacing w:before="70" w:line="202" w:lineRule="exact"/>
              <w:ind w:right="18"/>
              <w:jc w:val="right"/>
              <w:rPr>
                <w:rFonts w:ascii="宋体" w:hAnsi="宋体" w:eastAsia="宋体" w:cs="宋体"/>
                <w:sz w:val="15"/>
                <w:szCs w:val="15"/>
              </w:rPr>
            </w:pPr>
            <w:r>
              <w:rPr>
                <w:rFonts w:ascii="宋体" w:hAnsi="宋体" w:eastAsia="宋体" w:cs="宋体"/>
                <w:color w:val="212529"/>
                <w:spacing w:val="2"/>
                <w:position w:val="1"/>
                <w:sz w:val="15"/>
                <w:szCs w:val="15"/>
              </w:rPr>
              <w:t>15.43</w:t>
            </w:r>
          </w:p>
        </w:tc>
        <w:tc>
          <w:tcPr>
            <w:tcW w:w="1134" w:type="dxa"/>
            <w:vAlign w:val="top"/>
          </w:tcPr>
          <w:p w14:paraId="531BCDD8">
            <w:pPr>
              <w:spacing w:before="70" w:line="202" w:lineRule="exact"/>
              <w:ind w:right="15"/>
              <w:jc w:val="right"/>
              <w:rPr>
                <w:rFonts w:ascii="宋体" w:hAnsi="宋体" w:eastAsia="宋体" w:cs="宋体"/>
                <w:sz w:val="15"/>
                <w:szCs w:val="15"/>
              </w:rPr>
            </w:pPr>
            <w:r>
              <w:rPr>
                <w:rFonts w:ascii="宋体" w:hAnsi="宋体" w:eastAsia="宋体" w:cs="宋体"/>
                <w:color w:val="212529"/>
                <w:spacing w:val="2"/>
                <w:position w:val="1"/>
                <w:sz w:val="15"/>
                <w:szCs w:val="15"/>
              </w:rPr>
              <w:t>15.43</w:t>
            </w:r>
          </w:p>
        </w:tc>
        <w:tc>
          <w:tcPr>
            <w:tcW w:w="1064" w:type="dxa"/>
            <w:vAlign w:val="top"/>
          </w:tcPr>
          <w:p w14:paraId="46B78034">
            <w:pPr>
              <w:pStyle w:val="6"/>
            </w:pPr>
          </w:p>
        </w:tc>
      </w:tr>
      <w:tr w14:paraId="2AB50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1947470A">
            <w:pPr>
              <w:spacing w:before="70" w:line="230" w:lineRule="auto"/>
              <w:ind w:left="332"/>
              <w:rPr>
                <w:rFonts w:ascii="宋体" w:hAnsi="宋体" w:eastAsia="宋体" w:cs="宋体"/>
                <w:sz w:val="15"/>
                <w:szCs w:val="15"/>
              </w:rPr>
            </w:pPr>
            <w:r>
              <w:rPr>
                <w:rFonts w:ascii="宋体" w:hAnsi="宋体" w:eastAsia="宋体" w:cs="宋体"/>
                <w:color w:val="212529"/>
                <w:spacing w:val="6"/>
                <w:sz w:val="15"/>
                <w:szCs w:val="15"/>
              </w:rPr>
              <w:t>奖金</w:t>
            </w:r>
          </w:p>
        </w:tc>
        <w:tc>
          <w:tcPr>
            <w:tcW w:w="2343" w:type="dxa"/>
            <w:vAlign w:val="top"/>
          </w:tcPr>
          <w:p w14:paraId="0885E848">
            <w:pPr>
              <w:spacing w:before="71" w:line="229" w:lineRule="auto"/>
              <w:ind w:left="331"/>
              <w:rPr>
                <w:rFonts w:ascii="宋体" w:hAnsi="宋体" w:eastAsia="宋体" w:cs="宋体"/>
                <w:sz w:val="15"/>
                <w:szCs w:val="15"/>
              </w:rPr>
            </w:pPr>
            <w:r>
              <w:rPr>
                <w:rFonts w:ascii="宋体" w:hAnsi="宋体" w:eastAsia="宋体" w:cs="宋体"/>
                <w:color w:val="212529"/>
                <w:spacing w:val="10"/>
                <w:sz w:val="15"/>
                <w:szCs w:val="15"/>
              </w:rPr>
              <w:t>工资奖金津补贴</w:t>
            </w:r>
          </w:p>
        </w:tc>
        <w:tc>
          <w:tcPr>
            <w:tcW w:w="1134" w:type="dxa"/>
            <w:vAlign w:val="top"/>
          </w:tcPr>
          <w:p w14:paraId="2BD77030">
            <w:pPr>
              <w:spacing w:before="71" w:line="202" w:lineRule="exact"/>
              <w:ind w:right="18"/>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134" w:type="dxa"/>
            <w:vAlign w:val="top"/>
          </w:tcPr>
          <w:p w14:paraId="4FDEE7B2">
            <w:pPr>
              <w:spacing w:before="71" w:line="202" w:lineRule="exact"/>
              <w:ind w:right="15"/>
              <w:jc w:val="right"/>
              <w:rPr>
                <w:rFonts w:ascii="宋体" w:hAnsi="宋体" w:eastAsia="宋体" w:cs="宋体"/>
                <w:sz w:val="15"/>
                <w:szCs w:val="15"/>
              </w:rPr>
            </w:pPr>
            <w:r>
              <w:rPr>
                <w:rFonts w:ascii="宋体" w:hAnsi="宋体" w:eastAsia="宋体" w:cs="宋体"/>
                <w:color w:val="212529"/>
                <w:spacing w:val="4"/>
                <w:position w:val="1"/>
                <w:sz w:val="15"/>
                <w:szCs w:val="15"/>
              </w:rPr>
              <w:t>4.22</w:t>
            </w:r>
          </w:p>
        </w:tc>
        <w:tc>
          <w:tcPr>
            <w:tcW w:w="1064" w:type="dxa"/>
            <w:vAlign w:val="top"/>
          </w:tcPr>
          <w:p w14:paraId="3CFD4BEE">
            <w:pPr>
              <w:pStyle w:val="6"/>
            </w:pPr>
          </w:p>
        </w:tc>
      </w:tr>
      <w:tr w14:paraId="4A1E5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44407AC4">
            <w:pPr>
              <w:spacing w:before="72" w:line="228" w:lineRule="auto"/>
              <w:ind w:left="330"/>
              <w:rPr>
                <w:rFonts w:ascii="宋体" w:hAnsi="宋体" w:eastAsia="宋体" w:cs="宋体"/>
                <w:sz w:val="15"/>
                <w:szCs w:val="15"/>
              </w:rPr>
            </w:pPr>
            <w:r>
              <w:rPr>
                <w:rFonts w:ascii="宋体" w:hAnsi="宋体" w:eastAsia="宋体" w:cs="宋体"/>
                <w:color w:val="212529"/>
                <w:spacing w:val="11"/>
                <w:sz w:val="15"/>
                <w:szCs w:val="15"/>
              </w:rPr>
              <w:t>机关事业单位基本养老保险缴费</w:t>
            </w:r>
          </w:p>
        </w:tc>
        <w:tc>
          <w:tcPr>
            <w:tcW w:w="2343" w:type="dxa"/>
            <w:vAlign w:val="top"/>
          </w:tcPr>
          <w:p w14:paraId="464144DD">
            <w:pPr>
              <w:spacing w:before="72" w:line="228" w:lineRule="auto"/>
              <w:ind w:left="331"/>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34" w:type="dxa"/>
            <w:vAlign w:val="top"/>
          </w:tcPr>
          <w:p w14:paraId="6E99F9F0">
            <w:pPr>
              <w:spacing w:before="71"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6.62</w:t>
            </w:r>
          </w:p>
        </w:tc>
        <w:tc>
          <w:tcPr>
            <w:tcW w:w="1134" w:type="dxa"/>
            <w:vAlign w:val="top"/>
          </w:tcPr>
          <w:p w14:paraId="769A5943">
            <w:pPr>
              <w:spacing w:before="71" w:line="202" w:lineRule="exact"/>
              <w:ind w:right="15"/>
              <w:jc w:val="right"/>
              <w:rPr>
                <w:rFonts w:ascii="宋体" w:hAnsi="宋体" w:eastAsia="宋体" w:cs="宋体"/>
                <w:sz w:val="15"/>
                <w:szCs w:val="15"/>
              </w:rPr>
            </w:pPr>
            <w:r>
              <w:rPr>
                <w:rFonts w:ascii="宋体" w:hAnsi="宋体" w:eastAsia="宋体" w:cs="宋体"/>
                <w:color w:val="212529"/>
                <w:spacing w:val="3"/>
                <w:position w:val="1"/>
                <w:sz w:val="15"/>
                <w:szCs w:val="15"/>
              </w:rPr>
              <w:t>6.62</w:t>
            </w:r>
          </w:p>
        </w:tc>
        <w:tc>
          <w:tcPr>
            <w:tcW w:w="1064" w:type="dxa"/>
            <w:vAlign w:val="top"/>
          </w:tcPr>
          <w:p w14:paraId="220D6F2E">
            <w:pPr>
              <w:pStyle w:val="6"/>
            </w:pPr>
          </w:p>
        </w:tc>
      </w:tr>
      <w:tr w14:paraId="1674B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46257B1F">
            <w:pPr>
              <w:spacing w:before="72" w:line="228" w:lineRule="auto"/>
              <w:ind w:left="330"/>
              <w:rPr>
                <w:rFonts w:ascii="宋体" w:hAnsi="宋体" w:eastAsia="宋体" w:cs="宋体"/>
                <w:sz w:val="15"/>
                <w:szCs w:val="15"/>
              </w:rPr>
            </w:pPr>
            <w:r>
              <w:rPr>
                <w:rFonts w:ascii="宋体" w:hAnsi="宋体" w:eastAsia="宋体" w:cs="宋体"/>
                <w:color w:val="212529"/>
                <w:spacing w:val="11"/>
                <w:sz w:val="15"/>
                <w:szCs w:val="15"/>
              </w:rPr>
              <w:t>职工基本医疗保险缴费</w:t>
            </w:r>
          </w:p>
        </w:tc>
        <w:tc>
          <w:tcPr>
            <w:tcW w:w="2343" w:type="dxa"/>
            <w:vAlign w:val="top"/>
          </w:tcPr>
          <w:p w14:paraId="263CFF82">
            <w:pPr>
              <w:spacing w:before="72" w:line="228" w:lineRule="auto"/>
              <w:ind w:left="331"/>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34" w:type="dxa"/>
            <w:vAlign w:val="top"/>
          </w:tcPr>
          <w:p w14:paraId="32FF0F14">
            <w:pPr>
              <w:spacing w:before="72"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2.69</w:t>
            </w:r>
          </w:p>
        </w:tc>
        <w:tc>
          <w:tcPr>
            <w:tcW w:w="1134" w:type="dxa"/>
            <w:vAlign w:val="top"/>
          </w:tcPr>
          <w:p w14:paraId="63DEB6A8">
            <w:pPr>
              <w:spacing w:before="72" w:line="202" w:lineRule="exact"/>
              <w:ind w:right="15"/>
              <w:jc w:val="right"/>
              <w:rPr>
                <w:rFonts w:ascii="宋体" w:hAnsi="宋体" w:eastAsia="宋体" w:cs="宋体"/>
                <w:sz w:val="15"/>
                <w:szCs w:val="15"/>
              </w:rPr>
            </w:pPr>
            <w:r>
              <w:rPr>
                <w:rFonts w:ascii="宋体" w:hAnsi="宋体" w:eastAsia="宋体" w:cs="宋体"/>
                <w:color w:val="212529"/>
                <w:spacing w:val="3"/>
                <w:position w:val="1"/>
                <w:sz w:val="15"/>
                <w:szCs w:val="15"/>
              </w:rPr>
              <w:t>2.69</w:t>
            </w:r>
          </w:p>
        </w:tc>
        <w:tc>
          <w:tcPr>
            <w:tcW w:w="1064" w:type="dxa"/>
            <w:vAlign w:val="top"/>
          </w:tcPr>
          <w:p w14:paraId="5619CC71">
            <w:pPr>
              <w:pStyle w:val="6"/>
            </w:pPr>
          </w:p>
        </w:tc>
      </w:tr>
      <w:tr w14:paraId="27003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18F1B23A">
            <w:pPr>
              <w:spacing w:before="73" w:line="229" w:lineRule="auto"/>
              <w:ind w:left="336"/>
              <w:rPr>
                <w:rFonts w:ascii="宋体" w:hAnsi="宋体" w:eastAsia="宋体" w:cs="宋体"/>
                <w:sz w:val="15"/>
                <w:szCs w:val="15"/>
              </w:rPr>
            </w:pPr>
            <w:r>
              <w:rPr>
                <w:rFonts w:ascii="宋体" w:hAnsi="宋体" w:eastAsia="宋体" w:cs="宋体"/>
                <w:color w:val="212529"/>
                <w:spacing w:val="10"/>
                <w:sz w:val="15"/>
                <w:szCs w:val="15"/>
              </w:rPr>
              <w:t>公务员医疗补助缴费</w:t>
            </w:r>
          </w:p>
        </w:tc>
        <w:tc>
          <w:tcPr>
            <w:tcW w:w="2343" w:type="dxa"/>
            <w:vAlign w:val="top"/>
          </w:tcPr>
          <w:p w14:paraId="2FD40304">
            <w:pPr>
              <w:spacing w:before="73" w:line="228" w:lineRule="auto"/>
              <w:ind w:left="331"/>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34" w:type="dxa"/>
            <w:vAlign w:val="top"/>
          </w:tcPr>
          <w:p w14:paraId="0A8F3B00">
            <w:pPr>
              <w:spacing w:before="73" w:line="202"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1.24</w:t>
            </w:r>
          </w:p>
        </w:tc>
        <w:tc>
          <w:tcPr>
            <w:tcW w:w="1134" w:type="dxa"/>
            <w:vAlign w:val="top"/>
          </w:tcPr>
          <w:p w14:paraId="0337267B">
            <w:pPr>
              <w:spacing w:before="73" w:line="202" w:lineRule="exact"/>
              <w:ind w:right="15"/>
              <w:jc w:val="right"/>
              <w:rPr>
                <w:rFonts w:ascii="宋体" w:hAnsi="宋体" w:eastAsia="宋体" w:cs="宋体"/>
                <w:sz w:val="15"/>
                <w:szCs w:val="15"/>
              </w:rPr>
            </w:pPr>
            <w:r>
              <w:rPr>
                <w:rFonts w:ascii="宋体" w:hAnsi="宋体" w:eastAsia="宋体" w:cs="宋体"/>
                <w:color w:val="212529"/>
                <w:spacing w:val="1"/>
                <w:position w:val="1"/>
                <w:sz w:val="15"/>
                <w:szCs w:val="15"/>
              </w:rPr>
              <w:t>1.24</w:t>
            </w:r>
          </w:p>
        </w:tc>
        <w:tc>
          <w:tcPr>
            <w:tcW w:w="1064" w:type="dxa"/>
            <w:vAlign w:val="top"/>
          </w:tcPr>
          <w:p w14:paraId="13524FAB">
            <w:pPr>
              <w:pStyle w:val="6"/>
            </w:pPr>
          </w:p>
        </w:tc>
      </w:tr>
      <w:tr w14:paraId="0B49F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64E9B112">
            <w:pPr>
              <w:spacing w:before="74" w:line="228" w:lineRule="auto"/>
              <w:ind w:left="656"/>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2343" w:type="dxa"/>
            <w:vAlign w:val="top"/>
          </w:tcPr>
          <w:p w14:paraId="32598538">
            <w:pPr>
              <w:spacing w:before="74" w:line="228" w:lineRule="auto"/>
              <w:ind w:left="331"/>
              <w:rPr>
                <w:rFonts w:ascii="宋体" w:hAnsi="宋体" w:eastAsia="宋体" w:cs="宋体"/>
                <w:sz w:val="15"/>
                <w:szCs w:val="15"/>
              </w:rPr>
            </w:pPr>
            <w:r>
              <w:rPr>
                <w:rFonts w:ascii="宋体" w:hAnsi="宋体" w:eastAsia="宋体" w:cs="宋体"/>
                <w:color w:val="212529"/>
                <w:spacing w:val="10"/>
                <w:sz w:val="15"/>
                <w:szCs w:val="15"/>
              </w:rPr>
              <w:t>社会保障缴费</w:t>
            </w:r>
          </w:p>
        </w:tc>
        <w:tc>
          <w:tcPr>
            <w:tcW w:w="1134" w:type="dxa"/>
            <w:vAlign w:val="top"/>
          </w:tcPr>
          <w:p w14:paraId="103BA151">
            <w:pPr>
              <w:spacing w:before="74" w:line="201"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0.13</w:t>
            </w:r>
          </w:p>
        </w:tc>
        <w:tc>
          <w:tcPr>
            <w:tcW w:w="1134" w:type="dxa"/>
            <w:vAlign w:val="top"/>
          </w:tcPr>
          <w:p w14:paraId="52E1E9F4">
            <w:pPr>
              <w:spacing w:before="74" w:line="201" w:lineRule="exact"/>
              <w:ind w:right="15"/>
              <w:jc w:val="right"/>
              <w:rPr>
                <w:rFonts w:ascii="宋体" w:hAnsi="宋体" w:eastAsia="宋体" w:cs="宋体"/>
                <w:sz w:val="15"/>
                <w:szCs w:val="15"/>
              </w:rPr>
            </w:pPr>
            <w:r>
              <w:rPr>
                <w:rFonts w:ascii="宋体" w:hAnsi="宋体" w:eastAsia="宋体" w:cs="宋体"/>
                <w:color w:val="212529"/>
                <w:spacing w:val="3"/>
                <w:position w:val="1"/>
                <w:sz w:val="15"/>
                <w:szCs w:val="15"/>
              </w:rPr>
              <w:t>0.13</w:t>
            </w:r>
          </w:p>
        </w:tc>
        <w:tc>
          <w:tcPr>
            <w:tcW w:w="1064" w:type="dxa"/>
            <w:vAlign w:val="top"/>
          </w:tcPr>
          <w:p w14:paraId="724CED2D">
            <w:pPr>
              <w:pStyle w:val="6"/>
            </w:pPr>
          </w:p>
        </w:tc>
      </w:tr>
      <w:tr w14:paraId="71A03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407" w:type="dxa"/>
            <w:vAlign w:val="top"/>
          </w:tcPr>
          <w:p w14:paraId="72645248">
            <w:pPr>
              <w:spacing w:before="74" w:line="230" w:lineRule="auto"/>
              <w:ind w:left="331"/>
              <w:rPr>
                <w:rFonts w:ascii="宋体" w:hAnsi="宋体" w:eastAsia="宋体" w:cs="宋体"/>
                <w:sz w:val="15"/>
                <w:szCs w:val="15"/>
              </w:rPr>
            </w:pPr>
            <w:r>
              <w:rPr>
                <w:rFonts w:ascii="宋体" w:hAnsi="宋体" w:eastAsia="宋体" w:cs="宋体"/>
                <w:color w:val="212529"/>
                <w:spacing w:val="10"/>
                <w:sz w:val="15"/>
                <w:szCs w:val="15"/>
              </w:rPr>
              <w:t>住房公积金</w:t>
            </w:r>
          </w:p>
        </w:tc>
        <w:tc>
          <w:tcPr>
            <w:tcW w:w="2343" w:type="dxa"/>
            <w:vAlign w:val="top"/>
          </w:tcPr>
          <w:p w14:paraId="6BDA8AAF">
            <w:pPr>
              <w:spacing w:before="74" w:line="230" w:lineRule="auto"/>
              <w:ind w:left="330"/>
              <w:rPr>
                <w:rFonts w:ascii="宋体" w:hAnsi="宋体" w:eastAsia="宋体" w:cs="宋体"/>
                <w:sz w:val="15"/>
                <w:szCs w:val="15"/>
              </w:rPr>
            </w:pPr>
            <w:r>
              <w:rPr>
                <w:rFonts w:ascii="宋体" w:hAnsi="宋体" w:eastAsia="宋体" w:cs="宋体"/>
                <w:color w:val="212529"/>
                <w:spacing w:val="10"/>
                <w:sz w:val="15"/>
                <w:szCs w:val="15"/>
              </w:rPr>
              <w:t>住房公积金</w:t>
            </w:r>
          </w:p>
        </w:tc>
        <w:tc>
          <w:tcPr>
            <w:tcW w:w="1134" w:type="dxa"/>
            <w:vAlign w:val="top"/>
          </w:tcPr>
          <w:p w14:paraId="1001B330">
            <w:pPr>
              <w:spacing w:before="74"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5.64</w:t>
            </w:r>
          </w:p>
        </w:tc>
        <w:tc>
          <w:tcPr>
            <w:tcW w:w="1134" w:type="dxa"/>
            <w:vAlign w:val="top"/>
          </w:tcPr>
          <w:p w14:paraId="64B89B9A">
            <w:pPr>
              <w:spacing w:before="191" w:line="62" w:lineRule="exact"/>
              <w:ind w:left="877"/>
              <w:rPr>
                <w:rFonts w:ascii="宋体" w:hAnsi="宋体" w:eastAsia="宋体" w:cs="宋体"/>
                <w:sz w:val="15"/>
                <w:szCs w:val="15"/>
              </w:rPr>
            </w:pPr>
            <w:r>
              <w:rPr>
                <w:rFonts w:ascii="宋体" w:hAnsi="宋体" w:eastAsia="宋体" w:cs="宋体"/>
                <w:color w:val="212529"/>
                <w:position w:val="1"/>
                <w:sz w:val="15"/>
                <w:szCs w:val="15"/>
              </w:rPr>
              <w:t>.</w:t>
            </w:r>
          </w:p>
        </w:tc>
        <w:tc>
          <w:tcPr>
            <w:tcW w:w="1064" w:type="dxa"/>
            <w:vAlign w:val="top"/>
          </w:tcPr>
          <w:p w14:paraId="3AD50B32">
            <w:pPr>
              <w:pStyle w:val="6"/>
            </w:pPr>
          </w:p>
        </w:tc>
      </w:tr>
      <w:tr w14:paraId="4EE27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407" w:type="dxa"/>
            <w:vAlign w:val="top"/>
          </w:tcPr>
          <w:p w14:paraId="7BE4EB84">
            <w:pPr>
              <w:spacing w:before="74" w:line="230" w:lineRule="auto"/>
              <w:ind w:left="330"/>
              <w:rPr>
                <w:rFonts w:ascii="宋体" w:hAnsi="宋体" w:eastAsia="宋体" w:cs="宋体"/>
                <w:sz w:val="15"/>
                <w:szCs w:val="15"/>
              </w:rPr>
            </w:pPr>
            <w:r>
              <w:rPr>
                <w:rFonts w:ascii="宋体" w:hAnsi="宋体" w:eastAsia="宋体" w:cs="宋体"/>
                <w:color w:val="212529"/>
                <w:spacing w:val="11"/>
                <w:sz w:val="15"/>
                <w:szCs w:val="15"/>
              </w:rPr>
              <w:t>其他工资福利支出</w:t>
            </w:r>
          </w:p>
        </w:tc>
        <w:tc>
          <w:tcPr>
            <w:tcW w:w="2343" w:type="dxa"/>
            <w:vAlign w:val="top"/>
          </w:tcPr>
          <w:p w14:paraId="69127315">
            <w:pPr>
              <w:spacing w:before="74" w:line="230" w:lineRule="auto"/>
              <w:ind w:left="329"/>
              <w:rPr>
                <w:rFonts w:ascii="宋体" w:hAnsi="宋体" w:eastAsia="宋体" w:cs="宋体"/>
                <w:sz w:val="15"/>
                <w:szCs w:val="15"/>
              </w:rPr>
            </w:pPr>
            <w:r>
              <w:rPr>
                <w:rFonts w:ascii="宋体" w:hAnsi="宋体" w:eastAsia="宋体" w:cs="宋体"/>
                <w:color w:val="212529"/>
                <w:spacing w:val="11"/>
                <w:sz w:val="15"/>
                <w:szCs w:val="15"/>
              </w:rPr>
              <w:t>其他工资福利支出</w:t>
            </w:r>
          </w:p>
        </w:tc>
        <w:tc>
          <w:tcPr>
            <w:tcW w:w="1134" w:type="dxa"/>
            <w:vAlign w:val="top"/>
          </w:tcPr>
          <w:p w14:paraId="55084B63">
            <w:pPr>
              <w:spacing w:before="74"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6.77</w:t>
            </w:r>
          </w:p>
        </w:tc>
        <w:tc>
          <w:tcPr>
            <w:tcW w:w="1134" w:type="dxa"/>
            <w:vAlign w:val="top"/>
          </w:tcPr>
          <w:p w14:paraId="42CDD611">
            <w:pPr>
              <w:spacing w:before="190" w:line="63" w:lineRule="exact"/>
              <w:ind w:left="877"/>
              <w:rPr>
                <w:rFonts w:ascii="宋体" w:hAnsi="宋体" w:eastAsia="宋体" w:cs="宋体"/>
                <w:sz w:val="15"/>
                <w:szCs w:val="15"/>
              </w:rPr>
            </w:pPr>
            <w:r>
              <w:rPr>
                <w:rFonts w:ascii="宋体" w:hAnsi="宋体" w:eastAsia="宋体" w:cs="宋体"/>
                <w:color w:val="212529"/>
                <w:position w:val="1"/>
                <w:sz w:val="15"/>
                <w:szCs w:val="15"/>
              </w:rPr>
              <w:t>.</w:t>
            </w:r>
          </w:p>
        </w:tc>
        <w:tc>
          <w:tcPr>
            <w:tcW w:w="1064" w:type="dxa"/>
            <w:vAlign w:val="top"/>
          </w:tcPr>
          <w:p w14:paraId="47C63FDE">
            <w:pPr>
              <w:pStyle w:val="6"/>
            </w:pPr>
          </w:p>
        </w:tc>
      </w:tr>
      <w:tr w14:paraId="1EEDF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407" w:type="dxa"/>
            <w:vAlign w:val="top"/>
          </w:tcPr>
          <w:p w14:paraId="17F0911D">
            <w:pPr>
              <w:spacing w:before="74" w:line="229" w:lineRule="auto"/>
              <w:ind w:left="9"/>
              <w:rPr>
                <w:rFonts w:ascii="宋体" w:hAnsi="宋体" w:eastAsia="宋体" w:cs="宋体"/>
                <w:sz w:val="15"/>
                <w:szCs w:val="15"/>
              </w:rPr>
            </w:pPr>
            <w:r>
              <w:rPr>
                <w:rFonts w:ascii="宋体" w:hAnsi="宋体" w:eastAsia="宋体" w:cs="宋体"/>
                <w:color w:val="212529"/>
                <w:spacing w:val="10"/>
                <w:sz w:val="15"/>
                <w:szCs w:val="15"/>
              </w:rPr>
              <w:t>商品和服务支出</w:t>
            </w:r>
          </w:p>
        </w:tc>
        <w:tc>
          <w:tcPr>
            <w:tcW w:w="2343" w:type="dxa"/>
            <w:vAlign w:val="top"/>
          </w:tcPr>
          <w:p w14:paraId="6A81DBAA">
            <w:pPr>
              <w:pStyle w:val="6"/>
            </w:pPr>
          </w:p>
        </w:tc>
        <w:tc>
          <w:tcPr>
            <w:tcW w:w="1134" w:type="dxa"/>
            <w:vAlign w:val="top"/>
          </w:tcPr>
          <w:p w14:paraId="6B5DAA2C">
            <w:pPr>
              <w:spacing w:before="190" w:line="63" w:lineRule="exact"/>
              <w:ind w:left="875"/>
              <w:rPr>
                <w:rFonts w:ascii="宋体" w:hAnsi="宋体" w:eastAsia="宋体" w:cs="宋体"/>
                <w:sz w:val="15"/>
                <w:szCs w:val="15"/>
              </w:rPr>
            </w:pPr>
            <w:r>
              <w:rPr>
                <w:rFonts w:ascii="宋体" w:hAnsi="宋体" w:eastAsia="宋体" w:cs="宋体"/>
                <w:color w:val="212529"/>
                <w:position w:val="1"/>
                <w:sz w:val="15"/>
                <w:szCs w:val="15"/>
              </w:rPr>
              <w:t>.</w:t>
            </w:r>
          </w:p>
        </w:tc>
        <w:tc>
          <w:tcPr>
            <w:tcW w:w="1134" w:type="dxa"/>
            <w:vAlign w:val="top"/>
          </w:tcPr>
          <w:p w14:paraId="54D3E6B2">
            <w:pPr>
              <w:pStyle w:val="6"/>
            </w:pPr>
          </w:p>
        </w:tc>
        <w:tc>
          <w:tcPr>
            <w:tcW w:w="1064" w:type="dxa"/>
            <w:vAlign w:val="top"/>
          </w:tcPr>
          <w:p w14:paraId="50DC118A">
            <w:pPr>
              <w:spacing w:before="74"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7.52</w:t>
            </w:r>
          </w:p>
        </w:tc>
      </w:tr>
      <w:tr w14:paraId="222C6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047B666A">
            <w:pPr>
              <w:spacing w:before="73" w:line="229" w:lineRule="auto"/>
              <w:ind w:left="334"/>
              <w:rPr>
                <w:rFonts w:ascii="宋体" w:hAnsi="宋体" w:eastAsia="宋体" w:cs="宋体"/>
                <w:sz w:val="15"/>
                <w:szCs w:val="15"/>
              </w:rPr>
            </w:pPr>
            <w:r>
              <w:rPr>
                <w:rFonts w:ascii="宋体" w:hAnsi="宋体" w:eastAsia="宋体" w:cs="宋体"/>
                <w:color w:val="212529"/>
                <w:spacing w:val="7"/>
                <w:sz w:val="15"/>
                <w:szCs w:val="15"/>
              </w:rPr>
              <w:t>办公费</w:t>
            </w:r>
          </w:p>
        </w:tc>
        <w:tc>
          <w:tcPr>
            <w:tcW w:w="2343" w:type="dxa"/>
            <w:vAlign w:val="top"/>
          </w:tcPr>
          <w:p w14:paraId="0BEA3855">
            <w:pPr>
              <w:spacing w:before="73" w:line="229" w:lineRule="auto"/>
              <w:ind w:left="333"/>
              <w:rPr>
                <w:rFonts w:ascii="宋体" w:hAnsi="宋体" w:eastAsia="宋体" w:cs="宋体"/>
                <w:sz w:val="15"/>
                <w:szCs w:val="15"/>
              </w:rPr>
            </w:pPr>
            <w:r>
              <w:rPr>
                <w:rFonts w:ascii="宋体" w:hAnsi="宋体" w:eastAsia="宋体" w:cs="宋体"/>
                <w:color w:val="212529"/>
                <w:spacing w:val="8"/>
                <w:sz w:val="15"/>
                <w:szCs w:val="15"/>
              </w:rPr>
              <w:t>办公经费</w:t>
            </w:r>
          </w:p>
        </w:tc>
        <w:tc>
          <w:tcPr>
            <w:tcW w:w="1134" w:type="dxa"/>
            <w:vAlign w:val="top"/>
          </w:tcPr>
          <w:p w14:paraId="0ADE5F08">
            <w:pPr>
              <w:spacing w:before="190" w:line="63" w:lineRule="exact"/>
              <w:ind w:left="875"/>
              <w:rPr>
                <w:rFonts w:ascii="宋体" w:hAnsi="宋体" w:eastAsia="宋体" w:cs="宋体"/>
                <w:sz w:val="15"/>
                <w:szCs w:val="15"/>
              </w:rPr>
            </w:pPr>
            <w:r>
              <w:rPr>
                <w:rFonts w:ascii="宋体" w:hAnsi="宋体" w:eastAsia="宋体" w:cs="宋体"/>
                <w:color w:val="212529"/>
                <w:position w:val="1"/>
                <w:sz w:val="15"/>
                <w:szCs w:val="15"/>
              </w:rPr>
              <w:t>.</w:t>
            </w:r>
          </w:p>
        </w:tc>
        <w:tc>
          <w:tcPr>
            <w:tcW w:w="1134" w:type="dxa"/>
            <w:vAlign w:val="top"/>
          </w:tcPr>
          <w:p w14:paraId="2A6601D0">
            <w:pPr>
              <w:pStyle w:val="6"/>
            </w:pPr>
          </w:p>
        </w:tc>
        <w:tc>
          <w:tcPr>
            <w:tcW w:w="1064" w:type="dxa"/>
            <w:vAlign w:val="top"/>
          </w:tcPr>
          <w:p w14:paraId="158D3FEE">
            <w:pPr>
              <w:spacing w:before="73" w:line="202" w:lineRule="exact"/>
              <w:ind w:right="22"/>
              <w:jc w:val="right"/>
              <w:rPr>
                <w:rFonts w:ascii="宋体" w:hAnsi="宋体" w:eastAsia="宋体" w:cs="宋体"/>
                <w:sz w:val="15"/>
                <w:szCs w:val="15"/>
              </w:rPr>
            </w:pPr>
            <w:r>
              <w:rPr>
                <w:rFonts w:ascii="宋体" w:hAnsi="宋体" w:eastAsia="宋体" w:cs="宋体"/>
                <w:color w:val="212529"/>
                <w:spacing w:val="1"/>
                <w:position w:val="1"/>
                <w:sz w:val="15"/>
                <w:szCs w:val="15"/>
              </w:rPr>
              <w:t>1.32</w:t>
            </w:r>
          </w:p>
        </w:tc>
      </w:tr>
      <w:tr w14:paraId="377AF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407" w:type="dxa"/>
            <w:vAlign w:val="top"/>
          </w:tcPr>
          <w:p w14:paraId="67DBE1C0">
            <w:pPr>
              <w:spacing w:before="74" w:line="230" w:lineRule="auto"/>
              <w:ind w:left="331"/>
              <w:rPr>
                <w:rFonts w:ascii="宋体" w:hAnsi="宋体" w:eastAsia="宋体" w:cs="宋体"/>
                <w:sz w:val="15"/>
                <w:szCs w:val="15"/>
              </w:rPr>
            </w:pPr>
            <w:r>
              <w:rPr>
                <w:rFonts w:ascii="宋体" w:hAnsi="宋体" w:eastAsia="宋体" w:cs="宋体"/>
                <w:color w:val="212529"/>
                <w:spacing w:val="8"/>
                <w:sz w:val="15"/>
                <w:szCs w:val="15"/>
              </w:rPr>
              <w:t>取暖费</w:t>
            </w:r>
          </w:p>
        </w:tc>
        <w:tc>
          <w:tcPr>
            <w:tcW w:w="2343" w:type="dxa"/>
            <w:vAlign w:val="top"/>
          </w:tcPr>
          <w:p w14:paraId="4C9EAE62">
            <w:pPr>
              <w:spacing w:before="74" w:line="229" w:lineRule="auto"/>
              <w:ind w:left="333"/>
              <w:rPr>
                <w:rFonts w:ascii="宋体" w:hAnsi="宋体" w:eastAsia="宋体" w:cs="宋体"/>
                <w:sz w:val="15"/>
                <w:szCs w:val="15"/>
              </w:rPr>
            </w:pPr>
            <w:r>
              <w:rPr>
                <w:rFonts w:ascii="宋体" w:hAnsi="宋体" w:eastAsia="宋体" w:cs="宋体"/>
                <w:color w:val="212529"/>
                <w:spacing w:val="8"/>
                <w:sz w:val="15"/>
                <w:szCs w:val="15"/>
              </w:rPr>
              <w:t>办公经费</w:t>
            </w:r>
          </w:p>
        </w:tc>
        <w:tc>
          <w:tcPr>
            <w:tcW w:w="1134" w:type="dxa"/>
            <w:vAlign w:val="top"/>
          </w:tcPr>
          <w:p w14:paraId="021E1995">
            <w:pPr>
              <w:spacing w:before="74"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0.27</w:t>
            </w:r>
          </w:p>
        </w:tc>
        <w:tc>
          <w:tcPr>
            <w:tcW w:w="1134" w:type="dxa"/>
            <w:vAlign w:val="top"/>
          </w:tcPr>
          <w:p w14:paraId="4C20A90F">
            <w:pPr>
              <w:pStyle w:val="6"/>
            </w:pPr>
          </w:p>
        </w:tc>
        <w:tc>
          <w:tcPr>
            <w:tcW w:w="1064" w:type="dxa"/>
            <w:vAlign w:val="top"/>
          </w:tcPr>
          <w:p w14:paraId="09ADDB99">
            <w:pPr>
              <w:spacing w:before="74"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0.27</w:t>
            </w:r>
          </w:p>
        </w:tc>
      </w:tr>
      <w:tr w14:paraId="6E674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3562A638">
            <w:pPr>
              <w:spacing w:before="74" w:line="228" w:lineRule="auto"/>
              <w:ind w:left="333"/>
              <w:rPr>
                <w:rFonts w:ascii="宋体" w:hAnsi="宋体" w:eastAsia="宋体" w:cs="宋体"/>
                <w:sz w:val="15"/>
                <w:szCs w:val="15"/>
              </w:rPr>
            </w:pPr>
            <w:r>
              <w:rPr>
                <w:rFonts w:ascii="宋体" w:hAnsi="宋体" w:eastAsia="宋体" w:cs="宋体"/>
                <w:color w:val="212529"/>
                <w:spacing w:val="9"/>
                <w:sz w:val="15"/>
                <w:szCs w:val="15"/>
              </w:rPr>
              <w:t>工会经费</w:t>
            </w:r>
          </w:p>
        </w:tc>
        <w:tc>
          <w:tcPr>
            <w:tcW w:w="2343" w:type="dxa"/>
            <w:vAlign w:val="top"/>
          </w:tcPr>
          <w:p w14:paraId="0F755E19">
            <w:pPr>
              <w:spacing w:before="74" w:line="229" w:lineRule="auto"/>
              <w:ind w:left="333"/>
              <w:rPr>
                <w:rFonts w:ascii="宋体" w:hAnsi="宋体" w:eastAsia="宋体" w:cs="宋体"/>
                <w:sz w:val="15"/>
                <w:szCs w:val="15"/>
              </w:rPr>
            </w:pPr>
            <w:r>
              <w:rPr>
                <w:rFonts w:ascii="宋体" w:hAnsi="宋体" w:eastAsia="宋体" w:cs="宋体"/>
                <w:color w:val="212529"/>
                <w:spacing w:val="8"/>
                <w:sz w:val="15"/>
                <w:szCs w:val="15"/>
              </w:rPr>
              <w:t>办公经费</w:t>
            </w:r>
          </w:p>
        </w:tc>
        <w:tc>
          <w:tcPr>
            <w:tcW w:w="1134" w:type="dxa"/>
            <w:vAlign w:val="top"/>
          </w:tcPr>
          <w:p w14:paraId="4313630F">
            <w:pPr>
              <w:spacing w:before="74"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0.83</w:t>
            </w:r>
          </w:p>
        </w:tc>
        <w:tc>
          <w:tcPr>
            <w:tcW w:w="1134" w:type="dxa"/>
            <w:vAlign w:val="top"/>
          </w:tcPr>
          <w:p w14:paraId="7C01F2D6">
            <w:pPr>
              <w:pStyle w:val="6"/>
            </w:pPr>
          </w:p>
        </w:tc>
        <w:tc>
          <w:tcPr>
            <w:tcW w:w="1064" w:type="dxa"/>
            <w:vAlign w:val="top"/>
          </w:tcPr>
          <w:p w14:paraId="6FAE3B9A">
            <w:pPr>
              <w:spacing w:before="74"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0.83</w:t>
            </w:r>
          </w:p>
        </w:tc>
      </w:tr>
      <w:tr w14:paraId="1AF4A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407" w:type="dxa"/>
            <w:vAlign w:val="top"/>
          </w:tcPr>
          <w:p w14:paraId="2A557FF1">
            <w:pPr>
              <w:spacing w:before="74" w:line="230" w:lineRule="auto"/>
              <w:ind w:left="330"/>
              <w:rPr>
                <w:rFonts w:ascii="宋体" w:hAnsi="宋体" w:eastAsia="宋体" w:cs="宋体"/>
                <w:sz w:val="15"/>
                <w:szCs w:val="15"/>
              </w:rPr>
            </w:pPr>
            <w:r>
              <w:rPr>
                <w:rFonts w:ascii="宋体" w:hAnsi="宋体" w:eastAsia="宋体" w:cs="宋体"/>
                <w:color w:val="212529"/>
                <w:spacing w:val="9"/>
                <w:sz w:val="15"/>
                <w:szCs w:val="15"/>
              </w:rPr>
              <w:t>福利费</w:t>
            </w:r>
          </w:p>
        </w:tc>
        <w:tc>
          <w:tcPr>
            <w:tcW w:w="2343" w:type="dxa"/>
            <w:vAlign w:val="top"/>
          </w:tcPr>
          <w:p w14:paraId="2BD332A9">
            <w:pPr>
              <w:spacing w:before="75" w:line="229" w:lineRule="auto"/>
              <w:ind w:left="333"/>
              <w:rPr>
                <w:rFonts w:ascii="宋体" w:hAnsi="宋体" w:eastAsia="宋体" w:cs="宋体"/>
                <w:sz w:val="15"/>
                <w:szCs w:val="15"/>
              </w:rPr>
            </w:pPr>
            <w:r>
              <w:rPr>
                <w:rFonts w:ascii="宋体" w:hAnsi="宋体" w:eastAsia="宋体" w:cs="宋体"/>
                <w:color w:val="212529"/>
                <w:spacing w:val="8"/>
                <w:sz w:val="15"/>
                <w:szCs w:val="15"/>
              </w:rPr>
              <w:t>办公经费</w:t>
            </w:r>
          </w:p>
        </w:tc>
        <w:tc>
          <w:tcPr>
            <w:tcW w:w="1134" w:type="dxa"/>
            <w:vAlign w:val="top"/>
          </w:tcPr>
          <w:p w14:paraId="644080E2">
            <w:pPr>
              <w:spacing w:before="75" w:line="202" w:lineRule="exact"/>
              <w:ind w:right="18"/>
              <w:jc w:val="right"/>
              <w:rPr>
                <w:rFonts w:ascii="宋体" w:hAnsi="宋体" w:eastAsia="宋体" w:cs="宋体"/>
                <w:sz w:val="15"/>
                <w:szCs w:val="15"/>
              </w:rPr>
            </w:pPr>
            <w:r>
              <w:rPr>
                <w:rFonts w:ascii="宋体" w:hAnsi="宋体" w:eastAsia="宋体" w:cs="宋体"/>
                <w:color w:val="212529"/>
                <w:spacing w:val="1"/>
                <w:position w:val="1"/>
                <w:sz w:val="15"/>
                <w:szCs w:val="15"/>
              </w:rPr>
              <w:t>1.45</w:t>
            </w:r>
          </w:p>
        </w:tc>
        <w:tc>
          <w:tcPr>
            <w:tcW w:w="1134" w:type="dxa"/>
            <w:vAlign w:val="top"/>
          </w:tcPr>
          <w:p w14:paraId="64EF6991">
            <w:pPr>
              <w:pStyle w:val="6"/>
            </w:pPr>
          </w:p>
        </w:tc>
        <w:tc>
          <w:tcPr>
            <w:tcW w:w="1064" w:type="dxa"/>
            <w:vAlign w:val="top"/>
          </w:tcPr>
          <w:p w14:paraId="1A4CA071">
            <w:pPr>
              <w:spacing w:before="75" w:line="202" w:lineRule="exact"/>
              <w:ind w:right="22"/>
              <w:jc w:val="right"/>
              <w:rPr>
                <w:rFonts w:ascii="宋体" w:hAnsi="宋体" w:eastAsia="宋体" w:cs="宋体"/>
                <w:sz w:val="15"/>
                <w:szCs w:val="15"/>
              </w:rPr>
            </w:pPr>
            <w:r>
              <w:rPr>
                <w:rFonts w:ascii="宋体" w:hAnsi="宋体" w:eastAsia="宋体" w:cs="宋体"/>
                <w:color w:val="212529"/>
                <w:spacing w:val="1"/>
                <w:position w:val="1"/>
                <w:sz w:val="15"/>
                <w:szCs w:val="15"/>
              </w:rPr>
              <w:t>1.45</w:t>
            </w:r>
          </w:p>
        </w:tc>
      </w:tr>
      <w:tr w14:paraId="1649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3407" w:type="dxa"/>
            <w:vAlign w:val="top"/>
          </w:tcPr>
          <w:p w14:paraId="7C987E11">
            <w:pPr>
              <w:spacing w:before="74" w:line="230" w:lineRule="auto"/>
              <w:ind w:left="330"/>
              <w:rPr>
                <w:rFonts w:ascii="宋体" w:hAnsi="宋体" w:eastAsia="宋体" w:cs="宋体"/>
                <w:sz w:val="15"/>
                <w:szCs w:val="15"/>
              </w:rPr>
            </w:pPr>
            <w:r>
              <w:rPr>
                <w:rFonts w:ascii="宋体" w:hAnsi="宋体" w:eastAsia="宋体" w:cs="宋体"/>
                <w:color w:val="212529"/>
                <w:spacing w:val="10"/>
                <w:sz w:val="15"/>
                <w:szCs w:val="15"/>
              </w:rPr>
              <w:t>其他交通费用</w:t>
            </w:r>
          </w:p>
        </w:tc>
        <w:tc>
          <w:tcPr>
            <w:tcW w:w="2343" w:type="dxa"/>
            <w:vAlign w:val="top"/>
          </w:tcPr>
          <w:p w14:paraId="2B463FC5">
            <w:pPr>
              <w:spacing w:before="74" w:line="229" w:lineRule="auto"/>
              <w:ind w:left="333"/>
              <w:rPr>
                <w:rFonts w:ascii="宋体" w:hAnsi="宋体" w:eastAsia="宋体" w:cs="宋体"/>
                <w:sz w:val="15"/>
                <w:szCs w:val="15"/>
              </w:rPr>
            </w:pPr>
            <w:r>
              <w:rPr>
                <w:rFonts w:ascii="宋体" w:hAnsi="宋体" w:eastAsia="宋体" w:cs="宋体"/>
                <w:color w:val="212529"/>
                <w:spacing w:val="8"/>
                <w:sz w:val="15"/>
                <w:szCs w:val="15"/>
              </w:rPr>
              <w:t>办公经费</w:t>
            </w:r>
          </w:p>
        </w:tc>
        <w:tc>
          <w:tcPr>
            <w:tcW w:w="1134" w:type="dxa"/>
            <w:vAlign w:val="top"/>
          </w:tcPr>
          <w:p w14:paraId="5086AB28">
            <w:pPr>
              <w:spacing w:before="74"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3.66</w:t>
            </w:r>
          </w:p>
        </w:tc>
        <w:tc>
          <w:tcPr>
            <w:tcW w:w="1134" w:type="dxa"/>
            <w:vAlign w:val="top"/>
          </w:tcPr>
          <w:p w14:paraId="136765DE">
            <w:pPr>
              <w:pStyle w:val="6"/>
            </w:pPr>
          </w:p>
        </w:tc>
        <w:tc>
          <w:tcPr>
            <w:tcW w:w="1064" w:type="dxa"/>
            <w:vAlign w:val="top"/>
          </w:tcPr>
          <w:p w14:paraId="53EACF5E">
            <w:pPr>
              <w:spacing w:before="74" w:line="202" w:lineRule="exact"/>
              <w:ind w:right="22"/>
              <w:jc w:val="right"/>
              <w:rPr>
                <w:rFonts w:ascii="宋体" w:hAnsi="宋体" w:eastAsia="宋体" w:cs="宋体"/>
                <w:sz w:val="15"/>
                <w:szCs w:val="15"/>
              </w:rPr>
            </w:pPr>
            <w:r>
              <w:rPr>
                <w:rFonts w:ascii="宋体" w:hAnsi="宋体" w:eastAsia="宋体" w:cs="宋体"/>
                <w:color w:val="212529"/>
                <w:spacing w:val="3"/>
                <w:position w:val="1"/>
                <w:sz w:val="15"/>
                <w:szCs w:val="15"/>
              </w:rPr>
              <w:t>3.66</w:t>
            </w:r>
          </w:p>
        </w:tc>
      </w:tr>
      <w:tr w14:paraId="1EB7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3407" w:type="dxa"/>
            <w:vAlign w:val="top"/>
          </w:tcPr>
          <w:p w14:paraId="6A263DE8">
            <w:pPr>
              <w:spacing w:before="74" w:line="229" w:lineRule="auto"/>
              <w:ind w:left="6"/>
              <w:rPr>
                <w:rFonts w:ascii="宋体" w:hAnsi="宋体" w:eastAsia="宋体" w:cs="宋体"/>
                <w:sz w:val="15"/>
                <w:szCs w:val="15"/>
              </w:rPr>
            </w:pPr>
            <w:r>
              <w:rPr>
                <w:rFonts w:ascii="宋体" w:hAnsi="宋体" w:eastAsia="宋体" w:cs="宋体"/>
                <w:color w:val="212529"/>
                <w:spacing w:val="11"/>
                <w:sz w:val="15"/>
                <w:szCs w:val="15"/>
              </w:rPr>
              <w:t>对个人和家庭的补助</w:t>
            </w:r>
          </w:p>
        </w:tc>
        <w:tc>
          <w:tcPr>
            <w:tcW w:w="2343" w:type="dxa"/>
            <w:vAlign w:val="top"/>
          </w:tcPr>
          <w:p w14:paraId="39195129">
            <w:pPr>
              <w:pStyle w:val="6"/>
            </w:pPr>
          </w:p>
        </w:tc>
        <w:tc>
          <w:tcPr>
            <w:tcW w:w="1134" w:type="dxa"/>
            <w:vAlign w:val="top"/>
          </w:tcPr>
          <w:p w14:paraId="719201E2">
            <w:pPr>
              <w:spacing w:before="74"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2.92</w:t>
            </w:r>
          </w:p>
        </w:tc>
        <w:tc>
          <w:tcPr>
            <w:tcW w:w="1134" w:type="dxa"/>
            <w:vAlign w:val="top"/>
          </w:tcPr>
          <w:p w14:paraId="4DE6812F">
            <w:pPr>
              <w:spacing w:before="74" w:line="202" w:lineRule="exact"/>
              <w:ind w:right="15"/>
              <w:jc w:val="right"/>
              <w:rPr>
                <w:rFonts w:ascii="宋体" w:hAnsi="宋体" w:eastAsia="宋体" w:cs="宋体"/>
                <w:sz w:val="15"/>
                <w:szCs w:val="15"/>
              </w:rPr>
            </w:pPr>
            <w:r>
              <w:rPr>
                <w:rFonts w:ascii="宋体" w:hAnsi="宋体" w:eastAsia="宋体" w:cs="宋体"/>
                <w:color w:val="212529"/>
                <w:spacing w:val="3"/>
                <w:position w:val="1"/>
                <w:sz w:val="15"/>
                <w:szCs w:val="15"/>
              </w:rPr>
              <w:t>2.92</w:t>
            </w:r>
          </w:p>
        </w:tc>
        <w:tc>
          <w:tcPr>
            <w:tcW w:w="1064" w:type="dxa"/>
            <w:vAlign w:val="top"/>
          </w:tcPr>
          <w:p w14:paraId="45125732">
            <w:pPr>
              <w:pStyle w:val="6"/>
            </w:pPr>
          </w:p>
        </w:tc>
      </w:tr>
      <w:tr w14:paraId="5EA94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3407" w:type="dxa"/>
            <w:vAlign w:val="top"/>
          </w:tcPr>
          <w:p w14:paraId="24BD165F">
            <w:pPr>
              <w:spacing w:before="75" w:line="229" w:lineRule="auto"/>
              <w:ind w:left="331"/>
              <w:rPr>
                <w:rFonts w:ascii="宋体" w:hAnsi="宋体" w:eastAsia="宋体" w:cs="宋体"/>
                <w:sz w:val="15"/>
                <w:szCs w:val="15"/>
              </w:rPr>
            </w:pPr>
            <w:r>
              <w:rPr>
                <w:rFonts w:ascii="宋体" w:hAnsi="宋体" w:eastAsia="宋体" w:cs="宋体"/>
                <w:color w:val="212529"/>
                <w:spacing w:val="8"/>
                <w:sz w:val="15"/>
                <w:szCs w:val="15"/>
              </w:rPr>
              <w:t>退休费</w:t>
            </w:r>
          </w:p>
        </w:tc>
        <w:tc>
          <w:tcPr>
            <w:tcW w:w="2343" w:type="dxa"/>
            <w:vAlign w:val="top"/>
          </w:tcPr>
          <w:p w14:paraId="66D67E93">
            <w:pPr>
              <w:spacing w:before="75" w:line="229" w:lineRule="auto"/>
              <w:ind w:left="332"/>
              <w:rPr>
                <w:rFonts w:ascii="宋体" w:hAnsi="宋体" w:eastAsia="宋体" w:cs="宋体"/>
                <w:sz w:val="15"/>
                <w:szCs w:val="15"/>
              </w:rPr>
            </w:pPr>
            <w:r>
              <w:rPr>
                <w:rFonts w:ascii="宋体" w:hAnsi="宋体" w:eastAsia="宋体" w:cs="宋体"/>
                <w:color w:val="212529"/>
                <w:spacing w:val="9"/>
                <w:sz w:val="15"/>
                <w:szCs w:val="15"/>
              </w:rPr>
              <w:t>离退休费</w:t>
            </w:r>
          </w:p>
        </w:tc>
        <w:tc>
          <w:tcPr>
            <w:tcW w:w="1134" w:type="dxa"/>
            <w:vAlign w:val="top"/>
          </w:tcPr>
          <w:p w14:paraId="62379CBD">
            <w:pPr>
              <w:spacing w:before="75" w:line="202" w:lineRule="exact"/>
              <w:ind w:right="18"/>
              <w:jc w:val="right"/>
              <w:rPr>
                <w:rFonts w:ascii="宋体" w:hAnsi="宋体" w:eastAsia="宋体" w:cs="宋体"/>
                <w:sz w:val="15"/>
                <w:szCs w:val="15"/>
              </w:rPr>
            </w:pPr>
            <w:r>
              <w:rPr>
                <w:rFonts w:ascii="宋体" w:hAnsi="宋体" w:eastAsia="宋体" w:cs="宋体"/>
                <w:color w:val="212529"/>
                <w:spacing w:val="3"/>
                <w:position w:val="1"/>
                <w:sz w:val="15"/>
                <w:szCs w:val="15"/>
              </w:rPr>
              <w:t>2.92</w:t>
            </w:r>
          </w:p>
        </w:tc>
        <w:tc>
          <w:tcPr>
            <w:tcW w:w="1134" w:type="dxa"/>
            <w:vAlign w:val="top"/>
          </w:tcPr>
          <w:p w14:paraId="0EDAE6DE">
            <w:pPr>
              <w:spacing w:before="75" w:line="202" w:lineRule="exact"/>
              <w:ind w:right="15"/>
              <w:jc w:val="right"/>
              <w:rPr>
                <w:rFonts w:ascii="宋体" w:hAnsi="宋体" w:eastAsia="宋体" w:cs="宋体"/>
                <w:sz w:val="15"/>
                <w:szCs w:val="15"/>
              </w:rPr>
            </w:pPr>
            <w:r>
              <w:rPr>
                <w:rFonts w:ascii="宋体" w:hAnsi="宋体" w:eastAsia="宋体" w:cs="宋体"/>
                <w:color w:val="212529"/>
                <w:spacing w:val="3"/>
                <w:position w:val="1"/>
                <w:sz w:val="15"/>
                <w:szCs w:val="15"/>
              </w:rPr>
              <w:t>2.92</w:t>
            </w:r>
          </w:p>
        </w:tc>
        <w:tc>
          <w:tcPr>
            <w:tcW w:w="1064" w:type="dxa"/>
            <w:vAlign w:val="top"/>
          </w:tcPr>
          <w:p w14:paraId="5B71F969">
            <w:pPr>
              <w:pStyle w:val="6"/>
            </w:pPr>
          </w:p>
        </w:tc>
      </w:tr>
    </w:tbl>
    <w:p w14:paraId="104A36B5">
      <w:pPr>
        <w:pStyle w:val="2"/>
      </w:pPr>
    </w:p>
    <w:p w14:paraId="655B8825">
      <w:pPr>
        <w:sectPr>
          <w:headerReference r:id="rId24" w:type="default"/>
          <w:footerReference r:id="rId25" w:type="default"/>
          <w:pgSz w:w="11900" w:h="16840"/>
          <w:pgMar w:top="642" w:right="0" w:bottom="340" w:left="0" w:header="326" w:footer="93" w:gutter="0"/>
          <w:cols w:space="720" w:num="1"/>
        </w:sectPr>
      </w:pPr>
    </w:p>
    <w:p w14:paraId="4D36722F">
      <w:pPr>
        <w:spacing w:before="103"/>
      </w:pPr>
    </w:p>
    <w:p w14:paraId="79172681">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60"/>
        <w:gridCol w:w="4838"/>
        <w:gridCol w:w="1960"/>
      </w:tblGrid>
      <w:tr w14:paraId="40747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360" w:type="dxa"/>
            <w:tcBorders>
              <w:top w:val="single" w:color="FFFFFF" w:sz="4" w:space="0"/>
              <w:left w:val="single" w:color="FFFFFF" w:sz="2" w:space="0"/>
              <w:bottom w:val="single" w:color="FFFFFF" w:sz="4" w:space="0"/>
              <w:right w:val="single" w:color="FFFFFF" w:sz="2" w:space="0"/>
            </w:tcBorders>
            <w:vAlign w:val="top"/>
          </w:tcPr>
          <w:p w14:paraId="48DB848E">
            <w:pPr>
              <w:pStyle w:val="6"/>
            </w:pPr>
          </w:p>
        </w:tc>
        <w:tc>
          <w:tcPr>
            <w:tcW w:w="4838" w:type="dxa"/>
            <w:tcBorders>
              <w:top w:val="single" w:color="FFFFFF" w:sz="4" w:space="0"/>
              <w:left w:val="single" w:color="FFFFFF" w:sz="2" w:space="0"/>
              <w:bottom w:val="single" w:color="FFFFFF" w:sz="4" w:space="0"/>
              <w:right w:val="single" w:color="FFFFFF" w:sz="2" w:space="0"/>
            </w:tcBorders>
            <w:vAlign w:val="top"/>
          </w:tcPr>
          <w:p w14:paraId="081FD471">
            <w:pPr>
              <w:pStyle w:val="6"/>
            </w:pPr>
          </w:p>
        </w:tc>
        <w:tc>
          <w:tcPr>
            <w:tcW w:w="1960" w:type="dxa"/>
            <w:tcBorders>
              <w:top w:val="single" w:color="FFFFFF" w:sz="4" w:space="0"/>
              <w:left w:val="single" w:color="FFFFFF" w:sz="2" w:space="0"/>
              <w:bottom w:val="single" w:color="FFFFFF" w:sz="4" w:space="0"/>
              <w:right w:val="single" w:color="FFFFFF" w:sz="2" w:space="0"/>
            </w:tcBorders>
            <w:vAlign w:val="top"/>
          </w:tcPr>
          <w:p w14:paraId="795C57CA">
            <w:pPr>
              <w:pStyle w:val="6"/>
            </w:pPr>
          </w:p>
        </w:tc>
      </w:tr>
      <w:tr w14:paraId="323FC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6B2ECC58">
            <w:pPr>
              <w:spacing w:before="79" w:line="201" w:lineRule="exact"/>
              <w:ind w:left="2455"/>
              <w:outlineLvl w:val="1"/>
              <w:rPr>
                <w:rFonts w:ascii="微软雅黑" w:hAnsi="微软雅黑" w:eastAsia="微软雅黑" w:cs="微软雅黑"/>
                <w:sz w:val="20"/>
                <w:szCs w:val="20"/>
              </w:rPr>
            </w:pPr>
            <w:bookmarkStart w:id="20" w:name="bookmark13"/>
            <w:bookmarkEnd w:id="20"/>
            <w:bookmarkStart w:id="21" w:name="bookmark43"/>
            <w:bookmarkEnd w:id="21"/>
            <w:r>
              <w:rPr>
                <w:rFonts w:ascii="微软雅黑" w:hAnsi="微软雅黑" w:eastAsia="微软雅黑" w:cs="微软雅黑"/>
                <w:color w:val="212529"/>
                <w:position w:val="-1"/>
                <w:sz w:val="20"/>
                <w:szCs w:val="20"/>
              </w:rPr>
              <w:t>2025年政府性基金预算收入表</w:t>
            </w:r>
            <w:r>
              <w:rPr>
                <w:rFonts w:ascii="微软雅黑" w:hAnsi="微软雅黑" w:eastAsia="微软雅黑" w:cs="微软雅黑"/>
                <w:color w:val="212529"/>
                <w:spacing w:val="56"/>
                <w:w w:val="101"/>
                <w:position w:val="-1"/>
                <w:sz w:val="20"/>
                <w:szCs w:val="20"/>
              </w:rPr>
              <w:t xml:space="preserve"> </w:t>
            </w:r>
            <w:r>
              <w:rPr>
                <w:rFonts w:ascii="微软雅黑" w:hAnsi="微软雅黑" w:eastAsia="微软雅黑" w:cs="微软雅黑"/>
                <w:color w:val="212529"/>
                <w:position w:val="-1"/>
                <w:sz w:val="20"/>
                <w:szCs w:val="20"/>
              </w:rPr>
              <w:t>(不含上年结转)</w:t>
            </w:r>
          </w:p>
        </w:tc>
      </w:tr>
      <w:tr w14:paraId="08506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98" w:type="dxa"/>
            <w:gridSpan w:val="2"/>
            <w:tcBorders>
              <w:top w:val="single" w:color="FFFFFF" w:sz="4" w:space="0"/>
              <w:left w:val="single" w:color="FFFFFF" w:sz="2" w:space="0"/>
              <w:right w:val="single" w:color="FFFFFF" w:sz="2" w:space="0"/>
            </w:tcBorders>
            <w:vAlign w:val="top"/>
          </w:tcPr>
          <w:p w14:paraId="1A236610">
            <w:pPr>
              <w:spacing w:before="124"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960" w:type="dxa"/>
            <w:tcBorders>
              <w:top w:val="single" w:color="FFFFFF" w:sz="4" w:space="0"/>
              <w:left w:val="single" w:color="FFFFFF" w:sz="2" w:space="0"/>
              <w:right w:val="single" w:color="FFFFFF" w:sz="2" w:space="0"/>
            </w:tcBorders>
            <w:vAlign w:val="top"/>
          </w:tcPr>
          <w:p w14:paraId="210D8B2D">
            <w:pPr>
              <w:spacing w:before="124" w:line="235" w:lineRule="auto"/>
              <w:ind w:left="1352"/>
              <w:rPr>
                <w:rFonts w:ascii="宋体" w:hAnsi="宋体" w:eastAsia="宋体" w:cs="宋体"/>
                <w:sz w:val="12"/>
                <w:szCs w:val="12"/>
              </w:rPr>
            </w:pPr>
            <w:r>
              <w:rPr>
                <w:rFonts w:ascii="宋体" w:hAnsi="宋体" w:eastAsia="宋体" w:cs="宋体"/>
                <w:color w:val="212529"/>
                <w:spacing w:val="7"/>
                <w:sz w:val="12"/>
                <w:szCs w:val="12"/>
              </w:rPr>
              <w:t>单位:万元</w:t>
            </w:r>
          </w:p>
        </w:tc>
      </w:tr>
      <w:tr w14:paraId="060BF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98" w:type="dxa"/>
            <w:gridSpan w:val="2"/>
            <w:vAlign w:val="top"/>
          </w:tcPr>
          <w:p w14:paraId="47DF12A6">
            <w:pPr>
              <w:spacing w:before="112" w:line="154" w:lineRule="exact"/>
              <w:ind w:left="342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960" w:type="dxa"/>
            <w:vMerge w:val="restart"/>
            <w:tcBorders>
              <w:bottom w:val="nil"/>
            </w:tcBorders>
            <w:vAlign w:val="top"/>
          </w:tcPr>
          <w:p w14:paraId="34974A71">
            <w:pPr>
              <w:spacing w:before="304" w:line="158" w:lineRule="exact"/>
              <w:ind w:left="23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政府性基金收入预算</w:t>
            </w:r>
          </w:p>
        </w:tc>
      </w:tr>
      <w:tr w14:paraId="6403E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360" w:type="dxa"/>
            <w:vAlign w:val="top"/>
          </w:tcPr>
          <w:p w14:paraId="3129B175">
            <w:pPr>
              <w:spacing w:before="111" w:line="158" w:lineRule="exact"/>
              <w:ind w:left="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收入科目编码</w:t>
            </w:r>
          </w:p>
        </w:tc>
        <w:tc>
          <w:tcPr>
            <w:tcW w:w="4838" w:type="dxa"/>
            <w:vAlign w:val="top"/>
          </w:tcPr>
          <w:p w14:paraId="5A78C19A">
            <w:pPr>
              <w:spacing w:before="111" w:line="156" w:lineRule="exact"/>
              <w:ind w:left="2076"/>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960" w:type="dxa"/>
            <w:vMerge w:val="continue"/>
            <w:tcBorders>
              <w:top w:val="nil"/>
            </w:tcBorders>
            <w:vAlign w:val="top"/>
          </w:tcPr>
          <w:p w14:paraId="76EB4C25">
            <w:pPr>
              <w:pStyle w:val="6"/>
            </w:pPr>
          </w:p>
        </w:tc>
      </w:tr>
      <w:tr w14:paraId="6FE00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98" w:type="dxa"/>
            <w:gridSpan w:val="2"/>
            <w:vAlign w:val="top"/>
          </w:tcPr>
          <w:p w14:paraId="429C8794">
            <w:pPr>
              <w:spacing w:before="113" w:line="154" w:lineRule="exact"/>
              <w:ind w:left="342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960" w:type="dxa"/>
            <w:vAlign w:val="top"/>
          </w:tcPr>
          <w:p w14:paraId="3FE02C48">
            <w:pPr>
              <w:pStyle w:val="6"/>
            </w:pPr>
          </w:p>
        </w:tc>
      </w:tr>
      <w:tr w14:paraId="1FC59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360" w:type="dxa"/>
            <w:vAlign w:val="top"/>
          </w:tcPr>
          <w:p w14:paraId="0A3F8AA1">
            <w:pPr>
              <w:pStyle w:val="6"/>
            </w:pPr>
          </w:p>
        </w:tc>
        <w:tc>
          <w:tcPr>
            <w:tcW w:w="4838" w:type="dxa"/>
            <w:vAlign w:val="top"/>
          </w:tcPr>
          <w:p w14:paraId="4644E66C">
            <w:pPr>
              <w:pStyle w:val="6"/>
            </w:pPr>
          </w:p>
        </w:tc>
        <w:tc>
          <w:tcPr>
            <w:tcW w:w="1960" w:type="dxa"/>
            <w:vAlign w:val="top"/>
          </w:tcPr>
          <w:p w14:paraId="3DFF9A83">
            <w:pPr>
              <w:pStyle w:val="6"/>
            </w:pPr>
          </w:p>
        </w:tc>
      </w:tr>
      <w:tr w14:paraId="70ECE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158" w:type="dxa"/>
            <w:gridSpan w:val="3"/>
            <w:tcBorders>
              <w:left w:val="single" w:color="FFFFFF" w:sz="4" w:space="0"/>
              <w:bottom w:val="single" w:color="FFFFFF" w:sz="4" w:space="0"/>
              <w:right w:val="single" w:color="FFFFFF" w:sz="4" w:space="0"/>
            </w:tcBorders>
            <w:vAlign w:val="top"/>
          </w:tcPr>
          <w:p w14:paraId="5790F5AB">
            <w:pPr>
              <w:spacing w:before="114"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r>
    </w:tbl>
    <w:p w14:paraId="2AA5DD8E">
      <w:pPr>
        <w:pStyle w:val="2"/>
      </w:pPr>
    </w:p>
    <w:p w14:paraId="4BFD196F">
      <w:pPr>
        <w:sectPr>
          <w:headerReference r:id="rId26" w:type="default"/>
          <w:footerReference r:id="rId27" w:type="default"/>
          <w:pgSz w:w="11900" w:h="16840"/>
          <w:pgMar w:top="642" w:right="0" w:bottom="340" w:left="0" w:header="326" w:footer="93" w:gutter="0"/>
          <w:cols w:space="720" w:num="1"/>
        </w:sectPr>
      </w:pPr>
    </w:p>
    <w:p w14:paraId="6F50F162">
      <w:pPr>
        <w:spacing w:before="103"/>
      </w:pPr>
    </w:p>
    <w:p w14:paraId="2580F80C">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2"/>
        <w:gridCol w:w="3553"/>
        <w:gridCol w:w="1145"/>
        <w:gridCol w:w="1156"/>
        <w:gridCol w:w="1182"/>
      </w:tblGrid>
      <w:tr w14:paraId="0E4AE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122" w:type="dxa"/>
            <w:tcBorders>
              <w:top w:val="single" w:color="FFFFFF" w:sz="4" w:space="0"/>
              <w:left w:val="single" w:color="FFFFFF" w:sz="2" w:space="0"/>
              <w:bottom w:val="single" w:color="FFFFFF" w:sz="4" w:space="0"/>
              <w:right w:val="single" w:color="FFFFFF" w:sz="2" w:space="0"/>
            </w:tcBorders>
            <w:vAlign w:val="top"/>
          </w:tcPr>
          <w:p w14:paraId="7B967695">
            <w:pPr>
              <w:pStyle w:val="6"/>
            </w:pPr>
          </w:p>
        </w:tc>
        <w:tc>
          <w:tcPr>
            <w:tcW w:w="3553" w:type="dxa"/>
            <w:tcBorders>
              <w:top w:val="single" w:color="FFFFFF" w:sz="4" w:space="0"/>
              <w:left w:val="single" w:color="FFFFFF" w:sz="2" w:space="0"/>
              <w:bottom w:val="single" w:color="FFFFFF" w:sz="4" w:space="0"/>
              <w:right w:val="single" w:color="FFFFFF" w:sz="2" w:space="0"/>
            </w:tcBorders>
            <w:vAlign w:val="top"/>
          </w:tcPr>
          <w:p w14:paraId="4CA33FBA">
            <w:pPr>
              <w:pStyle w:val="6"/>
            </w:pPr>
          </w:p>
        </w:tc>
        <w:tc>
          <w:tcPr>
            <w:tcW w:w="1145" w:type="dxa"/>
            <w:tcBorders>
              <w:top w:val="single" w:color="FFFFFF" w:sz="4" w:space="0"/>
              <w:left w:val="single" w:color="FFFFFF" w:sz="2" w:space="0"/>
              <w:bottom w:val="single" w:color="FFFFFF" w:sz="4" w:space="0"/>
              <w:right w:val="single" w:color="FFFFFF" w:sz="2" w:space="0"/>
            </w:tcBorders>
            <w:vAlign w:val="top"/>
          </w:tcPr>
          <w:p w14:paraId="14AF3F4E">
            <w:pPr>
              <w:pStyle w:val="6"/>
            </w:pPr>
          </w:p>
        </w:tc>
        <w:tc>
          <w:tcPr>
            <w:tcW w:w="1156" w:type="dxa"/>
            <w:tcBorders>
              <w:top w:val="single" w:color="FFFFFF" w:sz="4" w:space="0"/>
              <w:left w:val="single" w:color="FFFFFF" w:sz="2" w:space="0"/>
              <w:bottom w:val="single" w:color="FFFFFF" w:sz="4" w:space="0"/>
              <w:right w:val="single" w:color="FFFFFF" w:sz="2" w:space="0"/>
            </w:tcBorders>
            <w:vAlign w:val="top"/>
          </w:tcPr>
          <w:p w14:paraId="13CE4B21">
            <w:pPr>
              <w:pStyle w:val="6"/>
            </w:pPr>
          </w:p>
        </w:tc>
        <w:tc>
          <w:tcPr>
            <w:tcW w:w="1182" w:type="dxa"/>
            <w:tcBorders>
              <w:top w:val="single" w:color="FFFFFF" w:sz="4" w:space="0"/>
              <w:left w:val="single" w:color="FFFFFF" w:sz="2" w:space="0"/>
              <w:bottom w:val="single" w:color="FFFFFF" w:sz="4" w:space="0"/>
              <w:right w:val="single" w:color="FFFFFF" w:sz="2" w:space="0"/>
            </w:tcBorders>
            <w:vAlign w:val="top"/>
          </w:tcPr>
          <w:p w14:paraId="672889B8">
            <w:pPr>
              <w:pStyle w:val="6"/>
            </w:pPr>
          </w:p>
        </w:tc>
      </w:tr>
      <w:tr w14:paraId="7E89B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545629E2">
            <w:pPr>
              <w:spacing w:before="79" w:line="201" w:lineRule="exact"/>
              <w:ind w:left="2455"/>
              <w:outlineLvl w:val="1"/>
              <w:rPr>
                <w:rFonts w:ascii="微软雅黑" w:hAnsi="微软雅黑" w:eastAsia="微软雅黑" w:cs="微软雅黑"/>
                <w:sz w:val="20"/>
                <w:szCs w:val="20"/>
              </w:rPr>
            </w:pPr>
            <w:bookmarkStart w:id="22" w:name="bookmark44"/>
            <w:bookmarkEnd w:id="22"/>
            <w:bookmarkStart w:id="23" w:name="bookmark14"/>
            <w:bookmarkEnd w:id="23"/>
            <w:r>
              <w:rPr>
                <w:rFonts w:ascii="微软雅黑" w:hAnsi="微软雅黑" w:eastAsia="微软雅黑" w:cs="微软雅黑"/>
                <w:color w:val="212529"/>
                <w:position w:val="-1"/>
                <w:sz w:val="20"/>
                <w:szCs w:val="20"/>
              </w:rPr>
              <w:t>2025年政府性基金预算支出表</w:t>
            </w:r>
            <w:r>
              <w:rPr>
                <w:rFonts w:ascii="微软雅黑" w:hAnsi="微软雅黑" w:eastAsia="微软雅黑" w:cs="微软雅黑"/>
                <w:color w:val="212529"/>
                <w:spacing w:val="56"/>
                <w:w w:val="101"/>
                <w:position w:val="-1"/>
                <w:sz w:val="20"/>
                <w:szCs w:val="20"/>
              </w:rPr>
              <w:t xml:space="preserve"> </w:t>
            </w:r>
            <w:r>
              <w:rPr>
                <w:rFonts w:ascii="微软雅黑" w:hAnsi="微软雅黑" w:eastAsia="微软雅黑" w:cs="微软雅黑"/>
                <w:color w:val="212529"/>
                <w:position w:val="-1"/>
                <w:sz w:val="20"/>
                <w:szCs w:val="20"/>
              </w:rPr>
              <w:t>(不含上年结转)</w:t>
            </w:r>
          </w:p>
        </w:tc>
      </w:tr>
      <w:tr w14:paraId="6FD1D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75" w:type="dxa"/>
            <w:gridSpan w:val="2"/>
            <w:tcBorders>
              <w:top w:val="single" w:color="FFFFFF" w:sz="4" w:space="0"/>
              <w:left w:val="single" w:color="FFFFFF" w:sz="2" w:space="0"/>
              <w:right w:val="single" w:color="FFFFFF" w:sz="2" w:space="0"/>
            </w:tcBorders>
            <w:vAlign w:val="top"/>
          </w:tcPr>
          <w:p w14:paraId="385EE72F">
            <w:pPr>
              <w:spacing w:before="125"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145" w:type="dxa"/>
            <w:tcBorders>
              <w:top w:val="single" w:color="FFFFFF" w:sz="4" w:space="0"/>
              <w:left w:val="single" w:color="FFFFFF" w:sz="2" w:space="0"/>
              <w:right w:val="single" w:color="FFFFFF" w:sz="2" w:space="0"/>
            </w:tcBorders>
            <w:vAlign w:val="top"/>
          </w:tcPr>
          <w:p w14:paraId="66FCDCD1">
            <w:pPr>
              <w:pStyle w:val="6"/>
            </w:pPr>
          </w:p>
        </w:tc>
        <w:tc>
          <w:tcPr>
            <w:tcW w:w="1156" w:type="dxa"/>
            <w:tcBorders>
              <w:top w:val="single" w:color="FFFFFF" w:sz="4" w:space="0"/>
              <w:left w:val="single" w:color="FFFFFF" w:sz="2" w:space="0"/>
              <w:right w:val="single" w:color="FFFFFF" w:sz="2" w:space="0"/>
            </w:tcBorders>
            <w:vAlign w:val="top"/>
          </w:tcPr>
          <w:p w14:paraId="29D0D127">
            <w:pPr>
              <w:pStyle w:val="6"/>
            </w:pPr>
          </w:p>
        </w:tc>
        <w:tc>
          <w:tcPr>
            <w:tcW w:w="1182" w:type="dxa"/>
            <w:tcBorders>
              <w:top w:val="single" w:color="FFFFFF" w:sz="4" w:space="0"/>
              <w:left w:val="single" w:color="FFFFFF" w:sz="2" w:space="0"/>
              <w:right w:val="single" w:color="FFFFFF" w:sz="2" w:space="0"/>
            </w:tcBorders>
            <w:vAlign w:val="top"/>
          </w:tcPr>
          <w:p w14:paraId="258F779C">
            <w:pPr>
              <w:spacing w:before="125" w:line="235" w:lineRule="auto"/>
              <w:ind w:left="574"/>
              <w:rPr>
                <w:rFonts w:ascii="宋体" w:hAnsi="宋体" w:eastAsia="宋体" w:cs="宋体"/>
                <w:sz w:val="12"/>
                <w:szCs w:val="12"/>
              </w:rPr>
            </w:pPr>
            <w:r>
              <w:rPr>
                <w:rFonts w:ascii="宋体" w:hAnsi="宋体" w:eastAsia="宋体" w:cs="宋体"/>
                <w:color w:val="212529"/>
                <w:spacing w:val="7"/>
                <w:sz w:val="12"/>
                <w:szCs w:val="12"/>
              </w:rPr>
              <w:t>单位:万元</w:t>
            </w:r>
          </w:p>
        </w:tc>
      </w:tr>
      <w:tr w14:paraId="6E21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22" w:type="dxa"/>
            <w:vAlign w:val="top"/>
          </w:tcPr>
          <w:p w14:paraId="1093727F">
            <w:pPr>
              <w:spacing w:before="111" w:line="156" w:lineRule="exact"/>
              <w:ind w:left="721"/>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3553" w:type="dxa"/>
            <w:vAlign w:val="top"/>
          </w:tcPr>
          <w:p w14:paraId="1CC1CB9E">
            <w:pPr>
              <w:spacing w:before="111" w:line="156" w:lineRule="exact"/>
              <w:ind w:left="143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45" w:type="dxa"/>
            <w:vAlign w:val="top"/>
          </w:tcPr>
          <w:p w14:paraId="5AA9F9B9">
            <w:pPr>
              <w:spacing w:before="112" w:line="154" w:lineRule="exact"/>
              <w:ind w:left="40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30091C9E">
            <w:pPr>
              <w:spacing w:before="110" w:line="157" w:lineRule="exact"/>
              <w:ind w:left="241"/>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82" w:type="dxa"/>
            <w:vAlign w:val="top"/>
          </w:tcPr>
          <w:p w14:paraId="4F6AE489">
            <w:pPr>
              <w:spacing w:before="111" w:line="156" w:lineRule="exact"/>
              <w:ind w:left="254"/>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3CC14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675" w:type="dxa"/>
            <w:gridSpan w:val="2"/>
            <w:vAlign w:val="top"/>
          </w:tcPr>
          <w:p w14:paraId="4D38864A">
            <w:pPr>
              <w:spacing w:before="113" w:line="154" w:lineRule="exact"/>
              <w:ind w:left="266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45" w:type="dxa"/>
            <w:vAlign w:val="top"/>
          </w:tcPr>
          <w:p w14:paraId="04E7B25E">
            <w:pPr>
              <w:pStyle w:val="6"/>
            </w:pPr>
          </w:p>
        </w:tc>
        <w:tc>
          <w:tcPr>
            <w:tcW w:w="1156" w:type="dxa"/>
            <w:vAlign w:val="top"/>
          </w:tcPr>
          <w:p w14:paraId="7A3C08EE">
            <w:pPr>
              <w:pStyle w:val="6"/>
            </w:pPr>
          </w:p>
        </w:tc>
        <w:tc>
          <w:tcPr>
            <w:tcW w:w="1182" w:type="dxa"/>
            <w:vAlign w:val="top"/>
          </w:tcPr>
          <w:p w14:paraId="3BCFD63F">
            <w:pPr>
              <w:pStyle w:val="6"/>
            </w:pPr>
          </w:p>
        </w:tc>
      </w:tr>
      <w:tr w14:paraId="4190A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122" w:type="dxa"/>
            <w:vAlign w:val="top"/>
          </w:tcPr>
          <w:p w14:paraId="3905F915">
            <w:pPr>
              <w:pStyle w:val="6"/>
            </w:pPr>
          </w:p>
        </w:tc>
        <w:tc>
          <w:tcPr>
            <w:tcW w:w="3553" w:type="dxa"/>
            <w:vAlign w:val="top"/>
          </w:tcPr>
          <w:p w14:paraId="1A010CC4">
            <w:pPr>
              <w:pStyle w:val="6"/>
            </w:pPr>
          </w:p>
        </w:tc>
        <w:tc>
          <w:tcPr>
            <w:tcW w:w="1145" w:type="dxa"/>
            <w:vAlign w:val="top"/>
          </w:tcPr>
          <w:p w14:paraId="5D526E4E">
            <w:pPr>
              <w:pStyle w:val="6"/>
            </w:pPr>
          </w:p>
        </w:tc>
        <w:tc>
          <w:tcPr>
            <w:tcW w:w="1156" w:type="dxa"/>
            <w:vAlign w:val="top"/>
          </w:tcPr>
          <w:p w14:paraId="19B479C1">
            <w:pPr>
              <w:pStyle w:val="6"/>
            </w:pPr>
          </w:p>
        </w:tc>
        <w:tc>
          <w:tcPr>
            <w:tcW w:w="1182" w:type="dxa"/>
            <w:vAlign w:val="top"/>
          </w:tcPr>
          <w:p w14:paraId="1567FB2C">
            <w:pPr>
              <w:pStyle w:val="6"/>
            </w:pPr>
          </w:p>
        </w:tc>
      </w:tr>
      <w:tr w14:paraId="0D84B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9158" w:type="dxa"/>
            <w:gridSpan w:val="5"/>
            <w:tcBorders>
              <w:left w:val="single" w:color="FFFFFF" w:sz="4" w:space="0"/>
              <w:bottom w:val="single" w:color="FFFFFF" w:sz="4" w:space="0"/>
              <w:right w:val="single" w:color="FFFFFF" w:sz="4" w:space="0"/>
            </w:tcBorders>
            <w:vAlign w:val="top"/>
          </w:tcPr>
          <w:p w14:paraId="100A2C37">
            <w:pPr>
              <w:spacing w:before="114"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r>
    </w:tbl>
    <w:p w14:paraId="79D886C2">
      <w:pPr>
        <w:pStyle w:val="2"/>
      </w:pPr>
    </w:p>
    <w:p w14:paraId="5DCDB480">
      <w:pPr>
        <w:sectPr>
          <w:headerReference r:id="rId28" w:type="default"/>
          <w:footerReference r:id="rId29" w:type="default"/>
          <w:pgSz w:w="11900" w:h="16840"/>
          <w:pgMar w:top="642" w:right="0" w:bottom="340" w:left="0" w:header="326" w:footer="91" w:gutter="0"/>
          <w:cols w:space="720" w:num="1"/>
        </w:sectPr>
      </w:pPr>
    </w:p>
    <w:p w14:paraId="3D5B746A">
      <w:pPr>
        <w:spacing w:before="103"/>
      </w:pPr>
    </w:p>
    <w:p w14:paraId="1B4E5FA2">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760"/>
        <w:gridCol w:w="951"/>
        <w:gridCol w:w="961"/>
        <w:gridCol w:w="1436"/>
        <w:gridCol w:w="983"/>
        <w:gridCol w:w="940"/>
        <w:gridCol w:w="988"/>
      </w:tblGrid>
      <w:tr w14:paraId="299AD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1139" w:type="dxa"/>
            <w:tcBorders>
              <w:top w:val="single" w:color="FFFFFF" w:sz="4" w:space="0"/>
              <w:left w:val="single" w:color="FFFFFF" w:sz="2" w:space="0"/>
              <w:bottom w:val="single" w:color="FFFFFF" w:sz="4" w:space="0"/>
              <w:right w:val="single" w:color="FFFFFF" w:sz="2" w:space="0"/>
            </w:tcBorders>
            <w:vAlign w:val="top"/>
          </w:tcPr>
          <w:p w14:paraId="15566153">
            <w:pPr>
              <w:pStyle w:val="6"/>
            </w:pPr>
          </w:p>
        </w:tc>
        <w:tc>
          <w:tcPr>
            <w:tcW w:w="1760" w:type="dxa"/>
            <w:tcBorders>
              <w:top w:val="single" w:color="FFFFFF" w:sz="4" w:space="0"/>
              <w:left w:val="single" w:color="FFFFFF" w:sz="2" w:space="0"/>
              <w:bottom w:val="single" w:color="FFFFFF" w:sz="4" w:space="0"/>
              <w:right w:val="single" w:color="FFFFFF" w:sz="2" w:space="0"/>
            </w:tcBorders>
            <w:vAlign w:val="top"/>
          </w:tcPr>
          <w:p w14:paraId="7F586223">
            <w:pPr>
              <w:pStyle w:val="6"/>
            </w:pPr>
          </w:p>
        </w:tc>
        <w:tc>
          <w:tcPr>
            <w:tcW w:w="951" w:type="dxa"/>
            <w:tcBorders>
              <w:top w:val="single" w:color="FFFFFF" w:sz="4" w:space="0"/>
              <w:left w:val="single" w:color="FFFFFF" w:sz="2" w:space="0"/>
              <w:bottom w:val="single" w:color="FFFFFF" w:sz="4" w:space="0"/>
              <w:right w:val="single" w:color="FFFFFF" w:sz="2" w:space="0"/>
            </w:tcBorders>
            <w:vAlign w:val="top"/>
          </w:tcPr>
          <w:p w14:paraId="0F9BDBC7">
            <w:pPr>
              <w:pStyle w:val="6"/>
            </w:pPr>
          </w:p>
        </w:tc>
        <w:tc>
          <w:tcPr>
            <w:tcW w:w="961" w:type="dxa"/>
            <w:tcBorders>
              <w:top w:val="single" w:color="FFFFFF" w:sz="4" w:space="0"/>
              <w:left w:val="single" w:color="FFFFFF" w:sz="2" w:space="0"/>
              <w:bottom w:val="single" w:color="FFFFFF" w:sz="4" w:space="0"/>
              <w:right w:val="single" w:color="FFFFFF" w:sz="2" w:space="0"/>
            </w:tcBorders>
            <w:vAlign w:val="top"/>
          </w:tcPr>
          <w:p w14:paraId="224EB652">
            <w:pPr>
              <w:pStyle w:val="6"/>
            </w:pPr>
          </w:p>
        </w:tc>
        <w:tc>
          <w:tcPr>
            <w:tcW w:w="1436" w:type="dxa"/>
            <w:tcBorders>
              <w:top w:val="single" w:color="FFFFFF" w:sz="4" w:space="0"/>
              <w:left w:val="single" w:color="FFFFFF" w:sz="2" w:space="0"/>
              <w:bottom w:val="single" w:color="FFFFFF" w:sz="4" w:space="0"/>
              <w:right w:val="single" w:color="FFFFFF" w:sz="2" w:space="0"/>
            </w:tcBorders>
            <w:vAlign w:val="top"/>
          </w:tcPr>
          <w:p w14:paraId="772EFBAF">
            <w:pPr>
              <w:pStyle w:val="6"/>
            </w:pPr>
          </w:p>
        </w:tc>
        <w:tc>
          <w:tcPr>
            <w:tcW w:w="983" w:type="dxa"/>
            <w:tcBorders>
              <w:top w:val="single" w:color="FFFFFF" w:sz="4" w:space="0"/>
              <w:left w:val="single" w:color="FFFFFF" w:sz="2" w:space="0"/>
              <w:bottom w:val="single" w:color="FFFFFF" w:sz="4" w:space="0"/>
              <w:right w:val="single" w:color="FFFFFF" w:sz="2" w:space="0"/>
            </w:tcBorders>
            <w:vAlign w:val="top"/>
          </w:tcPr>
          <w:p w14:paraId="321BD665">
            <w:pPr>
              <w:pStyle w:val="6"/>
            </w:pPr>
          </w:p>
        </w:tc>
        <w:tc>
          <w:tcPr>
            <w:tcW w:w="940" w:type="dxa"/>
            <w:tcBorders>
              <w:top w:val="single" w:color="FFFFFF" w:sz="4" w:space="0"/>
              <w:left w:val="single" w:color="FFFFFF" w:sz="2" w:space="0"/>
              <w:bottom w:val="single" w:color="FFFFFF" w:sz="4" w:space="0"/>
              <w:right w:val="single" w:color="FFFFFF" w:sz="2" w:space="0"/>
            </w:tcBorders>
            <w:vAlign w:val="top"/>
          </w:tcPr>
          <w:p w14:paraId="67B2CF5E">
            <w:pPr>
              <w:pStyle w:val="6"/>
            </w:pPr>
          </w:p>
        </w:tc>
        <w:tc>
          <w:tcPr>
            <w:tcW w:w="988" w:type="dxa"/>
            <w:tcBorders>
              <w:top w:val="single" w:color="FFFFFF" w:sz="4" w:space="0"/>
              <w:left w:val="single" w:color="FFFFFF" w:sz="2" w:space="0"/>
              <w:bottom w:val="single" w:color="FFFFFF" w:sz="4" w:space="0"/>
              <w:right w:val="single" w:color="FFFFFF" w:sz="2" w:space="0"/>
            </w:tcBorders>
            <w:vAlign w:val="top"/>
          </w:tcPr>
          <w:p w14:paraId="38BD9B3D">
            <w:pPr>
              <w:pStyle w:val="6"/>
            </w:pPr>
          </w:p>
        </w:tc>
      </w:tr>
      <w:tr w14:paraId="575E6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6F7E90D2">
            <w:pPr>
              <w:spacing w:before="80" w:line="201" w:lineRule="exact"/>
              <w:ind w:left="2153"/>
              <w:rPr>
                <w:rFonts w:ascii="微软雅黑" w:hAnsi="微软雅黑" w:eastAsia="微软雅黑" w:cs="微软雅黑"/>
                <w:sz w:val="20"/>
                <w:szCs w:val="20"/>
              </w:rPr>
            </w:pPr>
            <w:bookmarkStart w:id="24" w:name="bookmark45"/>
            <w:bookmarkEnd w:id="24"/>
            <w:r>
              <w:rPr>
                <w:rFonts w:ascii="微软雅黑" w:hAnsi="微软雅黑" w:eastAsia="微软雅黑" w:cs="微软雅黑"/>
                <w:color w:val="212529"/>
                <w:position w:val="-1"/>
                <w:sz w:val="20"/>
                <w:szCs w:val="20"/>
              </w:rPr>
              <w:t>2025年国有资本经营预算收支预算表</w:t>
            </w:r>
            <w:r>
              <w:rPr>
                <w:rFonts w:ascii="微软雅黑" w:hAnsi="微软雅黑" w:eastAsia="微软雅黑" w:cs="微软雅黑"/>
                <w:color w:val="212529"/>
                <w:spacing w:val="61"/>
                <w:w w:val="101"/>
                <w:position w:val="-1"/>
                <w:sz w:val="20"/>
                <w:szCs w:val="20"/>
              </w:rPr>
              <w:t xml:space="preserve"> </w:t>
            </w:r>
            <w:r>
              <w:rPr>
                <w:rFonts w:ascii="微软雅黑" w:hAnsi="微软雅黑" w:eastAsia="微软雅黑" w:cs="微软雅黑"/>
                <w:color w:val="212529"/>
                <w:position w:val="-1"/>
                <w:sz w:val="20"/>
                <w:szCs w:val="20"/>
              </w:rPr>
              <w:t>(不含上年结转)</w:t>
            </w:r>
          </w:p>
        </w:tc>
      </w:tr>
      <w:tr w14:paraId="292E3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170" w:type="dxa"/>
            <w:gridSpan w:val="7"/>
            <w:tcBorders>
              <w:top w:val="single" w:color="FFFFFF" w:sz="4" w:space="0"/>
              <w:left w:val="single" w:color="FFFFFF" w:sz="2" w:space="0"/>
              <w:right w:val="single" w:color="FFFFFF" w:sz="2" w:space="0"/>
            </w:tcBorders>
            <w:vAlign w:val="top"/>
          </w:tcPr>
          <w:p w14:paraId="1D3FC452">
            <w:pPr>
              <w:spacing w:before="124"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988" w:type="dxa"/>
            <w:tcBorders>
              <w:top w:val="single" w:color="FFFFFF" w:sz="4" w:space="0"/>
              <w:left w:val="single" w:color="FFFFFF" w:sz="2" w:space="0"/>
              <w:right w:val="single" w:color="FFFFFF" w:sz="2" w:space="0"/>
            </w:tcBorders>
            <w:vAlign w:val="top"/>
          </w:tcPr>
          <w:p w14:paraId="27E9FC79">
            <w:pPr>
              <w:spacing w:before="124" w:line="235" w:lineRule="auto"/>
              <w:ind w:left="315"/>
              <w:rPr>
                <w:rFonts w:ascii="宋体" w:hAnsi="宋体" w:eastAsia="宋体" w:cs="宋体"/>
                <w:sz w:val="12"/>
                <w:szCs w:val="12"/>
              </w:rPr>
            </w:pPr>
            <w:r>
              <w:rPr>
                <w:rFonts w:ascii="宋体" w:hAnsi="宋体" w:eastAsia="宋体" w:cs="宋体"/>
                <w:color w:val="212529"/>
                <w:spacing w:val="8"/>
                <w:sz w:val="12"/>
                <w:szCs w:val="12"/>
              </w:rPr>
              <w:t>单位：万元</w:t>
            </w:r>
          </w:p>
        </w:tc>
      </w:tr>
      <w:tr w14:paraId="170FC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850" w:type="dxa"/>
            <w:gridSpan w:val="3"/>
            <w:vAlign w:val="top"/>
          </w:tcPr>
          <w:p w14:paraId="10FEF306">
            <w:pPr>
              <w:spacing w:before="109" w:line="158" w:lineRule="exact"/>
              <w:ind w:left="1120"/>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国有资本经营预算收入</w:t>
            </w:r>
          </w:p>
        </w:tc>
        <w:tc>
          <w:tcPr>
            <w:tcW w:w="5308" w:type="dxa"/>
            <w:gridSpan w:val="5"/>
            <w:vAlign w:val="top"/>
          </w:tcPr>
          <w:p w14:paraId="41F61473">
            <w:pPr>
              <w:spacing w:before="109" w:line="158" w:lineRule="exact"/>
              <w:ind w:left="1849"/>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国有资本经营预算支出</w:t>
            </w:r>
          </w:p>
        </w:tc>
      </w:tr>
      <w:tr w14:paraId="3C6FA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99" w:type="dxa"/>
            <w:gridSpan w:val="2"/>
            <w:vAlign w:val="top"/>
          </w:tcPr>
          <w:p w14:paraId="44F66853">
            <w:pPr>
              <w:spacing w:before="114" w:line="153" w:lineRule="exact"/>
              <w:ind w:left="1273"/>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51" w:type="dxa"/>
            <w:vMerge w:val="restart"/>
            <w:tcBorders>
              <w:bottom w:val="nil"/>
            </w:tcBorders>
            <w:vAlign w:val="top"/>
          </w:tcPr>
          <w:p w14:paraId="520510F0">
            <w:pPr>
              <w:spacing w:before="218" w:line="160" w:lineRule="auto"/>
              <w:ind w:left="58" w:right="77" w:firstLine="15"/>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国有资本经</w:t>
            </w:r>
            <w:r>
              <w:rPr>
                <w:rFonts w:ascii="微软雅黑" w:hAnsi="微软雅黑" w:eastAsia="微软雅黑" w:cs="微软雅黑"/>
                <w:color w:val="212529"/>
                <w:spacing w:val="10"/>
                <w:sz w:val="15"/>
                <w:szCs w:val="15"/>
              </w:rPr>
              <w:t>营收入预算</w:t>
            </w:r>
          </w:p>
        </w:tc>
        <w:tc>
          <w:tcPr>
            <w:tcW w:w="961" w:type="dxa"/>
            <w:vMerge w:val="restart"/>
            <w:tcBorders>
              <w:bottom w:val="nil"/>
            </w:tcBorders>
            <w:vAlign w:val="top"/>
          </w:tcPr>
          <w:p w14:paraId="6DA0DDEF">
            <w:pPr>
              <w:pStyle w:val="6"/>
            </w:pPr>
          </w:p>
          <w:p w14:paraId="10337623">
            <w:pPr>
              <w:spacing w:before="64" w:line="157" w:lineRule="exact"/>
              <w:ind w:left="142"/>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科目编码</w:t>
            </w:r>
          </w:p>
        </w:tc>
        <w:tc>
          <w:tcPr>
            <w:tcW w:w="1436" w:type="dxa"/>
            <w:vMerge w:val="restart"/>
            <w:tcBorders>
              <w:bottom w:val="nil"/>
            </w:tcBorders>
            <w:vAlign w:val="top"/>
          </w:tcPr>
          <w:p w14:paraId="6988EC68">
            <w:pPr>
              <w:pStyle w:val="6"/>
            </w:pPr>
          </w:p>
          <w:p w14:paraId="392A0D9C">
            <w:pPr>
              <w:spacing w:before="64" w:line="157" w:lineRule="exact"/>
              <w:ind w:left="38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983" w:type="dxa"/>
            <w:vMerge w:val="restart"/>
            <w:tcBorders>
              <w:bottom w:val="nil"/>
            </w:tcBorders>
            <w:vAlign w:val="top"/>
          </w:tcPr>
          <w:p w14:paraId="43E63710">
            <w:pPr>
              <w:pStyle w:val="6"/>
              <w:spacing w:line="241" w:lineRule="auto"/>
            </w:pPr>
          </w:p>
          <w:p w14:paraId="55BBF3B3">
            <w:pPr>
              <w:spacing w:before="64" w:line="154" w:lineRule="exact"/>
              <w:ind w:left="3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940" w:type="dxa"/>
            <w:vMerge w:val="restart"/>
            <w:tcBorders>
              <w:bottom w:val="nil"/>
            </w:tcBorders>
            <w:vAlign w:val="top"/>
          </w:tcPr>
          <w:p w14:paraId="23488346">
            <w:pPr>
              <w:spacing w:before="305" w:line="157" w:lineRule="exact"/>
              <w:ind w:left="136"/>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988" w:type="dxa"/>
            <w:vMerge w:val="restart"/>
            <w:tcBorders>
              <w:bottom w:val="nil"/>
            </w:tcBorders>
            <w:vAlign w:val="top"/>
          </w:tcPr>
          <w:p w14:paraId="2851E4DF">
            <w:pPr>
              <w:pStyle w:val="6"/>
            </w:pPr>
          </w:p>
          <w:p w14:paraId="6A3D5EAA">
            <w:pPr>
              <w:spacing w:before="64" w:line="156" w:lineRule="exact"/>
              <w:ind w:left="15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5AB9E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139" w:type="dxa"/>
            <w:vAlign w:val="top"/>
          </w:tcPr>
          <w:p w14:paraId="70016369">
            <w:pPr>
              <w:spacing w:before="112" w:line="158" w:lineRule="exact"/>
              <w:ind w:left="73"/>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收入科目编码</w:t>
            </w:r>
          </w:p>
        </w:tc>
        <w:tc>
          <w:tcPr>
            <w:tcW w:w="1760" w:type="dxa"/>
            <w:vAlign w:val="top"/>
          </w:tcPr>
          <w:p w14:paraId="3D33ECF1">
            <w:pPr>
              <w:spacing w:before="112" w:line="157" w:lineRule="exact"/>
              <w:ind w:left="536"/>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951" w:type="dxa"/>
            <w:vMerge w:val="continue"/>
            <w:tcBorders>
              <w:top w:val="nil"/>
            </w:tcBorders>
            <w:vAlign w:val="top"/>
          </w:tcPr>
          <w:p w14:paraId="559C0D4E">
            <w:pPr>
              <w:pStyle w:val="6"/>
            </w:pPr>
          </w:p>
        </w:tc>
        <w:tc>
          <w:tcPr>
            <w:tcW w:w="961" w:type="dxa"/>
            <w:vMerge w:val="continue"/>
            <w:tcBorders>
              <w:top w:val="nil"/>
            </w:tcBorders>
            <w:vAlign w:val="top"/>
          </w:tcPr>
          <w:p w14:paraId="74ECA17A">
            <w:pPr>
              <w:pStyle w:val="6"/>
            </w:pPr>
          </w:p>
        </w:tc>
        <w:tc>
          <w:tcPr>
            <w:tcW w:w="1436" w:type="dxa"/>
            <w:vMerge w:val="continue"/>
            <w:tcBorders>
              <w:top w:val="nil"/>
            </w:tcBorders>
            <w:vAlign w:val="top"/>
          </w:tcPr>
          <w:p w14:paraId="0E6EB876">
            <w:pPr>
              <w:pStyle w:val="6"/>
            </w:pPr>
          </w:p>
        </w:tc>
        <w:tc>
          <w:tcPr>
            <w:tcW w:w="983" w:type="dxa"/>
            <w:vMerge w:val="continue"/>
            <w:tcBorders>
              <w:top w:val="nil"/>
            </w:tcBorders>
            <w:vAlign w:val="top"/>
          </w:tcPr>
          <w:p w14:paraId="4A29E683">
            <w:pPr>
              <w:pStyle w:val="6"/>
            </w:pPr>
          </w:p>
        </w:tc>
        <w:tc>
          <w:tcPr>
            <w:tcW w:w="940" w:type="dxa"/>
            <w:vMerge w:val="continue"/>
            <w:tcBorders>
              <w:top w:val="nil"/>
            </w:tcBorders>
            <w:vAlign w:val="top"/>
          </w:tcPr>
          <w:p w14:paraId="163D17F9">
            <w:pPr>
              <w:pStyle w:val="6"/>
            </w:pPr>
          </w:p>
        </w:tc>
        <w:tc>
          <w:tcPr>
            <w:tcW w:w="988" w:type="dxa"/>
            <w:vMerge w:val="continue"/>
            <w:tcBorders>
              <w:top w:val="nil"/>
            </w:tcBorders>
            <w:vAlign w:val="top"/>
          </w:tcPr>
          <w:p w14:paraId="7DF9ABB8">
            <w:pPr>
              <w:pStyle w:val="6"/>
            </w:pPr>
          </w:p>
        </w:tc>
      </w:tr>
      <w:tr w14:paraId="75652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899" w:type="dxa"/>
            <w:gridSpan w:val="2"/>
            <w:vAlign w:val="top"/>
          </w:tcPr>
          <w:p w14:paraId="2780AA2F">
            <w:pPr>
              <w:spacing w:before="114" w:line="154" w:lineRule="exact"/>
              <w:ind w:left="127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951" w:type="dxa"/>
            <w:vAlign w:val="top"/>
          </w:tcPr>
          <w:p w14:paraId="0DA9C603">
            <w:pPr>
              <w:pStyle w:val="6"/>
            </w:pPr>
          </w:p>
        </w:tc>
        <w:tc>
          <w:tcPr>
            <w:tcW w:w="961" w:type="dxa"/>
            <w:vAlign w:val="top"/>
          </w:tcPr>
          <w:p w14:paraId="73725F71">
            <w:pPr>
              <w:pStyle w:val="6"/>
            </w:pPr>
          </w:p>
        </w:tc>
        <w:tc>
          <w:tcPr>
            <w:tcW w:w="1436" w:type="dxa"/>
            <w:vAlign w:val="top"/>
          </w:tcPr>
          <w:p w14:paraId="2765FEE1">
            <w:pPr>
              <w:pStyle w:val="6"/>
            </w:pPr>
          </w:p>
        </w:tc>
        <w:tc>
          <w:tcPr>
            <w:tcW w:w="983" w:type="dxa"/>
            <w:vAlign w:val="top"/>
          </w:tcPr>
          <w:p w14:paraId="11F5EB74">
            <w:pPr>
              <w:pStyle w:val="6"/>
            </w:pPr>
          </w:p>
        </w:tc>
        <w:tc>
          <w:tcPr>
            <w:tcW w:w="940" w:type="dxa"/>
            <w:vAlign w:val="top"/>
          </w:tcPr>
          <w:p w14:paraId="10C19D5B">
            <w:pPr>
              <w:pStyle w:val="6"/>
            </w:pPr>
          </w:p>
        </w:tc>
        <w:tc>
          <w:tcPr>
            <w:tcW w:w="988" w:type="dxa"/>
            <w:vAlign w:val="top"/>
          </w:tcPr>
          <w:p w14:paraId="71A44BA7">
            <w:pPr>
              <w:pStyle w:val="6"/>
            </w:pPr>
          </w:p>
        </w:tc>
      </w:tr>
      <w:tr w14:paraId="0A710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139" w:type="dxa"/>
            <w:vAlign w:val="top"/>
          </w:tcPr>
          <w:p w14:paraId="405CAD85">
            <w:pPr>
              <w:pStyle w:val="6"/>
            </w:pPr>
          </w:p>
        </w:tc>
        <w:tc>
          <w:tcPr>
            <w:tcW w:w="1760" w:type="dxa"/>
            <w:vAlign w:val="top"/>
          </w:tcPr>
          <w:p w14:paraId="6F43A4B4">
            <w:pPr>
              <w:pStyle w:val="6"/>
            </w:pPr>
          </w:p>
        </w:tc>
        <w:tc>
          <w:tcPr>
            <w:tcW w:w="951" w:type="dxa"/>
            <w:vAlign w:val="top"/>
          </w:tcPr>
          <w:p w14:paraId="091A5FB9">
            <w:pPr>
              <w:pStyle w:val="6"/>
            </w:pPr>
          </w:p>
        </w:tc>
        <w:tc>
          <w:tcPr>
            <w:tcW w:w="961" w:type="dxa"/>
            <w:vAlign w:val="top"/>
          </w:tcPr>
          <w:p w14:paraId="618A5497">
            <w:pPr>
              <w:pStyle w:val="6"/>
            </w:pPr>
          </w:p>
        </w:tc>
        <w:tc>
          <w:tcPr>
            <w:tcW w:w="1436" w:type="dxa"/>
            <w:vAlign w:val="top"/>
          </w:tcPr>
          <w:p w14:paraId="03ED24D8">
            <w:pPr>
              <w:pStyle w:val="6"/>
            </w:pPr>
          </w:p>
        </w:tc>
        <w:tc>
          <w:tcPr>
            <w:tcW w:w="983" w:type="dxa"/>
            <w:vAlign w:val="top"/>
          </w:tcPr>
          <w:p w14:paraId="50E45D5C">
            <w:pPr>
              <w:pStyle w:val="6"/>
            </w:pPr>
          </w:p>
        </w:tc>
        <w:tc>
          <w:tcPr>
            <w:tcW w:w="940" w:type="dxa"/>
            <w:vAlign w:val="top"/>
          </w:tcPr>
          <w:p w14:paraId="664DE6CB">
            <w:pPr>
              <w:pStyle w:val="6"/>
            </w:pPr>
          </w:p>
        </w:tc>
        <w:tc>
          <w:tcPr>
            <w:tcW w:w="988" w:type="dxa"/>
            <w:vAlign w:val="top"/>
          </w:tcPr>
          <w:p w14:paraId="60DB70FB">
            <w:pPr>
              <w:pStyle w:val="6"/>
            </w:pPr>
          </w:p>
        </w:tc>
      </w:tr>
      <w:tr w14:paraId="38590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left w:val="single" w:color="FFFFFF" w:sz="2" w:space="0"/>
              <w:bottom w:val="single" w:color="FFFFFF" w:sz="4" w:space="0"/>
              <w:right w:val="single" w:color="FFFFFF" w:sz="2" w:space="0"/>
            </w:tcBorders>
            <w:vAlign w:val="top"/>
          </w:tcPr>
          <w:p w14:paraId="650EDB10">
            <w:pPr>
              <w:spacing w:before="118" w:line="228" w:lineRule="auto"/>
              <w:ind w:left="8"/>
              <w:rPr>
                <w:rFonts w:ascii="宋体" w:hAnsi="宋体" w:eastAsia="宋体" w:cs="宋体"/>
                <w:sz w:val="15"/>
                <w:szCs w:val="15"/>
              </w:rPr>
            </w:pPr>
            <w:r>
              <w:rPr>
                <w:rFonts w:ascii="宋体" w:hAnsi="宋体" w:eastAsia="宋体" w:cs="宋体"/>
                <w:color w:val="212529"/>
                <w:spacing w:val="10"/>
                <w:sz w:val="15"/>
                <w:szCs w:val="15"/>
              </w:rPr>
              <w:t>注：本表无数据</w:t>
            </w:r>
          </w:p>
        </w:tc>
      </w:tr>
    </w:tbl>
    <w:p w14:paraId="514FE25A">
      <w:pPr>
        <w:spacing w:before="17"/>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7"/>
        <w:gridCol w:w="1372"/>
        <w:gridCol w:w="1296"/>
        <w:gridCol w:w="1371"/>
        <w:gridCol w:w="1442"/>
      </w:tblGrid>
      <w:tr w14:paraId="7907D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677" w:type="dxa"/>
            <w:tcBorders>
              <w:top w:val="single" w:color="FFFFFF" w:sz="4" w:space="0"/>
              <w:left w:val="single" w:color="FFFFFF" w:sz="2" w:space="0"/>
              <w:bottom w:val="single" w:color="FFFFFF" w:sz="4" w:space="0"/>
              <w:right w:val="single" w:color="FFFFFF" w:sz="2" w:space="0"/>
            </w:tcBorders>
            <w:vAlign w:val="top"/>
          </w:tcPr>
          <w:p w14:paraId="7988BA0A">
            <w:pPr>
              <w:pStyle w:val="6"/>
            </w:pPr>
          </w:p>
        </w:tc>
        <w:tc>
          <w:tcPr>
            <w:tcW w:w="1372" w:type="dxa"/>
            <w:tcBorders>
              <w:top w:val="single" w:color="FFFFFF" w:sz="4" w:space="0"/>
              <w:left w:val="single" w:color="FFFFFF" w:sz="2" w:space="0"/>
              <w:bottom w:val="single" w:color="FFFFFF" w:sz="4" w:space="0"/>
              <w:right w:val="single" w:color="FFFFFF" w:sz="2" w:space="0"/>
            </w:tcBorders>
            <w:vAlign w:val="top"/>
          </w:tcPr>
          <w:p w14:paraId="375B0B86">
            <w:pPr>
              <w:pStyle w:val="6"/>
            </w:pPr>
          </w:p>
        </w:tc>
        <w:tc>
          <w:tcPr>
            <w:tcW w:w="1296" w:type="dxa"/>
            <w:tcBorders>
              <w:top w:val="single" w:color="FFFFFF" w:sz="4" w:space="0"/>
              <w:left w:val="single" w:color="FFFFFF" w:sz="2" w:space="0"/>
              <w:bottom w:val="single" w:color="FFFFFF" w:sz="4" w:space="0"/>
              <w:right w:val="single" w:color="FFFFFF" w:sz="2" w:space="0"/>
            </w:tcBorders>
            <w:vAlign w:val="top"/>
          </w:tcPr>
          <w:p w14:paraId="534105F3">
            <w:pPr>
              <w:pStyle w:val="6"/>
            </w:pPr>
          </w:p>
        </w:tc>
        <w:tc>
          <w:tcPr>
            <w:tcW w:w="1371" w:type="dxa"/>
            <w:tcBorders>
              <w:top w:val="single" w:color="FFFFFF" w:sz="4" w:space="0"/>
              <w:left w:val="single" w:color="FFFFFF" w:sz="2" w:space="0"/>
              <w:bottom w:val="single" w:color="FFFFFF" w:sz="4" w:space="0"/>
              <w:right w:val="single" w:color="FFFFFF" w:sz="2" w:space="0"/>
            </w:tcBorders>
            <w:vAlign w:val="top"/>
          </w:tcPr>
          <w:p w14:paraId="02EDC3CE">
            <w:pPr>
              <w:pStyle w:val="6"/>
            </w:pPr>
          </w:p>
        </w:tc>
        <w:tc>
          <w:tcPr>
            <w:tcW w:w="1442" w:type="dxa"/>
            <w:tcBorders>
              <w:top w:val="single" w:color="FFFFFF" w:sz="4" w:space="0"/>
              <w:left w:val="single" w:color="FFFFFF" w:sz="2" w:space="0"/>
              <w:bottom w:val="single" w:color="FFFFFF" w:sz="4" w:space="0"/>
              <w:right w:val="single" w:color="FFFFFF" w:sz="2" w:space="0"/>
            </w:tcBorders>
            <w:vAlign w:val="top"/>
          </w:tcPr>
          <w:p w14:paraId="7AE7F413">
            <w:pPr>
              <w:spacing w:before="127" w:line="234" w:lineRule="auto"/>
              <w:ind w:left="638"/>
              <w:rPr>
                <w:rFonts w:ascii="宋体" w:hAnsi="宋体" w:eastAsia="宋体" w:cs="宋体"/>
                <w:sz w:val="12"/>
                <w:szCs w:val="12"/>
              </w:rPr>
            </w:pPr>
            <w:r>
              <w:rPr>
                <w:rFonts w:ascii="宋体" w:hAnsi="宋体" w:eastAsia="宋体" w:cs="宋体"/>
                <w:color w:val="212529"/>
                <w:spacing w:val="7"/>
                <w:sz w:val="12"/>
                <w:szCs w:val="12"/>
              </w:rPr>
              <w:t>预算公开表10</w:t>
            </w:r>
          </w:p>
        </w:tc>
      </w:tr>
      <w:tr w14:paraId="7D705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14156412">
            <w:pPr>
              <w:spacing w:before="78" w:line="200" w:lineRule="exact"/>
              <w:ind w:left="2556"/>
              <w:rPr>
                <w:rFonts w:ascii="微软雅黑" w:hAnsi="微软雅黑" w:eastAsia="微软雅黑" w:cs="微软雅黑"/>
                <w:sz w:val="19"/>
                <w:szCs w:val="19"/>
              </w:rPr>
            </w:pPr>
            <w:r>
              <w:rPr>
                <w:rFonts w:ascii="微软雅黑" w:hAnsi="微软雅黑" w:eastAsia="微软雅黑" w:cs="微软雅黑"/>
                <w:color w:val="212529"/>
                <w:spacing w:val="9"/>
                <w:position w:val="-1"/>
                <w:sz w:val="19"/>
                <w:szCs w:val="19"/>
              </w:rPr>
              <w:t>2025年财政拨款安排</w:t>
            </w:r>
            <w:r>
              <w:rPr>
                <w:rFonts w:ascii="微软雅黑" w:hAnsi="微软雅黑" w:eastAsia="微软雅黑" w:cs="微软雅黑"/>
                <w:color w:val="212529"/>
                <w:spacing w:val="23"/>
                <w:w w:val="101"/>
                <w:position w:val="-1"/>
                <w:sz w:val="19"/>
                <w:szCs w:val="19"/>
              </w:rPr>
              <w:t xml:space="preserve"> </w:t>
            </w:r>
            <w:r>
              <w:rPr>
                <w:rFonts w:ascii="微软雅黑" w:hAnsi="微软雅黑" w:eastAsia="微软雅黑" w:cs="微软雅黑"/>
                <w:color w:val="212529"/>
                <w:spacing w:val="9"/>
                <w:position w:val="-1"/>
                <w:sz w:val="19"/>
                <w:szCs w:val="19"/>
              </w:rPr>
              <w:t>"三公"</w:t>
            </w:r>
            <w:r>
              <w:rPr>
                <w:rFonts w:ascii="微软雅黑" w:hAnsi="微软雅黑" w:eastAsia="微软雅黑" w:cs="微软雅黑"/>
                <w:color w:val="212529"/>
                <w:spacing w:val="39"/>
                <w:w w:val="101"/>
                <w:position w:val="-1"/>
                <w:sz w:val="19"/>
                <w:szCs w:val="19"/>
              </w:rPr>
              <w:t xml:space="preserve"> </w:t>
            </w:r>
            <w:r>
              <w:rPr>
                <w:rFonts w:ascii="微软雅黑" w:hAnsi="微软雅黑" w:eastAsia="微软雅黑" w:cs="微软雅黑"/>
                <w:color w:val="212529"/>
                <w:spacing w:val="9"/>
                <w:position w:val="-1"/>
                <w:sz w:val="19"/>
                <w:szCs w:val="19"/>
              </w:rPr>
              <w:t>经费支出预算表</w:t>
            </w:r>
          </w:p>
        </w:tc>
      </w:tr>
      <w:tr w14:paraId="26CE3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6345" w:type="dxa"/>
            <w:gridSpan w:val="3"/>
            <w:tcBorders>
              <w:top w:val="single" w:color="FFFFFF" w:sz="4" w:space="0"/>
              <w:left w:val="single" w:color="FFFFFF" w:sz="2" w:space="0"/>
              <w:right w:val="single" w:color="FFFFFF" w:sz="2" w:space="0"/>
            </w:tcBorders>
            <w:vAlign w:val="top"/>
          </w:tcPr>
          <w:p w14:paraId="185D8E9C">
            <w:pPr>
              <w:spacing w:before="124" w:line="233"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371" w:type="dxa"/>
            <w:tcBorders>
              <w:top w:val="single" w:color="FFFFFF" w:sz="4" w:space="0"/>
              <w:left w:val="single" w:color="FFFFFF" w:sz="2" w:space="0"/>
              <w:right w:val="single" w:color="FFFFFF" w:sz="2" w:space="0"/>
            </w:tcBorders>
            <w:vAlign w:val="top"/>
          </w:tcPr>
          <w:p w14:paraId="5178D77A">
            <w:pPr>
              <w:pStyle w:val="6"/>
            </w:pPr>
          </w:p>
        </w:tc>
        <w:tc>
          <w:tcPr>
            <w:tcW w:w="1442" w:type="dxa"/>
            <w:tcBorders>
              <w:top w:val="single" w:color="FFFFFF" w:sz="4" w:space="0"/>
              <w:left w:val="single" w:color="FFFFFF" w:sz="2" w:space="0"/>
              <w:right w:val="single" w:color="FFFFFF" w:sz="2" w:space="0"/>
            </w:tcBorders>
            <w:vAlign w:val="top"/>
          </w:tcPr>
          <w:p w14:paraId="11D383EA">
            <w:pPr>
              <w:spacing w:before="124" w:line="234" w:lineRule="auto"/>
              <w:ind w:left="834"/>
              <w:rPr>
                <w:rFonts w:ascii="宋体" w:hAnsi="宋体" w:eastAsia="宋体" w:cs="宋体"/>
                <w:sz w:val="12"/>
                <w:szCs w:val="12"/>
              </w:rPr>
            </w:pPr>
            <w:r>
              <w:rPr>
                <w:rFonts w:ascii="宋体" w:hAnsi="宋体" w:eastAsia="宋体" w:cs="宋体"/>
                <w:color w:val="212529"/>
                <w:spacing w:val="7"/>
                <w:sz w:val="12"/>
                <w:szCs w:val="12"/>
              </w:rPr>
              <w:t>单位:万元</w:t>
            </w:r>
          </w:p>
        </w:tc>
      </w:tr>
      <w:tr w14:paraId="669E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677" w:type="dxa"/>
            <w:vMerge w:val="restart"/>
            <w:tcBorders>
              <w:bottom w:val="nil"/>
            </w:tcBorders>
            <w:vAlign w:val="top"/>
          </w:tcPr>
          <w:p w14:paraId="4C90A5C1">
            <w:pPr>
              <w:pStyle w:val="6"/>
            </w:pPr>
          </w:p>
          <w:p w14:paraId="6A46AE88">
            <w:pPr>
              <w:spacing w:before="64" w:line="154" w:lineRule="exact"/>
              <w:ind w:left="1665"/>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5481" w:type="dxa"/>
            <w:gridSpan w:val="4"/>
            <w:vAlign w:val="top"/>
          </w:tcPr>
          <w:p w14:paraId="014F8B23">
            <w:pPr>
              <w:pStyle w:val="6"/>
            </w:pPr>
          </w:p>
        </w:tc>
      </w:tr>
      <w:tr w14:paraId="76B3E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677" w:type="dxa"/>
            <w:vMerge w:val="continue"/>
            <w:tcBorders>
              <w:top w:val="nil"/>
            </w:tcBorders>
            <w:vAlign w:val="top"/>
          </w:tcPr>
          <w:p w14:paraId="22F372C0">
            <w:pPr>
              <w:pStyle w:val="6"/>
            </w:pPr>
          </w:p>
        </w:tc>
        <w:tc>
          <w:tcPr>
            <w:tcW w:w="1372" w:type="dxa"/>
            <w:vAlign w:val="top"/>
          </w:tcPr>
          <w:p w14:paraId="65E686F3">
            <w:pPr>
              <w:spacing w:before="110" w:line="154" w:lineRule="exact"/>
              <w:ind w:left="51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296" w:type="dxa"/>
            <w:vAlign w:val="top"/>
          </w:tcPr>
          <w:p w14:paraId="1C9FD204">
            <w:pPr>
              <w:spacing w:before="108" w:line="158" w:lineRule="exact"/>
              <w:ind w:left="150"/>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1371" w:type="dxa"/>
            <w:vAlign w:val="top"/>
          </w:tcPr>
          <w:p w14:paraId="2B31972D">
            <w:pPr>
              <w:spacing w:before="109" w:line="157" w:lineRule="exact"/>
              <w:ind w:left="107"/>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政府性基金预算</w:t>
            </w:r>
          </w:p>
        </w:tc>
        <w:tc>
          <w:tcPr>
            <w:tcW w:w="1442" w:type="dxa"/>
            <w:vAlign w:val="top"/>
          </w:tcPr>
          <w:p w14:paraId="6E85C22D">
            <w:pPr>
              <w:spacing w:before="108" w:line="158" w:lineRule="exact"/>
              <w:ind w:left="79"/>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国有资本经营预算</w:t>
            </w:r>
          </w:p>
        </w:tc>
      </w:tr>
      <w:tr w14:paraId="4F0AD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677" w:type="dxa"/>
            <w:vAlign w:val="top"/>
          </w:tcPr>
          <w:p w14:paraId="0023460C">
            <w:pPr>
              <w:spacing w:before="112" w:line="230" w:lineRule="auto"/>
              <w:ind w:left="1193"/>
              <w:rPr>
                <w:rFonts w:ascii="宋体" w:hAnsi="宋体" w:eastAsia="宋体" w:cs="宋体"/>
                <w:sz w:val="15"/>
                <w:szCs w:val="15"/>
              </w:rPr>
            </w:pPr>
            <w:r>
              <w:rPr>
                <w:rFonts w:ascii="宋体" w:hAnsi="宋体" w:eastAsia="宋体" w:cs="宋体"/>
                <w:color w:val="212529"/>
                <w:spacing w:val="6"/>
                <w:sz w:val="15"/>
                <w:szCs w:val="15"/>
              </w:rPr>
              <w:t>因公出国（境）</w:t>
            </w:r>
            <w:r>
              <w:rPr>
                <w:rFonts w:ascii="宋体" w:hAnsi="宋体" w:eastAsia="宋体" w:cs="宋体"/>
                <w:color w:val="212529"/>
                <w:spacing w:val="-44"/>
                <w:sz w:val="15"/>
                <w:szCs w:val="15"/>
              </w:rPr>
              <w:t xml:space="preserve"> </w:t>
            </w:r>
            <w:r>
              <w:rPr>
                <w:rFonts w:ascii="宋体" w:hAnsi="宋体" w:eastAsia="宋体" w:cs="宋体"/>
                <w:color w:val="212529"/>
                <w:spacing w:val="6"/>
                <w:sz w:val="15"/>
                <w:szCs w:val="15"/>
              </w:rPr>
              <w:t>费</w:t>
            </w:r>
          </w:p>
        </w:tc>
        <w:tc>
          <w:tcPr>
            <w:tcW w:w="1372" w:type="dxa"/>
            <w:vAlign w:val="top"/>
          </w:tcPr>
          <w:p w14:paraId="7F180C0E">
            <w:pPr>
              <w:pStyle w:val="6"/>
            </w:pPr>
          </w:p>
        </w:tc>
        <w:tc>
          <w:tcPr>
            <w:tcW w:w="1296" w:type="dxa"/>
            <w:vAlign w:val="top"/>
          </w:tcPr>
          <w:p w14:paraId="72B716A0">
            <w:pPr>
              <w:pStyle w:val="6"/>
            </w:pPr>
          </w:p>
        </w:tc>
        <w:tc>
          <w:tcPr>
            <w:tcW w:w="1371" w:type="dxa"/>
            <w:vAlign w:val="top"/>
          </w:tcPr>
          <w:p w14:paraId="20E3409C">
            <w:pPr>
              <w:pStyle w:val="6"/>
            </w:pPr>
          </w:p>
        </w:tc>
        <w:tc>
          <w:tcPr>
            <w:tcW w:w="1442" w:type="dxa"/>
            <w:vAlign w:val="top"/>
          </w:tcPr>
          <w:p w14:paraId="6AD9ACA7">
            <w:pPr>
              <w:pStyle w:val="6"/>
            </w:pPr>
          </w:p>
        </w:tc>
      </w:tr>
      <w:tr w14:paraId="4CA2C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677" w:type="dxa"/>
            <w:vAlign w:val="top"/>
          </w:tcPr>
          <w:p w14:paraId="26E065AE">
            <w:pPr>
              <w:spacing w:before="114" w:line="229" w:lineRule="auto"/>
              <w:ind w:left="1428"/>
              <w:rPr>
                <w:rFonts w:ascii="宋体" w:hAnsi="宋体" w:eastAsia="宋体" w:cs="宋体"/>
                <w:sz w:val="15"/>
                <w:szCs w:val="15"/>
              </w:rPr>
            </w:pPr>
            <w:r>
              <w:rPr>
                <w:rFonts w:ascii="宋体" w:hAnsi="宋体" w:eastAsia="宋体" w:cs="宋体"/>
                <w:color w:val="212529"/>
                <w:spacing w:val="9"/>
                <w:sz w:val="15"/>
                <w:szCs w:val="15"/>
              </w:rPr>
              <w:t>公务接待费</w:t>
            </w:r>
          </w:p>
        </w:tc>
        <w:tc>
          <w:tcPr>
            <w:tcW w:w="1372" w:type="dxa"/>
            <w:vAlign w:val="top"/>
          </w:tcPr>
          <w:p w14:paraId="07F7F2FC">
            <w:pPr>
              <w:pStyle w:val="6"/>
            </w:pPr>
          </w:p>
        </w:tc>
        <w:tc>
          <w:tcPr>
            <w:tcW w:w="1296" w:type="dxa"/>
            <w:vAlign w:val="top"/>
          </w:tcPr>
          <w:p w14:paraId="4A7D2992">
            <w:pPr>
              <w:pStyle w:val="6"/>
            </w:pPr>
          </w:p>
        </w:tc>
        <w:tc>
          <w:tcPr>
            <w:tcW w:w="1371" w:type="dxa"/>
            <w:vAlign w:val="top"/>
          </w:tcPr>
          <w:p w14:paraId="3470EC52">
            <w:pPr>
              <w:pStyle w:val="6"/>
            </w:pPr>
          </w:p>
        </w:tc>
        <w:tc>
          <w:tcPr>
            <w:tcW w:w="1442" w:type="dxa"/>
            <w:vAlign w:val="top"/>
          </w:tcPr>
          <w:p w14:paraId="124AB349">
            <w:pPr>
              <w:pStyle w:val="6"/>
            </w:pPr>
          </w:p>
        </w:tc>
      </w:tr>
      <w:tr w14:paraId="445C7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677" w:type="dxa"/>
            <w:vAlign w:val="top"/>
          </w:tcPr>
          <w:p w14:paraId="6FA19070">
            <w:pPr>
              <w:spacing w:before="115" w:line="229" w:lineRule="auto"/>
              <w:ind w:left="1023"/>
              <w:rPr>
                <w:rFonts w:ascii="宋体" w:hAnsi="宋体" w:eastAsia="宋体" w:cs="宋体"/>
                <w:sz w:val="15"/>
                <w:szCs w:val="15"/>
              </w:rPr>
            </w:pPr>
            <w:r>
              <w:rPr>
                <w:rFonts w:ascii="宋体" w:hAnsi="宋体" w:eastAsia="宋体" w:cs="宋体"/>
                <w:color w:val="212529"/>
                <w:spacing w:val="10"/>
                <w:sz w:val="15"/>
                <w:szCs w:val="15"/>
              </w:rPr>
              <w:t>公务用车购置及运行费</w:t>
            </w:r>
          </w:p>
        </w:tc>
        <w:tc>
          <w:tcPr>
            <w:tcW w:w="1372" w:type="dxa"/>
            <w:vAlign w:val="top"/>
          </w:tcPr>
          <w:p w14:paraId="36755FEE">
            <w:pPr>
              <w:pStyle w:val="6"/>
            </w:pPr>
          </w:p>
        </w:tc>
        <w:tc>
          <w:tcPr>
            <w:tcW w:w="1296" w:type="dxa"/>
            <w:vAlign w:val="top"/>
          </w:tcPr>
          <w:p w14:paraId="356AB902">
            <w:pPr>
              <w:pStyle w:val="6"/>
            </w:pPr>
          </w:p>
        </w:tc>
        <w:tc>
          <w:tcPr>
            <w:tcW w:w="1371" w:type="dxa"/>
            <w:vAlign w:val="top"/>
          </w:tcPr>
          <w:p w14:paraId="6A862471">
            <w:pPr>
              <w:pStyle w:val="6"/>
            </w:pPr>
          </w:p>
        </w:tc>
        <w:tc>
          <w:tcPr>
            <w:tcW w:w="1442" w:type="dxa"/>
            <w:vAlign w:val="top"/>
          </w:tcPr>
          <w:p w14:paraId="14F068B7">
            <w:pPr>
              <w:pStyle w:val="6"/>
            </w:pPr>
          </w:p>
        </w:tc>
      </w:tr>
      <w:tr w14:paraId="2FFE2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677" w:type="dxa"/>
            <w:vAlign w:val="top"/>
          </w:tcPr>
          <w:p w14:paraId="273D1DAC">
            <w:pPr>
              <w:spacing w:before="116" w:line="227" w:lineRule="auto"/>
              <w:ind w:left="1220"/>
              <w:rPr>
                <w:rFonts w:ascii="宋体" w:hAnsi="宋体" w:eastAsia="宋体" w:cs="宋体"/>
                <w:sz w:val="15"/>
                <w:szCs w:val="15"/>
              </w:rPr>
            </w:pPr>
            <w:r>
              <w:rPr>
                <w:rFonts w:ascii="宋体" w:hAnsi="宋体" w:eastAsia="宋体" w:cs="宋体"/>
                <w:color w:val="212529"/>
                <w:spacing w:val="11"/>
                <w:sz w:val="15"/>
                <w:szCs w:val="15"/>
              </w:rPr>
              <w:t>①公务用车购置费</w:t>
            </w:r>
          </w:p>
        </w:tc>
        <w:tc>
          <w:tcPr>
            <w:tcW w:w="1372" w:type="dxa"/>
            <w:vAlign w:val="top"/>
          </w:tcPr>
          <w:p w14:paraId="3A4A6648">
            <w:pPr>
              <w:pStyle w:val="6"/>
            </w:pPr>
          </w:p>
        </w:tc>
        <w:tc>
          <w:tcPr>
            <w:tcW w:w="1296" w:type="dxa"/>
            <w:vAlign w:val="top"/>
          </w:tcPr>
          <w:p w14:paraId="6007231C">
            <w:pPr>
              <w:pStyle w:val="6"/>
            </w:pPr>
          </w:p>
        </w:tc>
        <w:tc>
          <w:tcPr>
            <w:tcW w:w="1371" w:type="dxa"/>
            <w:vAlign w:val="top"/>
          </w:tcPr>
          <w:p w14:paraId="328ED7AE">
            <w:pPr>
              <w:pStyle w:val="6"/>
            </w:pPr>
          </w:p>
        </w:tc>
        <w:tc>
          <w:tcPr>
            <w:tcW w:w="1442" w:type="dxa"/>
            <w:vAlign w:val="top"/>
          </w:tcPr>
          <w:p w14:paraId="2CB3099D">
            <w:pPr>
              <w:pStyle w:val="6"/>
            </w:pPr>
          </w:p>
        </w:tc>
      </w:tr>
      <w:tr w14:paraId="3B55B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3677" w:type="dxa"/>
            <w:vAlign w:val="top"/>
          </w:tcPr>
          <w:p w14:paraId="2904F898">
            <w:pPr>
              <w:spacing w:before="116" w:line="227" w:lineRule="auto"/>
              <w:ind w:left="1057"/>
              <w:rPr>
                <w:rFonts w:ascii="宋体" w:hAnsi="宋体" w:eastAsia="宋体" w:cs="宋体"/>
                <w:sz w:val="15"/>
                <w:szCs w:val="15"/>
              </w:rPr>
            </w:pPr>
            <w:r>
              <w:rPr>
                <w:rFonts w:ascii="宋体" w:hAnsi="宋体" w:eastAsia="宋体" w:cs="宋体"/>
                <w:color w:val="212529"/>
                <w:spacing w:val="11"/>
                <w:sz w:val="15"/>
                <w:szCs w:val="15"/>
              </w:rPr>
              <w:t>②公务用车运行维护费</w:t>
            </w:r>
          </w:p>
        </w:tc>
        <w:tc>
          <w:tcPr>
            <w:tcW w:w="1372" w:type="dxa"/>
            <w:vAlign w:val="top"/>
          </w:tcPr>
          <w:p w14:paraId="0247C7B4">
            <w:pPr>
              <w:pStyle w:val="6"/>
            </w:pPr>
          </w:p>
        </w:tc>
        <w:tc>
          <w:tcPr>
            <w:tcW w:w="1296" w:type="dxa"/>
            <w:vAlign w:val="top"/>
          </w:tcPr>
          <w:p w14:paraId="1F8399E9">
            <w:pPr>
              <w:pStyle w:val="6"/>
            </w:pPr>
          </w:p>
        </w:tc>
        <w:tc>
          <w:tcPr>
            <w:tcW w:w="1371" w:type="dxa"/>
            <w:vAlign w:val="top"/>
          </w:tcPr>
          <w:p w14:paraId="3CC0E104">
            <w:pPr>
              <w:pStyle w:val="6"/>
            </w:pPr>
          </w:p>
        </w:tc>
        <w:tc>
          <w:tcPr>
            <w:tcW w:w="1442" w:type="dxa"/>
            <w:vAlign w:val="top"/>
          </w:tcPr>
          <w:p w14:paraId="4BA50066">
            <w:pPr>
              <w:pStyle w:val="6"/>
            </w:pPr>
          </w:p>
        </w:tc>
      </w:tr>
      <w:tr w14:paraId="7DCE2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677" w:type="dxa"/>
            <w:vAlign w:val="top"/>
          </w:tcPr>
          <w:p w14:paraId="6DA46D84">
            <w:pPr>
              <w:spacing w:before="115" w:line="154" w:lineRule="exact"/>
              <w:ind w:left="166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372" w:type="dxa"/>
            <w:vAlign w:val="top"/>
          </w:tcPr>
          <w:p w14:paraId="5EC1C169">
            <w:pPr>
              <w:pStyle w:val="6"/>
            </w:pPr>
          </w:p>
        </w:tc>
        <w:tc>
          <w:tcPr>
            <w:tcW w:w="1296" w:type="dxa"/>
            <w:vAlign w:val="top"/>
          </w:tcPr>
          <w:p w14:paraId="00098A0E">
            <w:pPr>
              <w:pStyle w:val="6"/>
            </w:pPr>
          </w:p>
        </w:tc>
        <w:tc>
          <w:tcPr>
            <w:tcW w:w="1371" w:type="dxa"/>
            <w:vAlign w:val="top"/>
          </w:tcPr>
          <w:p w14:paraId="0361CA09">
            <w:pPr>
              <w:pStyle w:val="6"/>
            </w:pPr>
          </w:p>
        </w:tc>
        <w:tc>
          <w:tcPr>
            <w:tcW w:w="1442" w:type="dxa"/>
            <w:vAlign w:val="top"/>
          </w:tcPr>
          <w:p w14:paraId="04048A97">
            <w:pPr>
              <w:pStyle w:val="6"/>
            </w:pPr>
          </w:p>
        </w:tc>
      </w:tr>
      <w:tr w14:paraId="6FE27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677" w:type="dxa"/>
            <w:tcBorders>
              <w:left w:val="single" w:color="FFFFFF" w:sz="4" w:space="0"/>
              <w:bottom w:val="single" w:color="FFFFFF" w:sz="4" w:space="0"/>
              <w:right w:val="single" w:color="000000" w:sz="2" w:space="0"/>
            </w:tcBorders>
            <w:vAlign w:val="top"/>
          </w:tcPr>
          <w:p w14:paraId="0A41F020">
            <w:pPr>
              <w:spacing w:before="18"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c>
          <w:tcPr>
            <w:tcW w:w="1372" w:type="dxa"/>
            <w:tcBorders>
              <w:left w:val="single" w:color="FFFFFF" w:sz="2" w:space="0"/>
              <w:bottom w:val="single" w:color="FFFFFF" w:sz="4" w:space="0"/>
              <w:right w:val="single" w:color="FFFFFF" w:sz="2" w:space="0"/>
            </w:tcBorders>
            <w:vAlign w:val="top"/>
          </w:tcPr>
          <w:p w14:paraId="3A315F03">
            <w:pPr>
              <w:pStyle w:val="6"/>
            </w:pPr>
          </w:p>
        </w:tc>
        <w:tc>
          <w:tcPr>
            <w:tcW w:w="1296" w:type="dxa"/>
            <w:tcBorders>
              <w:left w:val="single" w:color="FFFFFF" w:sz="2" w:space="0"/>
              <w:bottom w:val="single" w:color="FFFFFF" w:sz="4" w:space="0"/>
              <w:right w:val="single" w:color="FFFFFF" w:sz="2" w:space="0"/>
            </w:tcBorders>
            <w:vAlign w:val="top"/>
          </w:tcPr>
          <w:p w14:paraId="6E6F5783">
            <w:pPr>
              <w:pStyle w:val="6"/>
            </w:pPr>
          </w:p>
        </w:tc>
        <w:tc>
          <w:tcPr>
            <w:tcW w:w="1371" w:type="dxa"/>
            <w:tcBorders>
              <w:left w:val="single" w:color="FFFFFF" w:sz="2" w:space="0"/>
              <w:bottom w:val="single" w:color="FFFFFF" w:sz="4" w:space="0"/>
              <w:right w:val="single" w:color="FFFFFF" w:sz="2" w:space="0"/>
            </w:tcBorders>
            <w:vAlign w:val="top"/>
          </w:tcPr>
          <w:p w14:paraId="36D4A07A">
            <w:pPr>
              <w:pStyle w:val="6"/>
            </w:pPr>
          </w:p>
        </w:tc>
        <w:tc>
          <w:tcPr>
            <w:tcW w:w="1442" w:type="dxa"/>
            <w:tcBorders>
              <w:left w:val="single" w:color="FFFFFF" w:sz="2" w:space="0"/>
              <w:bottom w:val="single" w:color="FFFFFF" w:sz="4" w:space="0"/>
              <w:right w:val="single" w:color="FFFFFF" w:sz="2" w:space="0"/>
            </w:tcBorders>
            <w:vAlign w:val="top"/>
          </w:tcPr>
          <w:p w14:paraId="1B9FF09E">
            <w:pPr>
              <w:pStyle w:val="6"/>
            </w:pPr>
          </w:p>
        </w:tc>
      </w:tr>
    </w:tbl>
    <w:p w14:paraId="4FA2BAC0">
      <w:pPr>
        <w:pStyle w:val="2"/>
      </w:pPr>
    </w:p>
    <w:p w14:paraId="7A171932">
      <w:pPr>
        <w:sectPr>
          <w:headerReference r:id="rId30" w:type="default"/>
          <w:footerReference r:id="rId31" w:type="default"/>
          <w:pgSz w:w="11900" w:h="16840"/>
          <w:pgMar w:top="642" w:right="0" w:bottom="340" w:left="0" w:header="326" w:footer="91" w:gutter="0"/>
          <w:cols w:space="720" w:num="1"/>
        </w:sectPr>
      </w:pPr>
    </w:p>
    <w:p w14:paraId="646111DF">
      <w:pPr>
        <w:spacing w:before="103"/>
      </w:pPr>
    </w:p>
    <w:p w14:paraId="0D637E87">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59"/>
        <w:gridCol w:w="1415"/>
        <w:gridCol w:w="1512"/>
        <w:gridCol w:w="1458"/>
        <w:gridCol w:w="1614"/>
      </w:tblGrid>
      <w:tr w14:paraId="1EDD37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159" w:type="dxa"/>
            <w:tcBorders>
              <w:top w:val="single" w:color="FFFFFF" w:sz="4" w:space="0"/>
              <w:left w:val="single" w:color="FFFFFF" w:sz="2" w:space="0"/>
              <w:bottom w:val="single" w:color="FFFFFF" w:sz="4" w:space="0"/>
              <w:right w:val="single" w:color="FFFFFF" w:sz="2" w:space="0"/>
            </w:tcBorders>
            <w:vAlign w:val="top"/>
          </w:tcPr>
          <w:p w14:paraId="0D4D2B83">
            <w:pPr>
              <w:pStyle w:val="6"/>
            </w:pPr>
          </w:p>
        </w:tc>
        <w:tc>
          <w:tcPr>
            <w:tcW w:w="1415" w:type="dxa"/>
            <w:tcBorders>
              <w:top w:val="nil"/>
              <w:left w:val="single" w:color="FFFFFF" w:sz="2" w:space="0"/>
              <w:bottom w:val="single" w:color="FFFFFF" w:sz="4" w:space="0"/>
              <w:right w:val="single" w:color="FFFFFF" w:sz="2" w:space="0"/>
            </w:tcBorders>
            <w:vAlign w:val="top"/>
          </w:tcPr>
          <w:p w14:paraId="7BAEC87A">
            <w:pPr>
              <w:pStyle w:val="6"/>
            </w:pPr>
          </w:p>
        </w:tc>
        <w:tc>
          <w:tcPr>
            <w:tcW w:w="1512" w:type="dxa"/>
            <w:tcBorders>
              <w:top w:val="single" w:color="FFFFFF" w:sz="4" w:space="0"/>
              <w:left w:val="single" w:color="FFFFFF" w:sz="2" w:space="0"/>
              <w:bottom w:val="single" w:color="FFFFFF" w:sz="4" w:space="0"/>
              <w:right w:val="single" w:color="FFFFFF" w:sz="2" w:space="0"/>
            </w:tcBorders>
            <w:vAlign w:val="top"/>
          </w:tcPr>
          <w:p w14:paraId="03319D46">
            <w:pPr>
              <w:pStyle w:val="6"/>
            </w:pPr>
          </w:p>
        </w:tc>
        <w:tc>
          <w:tcPr>
            <w:tcW w:w="1458" w:type="dxa"/>
            <w:tcBorders>
              <w:top w:val="single" w:color="FFFFFF" w:sz="4" w:space="0"/>
              <w:left w:val="single" w:color="FFFFFF" w:sz="2" w:space="0"/>
              <w:bottom w:val="single" w:color="FFFFFF" w:sz="4" w:space="0"/>
              <w:right w:val="single" w:color="FFFFFF" w:sz="2" w:space="0"/>
            </w:tcBorders>
            <w:vAlign w:val="top"/>
          </w:tcPr>
          <w:p w14:paraId="465F5E67">
            <w:pPr>
              <w:pStyle w:val="6"/>
            </w:pPr>
          </w:p>
        </w:tc>
        <w:tc>
          <w:tcPr>
            <w:tcW w:w="1614" w:type="dxa"/>
            <w:tcBorders>
              <w:top w:val="single" w:color="FFFFFF" w:sz="4" w:space="0"/>
              <w:left w:val="single" w:color="FFFFFF" w:sz="2" w:space="0"/>
              <w:bottom w:val="single" w:color="FFFFFF" w:sz="4" w:space="0"/>
              <w:right w:val="single" w:color="FFFFFF" w:sz="2" w:space="0"/>
            </w:tcBorders>
            <w:vAlign w:val="top"/>
          </w:tcPr>
          <w:p w14:paraId="014717D5">
            <w:pPr>
              <w:pStyle w:val="6"/>
            </w:pPr>
          </w:p>
        </w:tc>
      </w:tr>
      <w:tr w14:paraId="70A72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512241D1">
            <w:pPr>
              <w:spacing w:before="80" w:line="201" w:lineRule="exact"/>
              <w:ind w:left="2758"/>
              <w:outlineLvl w:val="1"/>
              <w:rPr>
                <w:rFonts w:ascii="微软雅黑" w:hAnsi="微软雅黑" w:eastAsia="微软雅黑" w:cs="微软雅黑"/>
                <w:sz w:val="20"/>
                <w:szCs w:val="20"/>
              </w:rPr>
            </w:pPr>
            <w:bookmarkStart w:id="25" w:name="bookmark46"/>
            <w:bookmarkEnd w:id="25"/>
            <w:bookmarkStart w:id="26" w:name="bookmark16"/>
            <w:bookmarkEnd w:id="26"/>
            <w:r>
              <w:rPr>
                <w:rFonts w:ascii="微软雅黑" w:hAnsi="微软雅黑" w:eastAsia="微软雅黑" w:cs="微软雅黑"/>
                <w:color w:val="212529"/>
                <w:spacing w:val="-3"/>
                <w:position w:val="-1"/>
                <w:sz w:val="20"/>
                <w:szCs w:val="20"/>
              </w:rPr>
              <w:t>2025年财政拨款安排机关运行经费预算表</w:t>
            </w:r>
          </w:p>
        </w:tc>
      </w:tr>
      <w:tr w14:paraId="1367D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59" w:type="dxa"/>
            <w:tcBorders>
              <w:top w:val="single" w:color="FFFFFF" w:sz="4" w:space="0"/>
              <w:left w:val="single" w:color="FFFFFF" w:sz="2" w:space="0"/>
              <w:right w:val="single" w:color="FFFFFF" w:sz="2" w:space="0"/>
            </w:tcBorders>
            <w:vAlign w:val="top"/>
          </w:tcPr>
          <w:p w14:paraId="5D4CECF7">
            <w:pPr>
              <w:spacing w:before="126" w:line="233"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415" w:type="dxa"/>
            <w:tcBorders>
              <w:top w:val="single" w:color="FFFFFF" w:sz="4" w:space="0"/>
              <w:left w:val="single" w:color="FFFFFF" w:sz="2" w:space="0"/>
              <w:right w:val="single" w:color="FFFFFF" w:sz="2" w:space="0"/>
            </w:tcBorders>
            <w:vAlign w:val="top"/>
          </w:tcPr>
          <w:p w14:paraId="4F366248">
            <w:pPr>
              <w:pStyle w:val="6"/>
            </w:pPr>
          </w:p>
        </w:tc>
        <w:tc>
          <w:tcPr>
            <w:tcW w:w="1512" w:type="dxa"/>
            <w:tcBorders>
              <w:top w:val="single" w:color="FFFFFF" w:sz="4" w:space="0"/>
              <w:left w:val="single" w:color="FFFFFF" w:sz="2" w:space="0"/>
              <w:right w:val="single" w:color="FFFFFF" w:sz="2" w:space="0"/>
            </w:tcBorders>
            <w:vAlign w:val="top"/>
          </w:tcPr>
          <w:p w14:paraId="19627165">
            <w:pPr>
              <w:pStyle w:val="6"/>
            </w:pPr>
          </w:p>
        </w:tc>
        <w:tc>
          <w:tcPr>
            <w:tcW w:w="1458" w:type="dxa"/>
            <w:tcBorders>
              <w:top w:val="single" w:color="FFFFFF" w:sz="4" w:space="0"/>
              <w:left w:val="single" w:color="FFFFFF" w:sz="2" w:space="0"/>
              <w:right w:val="single" w:color="FFFFFF" w:sz="2" w:space="0"/>
            </w:tcBorders>
            <w:vAlign w:val="top"/>
          </w:tcPr>
          <w:p w14:paraId="26EE8077">
            <w:pPr>
              <w:pStyle w:val="6"/>
            </w:pPr>
          </w:p>
        </w:tc>
        <w:tc>
          <w:tcPr>
            <w:tcW w:w="1614" w:type="dxa"/>
            <w:tcBorders>
              <w:top w:val="single" w:color="FFFFFF" w:sz="4" w:space="0"/>
              <w:left w:val="single" w:color="FFFFFF" w:sz="2" w:space="0"/>
              <w:right w:val="single" w:color="FFFFFF" w:sz="2" w:space="0"/>
            </w:tcBorders>
            <w:vAlign w:val="top"/>
          </w:tcPr>
          <w:p w14:paraId="091F5152">
            <w:pPr>
              <w:spacing w:before="126" w:line="234" w:lineRule="auto"/>
              <w:ind w:left="1006"/>
              <w:rPr>
                <w:rFonts w:ascii="宋体" w:hAnsi="宋体" w:eastAsia="宋体" w:cs="宋体"/>
                <w:sz w:val="12"/>
                <w:szCs w:val="12"/>
              </w:rPr>
            </w:pPr>
            <w:r>
              <w:rPr>
                <w:rFonts w:ascii="宋体" w:hAnsi="宋体" w:eastAsia="宋体" w:cs="宋体"/>
                <w:color w:val="212529"/>
                <w:spacing w:val="7"/>
                <w:sz w:val="12"/>
                <w:szCs w:val="12"/>
              </w:rPr>
              <w:t>单位:万元</w:t>
            </w:r>
          </w:p>
        </w:tc>
      </w:tr>
      <w:tr w14:paraId="46FA0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59" w:type="dxa"/>
            <w:vMerge w:val="restart"/>
            <w:tcBorders>
              <w:bottom w:val="nil"/>
            </w:tcBorders>
            <w:vAlign w:val="top"/>
          </w:tcPr>
          <w:p w14:paraId="641F39A1">
            <w:pPr>
              <w:spacing w:before="304" w:line="158" w:lineRule="exact"/>
              <w:ind w:left="1244"/>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单位名称</w:t>
            </w:r>
          </w:p>
        </w:tc>
        <w:tc>
          <w:tcPr>
            <w:tcW w:w="5999" w:type="dxa"/>
            <w:gridSpan w:val="4"/>
            <w:vAlign w:val="top"/>
          </w:tcPr>
          <w:p w14:paraId="0AD002BF">
            <w:pPr>
              <w:spacing w:before="111" w:line="157" w:lineRule="exact"/>
              <w:ind w:left="2587"/>
              <w:rPr>
                <w:rFonts w:ascii="微软雅黑" w:hAnsi="微软雅黑" w:eastAsia="微软雅黑" w:cs="微软雅黑"/>
                <w:sz w:val="15"/>
                <w:szCs w:val="15"/>
              </w:rPr>
            </w:pPr>
            <w:r>
              <w:rPr>
                <w:rFonts w:ascii="微软雅黑" w:hAnsi="微软雅黑" w:eastAsia="微软雅黑" w:cs="微软雅黑"/>
                <w:color w:val="212529"/>
                <w:sz w:val="15"/>
                <w:szCs w:val="15"/>
              </w:rPr>
              <w:t>2025预算数</w:t>
            </w:r>
          </w:p>
        </w:tc>
      </w:tr>
      <w:tr w14:paraId="12281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59" w:type="dxa"/>
            <w:vMerge w:val="continue"/>
            <w:tcBorders>
              <w:top w:val="nil"/>
            </w:tcBorders>
            <w:vAlign w:val="top"/>
          </w:tcPr>
          <w:p w14:paraId="007838D4">
            <w:pPr>
              <w:pStyle w:val="6"/>
            </w:pPr>
          </w:p>
        </w:tc>
        <w:tc>
          <w:tcPr>
            <w:tcW w:w="1415" w:type="dxa"/>
            <w:vAlign w:val="top"/>
          </w:tcPr>
          <w:p w14:paraId="3B215C21">
            <w:pPr>
              <w:spacing w:before="113" w:line="154" w:lineRule="exact"/>
              <w:ind w:left="53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512" w:type="dxa"/>
            <w:vAlign w:val="top"/>
          </w:tcPr>
          <w:p w14:paraId="6B08C4A7">
            <w:pPr>
              <w:spacing w:before="111" w:line="158" w:lineRule="exact"/>
              <w:ind w:left="258"/>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1458" w:type="dxa"/>
            <w:vAlign w:val="top"/>
          </w:tcPr>
          <w:p w14:paraId="1BD2CF8E">
            <w:pPr>
              <w:spacing w:before="112" w:line="157" w:lineRule="exact"/>
              <w:ind w:left="152"/>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政府性基金预算</w:t>
            </w:r>
          </w:p>
        </w:tc>
        <w:tc>
          <w:tcPr>
            <w:tcW w:w="1614" w:type="dxa"/>
            <w:vAlign w:val="top"/>
          </w:tcPr>
          <w:p w14:paraId="476A81E7">
            <w:pPr>
              <w:spacing w:before="111" w:line="158" w:lineRule="exact"/>
              <w:ind w:left="16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国有资本经营预算</w:t>
            </w:r>
          </w:p>
        </w:tc>
      </w:tr>
      <w:tr w14:paraId="3D40C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159" w:type="dxa"/>
            <w:vAlign w:val="top"/>
          </w:tcPr>
          <w:p w14:paraId="6D5147DB">
            <w:pPr>
              <w:spacing w:before="114" w:line="156" w:lineRule="exact"/>
              <w:ind w:left="1244"/>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部门合计</w:t>
            </w:r>
          </w:p>
        </w:tc>
        <w:tc>
          <w:tcPr>
            <w:tcW w:w="1415" w:type="dxa"/>
            <w:vAlign w:val="top"/>
          </w:tcPr>
          <w:p w14:paraId="4234361B">
            <w:pPr>
              <w:spacing w:before="116" w:line="201"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7.52</w:t>
            </w:r>
          </w:p>
        </w:tc>
        <w:tc>
          <w:tcPr>
            <w:tcW w:w="1512" w:type="dxa"/>
            <w:vAlign w:val="top"/>
          </w:tcPr>
          <w:p w14:paraId="70BA905C">
            <w:pPr>
              <w:spacing w:before="116" w:line="201"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7.52</w:t>
            </w:r>
          </w:p>
        </w:tc>
        <w:tc>
          <w:tcPr>
            <w:tcW w:w="1458" w:type="dxa"/>
            <w:vAlign w:val="top"/>
          </w:tcPr>
          <w:p w14:paraId="5F2FE417">
            <w:pPr>
              <w:pStyle w:val="6"/>
            </w:pPr>
          </w:p>
        </w:tc>
        <w:tc>
          <w:tcPr>
            <w:tcW w:w="1614" w:type="dxa"/>
            <w:vAlign w:val="top"/>
          </w:tcPr>
          <w:p w14:paraId="7E3C2D34">
            <w:pPr>
              <w:pStyle w:val="6"/>
            </w:pPr>
          </w:p>
        </w:tc>
      </w:tr>
      <w:tr w14:paraId="42454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159" w:type="dxa"/>
            <w:vAlign w:val="top"/>
          </w:tcPr>
          <w:p w14:paraId="73B9E0C1">
            <w:pPr>
              <w:spacing w:before="117" w:line="228" w:lineRule="auto"/>
              <w:ind w:left="10"/>
              <w:rPr>
                <w:rFonts w:ascii="宋体" w:hAnsi="宋体" w:eastAsia="宋体" w:cs="宋体"/>
                <w:sz w:val="15"/>
                <w:szCs w:val="15"/>
              </w:rPr>
            </w:pPr>
            <w:r>
              <w:rPr>
                <w:rFonts w:ascii="宋体" w:hAnsi="宋体" w:eastAsia="宋体" w:cs="宋体"/>
                <w:color w:val="212529"/>
                <w:spacing w:val="10"/>
                <w:sz w:val="15"/>
                <w:szCs w:val="15"/>
              </w:rPr>
              <w:t>兴县工商业联合会</w:t>
            </w:r>
          </w:p>
        </w:tc>
        <w:tc>
          <w:tcPr>
            <w:tcW w:w="1415" w:type="dxa"/>
            <w:vAlign w:val="top"/>
          </w:tcPr>
          <w:p w14:paraId="5A9B73FE">
            <w:pPr>
              <w:spacing w:before="117"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7.52</w:t>
            </w:r>
          </w:p>
        </w:tc>
        <w:tc>
          <w:tcPr>
            <w:tcW w:w="1512" w:type="dxa"/>
            <w:vAlign w:val="top"/>
          </w:tcPr>
          <w:p w14:paraId="213A505E">
            <w:pPr>
              <w:spacing w:before="117"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7.52</w:t>
            </w:r>
          </w:p>
        </w:tc>
        <w:tc>
          <w:tcPr>
            <w:tcW w:w="1458" w:type="dxa"/>
            <w:vAlign w:val="top"/>
          </w:tcPr>
          <w:p w14:paraId="6D72FB8B">
            <w:pPr>
              <w:pStyle w:val="6"/>
            </w:pPr>
          </w:p>
        </w:tc>
        <w:tc>
          <w:tcPr>
            <w:tcW w:w="1614" w:type="dxa"/>
            <w:vAlign w:val="top"/>
          </w:tcPr>
          <w:p w14:paraId="295CA2BC">
            <w:pPr>
              <w:pStyle w:val="6"/>
            </w:pPr>
          </w:p>
        </w:tc>
      </w:tr>
    </w:tbl>
    <w:p w14:paraId="4D899438">
      <w:pPr>
        <w:pStyle w:val="2"/>
      </w:pPr>
    </w:p>
    <w:p w14:paraId="25ECBD77">
      <w:pPr>
        <w:sectPr>
          <w:headerReference r:id="rId32" w:type="default"/>
          <w:footerReference r:id="rId33" w:type="default"/>
          <w:pgSz w:w="11900" w:h="16840"/>
          <w:pgMar w:top="642" w:right="0" w:bottom="340" w:left="0" w:header="326" w:footer="93" w:gutter="0"/>
          <w:cols w:space="720" w:num="1"/>
        </w:sectPr>
      </w:pPr>
    </w:p>
    <w:p w14:paraId="2B2AA67A">
      <w:pPr>
        <w:spacing w:before="103"/>
      </w:pPr>
    </w:p>
    <w:p w14:paraId="1BEE80CE">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6"/>
        <w:gridCol w:w="1177"/>
        <w:gridCol w:w="1188"/>
        <w:gridCol w:w="670"/>
        <w:gridCol w:w="1155"/>
        <w:gridCol w:w="1123"/>
        <w:gridCol w:w="859"/>
      </w:tblGrid>
      <w:tr w14:paraId="3ACD0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986" w:type="dxa"/>
            <w:tcBorders>
              <w:top w:val="single" w:color="FFFFFF" w:sz="4" w:space="0"/>
              <w:left w:val="single" w:color="FFFFFF" w:sz="2" w:space="0"/>
              <w:bottom w:val="single" w:color="FFFFFF" w:sz="4" w:space="0"/>
              <w:right w:val="single" w:color="FFFFFF" w:sz="2" w:space="0"/>
            </w:tcBorders>
            <w:vAlign w:val="top"/>
          </w:tcPr>
          <w:p w14:paraId="16DD899F">
            <w:pPr>
              <w:pStyle w:val="6"/>
            </w:pPr>
          </w:p>
        </w:tc>
        <w:tc>
          <w:tcPr>
            <w:tcW w:w="1177" w:type="dxa"/>
            <w:tcBorders>
              <w:top w:val="single" w:color="FFFFFF" w:sz="4" w:space="0"/>
              <w:left w:val="single" w:color="FFFFFF" w:sz="2" w:space="0"/>
              <w:bottom w:val="single" w:color="FFFFFF" w:sz="4" w:space="0"/>
              <w:right w:val="single" w:color="FFFFFF" w:sz="2" w:space="0"/>
            </w:tcBorders>
            <w:vAlign w:val="top"/>
          </w:tcPr>
          <w:p w14:paraId="6647C528">
            <w:pPr>
              <w:pStyle w:val="6"/>
            </w:pPr>
          </w:p>
        </w:tc>
        <w:tc>
          <w:tcPr>
            <w:tcW w:w="1188" w:type="dxa"/>
            <w:tcBorders>
              <w:top w:val="single" w:color="FFFFFF" w:sz="4" w:space="0"/>
              <w:left w:val="single" w:color="FFFFFF" w:sz="2" w:space="0"/>
              <w:bottom w:val="single" w:color="FFFFFF" w:sz="4" w:space="0"/>
              <w:right w:val="single" w:color="FFFFFF" w:sz="2" w:space="0"/>
            </w:tcBorders>
            <w:vAlign w:val="top"/>
          </w:tcPr>
          <w:p w14:paraId="7D57D8FC">
            <w:pPr>
              <w:pStyle w:val="6"/>
            </w:pPr>
          </w:p>
        </w:tc>
        <w:tc>
          <w:tcPr>
            <w:tcW w:w="670" w:type="dxa"/>
            <w:tcBorders>
              <w:top w:val="single" w:color="FFFFFF" w:sz="4" w:space="0"/>
              <w:left w:val="single" w:color="FFFFFF" w:sz="2" w:space="0"/>
              <w:bottom w:val="single" w:color="FFFFFF" w:sz="4" w:space="0"/>
              <w:right w:val="single" w:color="FFFFFF" w:sz="2" w:space="0"/>
            </w:tcBorders>
            <w:vAlign w:val="top"/>
          </w:tcPr>
          <w:p w14:paraId="034F0F80">
            <w:pPr>
              <w:pStyle w:val="6"/>
            </w:pPr>
          </w:p>
        </w:tc>
        <w:tc>
          <w:tcPr>
            <w:tcW w:w="1155" w:type="dxa"/>
            <w:tcBorders>
              <w:top w:val="single" w:color="FFFFFF" w:sz="4" w:space="0"/>
              <w:left w:val="single" w:color="FFFFFF" w:sz="2" w:space="0"/>
              <w:bottom w:val="single" w:color="FFFFFF" w:sz="4" w:space="0"/>
              <w:right w:val="single" w:color="FFFFFF" w:sz="2" w:space="0"/>
            </w:tcBorders>
            <w:vAlign w:val="top"/>
          </w:tcPr>
          <w:p w14:paraId="69FB1EB8">
            <w:pPr>
              <w:pStyle w:val="6"/>
            </w:pPr>
          </w:p>
        </w:tc>
        <w:tc>
          <w:tcPr>
            <w:tcW w:w="1982" w:type="dxa"/>
            <w:gridSpan w:val="2"/>
            <w:tcBorders>
              <w:top w:val="single" w:color="FFFFFF" w:sz="4" w:space="0"/>
              <w:left w:val="single" w:color="FFFFFF" w:sz="2" w:space="0"/>
              <w:bottom w:val="single" w:color="FFFFFF" w:sz="4" w:space="0"/>
              <w:right w:val="single" w:color="FFFFFF" w:sz="2" w:space="0"/>
            </w:tcBorders>
            <w:vAlign w:val="top"/>
          </w:tcPr>
          <w:p w14:paraId="54CC77E5">
            <w:pPr>
              <w:pStyle w:val="6"/>
            </w:pPr>
          </w:p>
        </w:tc>
      </w:tr>
      <w:tr w14:paraId="49BF7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7"/>
            <w:tcBorders>
              <w:top w:val="single" w:color="FFFFFF" w:sz="4" w:space="0"/>
              <w:left w:val="single" w:color="FFFFFF" w:sz="4" w:space="0"/>
              <w:bottom w:val="single" w:color="FFFFFF" w:sz="4" w:space="0"/>
              <w:right w:val="single" w:color="FFFFFF" w:sz="4" w:space="0"/>
            </w:tcBorders>
            <w:vAlign w:val="top"/>
          </w:tcPr>
          <w:p w14:paraId="6080A63D">
            <w:pPr>
              <w:spacing w:before="79" w:line="201" w:lineRule="exact"/>
              <w:ind w:left="2959"/>
              <w:outlineLvl w:val="1"/>
              <w:rPr>
                <w:rFonts w:ascii="微软雅黑" w:hAnsi="微软雅黑" w:eastAsia="微软雅黑" w:cs="微软雅黑"/>
                <w:sz w:val="20"/>
                <w:szCs w:val="20"/>
              </w:rPr>
            </w:pPr>
            <w:bookmarkStart w:id="27" w:name="bookmark47"/>
            <w:bookmarkEnd w:id="27"/>
            <w:bookmarkStart w:id="28" w:name="bookmark17"/>
            <w:bookmarkEnd w:id="28"/>
            <w:r>
              <w:rPr>
                <w:rFonts w:ascii="微软雅黑" w:hAnsi="微软雅黑" w:eastAsia="微软雅黑" w:cs="微软雅黑"/>
                <w:color w:val="212529"/>
                <w:spacing w:val="-1"/>
                <w:position w:val="-1"/>
                <w:sz w:val="20"/>
                <w:szCs w:val="20"/>
              </w:rPr>
              <w:t>2025年项目支出预算表</w:t>
            </w:r>
            <w:r>
              <w:rPr>
                <w:rFonts w:ascii="微软雅黑" w:hAnsi="微软雅黑" w:eastAsia="微软雅黑" w:cs="微软雅黑"/>
                <w:color w:val="212529"/>
                <w:spacing w:val="66"/>
                <w:position w:val="-1"/>
                <w:sz w:val="20"/>
                <w:szCs w:val="20"/>
              </w:rPr>
              <w:t xml:space="preserve"> </w:t>
            </w:r>
            <w:r>
              <w:rPr>
                <w:rFonts w:ascii="微软雅黑" w:hAnsi="微软雅黑" w:eastAsia="微软雅黑" w:cs="微软雅黑"/>
                <w:color w:val="212529"/>
                <w:spacing w:val="-1"/>
                <w:position w:val="-1"/>
                <w:sz w:val="20"/>
                <w:szCs w:val="20"/>
              </w:rPr>
              <w:t>(本年预算)</w:t>
            </w:r>
          </w:p>
        </w:tc>
      </w:tr>
      <w:tr w14:paraId="0DD0E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176" w:type="dxa"/>
            <w:gridSpan w:val="5"/>
            <w:tcBorders>
              <w:top w:val="single" w:color="FFFFFF" w:sz="4" w:space="0"/>
              <w:left w:val="single" w:color="FFFFFF" w:sz="2" w:space="0"/>
              <w:right w:val="single" w:color="FFFFFF" w:sz="2" w:space="0"/>
            </w:tcBorders>
            <w:vAlign w:val="top"/>
          </w:tcPr>
          <w:p w14:paraId="5750C31F">
            <w:pPr>
              <w:spacing w:before="123"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982" w:type="dxa"/>
            <w:gridSpan w:val="2"/>
            <w:tcBorders>
              <w:top w:val="single" w:color="FFFFFF" w:sz="4" w:space="0"/>
              <w:left w:val="single" w:color="FFFFFF" w:sz="2" w:space="0"/>
              <w:right w:val="single" w:color="FFFFFF" w:sz="2" w:space="0"/>
            </w:tcBorders>
            <w:vAlign w:val="top"/>
          </w:tcPr>
          <w:p w14:paraId="76A53060">
            <w:pPr>
              <w:spacing w:before="123" w:line="235" w:lineRule="auto"/>
              <w:ind w:left="1309"/>
              <w:rPr>
                <w:rFonts w:ascii="宋体" w:hAnsi="宋体" w:eastAsia="宋体" w:cs="宋体"/>
                <w:sz w:val="12"/>
                <w:szCs w:val="12"/>
              </w:rPr>
            </w:pPr>
            <w:r>
              <w:rPr>
                <w:rFonts w:ascii="宋体" w:hAnsi="宋体" w:eastAsia="宋体" w:cs="宋体"/>
                <w:color w:val="212529"/>
                <w:spacing w:val="8"/>
                <w:sz w:val="12"/>
                <w:szCs w:val="12"/>
              </w:rPr>
              <w:t>单位：万元</w:t>
            </w:r>
          </w:p>
        </w:tc>
      </w:tr>
      <w:tr w14:paraId="5C49E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86" w:type="dxa"/>
            <w:vMerge w:val="restart"/>
            <w:tcBorders>
              <w:bottom w:val="nil"/>
            </w:tcBorders>
            <w:vAlign w:val="top"/>
          </w:tcPr>
          <w:p w14:paraId="0092B6AC">
            <w:pPr>
              <w:pStyle w:val="6"/>
              <w:spacing w:line="324" w:lineRule="auto"/>
            </w:pPr>
          </w:p>
          <w:p w14:paraId="777E9B0E">
            <w:pPr>
              <w:spacing w:before="64" w:line="156" w:lineRule="exact"/>
              <w:ind w:left="1155"/>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项目名称</w:t>
            </w:r>
          </w:p>
        </w:tc>
        <w:tc>
          <w:tcPr>
            <w:tcW w:w="1177" w:type="dxa"/>
            <w:vMerge w:val="restart"/>
            <w:tcBorders>
              <w:bottom w:val="nil"/>
            </w:tcBorders>
            <w:vAlign w:val="top"/>
          </w:tcPr>
          <w:p w14:paraId="53B370AB">
            <w:pPr>
              <w:pStyle w:val="6"/>
              <w:spacing w:line="324" w:lineRule="auto"/>
            </w:pPr>
          </w:p>
          <w:p w14:paraId="23DF24A1">
            <w:pPr>
              <w:spacing w:before="65" w:line="154" w:lineRule="exact"/>
              <w:ind w:left="41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3013" w:type="dxa"/>
            <w:gridSpan w:val="3"/>
            <w:vAlign w:val="top"/>
          </w:tcPr>
          <w:p w14:paraId="76655ACD">
            <w:pPr>
              <w:spacing w:before="108" w:line="157" w:lineRule="exact"/>
              <w:ind w:left="932"/>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2025年财政拨款</w:t>
            </w:r>
          </w:p>
        </w:tc>
        <w:tc>
          <w:tcPr>
            <w:tcW w:w="1123" w:type="dxa"/>
            <w:vMerge w:val="restart"/>
            <w:tcBorders>
              <w:bottom w:val="nil"/>
            </w:tcBorders>
            <w:vAlign w:val="top"/>
          </w:tcPr>
          <w:p w14:paraId="65B901EC">
            <w:pPr>
              <w:spacing w:before="304" w:line="159" w:lineRule="auto"/>
              <w:ind w:left="395" w:right="78" w:hanging="329"/>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财政专户管理</w:t>
            </w:r>
            <w:r>
              <w:rPr>
                <w:rFonts w:ascii="微软雅黑" w:hAnsi="微软雅黑" w:eastAsia="微软雅黑" w:cs="微软雅黑"/>
                <w:color w:val="212529"/>
                <w:spacing w:val="5"/>
                <w:sz w:val="15"/>
                <w:szCs w:val="15"/>
              </w:rPr>
              <w:t>资金</w:t>
            </w:r>
          </w:p>
        </w:tc>
        <w:tc>
          <w:tcPr>
            <w:tcW w:w="859" w:type="dxa"/>
            <w:vMerge w:val="restart"/>
            <w:tcBorders>
              <w:bottom w:val="nil"/>
            </w:tcBorders>
            <w:vAlign w:val="top"/>
          </w:tcPr>
          <w:p w14:paraId="454E7CF7">
            <w:pPr>
              <w:pStyle w:val="6"/>
              <w:spacing w:line="323" w:lineRule="auto"/>
            </w:pPr>
          </w:p>
          <w:p w14:paraId="7773FDBE">
            <w:pPr>
              <w:spacing w:before="64" w:line="157" w:lineRule="exact"/>
              <w:ind w:left="92"/>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单位资金</w:t>
            </w:r>
          </w:p>
        </w:tc>
      </w:tr>
      <w:tr w14:paraId="7B79B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986" w:type="dxa"/>
            <w:vMerge w:val="continue"/>
            <w:tcBorders>
              <w:top w:val="nil"/>
            </w:tcBorders>
            <w:vAlign w:val="top"/>
          </w:tcPr>
          <w:p w14:paraId="2E9F9845">
            <w:pPr>
              <w:pStyle w:val="6"/>
            </w:pPr>
          </w:p>
        </w:tc>
        <w:tc>
          <w:tcPr>
            <w:tcW w:w="1177" w:type="dxa"/>
            <w:vMerge w:val="continue"/>
            <w:tcBorders>
              <w:top w:val="nil"/>
            </w:tcBorders>
            <w:vAlign w:val="top"/>
          </w:tcPr>
          <w:p w14:paraId="3F4B2076">
            <w:pPr>
              <w:pStyle w:val="6"/>
            </w:pPr>
          </w:p>
        </w:tc>
        <w:tc>
          <w:tcPr>
            <w:tcW w:w="1188" w:type="dxa"/>
            <w:vAlign w:val="top"/>
          </w:tcPr>
          <w:p w14:paraId="4023139B">
            <w:pPr>
              <w:spacing w:before="196" w:line="158" w:lineRule="exact"/>
              <w:ind w:left="96"/>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670" w:type="dxa"/>
            <w:vAlign w:val="top"/>
          </w:tcPr>
          <w:p w14:paraId="56079FDD">
            <w:pPr>
              <w:spacing w:before="13" w:line="157" w:lineRule="exact"/>
              <w:ind w:left="79"/>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政府性</w:t>
            </w:r>
          </w:p>
          <w:p w14:paraId="3B20D5BE">
            <w:pPr>
              <w:spacing w:before="26" w:line="159" w:lineRule="auto"/>
              <w:ind w:left="238" w:right="97" w:hanging="162"/>
              <w:rPr>
                <w:rFonts w:ascii="微软雅黑" w:hAnsi="微软雅黑" w:eastAsia="微软雅黑" w:cs="微软雅黑"/>
                <w:sz w:val="15"/>
                <w:szCs w:val="15"/>
              </w:rPr>
            </w:pPr>
            <w:r>
              <w:rPr>
                <w:rFonts w:ascii="微软雅黑" w:hAnsi="微软雅黑" w:eastAsia="微软雅黑" w:cs="微软雅黑"/>
                <w:color w:val="212529"/>
                <w:spacing w:val="12"/>
                <w:sz w:val="15"/>
                <w:szCs w:val="15"/>
              </w:rPr>
              <w:t>基金预</w:t>
            </w:r>
            <w:r>
              <w:rPr>
                <w:rFonts w:ascii="微软雅黑" w:hAnsi="微软雅黑" w:eastAsia="微软雅黑" w:cs="微软雅黑"/>
                <w:color w:val="212529"/>
                <w:spacing w:val="10"/>
                <w:sz w:val="15"/>
                <w:szCs w:val="15"/>
              </w:rPr>
              <w:t>算</w:t>
            </w:r>
          </w:p>
        </w:tc>
        <w:tc>
          <w:tcPr>
            <w:tcW w:w="1155" w:type="dxa"/>
            <w:vAlign w:val="top"/>
          </w:tcPr>
          <w:p w14:paraId="0F41150D">
            <w:pPr>
              <w:spacing w:before="110" w:line="159" w:lineRule="auto"/>
              <w:ind w:left="399" w:right="101" w:hanging="304"/>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国有资本经营</w:t>
            </w:r>
            <w:r>
              <w:rPr>
                <w:rFonts w:ascii="微软雅黑" w:hAnsi="微软雅黑" w:eastAsia="微软雅黑" w:cs="微软雅黑"/>
                <w:color w:val="212529"/>
                <w:spacing w:val="11"/>
                <w:sz w:val="15"/>
                <w:szCs w:val="15"/>
              </w:rPr>
              <w:t>预算</w:t>
            </w:r>
          </w:p>
        </w:tc>
        <w:tc>
          <w:tcPr>
            <w:tcW w:w="1123" w:type="dxa"/>
            <w:vMerge w:val="continue"/>
            <w:tcBorders>
              <w:top w:val="nil"/>
            </w:tcBorders>
            <w:vAlign w:val="top"/>
          </w:tcPr>
          <w:p w14:paraId="4F2862A0">
            <w:pPr>
              <w:pStyle w:val="6"/>
            </w:pPr>
          </w:p>
        </w:tc>
        <w:tc>
          <w:tcPr>
            <w:tcW w:w="859" w:type="dxa"/>
            <w:vMerge w:val="continue"/>
            <w:tcBorders>
              <w:top w:val="nil"/>
            </w:tcBorders>
            <w:vAlign w:val="top"/>
          </w:tcPr>
          <w:p w14:paraId="3A044AC0">
            <w:pPr>
              <w:pStyle w:val="6"/>
            </w:pPr>
          </w:p>
        </w:tc>
      </w:tr>
      <w:tr w14:paraId="5176A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86" w:type="dxa"/>
            <w:vAlign w:val="top"/>
          </w:tcPr>
          <w:p w14:paraId="48777272">
            <w:pPr>
              <w:spacing w:before="114" w:line="203" w:lineRule="exact"/>
              <w:ind w:left="1453"/>
              <w:rPr>
                <w:rFonts w:ascii="宋体" w:hAnsi="宋体" w:eastAsia="宋体" w:cs="宋体"/>
                <w:sz w:val="15"/>
                <w:szCs w:val="15"/>
              </w:rPr>
            </w:pPr>
            <w:r>
              <w:rPr>
                <w:rFonts w:ascii="宋体" w:hAnsi="宋体" w:eastAsia="宋体" w:cs="宋体"/>
                <w:color w:val="212529"/>
                <w:position w:val="1"/>
                <w:sz w:val="15"/>
                <w:szCs w:val="15"/>
              </w:rPr>
              <w:t>1</w:t>
            </w:r>
          </w:p>
        </w:tc>
        <w:tc>
          <w:tcPr>
            <w:tcW w:w="1177" w:type="dxa"/>
            <w:vAlign w:val="top"/>
          </w:tcPr>
          <w:p w14:paraId="4C8DFAF0">
            <w:pPr>
              <w:spacing w:before="114" w:line="203" w:lineRule="exact"/>
              <w:ind w:left="540"/>
              <w:rPr>
                <w:rFonts w:ascii="宋体" w:hAnsi="宋体" w:eastAsia="宋体" w:cs="宋体"/>
                <w:sz w:val="15"/>
                <w:szCs w:val="15"/>
              </w:rPr>
            </w:pPr>
            <w:r>
              <w:rPr>
                <w:rFonts w:ascii="宋体" w:hAnsi="宋体" w:eastAsia="宋体" w:cs="宋体"/>
                <w:color w:val="212529"/>
                <w:position w:val="1"/>
                <w:sz w:val="15"/>
                <w:szCs w:val="15"/>
              </w:rPr>
              <w:t>2</w:t>
            </w:r>
          </w:p>
        </w:tc>
        <w:tc>
          <w:tcPr>
            <w:tcW w:w="1188" w:type="dxa"/>
            <w:vAlign w:val="top"/>
          </w:tcPr>
          <w:p w14:paraId="213DE4A5">
            <w:pPr>
              <w:spacing w:before="114" w:line="202" w:lineRule="exact"/>
              <w:ind w:left="548"/>
              <w:rPr>
                <w:rFonts w:ascii="宋体" w:hAnsi="宋体" w:eastAsia="宋体" w:cs="宋体"/>
                <w:sz w:val="15"/>
                <w:szCs w:val="15"/>
              </w:rPr>
            </w:pPr>
            <w:r>
              <w:rPr>
                <w:rFonts w:ascii="宋体" w:hAnsi="宋体" w:eastAsia="宋体" w:cs="宋体"/>
                <w:color w:val="212529"/>
                <w:position w:val="1"/>
                <w:sz w:val="15"/>
                <w:szCs w:val="15"/>
              </w:rPr>
              <w:t>3</w:t>
            </w:r>
          </w:p>
        </w:tc>
        <w:tc>
          <w:tcPr>
            <w:tcW w:w="670" w:type="dxa"/>
            <w:vAlign w:val="top"/>
          </w:tcPr>
          <w:p w14:paraId="0AB40C5A">
            <w:pPr>
              <w:spacing w:before="114" w:line="203" w:lineRule="exact"/>
              <w:ind w:left="283"/>
              <w:rPr>
                <w:rFonts w:ascii="宋体" w:hAnsi="宋体" w:eastAsia="宋体" w:cs="宋体"/>
                <w:sz w:val="15"/>
                <w:szCs w:val="15"/>
              </w:rPr>
            </w:pPr>
            <w:r>
              <w:rPr>
                <w:rFonts w:ascii="宋体" w:hAnsi="宋体" w:eastAsia="宋体" w:cs="宋体"/>
                <w:color w:val="212529"/>
                <w:position w:val="1"/>
                <w:sz w:val="15"/>
                <w:szCs w:val="15"/>
              </w:rPr>
              <w:t>4</w:t>
            </w:r>
          </w:p>
        </w:tc>
        <w:tc>
          <w:tcPr>
            <w:tcW w:w="1155" w:type="dxa"/>
            <w:vAlign w:val="top"/>
          </w:tcPr>
          <w:p w14:paraId="5BCDA12A">
            <w:pPr>
              <w:spacing w:before="114" w:line="202" w:lineRule="exact"/>
              <w:ind w:left="529"/>
              <w:rPr>
                <w:rFonts w:ascii="宋体" w:hAnsi="宋体" w:eastAsia="宋体" w:cs="宋体"/>
                <w:sz w:val="15"/>
                <w:szCs w:val="15"/>
              </w:rPr>
            </w:pPr>
            <w:r>
              <w:rPr>
                <w:rFonts w:ascii="宋体" w:hAnsi="宋体" w:eastAsia="宋体" w:cs="宋体"/>
                <w:color w:val="212529"/>
                <w:position w:val="1"/>
                <w:sz w:val="15"/>
                <w:szCs w:val="15"/>
              </w:rPr>
              <w:t>5</w:t>
            </w:r>
          </w:p>
        </w:tc>
        <w:tc>
          <w:tcPr>
            <w:tcW w:w="1123" w:type="dxa"/>
            <w:vAlign w:val="top"/>
          </w:tcPr>
          <w:p w14:paraId="34F9BBC7">
            <w:pPr>
              <w:spacing w:before="114" w:line="202" w:lineRule="exact"/>
              <w:ind w:left="513"/>
              <w:rPr>
                <w:rFonts w:ascii="宋体" w:hAnsi="宋体" w:eastAsia="宋体" w:cs="宋体"/>
                <w:sz w:val="15"/>
                <w:szCs w:val="15"/>
              </w:rPr>
            </w:pPr>
            <w:r>
              <w:rPr>
                <w:rFonts w:ascii="宋体" w:hAnsi="宋体" w:eastAsia="宋体" w:cs="宋体"/>
                <w:color w:val="212529"/>
                <w:position w:val="1"/>
                <w:sz w:val="15"/>
                <w:szCs w:val="15"/>
              </w:rPr>
              <w:t>6</w:t>
            </w:r>
          </w:p>
        </w:tc>
        <w:tc>
          <w:tcPr>
            <w:tcW w:w="859" w:type="dxa"/>
            <w:vAlign w:val="top"/>
          </w:tcPr>
          <w:p w14:paraId="72AB77BD">
            <w:pPr>
              <w:spacing w:before="114" w:line="202" w:lineRule="exact"/>
              <w:ind w:left="383"/>
              <w:rPr>
                <w:rFonts w:ascii="宋体" w:hAnsi="宋体" w:eastAsia="宋体" w:cs="宋体"/>
                <w:sz w:val="15"/>
                <w:szCs w:val="15"/>
              </w:rPr>
            </w:pPr>
            <w:r>
              <w:rPr>
                <w:rFonts w:ascii="宋体" w:hAnsi="宋体" w:eastAsia="宋体" w:cs="宋体"/>
                <w:color w:val="212529"/>
                <w:position w:val="1"/>
                <w:sz w:val="15"/>
                <w:szCs w:val="15"/>
              </w:rPr>
              <w:t>7</w:t>
            </w:r>
          </w:p>
        </w:tc>
      </w:tr>
      <w:tr w14:paraId="3BD0B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86" w:type="dxa"/>
            <w:vAlign w:val="top"/>
          </w:tcPr>
          <w:p w14:paraId="7C41DFBC">
            <w:pPr>
              <w:spacing w:before="115" w:line="228" w:lineRule="auto"/>
              <w:ind w:left="10"/>
              <w:rPr>
                <w:rFonts w:ascii="宋体" w:hAnsi="宋体" w:eastAsia="宋体" w:cs="宋体"/>
                <w:sz w:val="15"/>
                <w:szCs w:val="15"/>
              </w:rPr>
            </w:pPr>
            <w:r>
              <w:rPr>
                <w:rFonts w:ascii="宋体" w:hAnsi="宋体" w:eastAsia="宋体" w:cs="宋体"/>
                <w:color w:val="212529"/>
                <w:spacing w:val="10"/>
                <w:sz w:val="15"/>
                <w:szCs w:val="15"/>
              </w:rPr>
              <w:t>兴县工商业联合会</w:t>
            </w:r>
          </w:p>
        </w:tc>
        <w:tc>
          <w:tcPr>
            <w:tcW w:w="1177" w:type="dxa"/>
            <w:vAlign w:val="top"/>
          </w:tcPr>
          <w:p w14:paraId="46F8B2FA">
            <w:pPr>
              <w:spacing w:before="115"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39.16</w:t>
            </w:r>
          </w:p>
        </w:tc>
        <w:tc>
          <w:tcPr>
            <w:tcW w:w="1188" w:type="dxa"/>
            <w:vAlign w:val="top"/>
          </w:tcPr>
          <w:p w14:paraId="2A7D9904">
            <w:pPr>
              <w:spacing w:before="115"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39.16</w:t>
            </w:r>
          </w:p>
        </w:tc>
        <w:tc>
          <w:tcPr>
            <w:tcW w:w="670" w:type="dxa"/>
            <w:vAlign w:val="top"/>
          </w:tcPr>
          <w:p w14:paraId="3F1376F6">
            <w:pPr>
              <w:pStyle w:val="6"/>
            </w:pPr>
          </w:p>
        </w:tc>
        <w:tc>
          <w:tcPr>
            <w:tcW w:w="1155" w:type="dxa"/>
            <w:vAlign w:val="top"/>
          </w:tcPr>
          <w:p w14:paraId="59BBD1FF">
            <w:pPr>
              <w:pStyle w:val="6"/>
            </w:pPr>
          </w:p>
        </w:tc>
        <w:tc>
          <w:tcPr>
            <w:tcW w:w="1123" w:type="dxa"/>
            <w:vAlign w:val="top"/>
          </w:tcPr>
          <w:p w14:paraId="6FC6F217">
            <w:pPr>
              <w:pStyle w:val="6"/>
            </w:pPr>
          </w:p>
        </w:tc>
        <w:tc>
          <w:tcPr>
            <w:tcW w:w="859" w:type="dxa"/>
            <w:vAlign w:val="top"/>
          </w:tcPr>
          <w:p w14:paraId="6F555D2B">
            <w:pPr>
              <w:pStyle w:val="6"/>
            </w:pPr>
          </w:p>
        </w:tc>
      </w:tr>
      <w:tr w14:paraId="2601C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86" w:type="dxa"/>
            <w:vAlign w:val="top"/>
          </w:tcPr>
          <w:p w14:paraId="5AABD288">
            <w:pPr>
              <w:spacing w:before="116" w:line="228" w:lineRule="auto"/>
              <w:ind w:left="172"/>
              <w:rPr>
                <w:rFonts w:ascii="宋体" w:hAnsi="宋体" w:eastAsia="宋体" w:cs="宋体"/>
                <w:sz w:val="15"/>
                <w:szCs w:val="15"/>
              </w:rPr>
            </w:pPr>
            <w:r>
              <w:rPr>
                <w:rFonts w:ascii="宋体" w:hAnsi="宋体" w:eastAsia="宋体" w:cs="宋体"/>
                <w:color w:val="212529"/>
                <w:spacing w:val="10"/>
                <w:sz w:val="15"/>
                <w:szCs w:val="15"/>
              </w:rPr>
              <w:t>兴县工商业联合会</w:t>
            </w:r>
          </w:p>
        </w:tc>
        <w:tc>
          <w:tcPr>
            <w:tcW w:w="1177" w:type="dxa"/>
            <w:vAlign w:val="top"/>
          </w:tcPr>
          <w:p w14:paraId="5ADFB135">
            <w:pPr>
              <w:spacing w:before="116"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39.16</w:t>
            </w:r>
          </w:p>
        </w:tc>
        <w:tc>
          <w:tcPr>
            <w:tcW w:w="1188" w:type="dxa"/>
            <w:vAlign w:val="top"/>
          </w:tcPr>
          <w:p w14:paraId="580F93D2">
            <w:pPr>
              <w:spacing w:before="116"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39.16</w:t>
            </w:r>
          </w:p>
        </w:tc>
        <w:tc>
          <w:tcPr>
            <w:tcW w:w="670" w:type="dxa"/>
            <w:vAlign w:val="top"/>
          </w:tcPr>
          <w:p w14:paraId="2E44D443">
            <w:pPr>
              <w:pStyle w:val="6"/>
            </w:pPr>
          </w:p>
        </w:tc>
        <w:tc>
          <w:tcPr>
            <w:tcW w:w="1155" w:type="dxa"/>
            <w:vAlign w:val="top"/>
          </w:tcPr>
          <w:p w14:paraId="3B8567E5">
            <w:pPr>
              <w:pStyle w:val="6"/>
            </w:pPr>
          </w:p>
        </w:tc>
        <w:tc>
          <w:tcPr>
            <w:tcW w:w="1123" w:type="dxa"/>
            <w:vAlign w:val="top"/>
          </w:tcPr>
          <w:p w14:paraId="0A5E3A99">
            <w:pPr>
              <w:pStyle w:val="6"/>
            </w:pPr>
          </w:p>
        </w:tc>
        <w:tc>
          <w:tcPr>
            <w:tcW w:w="859" w:type="dxa"/>
            <w:vAlign w:val="top"/>
          </w:tcPr>
          <w:p w14:paraId="2C949185">
            <w:pPr>
              <w:pStyle w:val="6"/>
            </w:pPr>
          </w:p>
        </w:tc>
      </w:tr>
      <w:tr w14:paraId="232A3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986" w:type="dxa"/>
            <w:vAlign w:val="top"/>
          </w:tcPr>
          <w:p w14:paraId="0547E620">
            <w:pPr>
              <w:spacing w:before="117" w:line="229" w:lineRule="auto"/>
              <w:ind w:left="331"/>
              <w:rPr>
                <w:rFonts w:ascii="宋体" w:hAnsi="宋体" w:eastAsia="宋体" w:cs="宋体"/>
                <w:sz w:val="15"/>
                <w:szCs w:val="15"/>
              </w:rPr>
            </w:pPr>
            <w:r>
              <w:rPr>
                <w:rFonts w:ascii="宋体" w:hAnsi="宋体" w:eastAsia="宋体" w:cs="宋体"/>
                <w:color w:val="212529"/>
                <w:spacing w:val="11"/>
                <w:sz w:val="15"/>
                <w:szCs w:val="15"/>
              </w:rPr>
              <w:t>孙莉评丧葬费抚恤金</w:t>
            </w:r>
          </w:p>
        </w:tc>
        <w:tc>
          <w:tcPr>
            <w:tcW w:w="1177" w:type="dxa"/>
            <w:vAlign w:val="top"/>
          </w:tcPr>
          <w:p w14:paraId="101626B9">
            <w:pPr>
              <w:spacing w:before="117"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32.12</w:t>
            </w:r>
          </w:p>
        </w:tc>
        <w:tc>
          <w:tcPr>
            <w:tcW w:w="1188" w:type="dxa"/>
            <w:vAlign w:val="top"/>
          </w:tcPr>
          <w:p w14:paraId="2B80EE1F">
            <w:pPr>
              <w:spacing w:before="117"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32.12</w:t>
            </w:r>
          </w:p>
        </w:tc>
        <w:tc>
          <w:tcPr>
            <w:tcW w:w="670" w:type="dxa"/>
            <w:vAlign w:val="top"/>
          </w:tcPr>
          <w:p w14:paraId="569D7FE3">
            <w:pPr>
              <w:pStyle w:val="6"/>
            </w:pPr>
          </w:p>
        </w:tc>
        <w:tc>
          <w:tcPr>
            <w:tcW w:w="1155" w:type="dxa"/>
            <w:vAlign w:val="top"/>
          </w:tcPr>
          <w:p w14:paraId="15679A88">
            <w:pPr>
              <w:pStyle w:val="6"/>
            </w:pPr>
          </w:p>
        </w:tc>
        <w:tc>
          <w:tcPr>
            <w:tcW w:w="1123" w:type="dxa"/>
            <w:vAlign w:val="top"/>
          </w:tcPr>
          <w:p w14:paraId="6C9C3D83">
            <w:pPr>
              <w:pStyle w:val="6"/>
            </w:pPr>
          </w:p>
        </w:tc>
        <w:tc>
          <w:tcPr>
            <w:tcW w:w="859" w:type="dxa"/>
            <w:vAlign w:val="top"/>
          </w:tcPr>
          <w:p w14:paraId="6B3FB848">
            <w:pPr>
              <w:pStyle w:val="6"/>
            </w:pPr>
          </w:p>
        </w:tc>
      </w:tr>
      <w:tr w14:paraId="1A1AA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2986" w:type="dxa"/>
            <w:vAlign w:val="top"/>
          </w:tcPr>
          <w:p w14:paraId="52DD013A">
            <w:pPr>
              <w:spacing w:before="118" w:line="229" w:lineRule="auto"/>
              <w:ind w:left="494"/>
              <w:rPr>
                <w:rFonts w:ascii="宋体" w:hAnsi="宋体" w:eastAsia="宋体" w:cs="宋体"/>
                <w:sz w:val="15"/>
                <w:szCs w:val="15"/>
              </w:rPr>
            </w:pPr>
            <w:r>
              <w:rPr>
                <w:rFonts w:ascii="宋体" w:hAnsi="宋体" w:eastAsia="宋体" w:cs="宋体"/>
                <w:color w:val="212529"/>
                <w:spacing w:val="8"/>
                <w:sz w:val="15"/>
                <w:szCs w:val="15"/>
              </w:rPr>
              <w:t>玉山2020年7月至2022年6月生活费</w:t>
            </w:r>
          </w:p>
        </w:tc>
        <w:tc>
          <w:tcPr>
            <w:tcW w:w="1177" w:type="dxa"/>
            <w:vAlign w:val="top"/>
          </w:tcPr>
          <w:p w14:paraId="6BA19F23">
            <w:pPr>
              <w:spacing w:before="118" w:line="202" w:lineRule="exact"/>
              <w:ind w:right="19"/>
              <w:jc w:val="right"/>
              <w:rPr>
                <w:rFonts w:ascii="宋体" w:hAnsi="宋体" w:eastAsia="宋体" w:cs="宋体"/>
                <w:sz w:val="15"/>
                <w:szCs w:val="15"/>
              </w:rPr>
            </w:pPr>
            <w:r>
              <w:rPr>
                <w:rFonts w:ascii="宋体" w:hAnsi="宋体" w:eastAsia="宋体" w:cs="宋体"/>
                <w:color w:val="212529"/>
                <w:spacing w:val="3"/>
                <w:position w:val="1"/>
                <w:sz w:val="15"/>
                <w:szCs w:val="15"/>
              </w:rPr>
              <w:t>7.04</w:t>
            </w:r>
          </w:p>
        </w:tc>
        <w:tc>
          <w:tcPr>
            <w:tcW w:w="1188" w:type="dxa"/>
            <w:vAlign w:val="top"/>
          </w:tcPr>
          <w:p w14:paraId="5B18491B">
            <w:pPr>
              <w:spacing w:before="118" w:line="202" w:lineRule="exact"/>
              <w:ind w:right="24"/>
              <w:jc w:val="right"/>
              <w:rPr>
                <w:rFonts w:ascii="宋体" w:hAnsi="宋体" w:eastAsia="宋体" w:cs="宋体"/>
                <w:sz w:val="15"/>
                <w:szCs w:val="15"/>
              </w:rPr>
            </w:pPr>
            <w:r>
              <w:rPr>
                <w:rFonts w:ascii="宋体" w:hAnsi="宋体" w:eastAsia="宋体" w:cs="宋体"/>
                <w:color w:val="212529"/>
                <w:spacing w:val="3"/>
                <w:position w:val="1"/>
                <w:sz w:val="15"/>
                <w:szCs w:val="15"/>
              </w:rPr>
              <w:t>7.04</w:t>
            </w:r>
          </w:p>
        </w:tc>
        <w:tc>
          <w:tcPr>
            <w:tcW w:w="670" w:type="dxa"/>
            <w:vAlign w:val="top"/>
          </w:tcPr>
          <w:p w14:paraId="052A05DF">
            <w:pPr>
              <w:pStyle w:val="6"/>
            </w:pPr>
          </w:p>
        </w:tc>
        <w:tc>
          <w:tcPr>
            <w:tcW w:w="1155" w:type="dxa"/>
            <w:vAlign w:val="top"/>
          </w:tcPr>
          <w:p w14:paraId="40D43EDB">
            <w:pPr>
              <w:pStyle w:val="6"/>
            </w:pPr>
          </w:p>
        </w:tc>
        <w:tc>
          <w:tcPr>
            <w:tcW w:w="1123" w:type="dxa"/>
            <w:vAlign w:val="top"/>
          </w:tcPr>
          <w:p w14:paraId="7736A3DD">
            <w:pPr>
              <w:pStyle w:val="6"/>
            </w:pPr>
          </w:p>
        </w:tc>
        <w:tc>
          <w:tcPr>
            <w:tcW w:w="859" w:type="dxa"/>
            <w:vAlign w:val="top"/>
          </w:tcPr>
          <w:p w14:paraId="479199F2">
            <w:pPr>
              <w:pStyle w:val="6"/>
            </w:pPr>
          </w:p>
        </w:tc>
      </w:tr>
    </w:tbl>
    <w:p w14:paraId="0B2ABA71">
      <w:pPr>
        <w:pStyle w:val="2"/>
      </w:pPr>
    </w:p>
    <w:p w14:paraId="518D4A65">
      <w:pPr>
        <w:sectPr>
          <w:headerReference r:id="rId34" w:type="default"/>
          <w:footerReference r:id="rId35" w:type="default"/>
          <w:pgSz w:w="11900" w:h="16840"/>
          <w:pgMar w:top="642" w:right="0" w:bottom="340" w:left="0" w:header="326" w:footer="93" w:gutter="0"/>
          <w:cols w:space="720" w:num="1"/>
        </w:sectPr>
      </w:pPr>
    </w:p>
    <w:p w14:paraId="4A6B2F7C">
      <w:pPr>
        <w:spacing w:before="103"/>
      </w:pPr>
    </w:p>
    <w:p w14:paraId="08D1EA09">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42"/>
        <w:gridCol w:w="1155"/>
        <w:gridCol w:w="1285"/>
        <w:gridCol w:w="1242"/>
        <w:gridCol w:w="1334"/>
      </w:tblGrid>
      <w:tr w14:paraId="6F820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142" w:type="dxa"/>
            <w:tcBorders>
              <w:top w:val="single" w:color="FFFFFF" w:sz="4" w:space="0"/>
              <w:left w:val="single" w:color="FFFFFF" w:sz="2" w:space="0"/>
              <w:bottom w:val="single" w:color="FFFFFF" w:sz="4" w:space="0"/>
              <w:right w:val="single" w:color="FFFFFF" w:sz="2" w:space="0"/>
            </w:tcBorders>
            <w:vAlign w:val="top"/>
          </w:tcPr>
          <w:p w14:paraId="200754B9">
            <w:pPr>
              <w:pStyle w:val="6"/>
            </w:pPr>
          </w:p>
        </w:tc>
        <w:tc>
          <w:tcPr>
            <w:tcW w:w="1155" w:type="dxa"/>
            <w:tcBorders>
              <w:top w:val="single" w:color="FFFFFF" w:sz="4" w:space="0"/>
              <w:left w:val="single" w:color="FFFFFF" w:sz="2" w:space="0"/>
              <w:bottom w:val="single" w:color="FFFFFF" w:sz="4" w:space="0"/>
              <w:right w:val="single" w:color="FFFFFF" w:sz="2" w:space="0"/>
            </w:tcBorders>
            <w:vAlign w:val="top"/>
          </w:tcPr>
          <w:p w14:paraId="2CFAA16F">
            <w:pPr>
              <w:pStyle w:val="6"/>
            </w:pPr>
          </w:p>
        </w:tc>
        <w:tc>
          <w:tcPr>
            <w:tcW w:w="1285" w:type="dxa"/>
            <w:tcBorders>
              <w:top w:val="single" w:color="FFFFFF" w:sz="4" w:space="0"/>
              <w:left w:val="single" w:color="FFFFFF" w:sz="2" w:space="0"/>
              <w:bottom w:val="single" w:color="FFFFFF" w:sz="4" w:space="0"/>
              <w:right w:val="single" w:color="FFFFFF" w:sz="2" w:space="0"/>
            </w:tcBorders>
            <w:vAlign w:val="top"/>
          </w:tcPr>
          <w:p w14:paraId="076F8546">
            <w:pPr>
              <w:pStyle w:val="6"/>
            </w:pPr>
          </w:p>
        </w:tc>
        <w:tc>
          <w:tcPr>
            <w:tcW w:w="1242" w:type="dxa"/>
            <w:tcBorders>
              <w:top w:val="single" w:color="FFFFFF" w:sz="4" w:space="0"/>
              <w:left w:val="single" w:color="FFFFFF" w:sz="2" w:space="0"/>
              <w:bottom w:val="single" w:color="FFFFFF" w:sz="4" w:space="0"/>
              <w:right w:val="single" w:color="FFFFFF" w:sz="2" w:space="0"/>
            </w:tcBorders>
            <w:vAlign w:val="top"/>
          </w:tcPr>
          <w:p w14:paraId="7B039135">
            <w:pPr>
              <w:pStyle w:val="6"/>
            </w:pPr>
          </w:p>
        </w:tc>
        <w:tc>
          <w:tcPr>
            <w:tcW w:w="1334" w:type="dxa"/>
            <w:tcBorders>
              <w:top w:val="single" w:color="FFFFFF" w:sz="4" w:space="0"/>
              <w:left w:val="single" w:color="FFFFFF" w:sz="2" w:space="0"/>
              <w:bottom w:val="single" w:color="FFFFFF" w:sz="4" w:space="0"/>
              <w:right w:val="single" w:color="FFFFFF" w:sz="2" w:space="0"/>
            </w:tcBorders>
            <w:vAlign w:val="top"/>
          </w:tcPr>
          <w:p w14:paraId="5A8A99FD">
            <w:pPr>
              <w:pStyle w:val="6"/>
            </w:pPr>
          </w:p>
        </w:tc>
      </w:tr>
      <w:tr w14:paraId="127A5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38F1898A">
            <w:pPr>
              <w:spacing w:before="80" w:line="201" w:lineRule="exact"/>
              <w:ind w:left="2959"/>
              <w:outlineLvl w:val="1"/>
              <w:rPr>
                <w:rFonts w:ascii="微软雅黑" w:hAnsi="微软雅黑" w:eastAsia="微软雅黑" w:cs="微软雅黑"/>
                <w:sz w:val="20"/>
                <w:szCs w:val="20"/>
              </w:rPr>
            </w:pPr>
            <w:bookmarkStart w:id="29" w:name="bookmark18"/>
            <w:bookmarkEnd w:id="29"/>
            <w:r>
              <w:rPr>
                <w:rFonts w:ascii="微软雅黑" w:hAnsi="微软雅黑" w:eastAsia="微软雅黑" w:cs="微软雅黑"/>
                <w:color w:val="212529"/>
                <w:position w:val="-1"/>
                <w:sz w:val="20"/>
                <w:szCs w:val="20"/>
              </w:rPr>
              <w:t>2025年项目支出预算表</w:t>
            </w:r>
            <w:r>
              <w:rPr>
                <w:rFonts w:ascii="微软雅黑" w:hAnsi="微软雅黑" w:eastAsia="微软雅黑" w:cs="微软雅黑"/>
                <w:color w:val="212529"/>
                <w:spacing w:val="48"/>
                <w:position w:val="-1"/>
                <w:sz w:val="20"/>
                <w:szCs w:val="20"/>
              </w:rPr>
              <w:t xml:space="preserve"> </w:t>
            </w:r>
            <w:r>
              <w:rPr>
                <w:rFonts w:ascii="微软雅黑" w:hAnsi="微软雅黑" w:eastAsia="微软雅黑" w:cs="微软雅黑"/>
                <w:color w:val="212529"/>
                <w:position w:val="-1"/>
                <w:sz w:val="20"/>
                <w:szCs w:val="20"/>
              </w:rPr>
              <w:t>(上年结转)</w:t>
            </w:r>
          </w:p>
        </w:tc>
      </w:tr>
      <w:tr w14:paraId="05676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824" w:type="dxa"/>
            <w:gridSpan w:val="4"/>
            <w:tcBorders>
              <w:top w:val="single" w:color="FFFFFF" w:sz="4" w:space="0"/>
              <w:left w:val="single" w:color="FFFFFF" w:sz="2" w:space="0"/>
              <w:right w:val="single" w:color="FFFFFF" w:sz="2" w:space="0"/>
            </w:tcBorders>
            <w:vAlign w:val="top"/>
          </w:tcPr>
          <w:p w14:paraId="2590CBBC">
            <w:pPr>
              <w:spacing w:before="124" w:line="234" w:lineRule="auto"/>
              <w:ind w:left="9"/>
              <w:rPr>
                <w:rFonts w:ascii="宋体" w:hAnsi="宋体" w:eastAsia="宋体" w:cs="宋体"/>
                <w:sz w:val="12"/>
                <w:szCs w:val="12"/>
              </w:rPr>
            </w:pPr>
            <w:r>
              <w:rPr>
                <w:rFonts w:ascii="宋体" w:hAnsi="宋体" w:eastAsia="宋体" w:cs="宋体"/>
                <w:color w:val="212529"/>
                <w:spacing w:val="9"/>
                <w:sz w:val="12"/>
                <w:szCs w:val="12"/>
              </w:rPr>
              <w:t>部门名称：兴县工商业联合会</w:t>
            </w:r>
          </w:p>
        </w:tc>
        <w:tc>
          <w:tcPr>
            <w:tcW w:w="1334" w:type="dxa"/>
            <w:tcBorders>
              <w:top w:val="single" w:color="FFFFFF" w:sz="4" w:space="0"/>
              <w:left w:val="single" w:color="FFFFFF" w:sz="2" w:space="0"/>
              <w:right w:val="single" w:color="FFFFFF" w:sz="2" w:space="0"/>
            </w:tcBorders>
            <w:vAlign w:val="top"/>
          </w:tcPr>
          <w:p w14:paraId="2E54B4C2">
            <w:pPr>
              <w:spacing w:before="124" w:line="235" w:lineRule="auto"/>
              <w:ind w:left="661"/>
              <w:rPr>
                <w:rFonts w:ascii="宋体" w:hAnsi="宋体" w:eastAsia="宋体" w:cs="宋体"/>
                <w:sz w:val="12"/>
                <w:szCs w:val="12"/>
              </w:rPr>
            </w:pPr>
            <w:r>
              <w:rPr>
                <w:rFonts w:ascii="宋体" w:hAnsi="宋体" w:eastAsia="宋体" w:cs="宋体"/>
                <w:color w:val="212529"/>
                <w:spacing w:val="8"/>
                <w:sz w:val="12"/>
                <w:szCs w:val="12"/>
              </w:rPr>
              <w:t>单位：万元</w:t>
            </w:r>
          </w:p>
        </w:tc>
      </w:tr>
      <w:tr w14:paraId="1F2110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Merge w:val="restart"/>
            <w:tcBorders>
              <w:bottom w:val="nil"/>
            </w:tcBorders>
            <w:vAlign w:val="top"/>
          </w:tcPr>
          <w:p w14:paraId="59937C27">
            <w:pPr>
              <w:spacing w:before="305" w:line="156" w:lineRule="exact"/>
              <w:ind w:left="1735"/>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项目名称</w:t>
            </w:r>
          </w:p>
        </w:tc>
        <w:tc>
          <w:tcPr>
            <w:tcW w:w="1155" w:type="dxa"/>
            <w:vMerge w:val="restart"/>
            <w:tcBorders>
              <w:bottom w:val="nil"/>
            </w:tcBorders>
            <w:vAlign w:val="top"/>
          </w:tcPr>
          <w:p w14:paraId="2FB06A3C">
            <w:pPr>
              <w:spacing w:before="305" w:line="154" w:lineRule="exact"/>
              <w:ind w:left="408"/>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3861" w:type="dxa"/>
            <w:gridSpan w:val="3"/>
            <w:vAlign w:val="top"/>
          </w:tcPr>
          <w:p w14:paraId="24E591EF">
            <w:pPr>
              <w:spacing w:before="109" w:line="157" w:lineRule="exact"/>
              <w:ind w:left="1357"/>
              <w:rPr>
                <w:rFonts w:ascii="微软雅黑" w:hAnsi="微软雅黑" w:eastAsia="微软雅黑" w:cs="微软雅黑"/>
                <w:sz w:val="15"/>
                <w:szCs w:val="15"/>
              </w:rPr>
            </w:pPr>
            <w:r>
              <w:rPr>
                <w:rFonts w:ascii="微软雅黑" w:hAnsi="微软雅黑" w:eastAsia="微软雅黑" w:cs="微软雅黑"/>
                <w:color w:val="212529"/>
                <w:spacing w:val="2"/>
                <w:position w:val="-1"/>
                <w:sz w:val="15"/>
                <w:szCs w:val="15"/>
              </w:rPr>
              <w:t>2025年财政拨款</w:t>
            </w:r>
          </w:p>
        </w:tc>
      </w:tr>
      <w:tr w14:paraId="4C304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Merge w:val="continue"/>
            <w:tcBorders>
              <w:top w:val="nil"/>
            </w:tcBorders>
            <w:vAlign w:val="top"/>
          </w:tcPr>
          <w:p w14:paraId="64BFAB16">
            <w:pPr>
              <w:pStyle w:val="6"/>
            </w:pPr>
          </w:p>
        </w:tc>
        <w:tc>
          <w:tcPr>
            <w:tcW w:w="1155" w:type="dxa"/>
            <w:vMerge w:val="continue"/>
            <w:tcBorders>
              <w:top w:val="nil"/>
            </w:tcBorders>
            <w:vAlign w:val="top"/>
          </w:tcPr>
          <w:p w14:paraId="19F1B3DC">
            <w:pPr>
              <w:pStyle w:val="6"/>
            </w:pPr>
          </w:p>
        </w:tc>
        <w:tc>
          <w:tcPr>
            <w:tcW w:w="1285" w:type="dxa"/>
            <w:vAlign w:val="top"/>
          </w:tcPr>
          <w:p w14:paraId="6FEE9CD3">
            <w:pPr>
              <w:spacing w:before="110" w:line="158" w:lineRule="exact"/>
              <w:ind w:left="147"/>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一般公共预算</w:t>
            </w:r>
          </w:p>
        </w:tc>
        <w:tc>
          <w:tcPr>
            <w:tcW w:w="1242" w:type="dxa"/>
            <w:vAlign w:val="top"/>
          </w:tcPr>
          <w:p w14:paraId="63CC7A82">
            <w:pPr>
              <w:spacing w:before="25" w:line="159" w:lineRule="auto"/>
              <w:ind w:left="446" w:right="220" w:hanging="240"/>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政府性基金</w:t>
            </w:r>
            <w:r>
              <w:rPr>
                <w:rFonts w:ascii="微软雅黑" w:hAnsi="微软雅黑" w:eastAsia="微软雅黑" w:cs="微软雅黑"/>
                <w:color w:val="212529"/>
                <w:spacing w:val="11"/>
                <w:sz w:val="15"/>
                <w:szCs w:val="15"/>
              </w:rPr>
              <w:t>预算</w:t>
            </w:r>
          </w:p>
        </w:tc>
        <w:tc>
          <w:tcPr>
            <w:tcW w:w="1334" w:type="dxa"/>
            <w:vAlign w:val="top"/>
          </w:tcPr>
          <w:p w14:paraId="25E1690B">
            <w:pPr>
              <w:spacing w:before="24" w:line="157" w:lineRule="exact"/>
              <w:ind w:left="348"/>
              <w:rPr>
                <w:rFonts w:ascii="微软雅黑" w:hAnsi="微软雅黑" w:eastAsia="微软雅黑" w:cs="微软雅黑"/>
                <w:sz w:val="15"/>
                <w:szCs w:val="15"/>
              </w:rPr>
            </w:pPr>
            <w:r>
              <w:rPr>
                <w:rFonts w:ascii="微软雅黑" w:hAnsi="微软雅黑" w:eastAsia="微软雅黑" w:cs="微软雅黑"/>
                <w:color w:val="212529"/>
                <w:spacing w:val="5"/>
                <w:position w:val="-1"/>
                <w:sz w:val="15"/>
                <w:szCs w:val="15"/>
              </w:rPr>
              <w:t>国有资本</w:t>
            </w:r>
          </w:p>
          <w:p w14:paraId="6534290B">
            <w:pPr>
              <w:spacing w:before="26" w:line="158" w:lineRule="exact"/>
              <w:ind w:left="332"/>
              <w:rPr>
                <w:rFonts w:ascii="微软雅黑" w:hAnsi="微软雅黑" w:eastAsia="微软雅黑" w:cs="微软雅黑"/>
                <w:sz w:val="15"/>
                <w:szCs w:val="15"/>
              </w:rPr>
            </w:pPr>
            <w:r>
              <w:rPr>
                <w:rFonts w:ascii="微软雅黑" w:hAnsi="微软雅黑" w:eastAsia="微软雅黑" w:cs="微软雅黑"/>
                <w:color w:val="212529"/>
                <w:spacing w:val="10"/>
                <w:sz w:val="15"/>
                <w:szCs w:val="15"/>
              </w:rPr>
              <w:t>经营预算</w:t>
            </w:r>
          </w:p>
        </w:tc>
      </w:tr>
      <w:tr w14:paraId="28431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Align w:val="top"/>
          </w:tcPr>
          <w:p w14:paraId="13292A44">
            <w:pPr>
              <w:spacing w:before="115" w:line="203" w:lineRule="exact"/>
              <w:ind w:left="2033"/>
              <w:rPr>
                <w:rFonts w:ascii="宋体" w:hAnsi="宋体" w:eastAsia="宋体" w:cs="宋体"/>
                <w:sz w:val="15"/>
                <w:szCs w:val="15"/>
              </w:rPr>
            </w:pPr>
            <w:r>
              <w:rPr>
                <w:rFonts w:ascii="宋体" w:hAnsi="宋体" w:eastAsia="宋体" w:cs="宋体"/>
                <w:color w:val="212529"/>
                <w:position w:val="1"/>
                <w:sz w:val="15"/>
                <w:szCs w:val="15"/>
              </w:rPr>
              <w:t>1</w:t>
            </w:r>
          </w:p>
        </w:tc>
        <w:tc>
          <w:tcPr>
            <w:tcW w:w="1155" w:type="dxa"/>
            <w:vAlign w:val="top"/>
          </w:tcPr>
          <w:p w14:paraId="62264D99">
            <w:pPr>
              <w:spacing w:before="115" w:line="203" w:lineRule="exact"/>
              <w:ind w:left="532"/>
              <w:rPr>
                <w:rFonts w:ascii="宋体" w:hAnsi="宋体" w:eastAsia="宋体" w:cs="宋体"/>
                <w:sz w:val="15"/>
                <w:szCs w:val="15"/>
              </w:rPr>
            </w:pPr>
            <w:r>
              <w:rPr>
                <w:rFonts w:ascii="宋体" w:hAnsi="宋体" w:eastAsia="宋体" w:cs="宋体"/>
                <w:color w:val="212529"/>
                <w:position w:val="1"/>
                <w:sz w:val="15"/>
                <w:szCs w:val="15"/>
              </w:rPr>
              <w:t>2</w:t>
            </w:r>
          </w:p>
        </w:tc>
        <w:tc>
          <w:tcPr>
            <w:tcW w:w="1285" w:type="dxa"/>
            <w:vAlign w:val="top"/>
          </w:tcPr>
          <w:p w14:paraId="3905103A">
            <w:pPr>
              <w:spacing w:before="115" w:line="202" w:lineRule="exact"/>
              <w:ind w:left="599"/>
              <w:rPr>
                <w:rFonts w:ascii="宋体" w:hAnsi="宋体" w:eastAsia="宋体" w:cs="宋体"/>
                <w:sz w:val="15"/>
                <w:szCs w:val="15"/>
              </w:rPr>
            </w:pPr>
            <w:r>
              <w:rPr>
                <w:rFonts w:ascii="宋体" w:hAnsi="宋体" w:eastAsia="宋体" w:cs="宋体"/>
                <w:color w:val="212529"/>
                <w:position w:val="1"/>
                <w:sz w:val="15"/>
                <w:szCs w:val="15"/>
              </w:rPr>
              <w:t>3</w:t>
            </w:r>
          </w:p>
        </w:tc>
        <w:tc>
          <w:tcPr>
            <w:tcW w:w="1242" w:type="dxa"/>
            <w:vAlign w:val="top"/>
          </w:tcPr>
          <w:p w14:paraId="57D3DBD1">
            <w:pPr>
              <w:spacing w:before="115" w:line="203" w:lineRule="exact"/>
              <w:ind w:left="572"/>
              <w:rPr>
                <w:rFonts w:ascii="宋体" w:hAnsi="宋体" w:eastAsia="宋体" w:cs="宋体"/>
                <w:sz w:val="15"/>
                <w:szCs w:val="15"/>
              </w:rPr>
            </w:pPr>
            <w:r>
              <w:rPr>
                <w:rFonts w:ascii="宋体" w:hAnsi="宋体" w:eastAsia="宋体" w:cs="宋体"/>
                <w:color w:val="212529"/>
                <w:position w:val="1"/>
                <w:sz w:val="15"/>
                <w:szCs w:val="15"/>
              </w:rPr>
              <w:t>4</w:t>
            </w:r>
          </w:p>
        </w:tc>
        <w:tc>
          <w:tcPr>
            <w:tcW w:w="1334" w:type="dxa"/>
            <w:vAlign w:val="top"/>
          </w:tcPr>
          <w:p w14:paraId="71F82728">
            <w:pPr>
              <w:spacing w:before="115" w:line="202" w:lineRule="exact"/>
              <w:ind w:left="620"/>
              <w:rPr>
                <w:rFonts w:ascii="宋体" w:hAnsi="宋体" w:eastAsia="宋体" w:cs="宋体"/>
                <w:sz w:val="15"/>
                <w:szCs w:val="15"/>
              </w:rPr>
            </w:pPr>
            <w:r>
              <w:rPr>
                <w:rFonts w:ascii="宋体" w:hAnsi="宋体" w:eastAsia="宋体" w:cs="宋体"/>
                <w:color w:val="212529"/>
                <w:position w:val="1"/>
                <w:sz w:val="15"/>
                <w:szCs w:val="15"/>
              </w:rPr>
              <w:t>5</w:t>
            </w:r>
          </w:p>
        </w:tc>
      </w:tr>
      <w:tr w14:paraId="7E88D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4142" w:type="dxa"/>
            <w:vAlign w:val="top"/>
          </w:tcPr>
          <w:p w14:paraId="205E2060">
            <w:pPr>
              <w:pStyle w:val="6"/>
            </w:pPr>
          </w:p>
        </w:tc>
        <w:tc>
          <w:tcPr>
            <w:tcW w:w="1155" w:type="dxa"/>
            <w:vAlign w:val="top"/>
          </w:tcPr>
          <w:p w14:paraId="136343AD">
            <w:pPr>
              <w:pStyle w:val="6"/>
            </w:pPr>
          </w:p>
        </w:tc>
        <w:tc>
          <w:tcPr>
            <w:tcW w:w="1285" w:type="dxa"/>
            <w:vAlign w:val="top"/>
          </w:tcPr>
          <w:p w14:paraId="58F16F87">
            <w:pPr>
              <w:pStyle w:val="6"/>
            </w:pPr>
          </w:p>
        </w:tc>
        <w:tc>
          <w:tcPr>
            <w:tcW w:w="1242" w:type="dxa"/>
            <w:vAlign w:val="top"/>
          </w:tcPr>
          <w:p w14:paraId="738D5A83">
            <w:pPr>
              <w:pStyle w:val="6"/>
            </w:pPr>
          </w:p>
        </w:tc>
        <w:tc>
          <w:tcPr>
            <w:tcW w:w="1334" w:type="dxa"/>
            <w:vAlign w:val="top"/>
          </w:tcPr>
          <w:p w14:paraId="5DE4FF7E">
            <w:pPr>
              <w:pStyle w:val="6"/>
            </w:pPr>
          </w:p>
        </w:tc>
      </w:tr>
      <w:tr w14:paraId="2CAAE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4142" w:type="dxa"/>
            <w:tcBorders>
              <w:left w:val="single" w:color="FFFFFF" w:sz="4" w:space="0"/>
              <w:bottom w:val="single" w:color="FFFFFF" w:sz="4" w:space="0"/>
              <w:right w:val="single" w:color="000000" w:sz="2" w:space="0"/>
            </w:tcBorders>
            <w:vAlign w:val="top"/>
          </w:tcPr>
          <w:p w14:paraId="3BE43392">
            <w:pPr>
              <w:spacing w:before="114" w:line="157" w:lineRule="exact"/>
              <w:ind w:left="5"/>
              <w:rPr>
                <w:rFonts w:ascii="微软雅黑" w:hAnsi="微软雅黑" w:eastAsia="微软雅黑" w:cs="微软雅黑"/>
                <w:sz w:val="15"/>
                <w:szCs w:val="15"/>
              </w:rPr>
            </w:pPr>
            <w:r>
              <w:rPr>
                <w:rFonts w:ascii="微软雅黑" w:hAnsi="微软雅黑" w:eastAsia="微软雅黑" w:cs="微软雅黑"/>
                <w:color w:val="212529"/>
                <w:spacing w:val="11"/>
                <w:sz w:val="15"/>
                <w:szCs w:val="15"/>
              </w:rPr>
              <w:t>注:</w:t>
            </w:r>
            <w:r>
              <w:rPr>
                <w:rFonts w:ascii="微软雅黑" w:hAnsi="微软雅黑" w:eastAsia="微软雅黑" w:cs="微软雅黑"/>
                <w:color w:val="212529"/>
                <w:spacing w:val="12"/>
                <w:w w:val="102"/>
                <w:sz w:val="15"/>
                <w:szCs w:val="15"/>
              </w:rPr>
              <w:t xml:space="preserve">  </w:t>
            </w:r>
            <w:r>
              <w:rPr>
                <w:rFonts w:ascii="微软雅黑" w:hAnsi="微软雅黑" w:eastAsia="微软雅黑" w:cs="微软雅黑"/>
                <w:color w:val="212529"/>
                <w:spacing w:val="11"/>
                <w:sz w:val="15"/>
                <w:szCs w:val="15"/>
              </w:rPr>
              <w:t>本表无数据</w:t>
            </w:r>
          </w:p>
        </w:tc>
        <w:tc>
          <w:tcPr>
            <w:tcW w:w="1155" w:type="dxa"/>
            <w:tcBorders>
              <w:left w:val="single" w:color="FFFFFF" w:sz="2" w:space="0"/>
              <w:bottom w:val="single" w:color="FFFFFF" w:sz="4" w:space="0"/>
              <w:right w:val="single" w:color="FFFFFF" w:sz="2" w:space="0"/>
            </w:tcBorders>
            <w:vAlign w:val="top"/>
          </w:tcPr>
          <w:p w14:paraId="6BA6BA72">
            <w:pPr>
              <w:pStyle w:val="6"/>
            </w:pPr>
          </w:p>
        </w:tc>
        <w:tc>
          <w:tcPr>
            <w:tcW w:w="1285" w:type="dxa"/>
            <w:tcBorders>
              <w:left w:val="single" w:color="FFFFFF" w:sz="2" w:space="0"/>
              <w:bottom w:val="single" w:color="FFFFFF" w:sz="4" w:space="0"/>
              <w:right w:val="single" w:color="FFFFFF" w:sz="2" w:space="0"/>
            </w:tcBorders>
            <w:vAlign w:val="top"/>
          </w:tcPr>
          <w:p w14:paraId="238163FF">
            <w:pPr>
              <w:pStyle w:val="6"/>
            </w:pPr>
          </w:p>
        </w:tc>
        <w:tc>
          <w:tcPr>
            <w:tcW w:w="1242" w:type="dxa"/>
            <w:tcBorders>
              <w:left w:val="single" w:color="FFFFFF" w:sz="2" w:space="0"/>
              <w:bottom w:val="single" w:color="FFFFFF" w:sz="4" w:space="0"/>
              <w:right w:val="single" w:color="FFFFFF" w:sz="2" w:space="0"/>
            </w:tcBorders>
            <w:vAlign w:val="top"/>
          </w:tcPr>
          <w:p w14:paraId="4DDDEB64">
            <w:pPr>
              <w:pStyle w:val="6"/>
            </w:pPr>
          </w:p>
        </w:tc>
        <w:tc>
          <w:tcPr>
            <w:tcW w:w="1334" w:type="dxa"/>
            <w:tcBorders>
              <w:left w:val="single" w:color="FFFFFF" w:sz="2" w:space="0"/>
              <w:bottom w:val="single" w:color="FFFFFF" w:sz="4" w:space="0"/>
              <w:right w:val="single" w:color="FFFFFF" w:sz="2" w:space="0"/>
            </w:tcBorders>
            <w:vAlign w:val="top"/>
          </w:tcPr>
          <w:p w14:paraId="77EDAA63">
            <w:pPr>
              <w:pStyle w:val="6"/>
            </w:pPr>
          </w:p>
        </w:tc>
      </w:tr>
    </w:tbl>
    <w:p w14:paraId="6397B86E">
      <w:pPr>
        <w:pStyle w:val="2"/>
      </w:pPr>
    </w:p>
    <w:p w14:paraId="1A30F04F">
      <w:pPr>
        <w:sectPr>
          <w:headerReference r:id="rId36" w:type="default"/>
          <w:footerReference r:id="rId37" w:type="default"/>
          <w:pgSz w:w="11900" w:h="16840"/>
          <w:pgMar w:top="642" w:right="0" w:bottom="340" w:left="0" w:header="326" w:footer="93" w:gutter="0"/>
          <w:cols w:space="720" w:num="1"/>
        </w:sectPr>
      </w:pPr>
    </w:p>
    <w:p w14:paraId="59FDDED8">
      <w:pPr>
        <w:pStyle w:val="2"/>
        <w:spacing w:line="332" w:lineRule="auto"/>
      </w:pPr>
    </w:p>
    <w:p w14:paraId="1B92EDB9">
      <w:pPr>
        <w:pStyle w:val="2"/>
        <w:spacing w:line="332" w:lineRule="auto"/>
      </w:pPr>
    </w:p>
    <w:p w14:paraId="2DE5EF83">
      <w:pPr>
        <w:spacing w:before="99" w:line="230" w:lineRule="exact"/>
        <w:ind w:left="4064"/>
        <w:outlineLvl w:val="0"/>
        <w:rPr>
          <w:rFonts w:ascii="微软雅黑" w:hAnsi="微软雅黑" w:eastAsia="微软雅黑" w:cs="微软雅黑"/>
          <w:sz w:val="23"/>
          <w:szCs w:val="23"/>
        </w:rPr>
      </w:pPr>
      <w:bookmarkStart w:id="30" w:name="bookmark19"/>
      <w:bookmarkEnd w:id="30"/>
      <w:r>
        <w:rPr>
          <w:rFonts w:ascii="微软雅黑" w:hAnsi="微软雅黑" w:eastAsia="微软雅黑" w:cs="微软雅黑"/>
          <w:spacing w:val="-5"/>
          <w:position w:val="-1"/>
          <w:sz w:val="23"/>
          <w:szCs w:val="23"/>
        </w:rPr>
        <w:t>第三部分</w:t>
      </w:r>
      <w:r>
        <w:rPr>
          <w:rFonts w:ascii="微软雅黑" w:hAnsi="微软雅黑" w:eastAsia="微软雅黑" w:cs="微软雅黑"/>
          <w:spacing w:val="56"/>
          <w:position w:val="-1"/>
          <w:sz w:val="23"/>
          <w:szCs w:val="23"/>
        </w:rPr>
        <w:t xml:space="preserve"> </w:t>
      </w:r>
      <w:r>
        <w:rPr>
          <w:rFonts w:ascii="微软雅黑" w:hAnsi="微软雅黑" w:eastAsia="微软雅黑" w:cs="微软雅黑"/>
          <w:spacing w:val="-5"/>
          <w:position w:val="-1"/>
          <w:sz w:val="23"/>
          <w:szCs w:val="23"/>
        </w:rPr>
        <w:t>2025年度部门预算情况说明</w:t>
      </w:r>
    </w:p>
    <w:p w14:paraId="55374A32">
      <w:pPr>
        <w:spacing w:before="299" w:line="229" w:lineRule="exact"/>
        <w:ind w:left="1261"/>
        <w:outlineLvl w:val="1"/>
        <w:rPr>
          <w:rFonts w:ascii="微软雅黑" w:hAnsi="微软雅黑" w:eastAsia="微软雅黑" w:cs="微软雅黑"/>
          <w:sz w:val="22"/>
          <w:szCs w:val="22"/>
        </w:rPr>
      </w:pPr>
      <w:bookmarkStart w:id="31" w:name="bookmark20"/>
      <w:bookmarkEnd w:id="31"/>
      <w:r>
        <w:rPr>
          <w:rFonts w:ascii="微软雅黑" w:hAnsi="微软雅黑" w:eastAsia="微软雅黑" w:cs="微软雅黑"/>
          <w:spacing w:val="7"/>
          <w:position w:val="-1"/>
          <w:sz w:val="22"/>
          <w:szCs w:val="22"/>
        </w:rPr>
        <w:t>一、</w:t>
      </w:r>
      <w:r>
        <w:rPr>
          <w:rFonts w:ascii="微软雅黑" w:hAnsi="微软雅黑" w:eastAsia="微软雅黑" w:cs="微软雅黑"/>
          <w:spacing w:val="-31"/>
          <w:position w:val="-1"/>
          <w:sz w:val="22"/>
          <w:szCs w:val="22"/>
        </w:rPr>
        <w:t xml:space="preserve"> </w:t>
      </w:r>
      <w:r>
        <w:rPr>
          <w:rFonts w:ascii="微软雅黑" w:hAnsi="微软雅黑" w:eastAsia="微软雅黑" w:cs="微软雅黑"/>
          <w:spacing w:val="7"/>
          <w:position w:val="-1"/>
          <w:sz w:val="22"/>
          <w:szCs w:val="22"/>
        </w:rPr>
        <w:t>部门预算收支数据变动情况及原因</w:t>
      </w:r>
    </w:p>
    <w:p w14:paraId="7E1240C5">
      <w:pPr>
        <w:spacing w:before="187" w:line="322" w:lineRule="auto"/>
        <w:ind w:left="1268" w:right="1223" w:firstLine="452"/>
        <w:jc w:val="both"/>
        <w:rPr>
          <w:rFonts w:ascii="仿宋" w:hAnsi="仿宋" w:eastAsia="仿宋" w:cs="仿宋"/>
          <w:sz w:val="23"/>
          <w:szCs w:val="23"/>
        </w:rPr>
      </w:pPr>
      <w:r>
        <w:rPr>
          <w:rFonts w:ascii="仿宋" w:hAnsi="仿宋" w:eastAsia="仿宋" w:cs="仿宋"/>
          <w:spacing w:val="5"/>
          <w:sz w:val="23"/>
          <w:szCs w:val="23"/>
        </w:rPr>
        <w:t>2025年度兴县工商业联合会预算收入总计117.21万元，其</w:t>
      </w:r>
      <w:r>
        <w:rPr>
          <w:rFonts w:ascii="仿宋" w:hAnsi="仿宋" w:eastAsia="仿宋" w:cs="仿宋"/>
          <w:spacing w:val="4"/>
          <w:sz w:val="23"/>
          <w:szCs w:val="23"/>
        </w:rPr>
        <w:t>中：本年收入117.21万元，上</w:t>
      </w:r>
      <w:r>
        <w:rPr>
          <w:rFonts w:ascii="仿宋" w:hAnsi="仿宋" w:eastAsia="仿宋" w:cs="仿宋"/>
          <w:spacing w:val="3"/>
          <w:sz w:val="23"/>
          <w:szCs w:val="23"/>
        </w:rPr>
        <w:t>年结转0万元，</w:t>
      </w:r>
      <w:r>
        <w:rPr>
          <w:rFonts w:ascii="仿宋" w:hAnsi="仿宋" w:eastAsia="仿宋" w:cs="仿宋"/>
          <w:spacing w:val="-56"/>
          <w:sz w:val="23"/>
          <w:szCs w:val="23"/>
        </w:rPr>
        <w:t xml:space="preserve"> </w:t>
      </w:r>
      <w:r>
        <w:rPr>
          <w:rFonts w:ascii="仿宋" w:hAnsi="仿宋" w:eastAsia="仿宋" w:cs="仿宋"/>
          <w:spacing w:val="3"/>
          <w:sz w:val="23"/>
          <w:szCs w:val="23"/>
        </w:rPr>
        <w:t>比上年减少25.68万元，下降17.97%，主要原因是2024年1月在职死亡一人，4</w:t>
      </w:r>
      <w:r>
        <w:rPr>
          <w:rFonts w:ascii="仿宋" w:hAnsi="仿宋" w:eastAsia="仿宋" w:cs="仿宋"/>
          <w:spacing w:val="8"/>
          <w:sz w:val="23"/>
          <w:szCs w:val="23"/>
        </w:rPr>
        <w:t>月退休一人，6月调出一人，导致人员经费减</w:t>
      </w:r>
      <w:r>
        <w:rPr>
          <w:rFonts w:ascii="仿宋" w:hAnsi="仿宋" w:eastAsia="仿宋" w:cs="仿宋"/>
          <w:spacing w:val="7"/>
          <w:sz w:val="23"/>
          <w:szCs w:val="23"/>
        </w:rPr>
        <w:t>少。；本年部门预算支出总计117.21万元，其</w:t>
      </w:r>
      <w:r>
        <w:rPr>
          <w:rFonts w:ascii="仿宋" w:hAnsi="仿宋" w:eastAsia="仿宋" w:cs="仿宋"/>
          <w:spacing w:val="3"/>
          <w:sz w:val="23"/>
          <w:szCs w:val="23"/>
        </w:rPr>
        <w:t>中：本年预算安排117.21万元，上年结转0万元，</w:t>
      </w:r>
      <w:r>
        <w:rPr>
          <w:rFonts w:ascii="仿宋" w:hAnsi="仿宋" w:eastAsia="仿宋" w:cs="仿宋"/>
          <w:spacing w:val="-56"/>
          <w:sz w:val="23"/>
          <w:szCs w:val="23"/>
        </w:rPr>
        <w:t xml:space="preserve"> </w:t>
      </w:r>
      <w:r>
        <w:rPr>
          <w:rFonts w:ascii="仿宋" w:hAnsi="仿宋" w:eastAsia="仿宋" w:cs="仿宋"/>
          <w:spacing w:val="3"/>
          <w:sz w:val="23"/>
          <w:szCs w:val="23"/>
        </w:rPr>
        <w:t>比上年减少25.68万元，下降17.97%，主要</w:t>
      </w:r>
      <w:r>
        <w:rPr>
          <w:rFonts w:ascii="仿宋" w:hAnsi="仿宋" w:eastAsia="仿宋" w:cs="仿宋"/>
          <w:sz w:val="23"/>
          <w:szCs w:val="23"/>
        </w:rPr>
        <w:t>原因是2024年1月在职死亡一人，4月退休一人，6月调出一人，导致人员经费减少。</w:t>
      </w:r>
    </w:p>
    <w:p w14:paraId="2174D6BA">
      <w:pPr>
        <w:spacing w:line="229" w:lineRule="exact"/>
        <w:ind w:left="1261"/>
        <w:outlineLvl w:val="1"/>
        <w:rPr>
          <w:rFonts w:ascii="微软雅黑" w:hAnsi="微软雅黑" w:eastAsia="微软雅黑" w:cs="微软雅黑"/>
          <w:sz w:val="22"/>
          <w:szCs w:val="22"/>
        </w:rPr>
      </w:pPr>
      <w:bookmarkStart w:id="32" w:name="bookmark21"/>
      <w:bookmarkEnd w:id="32"/>
      <w:r>
        <w:rPr>
          <w:rFonts w:ascii="微软雅黑" w:hAnsi="微软雅黑" w:eastAsia="微软雅黑" w:cs="微软雅黑"/>
          <w:spacing w:val="8"/>
          <w:position w:val="-1"/>
          <w:sz w:val="22"/>
          <w:szCs w:val="22"/>
        </w:rPr>
        <w:t>二、收入预算情况说明</w:t>
      </w:r>
    </w:p>
    <w:p w14:paraId="54827DD9">
      <w:pPr>
        <w:spacing w:before="183" w:line="321" w:lineRule="auto"/>
        <w:ind w:left="1273" w:right="1223" w:firstLine="446"/>
        <w:jc w:val="right"/>
        <w:rPr>
          <w:rFonts w:ascii="仿宋" w:hAnsi="仿宋" w:eastAsia="仿宋" w:cs="仿宋"/>
          <w:sz w:val="23"/>
          <w:szCs w:val="23"/>
        </w:rPr>
      </w:pPr>
      <w:r>
        <w:rPr>
          <w:rFonts w:ascii="仿宋" w:hAnsi="仿宋" w:eastAsia="仿宋" w:cs="仿宋"/>
          <w:spacing w:val="15"/>
          <w:sz w:val="23"/>
          <w:szCs w:val="23"/>
        </w:rPr>
        <w:t>2025年度兴县工商业联合会预算收入117.21万元</w:t>
      </w:r>
      <w:r>
        <w:rPr>
          <w:rFonts w:ascii="仿宋" w:hAnsi="仿宋" w:eastAsia="仿宋" w:cs="仿宋"/>
          <w:spacing w:val="-56"/>
          <w:sz w:val="23"/>
          <w:szCs w:val="23"/>
        </w:rPr>
        <w:t xml:space="preserve"> </w:t>
      </w:r>
      <w:r>
        <w:rPr>
          <w:rFonts w:ascii="仿宋" w:hAnsi="仿宋" w:eastAsia="仿宋" w:cs="仿宋"/>
          <w:spacing w:val="15"/>
          <w:sz w:val="23"/>
          <w:szCs w:val="23"/>
        </w:rPr>
        <w:t>，主要包括一般公共预算拨款收入</w:t>
      </w:r>
      <w:r>
        <w:rPr>
          <w:rFonts w:ascii="仿宋" w:hAnsi="仿宋" w:eastAsia="仿宋" w:cs="仿宋"/>
          <w:spacing w:val="1"/>
          <w:sz w:val="23"/>
          <w:szCs w:val="23"/>
        </w:rPr>
        <w:t>117.  万元，</w:t>
      </w:r>
      <w:r>
        <w:rPr>
          <w:rFonts w:ascii="仿宋" w:hAnsi="仿宋" w:eastAsia="仿宋" w:cs="仿宋"/>
          <w:spacing w:val="-54"/>
          <w:sz w:val="23"/>
          <w:szCs w:val="23"/>
        </w:rPr>
        <w:t xml:space="preserve"> </w:t>
      </w:r>
      <w:r>
        <w:rPr>
          <w:rFonts w:ascii="仿宋" w:hAnsi="仿宋" w:eastAsia="仿宋" w:cs="仿宋"/>
          <w:spacing w:val="1"/>
          <w:sz w:val="23"/>
          <w:szCs w:val="23"/>
        </w:rPr>
        <w:t>占100.00%；政府性基金预算拨款收入0</w:t>
      </w:r>
      <w:r>
        <w:rPr>
          <w:rFonts w:ascii="仿宋" w:hAnsi="仿宋" w:eastAsia="仿宋" w:cs="仿宋"/>
          <w:sz w:val="23"/>
          <w:szCs w:val="23"/>
        </w:rPr>
        <w:t>万元，</w:t>
      </w:r>
      <w:r>
        <w:rPr>
          <w:rFonts w:ascii="仿宋" w:hAnsi="仿宋" w:eastAsia="仿宋" w:cs="仿宋"/>
          <w:spacing w:val="-53"/>
          <w:sz w:val="23"/>
          <w:szCs w:val="23"/>
        </w:rPr>
        <w:t xml:space="preserve"> </w:t>
      </w:r>
      <w:r>
        <w:rPr>
          <w:rFonts w:ascii="仿宋" w:hAnsi="仿宋" w:eastAsia="仿宋" w:cs="仿宋"/>
          <w:sz w:val="23"/>
          <w:szCs w:val="23"/>
        </w:rPr>
        <w:t>占0%；</w:t>
      </w:r>
      <w:r>
        <w:rPr>
          <w:rFonts w:ascii="仿宋" w:hAnsi="仿宋" w:eastAsia="仿宋" w:cs="仿宋"/>
          <w:spacing w:val="-67"/>
          <w:sz w:val="23"/>
          <w:szCs w:val="23"/>
        </w:rPr>
        <w:t xml:space="preserve"> </w:t>
      </w:r>
      <w:r>
        <w:rPr>
          <w:rFonts w:ascii="仿宋" w:hAnsi="仿宋" w:eastAsia="仿宋" w:cs="仿宋"/>
          <w:sz w:val="23"/>
          <w:szCs w:val="23"/>
        </w:rPr>
        <w:t>国有资本经营预  拨款收</w:t>
      </w:r>
      <w:r>
        <w:rPr>
          <w:rFonts w:ascii="仿宋" w:hAnsi="仿宋" w:eastAsia="仿宋" w:cs="仿宋"/>
          <w:spacing w:val="-1"/>
          <w:sz w:val="23"/>
          <w:szCs w:val="23"/>
        </w:rPr>
        <w:t>万元，</w:t>
      </w:r>
      <w:r>
        <w:rPr>
          <w:rFonts w:ascii="仿宋" w:hAnsi="仿宋" w:eastAsia="仿宋" w:cs="仿宋"/>
          <w:spacing w:val="-36"/>
          <w:sz w:val="23"/>
          <w:szCs w:val="23"/>
        </w:rPr>
        <w:t xml:space="preserve"> </w:t>
      </w:r>
      <w:r>
        <w:rPr>
          <w:rFonts w:ascii="仿宋" w:hAnsi="仿宋" w:eastAsia="仿宋" w:cs="仿宋"/>
          <w:spacing w:val="-1"/>
          <w:sz w:val="23"/>
          <w:szCs w:val="23"/>
        </w:rPr>
        <w:t>占0%  财政专户管理资金收入0万元，</w:t>
      </w:r>
      <w:r>
        <w:rPr>
          <w:rFonts w:ascii="仿宋" w:hAnsi="仿宋" w:eastAsia="仿宋" w:cs="仿宋"/>
          <w:spacing w:val="-54"/>
          <w:sz w:val="23"/>
          <w:szCs w:val="23"/>
        </w:rPr>
        <w:t xml:space="preserve"> </w:t>
      </w:r>
      <w:r>
        <w:rPr>
          <w:rFonts w:ascii="仿宋" w:hAnsi="仿宋" w:eastAsia="仿宋" w:cs="仿宋"/>
          <w:spacing w:val="-1"/>
          <w:sz w:val="23"/>
          <w:szCs w:val="23"/>
        </w:rPr>
        <w:t>占0%  单位资金0万元，</w:t>
      </w:r>
      <w:r>
        <w:rPr>
          <w:rFonts w:ascii="仿宋" w:hAnsi="仿宋" w:eastAsia="仿宋" w:cs="仿宋"/>
          <w:spacing w:val="-55"/>
          <w:sz w:val="23"/>
          <w:szCs w:val="23"/>
        </w:rPr>
        <w:t xml:space="preserve"> </w:t>
      </w:r>
      <w:r>
        <w:rPr>
          <w:rFonts w:ascii="仿宋" w:hAnsi="仿宋" w:eastAsia="仿宋" w:cs="仿宋"/>
          <w:spacing w:val="-1"/>
          <w:sz w:val="23"/>
          <w:szCs w:val="23"/>
        </w:rPr>
        <w:t>占0</w:t>
      </w:r>
      <w:r>
        <w:rPr>
          <w:rFonts w:ascii="仿宋" w:hAnsi="仿宋" w:eastAsia="仿宋" w:cs="仿宋"/>
          <w:spacing w:val="5"/>
          <w:sz w:val="23"/>
          <w:szCs w:val="23"/>
        </w:rPr>
        <w:t xml:space="preserve">       </w:t>
      </w:r>
      <w:r>
        <w:rPr>
          <w:rFonts w:ascii="仿宋" w:hAnsi="仿宋" w:eastAsia="仿宋" w:cs="仿宋"/>
          <w:spacing w:val="-1"/>
          <w:sz w:val="23"/>
          <w:szCs w:val="23"/>
        </w:rPr>
        <w:t>结转0万</w:t>
      </w:r>
    </w:p>
    <w:p w14:paraId="4F5FAC76">
      <w:pPr>
        <w:spacing w:before="13" w:line="227" w:lineRule="auto"/>
        <w:ind w:left="1267"/>
        <w:rPr>
          <w:rFonts w:ascii="仿宋" w:hAnsi="仿宋" w:eastAsia="仿宋" w:cs="仿宋"/>
          <w:sz w:val="23"/>
          <w:szCs w:val="23"/>
        </w:rPr>
      </w:pPr>
      <w:r>
        <w:rPr>
          <w:rFonts w:ascii="仿宋" w:hAnsi="仿宋" w:eastAsia="仿宋" w:cs="仿宋"/>
          <w:spacing w:val="-12"/>
          <w:sz w:val="23"/>
          <w:szCs w:val="23"/>
        </w:rPr>
        <w:t>元，</w:t>
      </w:r>
      <w:r>
        <w:rPr>
          <w:rFonts w:ascii="仿宋" w:hAnsi="仿宋" w:eastAsia="仿宋" w:cs="仿宋"/>
          <w:spacing w:val="-60"/>
          <w:sz w:val="23"/>
          <w:szCs w:val="23"/>
        </w:rPr>
        <w:t xml:space="preserve"> </w:t>
      </w:r>
      <w:r>
        <w:rPr>
          <w:rFonts w:ascii="仿宋" w:hAnsi="仿宋" w:eastAsia="仿宋" w:cs="仿宋"/>
          <w:spacing w:val="-12"/>
          <w:sz w:val="23"/>
          <w:szCs w:val="23"/>
        </w:rPr>
        <w:t>占0%。</w:t>
      </w:r>
    </w:p>
    <w:p w14:paraId="7B542978">
      <w:pPr>
        <w:pStyle w:val="2"/>
        <w:spacing w:line="479" w:lineRule="auto"/>
      </w:pPr>
    </w:p>
    <w:p w14:paraId="6C24872C">
      <w:pPr>
        <w:spacing w:before="1" w:line="2856" w:lineRule="exact"/>
        <w:ind w:firstLine="3685"/>
      </w:pPr>
      <w:r>
        <w:rPr>
          <w:position w:val="-57"/>
        </w:rPr>
        <w:drawing>
          <wp:inline distT="0" distB="0" distL="0" distR="0">
            <wp:extent cx="2333625" cy="18129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6"/>
                    <a:stretch>
                      <a:fillRect/>
                    </a:stretch>
                  </pic:blipFill>
                  <pic:spPr>
                    <a:xfrm>
                      <a:off x="0" y="0"/>
                      <a:ext cx="2333735" cy="1813292"/>
                    </a:xfrm>
                    <a:prstGeom prst="rect">
                      <a:avLst/>
                    </a:prstGeom>
                  </pic:spPr>
                </pic:pic>
              </a:graphicData>
            </a:graphic>
          </wp:inline>
        </w:drawing>
      </w:r>
    </w:p>
    <w:p w14:paraId="4169F2C3">
      <w:pPr>
        <w:pStyle w:val="2"/>
        <w:spacing w:line="284" w:lineRule="auto"/>
      </w:pPr>
    </w:p>
    <w:p w14:paraId="6DDADC15">
      <w:pPr>
        <w:pStyle w:val="2"/>
        <w:spacing w:line="284" w:lineRule="auto"/>
      </w:pPr>
    </w:p>
    <w:p w14:paraId="5A2DFB31">
      <w:pPr>
        <w:spacing w:before="95" w:line="230" w:lineRule="exact"/>
        <w:ind w:left="1262"/>
        <w:outlineLvl w:val="1"/>
        <w:rPr>
          <w:rFonts w:ascii="微软雅黑" w:hAnsi="微软雅黑" w:eastAsia="微软雅黑" w:cs="微软雅黑"/>
          <w:sz w:val="22"/>
          <w:szCs w:val="22"/>
        </w:rPr>
      </w:pPr>
      <w:bookmarkStart w:id="33" w:name="bookmark22"/>
      <w:bookmarkEnd w:id="33"/>
      <w:r>
        <w:rPr>
          <w:rFonts w:ascii="微软雅黑" w:hAnsi="微软雅黑" w:eastAsia="微软雅黑" w:cs="微软雅黑"/>
          <w:spacing w:val="7"/>
          <w:position w:val="-1"/>
          <w:sz w:val="22"/>
          <w:szCs w:val="22"/>
        </w:rPr>
        <w:t>三、支出预算情况说明</w:t>
      </w:r>
    </w:p>
    <w:p w14:paraId="463794CF">
      <w:pPr>
        <w:spacing w:before="174" w:line="222" w:lineRule="auto"/>
        <w:ind w:left="1720"/>
        <w:rPr>
          <w:rFonts w:ascii="仿宋" w:hAnsi="仿宋" w:eastAsia="仿宋" w:cs="仿宋"/>
          <w:sz w:val="23"/>
          <w:szCs w:val="23"/>
        </w:rPr>
      </w:pPr>
      <w:r>
        <w:rPr>
          <w:rFonts w:ascii="仿宋" w:hAnsi="仿宋" w:eastAsia="仿宋" w:cs="仿宋"/>
          <w:spacing w:val="4"/>
          <w:sz w:val="23"/>
          <w:szCs w:val="23"/>
        </w:rPr>
        <w:t>2025年度</w:t>
      </w:r>
      <w:r>
        <w:rPr>
          <w:rFonts w:ascii="仿宋" w:hAnsi="仿宋" w:eastAsia="仿宋" w:cs="仿宋"/>
          <w:spacing w:val="2"/>
          <w:sz w:val="23"/>
          <w:szCs w:val="23"/>
        </w:rPr>
        <w:t xml:space="preserve">       </w:t>
      </w:r>
      <w:r>
        <w:rPr>
          <w:rFonts w:ascii="仿宋" w:hAnsi="仿宋" w:eastAsia="仿宋" w:cs="仿宋"/>
          <w:spacing w:val="4"/>
          <w:sz w:val="23"/>
          <w:szCs w:val="23"/>
        </w:rPr>
        <w:t>商业联</w:t>
      </w:r>
      <w:r>
        <w:rPr>
          <w:rFonts w:ascii="仿宋" w:hAnsi="仿宋" w:eastAsia="仿宋" w:cs="仿宋"/>
          <w:spacing w:val="-65"/>
          <w:sz w:val="23"/>
          <w:szCs w:val="23"/>
        </w:rPr>
        <w:t xml:space="preserve"> </w:t>
      </w:r>
      <w:r>
        <w:rPr>
          <w:rFonts w:ascii="仿宋" w:hAnsi="仿宋" w:eastAsia="仿宋" w:cs="仿宋"/>
          <w:spacing w:val="4"/>
          <w:sz w:val="23"/>
          <w:szCs w:val="23"/>
        </w:rPr>
        <w:t>合</w:t>
      </w:r>
      <w:r>
        <w:rPr>
          <w:rFonts w:ascii="仿宋" w:hAnsi="仿宋" w:eastAsia="仿宋" w:cs="仿宋"/>
          <w:spacing w:val="-66"/>
          <w:sz w:val="23"/>
          <w:szCs w:val="23"/>
        </w:rPr>
        <w:t xml:space="preserve"> </w:t>
      </w:r>
      <w:r>
        <w:rPr>
          <w:rFonts w:ascii="仿宋" w:hAnsi="仿宋" w:eastAsia="仿宋" w:cs="仿宋"/>
          <w:spacing w:val="4"/>
          <w:sz w:val="23"/>
          <w:szCs w:val="23"/>
        </w:rPr>
        <w:t>会支</w:t>
      </w:r>
      <w:r>
        <w:rPr>
          <w:rFonts w:ascii="仿宋" w:hAnsi="仿宋" w:eastAsia="仿宋" w:cs="仿宋"/>
          <w:spacing w:val="-50"/>
          <w:sz w:val="23"/>
          <w:szCs w:val="23"/>
        </w:rPr>
        <w:t xml:space="preserve"> </w:t>
      </w:r>
      <w:r>
        <w:rPr>
          <w:rFonts w:ascii="仿宋" w:hAnsi="仿宋" w:eastAsia="仿宋" w:cs="仿宋"/>
          <w:spacing w:val="4"/>
          <w:sz w:val="23"/>
          <w:szCs w:val="23"/>
        </w:rPr>
        <w:t>出预算117.21万元</w:t>
      </w:r>
      <w:r>
        <w:rPr>
          <w:rFonts w:ascii="仿宋" w:hAnsi="仿宋" w:eastAsia="仿宋" w:cs="仿宋"/>
          <w:spacing w:val="-58"/>
          <w:sz w:val="23"/>
          <w:szCs w:val="23"/>
        </w:rPr>
        <w:t xml:space="preserve"> </w:t>
      </w:r>
      <w:r>
        <w:rPr>
          <w:rFonts w:ascii="仿宋" w:hAnsi="仿宋" w:eastAsia="仿宋" w:cs="仿宋"/>
          <w:spacing w:val="4"/>
          <w:sz w:val="23"/>
          <w:szCs w:val="23"/>
        </w:rPr>
        <w:t>，其</w:t>
      </w:r>
      <w:r>
        <w:rPr>
          <w:rFonts w:ascii="仿宋" w:hAnsi="仿宋" w:eastAsia="仿宋" w:cs="仿宋"/>
          <w:spacing w:val="-44"/>
          <w:sz w:val="23"/>
          <w:szCs w:val="23"/>
        </w:rPr>
        <w:t xml:space="preserve"> </w:t>
      </w:r>
      <w:r>
        <w:rPr>
          <w:rFonts w:ascii="仿宋" w:hAnsi="仿宋" w:eastAsia="仿宋" w:cs="仿宋"/>
          <w:spacing w:val="4"/>
          <w:sz w:val="23"/>
          <w:szCs w:val="23"/>
        </w:rPr>
        <w:t>中</w:t>
      </w:r>
      <w:r>
        <w:rPr>
          <w:rFonts w:ascii="仿宋" w:hAnsi="仿宋" w:eastAsia="仿宋" w:cs="仿宋"/>
          <w:spacing w:val="-56"/>
          <w:sz w:val="23"/>
          <w:szCs w:val="23"/>
        </w:rPr>
        <w:t xml:space="preserve"> </w:t>
      </w:r>
      <w:r>
        <w:rPr>
          <w:rFonts w:ascii="仿宋" w:hAnsi="仿宋" w:eastAsia="仿宋" w:cs="仿宋"/>
          <w:spacing w:val="4"/>
          <w:sz w:val="23"/>
          <w:szCs w:val="23"/>
        </w:rPr>
        <w:t>：基本支</w:t>
      </w:r>
      <w:r>
        <w:rPr>
          <w:rFonts w:ascii="仿宋" w:hAnsi="仿宋" w:eastAsia="仿宋" w:cs="仿宋"/>
          <w:spacing w:val="-51"/>
          <w:sz w:val="23"/>
          <w:szCs w:val="23"/>
        </w:rPr>
        <w:t xml:space="preserve"> </w:t>
      </w:r>
      <w:r>
        <w:rPr>
          <w:rFonts w:ascii="仿宋" w:hAnsi="仿宋" w:eastAsia="仿宋" w:cs="仿宋"/>
          <w:spacing w:val="4"/>
          <w:sz w:val="23"/>
          <w:szCs w:val="23"/>
        </w:rPr>
        <w:t>出78.05万元</w:t>
      </w:r>
      <w:r>
        <w:rPr>
          <w:rFonts w:ascii="仿宋" w:hAnsi="仿宋" w:eastAsia="仿宋" w:cs="仿宋"/>
          <w:spacing w:val="-57"/>
          <w:sz w:val="23"/>
          <w:szCs w:val="23"/>
        </w:rPr>
        <w:t xml:space="preserve"> </w:t>
      </w:r>
      <w:r>
        <w:rPr>
          <w:rFonts w:ascii="仿宋" w:hAnsi="仿宋" w:eastAsia="仿宋" w:cs="仿宋"/>
          <w:spacing w:val="4"/>
          <w:sz w:val="23"/>
          <w:szCs w:val="23"/>
        </w:rPr>
        <w:t>，</w:t>
      </w:r>
      <w:r>
        <w:rPr>
          <w:rFonts w:ascii="仿宋" w:hAnsi="仿宋" w:eastAsia="仿宋" w:cs="仿宋"/>
          <w:spacing w:val="-34"/>
          <w:sz w:val="23"/>
          <w:szCs w:val="23"/>
        </w:rPr>
        <w:t xml:space="preserve"> </w:t>
      </w:r>
      <w:r>
        <w:rPr>
          <w:rFonts w:ascii="仿宋" w:hAnsi="仿宋" w:eastAsia="仿宋" w:cs="仿宋"/>
          <w:spacing w:val="4"/>
          <w:sz w:val="23"/>
          <w:szCs w:val="23"/>
        </w:rPr>
        <w:t>占</w:t>
      </w:r>
    </w:p>
    <w:p w14:paraId="4E697A7B">
      <w:pPr>
        <w:spacing w:before="135" w:line="226" w:lineRule="auto"/>
        <w:ind w:left="1258"/>
        <w:rPr>
          <w:rFonts w:ascii="仿宋" w:hAnsi="仿宋" w:eastAsia="仿宋" w:cs="仿宋"/>
          <w:sz w:val="23"/>
          <w:szCs w:val="23"/>
        </w:rPr>
      </w:pPr>
      <w:r>
        <w:rPr>
          <w:rFonts w:ascii="仿宋" w:hAnsi="仿宋" w:eastAsia="仿宋" w:cs="仿宋"/>
          <w:spacing w:val="-5"/>
          <w:sz w:val="23"/>
          <w:szCs w:val="23"/>
        </w:rPr>
        <w:t>66.59</w:t>
      </w:r>
      <w:r>
        <w:rPr>
          <w:rFonts w:ascii="仿宋" w:hAnsi="仿宋" w:eastAsia="仿宋" w:cs="仿宋"/>
          <w:spacing w:val="6"/>
          <w:sz w:val="23"/>
          <w:szCs w:val="23"/>
        </w:rPr>
        <w:t xml:space="preserve">         </w:t>
      </w:r>
      <w:r>
        <w:rPr>
          <w:rFonts w:ascii="仿宋" w:hAnsi="仿宋" w:eastAsia="仿宋" w:cs="仿宋"/>
          <w:spacing w:val="-5"/>
          <w:sz w:val="23"/>
          <w:szCs w:val="23"/>
        </w:rPr>
        <w:t>出39.16万元，</w:t>
      </w:r>
      <w:r>
        <w:rPr>
          <w:rFonts w:ascii="仿宋" w:hAnsi="仿宋" w:eastAsia="仿宋" w:cs="仿宋"/>
          <w:spacing w:val="-60"/>
          <w:sz w:val="23"/>
          <w:szCs w:val="23"/>
        </w:rPr>
        <w:t xml:space="preserve"> </w:t>
      </w:r>
      <w:r>
        <w:rPr>
          <w:rFonts w:ascii="仿宋" w:hAnsi="仿宋" w:eastAsia="仿宋" w:cs="仿宋"/>
          <w:spacing w:val="-5"/>
          <w:sz w:val="23"/>
          <w:szCs w:val="23"/>
        </w:rPr>
        <w:t>占33.41%。</w:t>
      </w:r>
    </w:p>
    <w:p w14:paraId="409B550A">
      <w:pPr>
        <w:spacing w:before="114" w:line="230" w:lineRule="exact"/>
        <w:ind w:left="1271"/>
        <w:outlineLvl w:val="1"/>
        <w:rPr>
          <w:rFonts w:ascii="微软雅黑" w:hAnsi="微软雅黑" w:eastAsia="微软雅黑" w:cs="微软雅黑"/>
          <w:sz w:val="22"/>
          <w:szCs w:val="22"/>
        </w:rPr>
      </w:pPr>
      <w:bookmarkStart w:id="34" w:name="bookmark23"/>
      <w:bookmarkEnd w:id="34"/>
      <w:r>
        <w:rPr>
          <w:rFonts w:ascii="微软雅黑" w:hAnsi="微软雅黑" w:eastAsia="微软雅黑" w:cs="微软雅黑"/>
          <w:spacing w:val="8"/>
          <w:position w:val="-1"/>
          <w:sz w:val="22"/>
          <w:szCs w:val="22"/>
        </w:rPr>
        <w:t>四、财政拨款收支预算总体情况说明</w:t>
      </w:r>
    </w:p>
    <w:p w14:paraId="50786FE2">
      <w:pPr>
        <w:spacing w:before="174" w:line="324" w:lineRule="auto"/>
        <w:ind w:left="1263" w:right="1223" w:firstLine="456"/>
        <w:jc w:val="both"/>
        <w:rPr>
          <w:rFonts w:ascii="仿宋" w:hAnsi="仿宋" w:eastAsia="仿宋" w:cs="仿宋"/>
          <w:sz w:val="23"/>
          <w:szCs w:val="23"/>
        </w:rPr>
      </w:pPr>
      <w:r>
        <w:rPr>
          <w:rFonts w:ascii="仿宋" w:hAnsi="仿宋" w:eastAsia="仿宋" w:cs="仿宋"/>
          <w:spacing w:val="5"/>
          <w:sz w:val="23"/>
          <w:szCs w:val="23"/>
        </w:rPr>
        <w:t>2025年度兴县工商业联合会财政拨款收支总预算117.21万元。其中：一般公共预算拨款</w:t>
      </w:r>
      <w:r>
        <w:rPr>
          <w:rFonts w:ascii="仿宋" w:hAnsi="仿宋" w:eastAsia="仿宋" w:cs="仿宋"/>
          <w:spacing w:val="3"/>
          <w:sz w:val="23"/>
          <w:szCs w:val="23"/>
        </w:rPr>
        <w:t>117.21万元，政府性基金预算拨款0万元，</w:t>
      </w:r>
      <w:r>
        <w:rPr>
          <w:rFonts w:ascii="仿宋" w:hAnsi="仿宋" w:eastAsia="仿宋" w:cs="仿宋"/>
          <w:spacing w:val="-68"/>
          <w:sz w:val="23"/>
          <w:szCs w:val="23"/>
        </w:rPr>
        <w:t xml:space="preserve"> </w:t>
      </w:r>
      <w:r>
        <w:rPr>
          <w:rFonts w:ascii="仿宋" w:hAnsi="仿宋" w:eastAsia="仿宋" w:cs="仿宋"/>
          <w:spacing w:val="3"/>
          <w:sz w:val="23"/>
          <w:szCs w:val="23"/>
        </w:rPr>
        <w:t>国有资</w:t>
      </w:r>
      <w:r>
        <w:rPr>
          <w:rFonts w:ascii="仿宋" w:hAnsi="仿宋" w:eastAsia="仿宋" w:cs="仿宋"/>
          <w:spacing w:val="2"/>
          <w:sz w:val="23"/>
          <w:szCs w:val="23"/>
        </w:rPr>
        <w:t>本经营预算拨款0万元。其中：</w:t>
      </w:r>
      <w:r>
        <w:rPr>
          <w:rFonts w:ascii="仿宋" w:hAnsi="仿宋" w:eastAsia="仿宋" w:cs="仿宋"/>
          <w:spacing w:val="-64"/>
          <w:sz w:val="23"/>
          <w:szCs w:val="23"/>
        </w:rPr>
        <w:t xml:space="preserve"> </w:t>
      </w:r>
      <w:r>
        <w:rPr>
          <w:rFonts w:ascii="仿宋" w:hAnsi="仿宋" w:eastAsia="仿宋" w:cs="仿宋"/>
          <w:spacing w:val="2"/>
          <w:sz w:val="23"/>
          <w:szCs w:val="23"/>
        </w:rPr>
        <w:t>当年拨款收</w:t>
      </w:r>
      <w:r>
        <w:rPr>
          <w:rFonts w:ascii="仿宋" w:hAnsi="仿宋" w:eastAsia="仿宋" w:cs="仿宋"/>
          <w:spacing w:val="5"/>
          <w:sz w:val="23"/>
          <w:szCs w:val="23"/>
        </w:rPr>
        <w:t>入117.21万元，上年结转收入0万元。支出包括：一般</w:t>
      </w:r>
      <w:r>
        <w:rPr>
          <w:rFonts w:ascii="仿宋" w:hAnsi="仿宋" w:eastAsia="仿宋" w:cs="仿宋"/>
          <w:spacing w:val="4"/>
          <w:sz w:val="23"/>
          <w:szCs w:val="23"/>
        </w:rPr>
        <w:t>公共服务支出91.06万元、社会保障和</w:t>
      </w:r>
      <w:r>
        <w:rPr>
          <w:rFonts w:ascii="仿宋" w:hAnsi="仿宋" w:eastAsia="仿宋" w:cs="仿宋"/>
          <w:sz w:val="23"/>
          <w:szCs w:val="23"/>
        </w:rPr>
        <w:t>就业支出16.58万元、卫生健康支出3.93万元、住房保障支出5.64万元等。</w:t>
      </w:r>
    </w:p>
    <w:p w14:paraId="2F56BD66">
      <w:pPr>
        <w:spacing w:before="3" w:line="230" w:lineRule="exact"/>
        <w:ind w:left="1264"/>
        <w:outlineLvl w:val="1"/>
        <w:rPr>
          <w:rFonts w:ascii="微软雅黑" w:hAnsi="微软雅黑" w:eastAsia="微软雅黑" w:cs="微软雅黑"/>
          <w:sz w:val="22"/>
          <w:szCs w:val="22"/>
        </w:rPr>
      </w:pPr>
      <w:bookmarkStart w:id="35" w:name="bookmark24"/>
      <w:bookmarkEnd w:id="35"/>
      <w:r>
        <w:rPr>
          <w:rFonts w:ascii="微软雅黑" w:hAnsi="微软雅黑" w:eastAsia="微软雅黑" w:cs="微软雅黑"/>
          <w:spacing w:val="8"/>
          <w:position w:val="-1"/>
          <w:sz w:val="22"/>
          <w:szCs w:val="22"/>
        </w:rPr>
        <w:t>五、一般公共预算支出情况说明</w:t>
      </w:r>
    </w:p>
    <w:p w14:paraId="779E7A93">
      <w:pPr>
        <w:spacing w:before="174" w:line="222" w:lineRule="auto"/>
        <w:ind w:left="1725"/>
        <w:rPr>
          <w:rFonts w:ascii="仿宋" w:hAnsi="仿宋" w:eastAsia="仿宋" w:cs="仿宋"/>
          <w:sz w:val="23"/>
          <w:szCs w:val="23"/>
        </w:rPr>
      </w:pPr>
      <w:r>
        <w:rPr>
          <w:rFonts w:ascii="仿宋" w:hAnsi="仿宋" w:eastAsia="仿宋" w:cs="仿宋"/>
          <w:spacing w:val="-1"/>
          <w:sz w:val="23"/>
          <w:szCs w:val="23"/>
        </w:rPr>
        <w:t>（一）一般公共预算当年支出规模变化情况</w:t>
      </w:r>
    </w:p>
    <w:p w14:paraId="5B45FF3F">
      <w:pPr>
        <w:spacing w:before="124" w:line="325" w:lineRule="auto"/>
        <w:ind w:left="1268" w:right="1271" w:firstLine="452"/>
        <w:rPr>
          <w:rFonts w:ascii="仿宋" w:hAnsi="仿宋" w:eastAsia="仿宋" w:cs="仿宋"/>
          <w:sz w:val="23"/>
          <w:szCs w:val="23"/>
        </w:rPr>
      </w:pPr>
      <w:r>
        <w:rPr>
          <w:rFonts w:ascii="仿宋" w:hAnsi="仿宋" w:eastAsia="仿宋" w:cs="仿宋"/>
          <w:spacing w:val="3"/>
          <w:sz w:val="23"/>
          <w:szCs w:val="23"/>
        </w:rPr>
        <w:t>2025年度兴县工商业联合会一般公共预算当年支出117</w:t>
      </w:r>
      <w:r>
        <w:rPr>
          <w:rFonts w:ascii="仿宋" w:hAnsi="仿宋" w:eastAsia="仿宋" w:cs="仿宋"/>
          <w:spacing w:val="2"/>
          <w:sz w:val="23"/>
          <w:szCs w:val="23"/>
        </w:rPr>
        <w:t>.21万元,</w:t>
      </w:r>
      <w:r>
        <w:rPr>
          <w:rFonts w:ascii="仿宋" w:hAnsi="仿宋" w:eastAsia="仿宋" w:cs="仿宋"/>
          <w:spacing w:val="-68"/>
          <w:sz w:val="23"/>
          <w:szCs w:val="23"/>
        </w:rPr>
        <w:t xml:space="preserve"> </w:t>
      </w:r>
      <w:r>
        <w:rPr>
          <w:rFonts w:ascii="仿宋" w:hAnsi="仿宋" w:eastAsia="仿宋" w:cs="仿宋"/>
          <w:spacing w:val="2"/>
          <w:sz w:val="23"/>
          <w:szCs w:val="23"/>
        </w:rPr>
        <w:t>比上年减少25.68万元，</w:t>
      </w:r>
      <w:r>
        <w:rPr>
          <w:rFonts w:ascii="仿宋" w:hAnsi="仿宋" w:eastAsia="仿宋" w:cs="仿宋"/>
          <w:spacing w:val="-2"/>
          <w:sz w:val="23"/>
          <w:szCs w:val="23"/>
        </w:rPr>
        <w:t>下降17.97%。</w:t>
      </w:r>
    </w:p>
    <w:p w14:paraId="6EEB95DC">
      <w:pPr>
        <w:spacing w:before="1" w:line="222" w:lineRule="auto"/>
        <w:ind w:left="2204"/>
        <w:rPr>
          <w:rFonts w:ascii="仿宋" w:hAnsi="仿宋" w:eastAsia="仿宋" w:cs="仿宋"/>
          <w:sz w:val="23"/>
          <w:szCs w:val="23"/>
        </w:rPr>
      </w:pPr>
      <w:r>
        <w:rPr>
          <w:rFonts w:ascii="仿宋" w:hAnsi="仿宋" w:eastAsia="仿宋" w:cs="仿宋"/>
          <w:spacing w:val="-4"/>
          <w:sz w:val="23"/>
          <w:szCs w:val="23"/>
        </w:rPr>
        <w:t>)</w:t>
      </w:r>
      <w:r>
        <w:rPr>
          <w:rFonts w:ascii="仿宋" w:hAnsi="仿宋" w:eastAsia="仿宋" w:cs="仿宋"/>
          <w:spacing w:val="34"/>
          <w:sz w:val="23"/>
          <w:szCs w:val="23"/>
        </w:rPr>
        <w:t xml:space="preserve"> </w:t>
      </w:r>
      <w:r>
        <w:rPr>
          <w:rFonts w:ascii="仿宋" w:hAnsi="仿宋" w:eastAsia="仿宋" w:cs="仿宋"/>
          <w:spacing w:val="-4"/>
          <w:sz w:val="23"/>
          <w:szCs w:val="23"/>
        </w:rPr>
        <w:t>一般公共预算当年支出结构情况</w:t>
      </w:r>
    </w:p>
    <w:p w14:paraId="30C3355F">
      <w:pPr>
        <w:spacing w:before="123" w:line="222" w:lineRule="auto"/>
        <w:ind w:left="1720"/>
        <w:rPr>
          <w:rFonts w:ascii="仿宋" w:hAnsi="仿宋" w:eastAsia="仿宋" w:cs="仿宋"/>
          <w:sz w:val="23"/>
          <w:szCs w:val="23"/>
        </w:rPr>
      </w:pPr>
      <w:r>
        <w:rPr>
          <w:rFonts w:ascii="仿宋" w:hAnsi="仿宋" w:eastAsia="仿宋" w:cs="仿宋"/>
          <w:spacing w:val="2"/>
          <w:sz w:val="23"/>
          <w:szCs w:val="23"/>
        </w:rPr>
        <w:t>2025年度兴县工商业联合会一般公共预算当年支出117.21万元,主要          面：一般</w:t>
      </w:r>
    </w:p>
    <w:p w14:paraId="4192BBB0">
      <w:pPr>
        <w:spacing w:before="135" w:line="221" w:lineRule="auto"/>
        <w:ind w:left="1268"/>
        <w:rPr>
          <w:rFonts w:ascii="仿宋" w:hAnsi="仿宋" w:eastAsia="仿宋" w:cs="仿宋"/>
          <w:sz w:val="23"/>
          <w:szCs w:val="23"/>
        </w:rPr>
      </w:pPr>
      <w:r>
        <w:rPr>
          <w:rFonts w:ascii="仿宋" w:hAnsi="仿宋" w:eastAsia="仿宋" w:cs="仿宋"/>
          <w:spacing w:val="2"/>
          <w:sz w:val="23"/>
          <w:szCs w:val="23"/>
        </w:rPr>
        <w:t>公共服务支出91.06万元，</w:t>
      </w:r>
      <w:r>
        <w:rPr>
          <w:rFonts w:ascii="仿宋" w:hAnsi="仿宋" w:eastAsia="仿宋" w:cs="仿宋"/>
          <w:spacing w:val="-53"/>
          <w:sz w:val="23"/>
          <w:szCs w:val="23"/>
        </w:rPr>
        <w:t xml:space="preserve"> </w:t>
      </w:r>
      <w:r>
        <w:rPr>
          <w:rFonts w:ascii="仿宋" w:hAnsi="仿宋" w:eastAsia="仿宋" w:cs="仿宋"/>
          <w:spacing w:val="2"/>
          <w:sz w:val="23"/>
          <w:szCs w:val="23"/>
        </w:rPr>
        <w:t>占77.69%  社会保</w:t>
      </w:r>
      <w:r>
        <w:rPr>
          <w:rFonts w:ascii="仿宋" w:hAnsi="仿宋" w:eastAsia="仿宋" w:cs="仿宋"/>
          <w:spacing w:val="1"/>
          <w:sz w:val="23"/>
          <w:szCs w:val="23"/>
        </w:rPr>
        <w:t>障和就业支出16.58    ，</w:t>
      </w:r>
      <w:r>
        <w:rPr>
          <w:rFonts w:ascii="仿宋" w:hAnsi="仿宋" w:eastAsia="仿宋" w:cs="仿宋"/>
          <w:spacing w:val="20"/>
          <w:sz w:val="23"/>
          <w:szCs w:val="23"/>
        </w:rPr>
        <w:t xml:space="preserve">  </w:t>
      </w:r>
      <w:r>
        <w:rPr>
          <w:rFonts w:ascii="仿宋" w:hAnsi="仿宋" w:eastAsia="仿宋" w:cs="仿宋"/>
          <w:spacing w:val="1"/>
          <w:sz w:val="23"/>
          <w:szCs w:val="23"/>
        </w:rPr>
        <w:t>14.15%</w:t>
      </w:r>
      <w:r>
        <w:rPr>
          <w:rFonts w:ascii="仿宋" w:hAnsi="仿宋" w:eastAsia="仿宋" w:cs="仿宋"/>
          <w:spacing w:val="13"/>
          <w:sz w:val="23"/>
          <w:szCs w:val="23"/>
        </w:rPr>
        <w:t xml:space="preserve">  </w:t>
      </w:r>
      <w:r>
        <w:rPr>
          <w:rFonts w:ascii="仿宋" w:hAnsi="仿宋" w:eastAsia="仿宋" w:cs="仿宋"/>
          <w:spacing w:val="1"/>
          <w:sz w:val="23"/>
          <w:szCs w:val="23"/>
        </w:rPr>
        <w:t>卫生健康</w:t>
      </w:r>
    </w:p>
    <w:p w14:paraId="408B2FE9">
      <w:pPr>
        <w:spacing w:line="221" w:lineRule="auto"/>
        <w:rPr>
          <w:rFonts w:ascii="仿宋" w:hAnsi="仿宋" w:eastAsia="仿宋" w:cs="仿宋"/>
          <w:sz w:val="23"/>
          <w:szCs w:val="23"/>
        </w:rPr>
        <w:sectPr>
          <w:headerReference r:id="rId38" w:type="default"/>
          <w:footerReference r:id="rId39" w:type="default"/>
          <w:pgSz w:w="11900" w:h="16840"/>
          <w:pgMar w:top="642" w:right="0" w:bottom="340" w:left="0" w:header="326" w:footer="93" w:gutter="0"/>
          <w:cols w:space="720" w:num="1"/>
        </w:sectPr>
      </w:pPr>
    </w:p>
    <w:p w14:paraId="2C7F9384">
      <w:pPr>
        <w:pStyle w:val="2"/>
        <w:spacing w:line="282" w:lineRule="auto"/>
      </w:pPr>
    </w:p>
    <w:p w14:paraId="0B4250DC">
      <w:pPr>
        <w:pStyle w:val="2"/>
        <w:spacing w:line="282" w:lineRule="auto"/>
      </w:pPr>
    </w:p>
    <w:p w14:paraId="099FC04C">
      <w:pPr>
        <w:spacing w:before="75" w:line="221" w:lineRule="auto"/>
        <w:ind w:left="1263"/>
        <w:rPr>
          <w:rFonts w:ascii="仿宋" w:hAnsi="仿宋" w:eastAsia="仿宋" w:cs="仿宋"/>
          <w:sz w:val="23"/>
          <w:szCs w:val="23"/>
        </w:rPr>
      </w:pPr>
      <w:r>
        <w:rPr>
          <w:rFonts w:ascii="仿宋" w:hAnsi="仿宋" w:eastAsia="仿宋" w:cs="仿宋"/>
          <w:spacing w:val="-3"/>
          <w:sz w:val="23"/>
          <w:szCs w:val="23"/>
        </w:rPr>
        <w:t>支出3.      ，</w:t>
      </w:r>
      <w:r>
        <w:rPr>
          <w:rFonts w:ascii="仿宋" w:hAnsi="仿宋" w:eastAsia="仿宋" w:cs="仿宋"/>
          <w:spacing w:val="-54"/>
          <w:sz w:val="23"/>
          <w:szCs w:val="23"/>
        </w:rPr>
        <w:t xml:space="preserve"> </w:t>
      </w:r>
      <w:r>
        <w:rPr>
          <w:rFonts w:ascii="仿宋" w:hAnsi="仿宋" w:eastAsia="仿宋" w:cs="仿宋"/>
          <w:spacing w:val="-3"/>
          <w:sz w:val="23"/>
          <w:szCs w:val="23"/>
        </w:rPr>
        <w:t>占3.35%；住房保障支出5.64万元，</w:t>
      </w:r>
      <w:r>
        <w:rPr>
          <w:rFonts w:ascii="仿宋" w:hAnsi="仿宋" w:eastAsia="仿宋" w:cs="仿宋"/>
          <w:spacing w:val="-60"/>
          <w:sz w:val="23"/>
          <w:szCs w:val="23"/>
        </w:rPr>
        <w:t xml:space="preserve"> </w:t>
      </w:r>
      <w:r>
        <w:rPr>
          <w:rFonts w:ascii="仿宋" w:hAnsi="仿宋" w:eastAsia="仿宋" w:cs="仿宋"/>
          <w:spacing w:val="-3"/>
          <w:sz w:val="23"/>
          <w:szCs w:val="23"/>
        </w:rPr>
        <w:t>占4.81%等。</w:t>
      </w:r>
    </w:p>
    <w:p w14:paraId="14A04799">
      <w:pPr>
        <w:pStyle w:val="2"/>
        <w:spacing w:line="270" w:lineRule="auto"/>
      </w:pPr>
    </w:p>
    <w:p w14:paraId="1CD1A543">
      <w:pPr>
        <w:spacing w:line="2245" w:lineRule="exact"/>
        <w:ind w:firstLine="3765"/>
      </w:pPr>
      <w:r>
        <w:rPr>
          <w:position w:val="-44"/>
        </w:rPr>
        <w:drawing>
          <wp:inline distT="0" distB="0" distL="0" distR="0">
            <wp:extent cx="2625090" cy="142494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57"/>
                    <a:stretch>
                      <a:fillRect/>
                    </a:stretch>
                  </pic:blipFill>
                  <pic:spPr>
                    <a:xfrm>
                      <a:off x="0" y="0"/>
                      <a:ext cx="2625452" cy="1425493"/>
                    </a:xfrm>
                    <a:prstGeom prst="rect">
                      <a:avLst/>
                    </a:prstGeom>
                  </pic:spPr>
                </pic:pic>
              </a:graphicData>
            </a:graphic>
          </wp:inline>
        </w:drawing>
      </w:r>
    </w:p>
    <w:p w14:paraId="0D99912B">
      <w:pPr>
        <w:pStyle w:val="2"/>
        <w:spacing w:line="249" w:lineRule="auto"/>
      </w:pPr>
    </w:p>
    <w:p w14:paraId="045F18DD">
      <w:pPr>
        <w:pStyle w:val="2"/>
        <w:spacing w:line="249" w:lineRule="auto"/>
      </w:pPr>
    </w:p>
    <w:p w14:paraId="517F0472">
      <w:pPr>
        <w:pStyle w:val="2"/>
        <w:spacing w:line="249" w:lineRule="auto"/>
      </w:pPr>
    </w:p>
    <w:p w14:paraId="639C1B5F">
      <w:pPr>
        <w:spacing w:before="94" w:line="230" w:lineRule="exact"/>
        <w:ind w:left="1262"/>
        <w:outlineLvl w:val="1"/>
        <w:rPr>
          <w:rFonts w:ascii="微软雅黑" w:hAnsi="微软雅黑" w:eastAsia="微软雅黑" w:cs="微软雅黑"/>
          <w:sz w:val="22"/>
          <w:szCs w:val="22"/>
        </w:rPr>
      </w:pPr>
      <w:bookmarkStart w:id="36" w:name="bookmark25"/>
      <w:bookmarkEnd w:id="36"/>
      <w:r>
        <w:rPr>
          <w:rFonts w:ascii="微软雅黑" w:hAnsi="微软雅黑" w:eastAsia="微软雅黑" w:cs="微软雅黑"/>
          <w:spacing w:val="8"/>
          <w:position w:val="-1"/>
          <w:sz w:val="22"/>
          <w:szCs w:val="22"/>
        </w:rPr>
        <w:t>六、一般公共预算基本支出情况说明</w:t>
      </w:r>
    </w:p>
    <w:p w14:paraId="43ECC947">
      <w:pPr>
        <w:spacing w:before="185" w:line="222" w:lineRule="auto"/>
        <w:ind w:left="2190"/>
        <w:rPr>
          <w:rFonts w:ascii="仿宋" w:hAnsi="仿宋" w:eastAsia="仿宋" w:cs="仿宋"/>
          <w:sz w:val="23"/>
          <w:szCs w:val="23"/>
        </w:rPr>
      </w:pPr>
      <w:r>
        <w:rPr>
          <w:rFonts w:ascii="仿宋" w:hAnsi="仿宋" w:eastAsia="仿宋" w:cs="仿宋"/>
          <w:sz w:val="23"/>
          <w:szCs w:val="23"/>
        </w:rPr>
        <w:t>年度兴县工商业联合会一般公共预算安排基本支出78.05万元</w:t>
      </w:r>
      <w:r>
        <w:rPr>
          <w:rFonts w:ascii="仿宋" w:hAnsi="仿宋" w:eastAsia="仿宋" w:cs="仿宋"/>
          <w:spacing w:val="-1"/>
          <w:sz w:val="23"/>
          <w:szCs w:val="23"/>
        </w:rPr>
        <w:t>，其中：</w:t>
      </w:r>
    </w:p>
    <w:p w14:paraId="488DA4B7">
      <w:pPr>
        <w:spacing w:before="123" w:line="221" w:lineRule="auto"/>
        <w:ind w:left="1728"/>
        <w:rPr>
          <w:rFonts w:ascii="仿宋" w:hAnsi="仿宋" w:eastAsia="仿宋" w:cs="仿宋"/>
          <w:sz w:val="23"/>
          <w:szCs w:val="23"/>
        </w:rPr>
      </w:pPr>
      <w:r>
        <w:rPr>
          <w:rFonts w:ascii="仿宋" w:hAnsi="仿宋" w:eastAsia="仿宋" w:cs="仿宋"/>
          <w:spacing w:val="1"/>
          <w:sz w:val="23"/>
          <w:szCs w:val="23"/>
        </w:rPr>
        <w:t>人员经费70.53万元，主要包括：其他工资福利支  、公务员医疗补助</w:t>
      </w:r>
      <w:r>
        <w:rPr>
          <w:rFonts w:ascii="仿宋" w:hAnsi="仿宋" w:eastAsia="仿宋" w:cs="仿宋"/>
          <w:spacing w:val="12"/>
          <w:sz w:val="23"/>
          <w:szCs w:val="23"/>
        </w:rPr>
        <w:t xml:space="preserve">    </w:t>
      </w:r>
      <w:r>
        <w:rPr>
          <w:rFonts w:ascii="仿宋" w:hAnsi="仿宋" w:eastAsia="仿宋" w:cs="仿宋"/>
          <w:spacing w:val="1"/>
          <w:sz w:val="23"/>
          <w:szCs w:val="23"/>
        </w:rPr>
        <w:t>、  他社会保</w:t>
      </w:r>
    </w:p>
    <w:p w14:paraId="15FDD9A9">
      <w:pPr>
        <w:spacing w:before="124" w:line="221" w:lineRule="auto"/>
        <w:ind w:left="1276"/>
        <w:rPr>
          <w:rFonts w:ascii="仿宋" w:hAnsi="仿宋" w:eastAsia="仿宋" w:cs="仿宋"/>
          <w:sz w:val="23"/>
          <w:szCs w:val="23"/>
        </w:rPr>
      </w:pPr>
      <w:r>
        <w:rPr>
          <w:rFonts w:ascii="仿宋" w:hAnsi="仿宋" w:eastAsia="仿宋" w:cs="仿宋"/>
          <w:spacing w:val="5"/>
          <w:sz w:val="23"/>
          <w:szCs w:val="23"/>
        </w:rPr>
        <w:t>障缴费、基本工资、奖金、退休费、住房公积金、</w:t>
      </w:r>
      <w:r>
        <w:rPr>
          <w:rFonts w:ascii="仿宋" w:hAnsi="仿宋" w:eastAsia="仿宋" w:cs="仿宋"/>
          <w:spacing w:val="4"/>
          <w:sz w:val="23"/>
          <w:szCs w:val="23"/>
        </w:rPr>
        <w:t>机关事业单位基        险缴费、职工基</w:t>
      </w:r>
    </w:p>
    <w:p w14:paraId="449056C6">
      <w:pPr>
        <w:spacing w:before="136" w:line="221" w:lineRule="auto"/>
        <w:ind w:left="1264"/>
        <w:rPr>
          <w:rFonts w:ascii="仿宋" w:hAnsi="仿宋" w:eastAsia="仿宋" w:cs="仿宋"/>
          <w:sz w:val="23"/>
          <w:szCs w:val="23"/>
        </w:rPr>
      </w:pPr>
      <w:r>
        <w:rPr>
          <w:rFonts w:ascii="仿宋" w:hAnsi="仿宋" w:eastAsia="仿宋" w:cs="仿宋"/>
          <w:spacing w:val="-1"/>
          <w:sz w:val="23"/>
          <w:szCs w:val="23"/>
        </w:rPr>
        <w:t>本医疗保险缴费、津贴补贴等；</w:t>
      </w:r>
    </w:p>
    <w:p w14:paraId="52CCDCB8">
      <w:pPr>
        <w:spacing w:before="124" w:line="323" w:lineRule="auto"/>
        <w:ind w:left="1272" w:right="1222" w:firstLine="457"/>
        <w:rPr>
          <w:rFonts w:ascii="仿宋" w:hAnsi="仿宋" w:eastAsia="仿宋" w:cs="仿宋"/>
          <w:sz w:val="23"/>
          <w:szCs w:val="23"/>
        </w:rPr>
      </w:pPr>
      <w:r>
        <w:rPr>
          <w:rFonts w:ascii="仿宋" w:hAnsi="仿宋" w:eastAsia="仿宋" w:cs="仿宋"/>
          <w:spacing w:val="10"/>
          <w:sz w:val="23"/>
          <w:szCs w:val="23"/>
        </w:rPr>
        <w:t>公用经费7.52万元，主要包括：</w:t>
      </w:r>
      <w:r>
        <w:rPr>
          <w:rFonts w:ascii="仿宋" w:hAnsi="仿宋" w:eastAsia="仿宋" w:cs="仿宋"/>
          <w:spacing w:val="-67"/>
          <w:sz w:val="23"/>
          <w:szCs w:val="23"/>
        </w:rPr>
        <w:t xml:space="preserve"> </w:t>
      </w:r>
      <w:r>
        <w:rPr>
          <w:rFonts w:ascii="仿宋" w:hAnsi="仿宋" w:eastAsia="仿宋" w:cs="仿宋"/>
          <w:spacing w:val="10"/>
          <w:sz w:val="23"/>
          <w:szCs w:val="23"/>
        </w:rPr>
        <w:t>办公费、福利费、其他交通费用、工会经费、取</w:t>
      </w:r>
      <w:r>
        <w:rPr>
          <w:rFonts w:ascii="仿宋" w:hAnsi="仿宋" w:eastAsia="仿宋" w:cs="仿宋"/>
          <w:spacing w:val="9"/>
          <w:sz w:val="23"/>
          <w:szCs w:val="23"/>
        </w:rPr>
        <w:t>暖费</w:t>
      </w:r>
      <w:r>
        <w:rPr>
          <w:rFonts w:ascii="仿宋" w:hAnsi="仿宋" w:eastAsia="仿宋" w:cs="仿宋"/>
          <w:spacing w:val="-12"/>
          <w:sz w:val="23"/>
          <w:szCs w:val="23"/>
        </w:rPr>
        <w:t>等。</w:t>
      </w:r>
    </w:p>
    <w:p w14:paraId="1792B372">
      <w:pPr>
        <w:spacing w:before="3" w:line="229" w:lineRule="exact"/>
        <w:ind w:left="1255"/>
        <w:outlineLvl w:val="1"/>
        <w:rPr>
          <w:rFonts w:ascii="微软雅黑" w:hAnsi="微软雅黑" w:eastAsia="微软雅黑" w:cs="微软雅黑"/>
          <w:sz w:val="22"/>
          <w:szCs w:val="22"/>
        </w:rPr>
      </w:pPr>
      <w:bookmarkStart w:id="37" w:name="bookmark26"/>
      <w:bookmarkEnd w:id="37"/>
      <w:r>
        <w:rPr>
          <w:rFonts w:ascii="微软雅黑" w:hAnsi="微软雅黑" w:eastAsia="微软雅黑" w:cs="微软雅黑"/>
          <w:spacing w:val="16"/>
          <w:position w:val="-1"/>
          <w:sz w:val="22"/>
          <w:szCs w:val="22"/>
        </w:rPr>
        <w:t>七、</w:t>
      </w:r>
      <w:r>
        <w:rPr>
          <w:rFonts w:ascii="微软雅黑" w:hAnsi="微软雅黑" w:eastAsia="微软雅黑" w:cs="微软雅黑"/>
          <w:spacing w:val="5"/>
          <w:position w:val="-1"/>
          <w:sz w:val="22"/>
          <w:szCs w:val="22"/>
        </w:rPr>
        <w:t xml:space="preserve">  </w:t>
      </w:r>
      <w:r>
        <w:rPr>
          <w:rFonts w:ascii="微软雅黑" w:hAnsi="微软雅黑" w:eastAsia="微软雅黑" w:cs="微软雅黑"/>
          <w:spacing w:val="16"/>
          <w:position w:val="-1"/>
          <w:sz w:val="22"/>
          <w:szCs w:val="22"/>
        </w:rPr>
        <w:t>"三公"经费增减变动原因说明</w:t>
      </w:r>
    </w:p>
    <w:p w14:paraId="70BCB10F">
      <w:pPr>
        <w:spacing w:before="175" w:line="222" w:lineRule="auto"/>
        <w:ind w:left="1726"/>
        <w:rPr>
          <w:rFonts w:ascii="仿宋" w:hAnsi="仿宋" w:eastAsia="仿宋" w:cs="仿宋"/>
          <w:sz w:val="23"/>
          <w:szCs w:val="23"/>
        </w:rPr>
      </w:pPr>
      <w:r>
        <w:rPr>
          <w:rFonts w:ascii="仿宋" w:hAnsi="仿宋" w:eastAsia="仿宋" w:cs="仿宋"/>
          <w:spacing w:val="-4"/>
          <w:sz w:val="23"/>
          <w:szCs w:val="23"/>
        </w:rPr>
        <w:t>本部门无“三公</w:t>
      </w:r>
      <w:r>
        <w:rPr>
          <w:rFonts w:ascii="仿宋" w:hAnsi="仿宋" w:eastAsia="仿宋" w:cs="仿宋"/>
          <w:spacing w:val="-74"/>
          <w:sz w:val="23"/>
          <w:szCs w:val="23"/>
        </w:rPr>
        <w:t xml:space="preserve"> </w:t>
      </w:r>
      <w:r>
        <w:rPr>
          <w:rFonts w:ascii="仿宋" w:hAnsi="仿宋" w:eastAsia="仿宋" w:cs="仿宋"/>
          <w:spacing w:val="-4"/>
          <w:sz w:val="23"/>
          <w:szCs w:val="23"/>
        </w:rPr>
        <w:t>”经费预算。</w:t>
      </w:r>
    </w:p>
    <w:p w14:paraId="46CC11E9">
      <w:pPr>
        <w:spacing w:before="118" w:line="231" w:lineRule="exact"/>
        <w:ind w:left="1253"/>
        <w:outlineLvl w:val="1"/>
        <w:rPr>
          <w:rFonts w:ascii="微软雅黑" w:hAnsi="微软雅黑" w:eastAsia="微软雅黑" w:cs="微软雅黑"/>
          <w:sz w:val="23"/>
          <w:szCs w:val="23"/>
        </w:rPr>
      </w:pPr>
      <w:bookmarkStart w:id="38" w:name="bookmark27"/>
      <w:bookmarkEnd w:id="38"/>
      <w:r>
        <w:rPr>
          <w:rFonts w:ascii="微软雅黑" w:hAnsi="微软雅黑" w:eastAsia="微软雅黑" w:cs="微软雅黑"/>
          <w:spacing w:val="-1"/>
          <w:position w:val="-1"/>
          <w:sz w:val="23"/>
          <w:szCs w:val="23"/>
        </w:rPr>
        <w:t>八、机关运行经费增减变动原因说明</w:t>
      </w:r>
    </w:p>
    <w:p w14:paraId="18502EAB">
      <w:pPr>
        <w:spacing w:before="185" w:line="320" w:lineRule="auto"/>
        <w:ind w:left="1261" w:right="1223" w:firstLine="464"/>
        <w:rPr>
          <w:rFonts w:ascii="仿宋" w:hAnsi="仿宋" w:eastAsia="仿宋" w:cs="仿宋"/>
          <w:sz w:val="23"/>
          <w:szCs w:val="23"/>
        </w:rPr>
      </w:pPr>
      <w:r>
        <w:rPr>
          <w:rFonts w:ascii="仿宋" w:hAnsi="仿宋" w:eastAsia="仿宋" w:cs="仿宋"/>
          <w:spacing w:val="6"/>
          <w:sz w:val="23"/>
          <w:szCs w:val="23"/>
        </w:rPr>
        <w:t>本</w:t>
      </w:r>
      <w:r>
        <w:rPr>
          <w:rFonts w:ascii="仿宋" w:hAnsi="仿宋" w:eastAsia="仿宋" w:cs="仿宋"/>
          <w:spacing w:val="-52"/>
          <w:sz w:val="23"/>
          <w:szCs w:val="23"/>
        </w:rPr>
        <w:t xml:space="preserve"> </w:t>
      </w:r>
      <w:r>
        <w:rPr>
          <w:rFonts w:ascii="仿宋" w:hAnsi="仿宋" w:eastAsia="仿宋" w:cs="仿宋"/>
          <w:spacing w:val="6"/>
          <w:sz w:val="23"/>
          <w:szCs w:val="23"/>
        </w:rPr>
        <w:t>单位机</w:t>
      </w:r>
      <w:r>
        <w:rPr>
          <w:rFonts w:ascii="仿宋" w:hAnsi="仿宋" w:eastAsia="仿宋" w:cs="仿宋"/>
          <w:spacing w:val="-65"/>
          <w:sz w:val="23"/>
          <w:szCs w:val="23"/>
        </w:rPr>
        <w:t xml:space="preserve"> </w:t>
      </w:r>
      <w:r>
        <w:rPr>
          <w:rFonts w:ascii="仿宋" w:hAnsi="仿宋" w:eastAsia="仿宋" w:cs="仿宋"/>
          <w:spacing w:val="6"/>
          <w:sz w:val="23"/>
          <w:szCs w:val="23"/>
        </w:rPr>
        <w:t>关运行经</w:t>
      </w:r>
      <w:r>
        <w:rPr>
          <w:rFonts w:ascii="仿宋" w:hAnsi="仿宋" w:eastAsia="仿宋" w:cs="仿宋"/>
          <w:spacing w:val="-63"/>
          <w:sz w:val="23"/>
          <w:szCs w:val="23"/>
        </w:rPr>
        <w:t xml:space="preserve"> </w:t>
      </w:r>
      <w:r>
        <w:rPr>
          <w:rFonts w:ascii="仿宋" w:hAnsi="仿宋" w:eastAsia="仿宋" w:cs="仿宋"/>
          <w:spacing w:val="6"/>
          <w:sz w:val="23"/>
          <w:szCs w:val="23"/>
        </w:rPr>
        <w:t>费</w:t>
      </w:r>
      <w:r>
        <w:rPr>
          <w:rFonts w:ascii="仿宋" w:hAnsi="仿宋" w:eastAsia="仿宋" w:cs="仿宋"/>
          <w:spacing w:val="-68"/>
          <w:sz w:val="23"/>
          <w:szCs w:val="23"/>
        </w:rPr>
        <w:t xml:space="preserve"> </w:t>
      </w:r>
      <w:r>
        <w:rPr>
          <w:rFonts w:ascii="仿宋" w:hAnsi="仿宋" w:eastAsia="仿宋" w:cs="仿宋"/>
          <w:spacing w:val="6"/>
          <w:sz w:val="23"/>
          <w:szCs w:val="23"/>
        </w:rPr>
        <w:t>财政拨款预算7.52万</w:t>
      </w:r>
      <w:r>
        <w:rPr>
          <w:rFonts w:ascii="仿宋" w:hAnsi="仿宋" w:eastAsia="仿宋" w:cs="仿宋"/>
          <w:spacing w:val="-67"/>
          <w:sz w:val="23"/>
          <w:szCs w:val="23"/>
        </w:rPr>
        <w:t xml:space="preserve"> </w:t>
      </w:r>
      <w:r>
        <w:rPr>
          <w:rFonts w:ascii="仿宋" w:hAnsi="仿宋" w:eastAsia="仿宋" w:cs="仿宋"/>
          <w:spacing w:val="6"/>
          <w:sz w:val="23"/>
          <w:szCs w:val="23"/>
        </w:rPr>
        <w:t>元</w:t>
      </w:r>
      <w:r>
        <w:rPr>
          <w:rFonts w:ascii="仿宋" w:hAnsi="仿宋" w:eastAsia="仿宋" w:cs="仿宋"/>
          <w:spacing w:val="-55"/>
          <w:sz w:val="23"/>
          <w:szCs w:val="23"/>
        </w:rPr>
        <w:t xml:space="preserve"> </w:t>
      </w:r>
      <w:r>
        <w:rPr>
          <w:rFonts w:ascii="仿宋" w:hAnsi="仿宋" w:eastAsia="仿宋" w:cs="仿宋"/>
          <w:spacing w:val="6"/>
          <w:sz w:val="23"/>
          <w:szCs w:val="23"/>
        </w:rPr>
        <w:t>，</w:t>
      </w:r>
      <w:r>
        <w:rPr>
          <w:rFonts w:ascii="仿宋" w:hAnsi="仿宋" w:eastAsia="仿宋" w:cs="仿宋"/>
          <w:spacing w:val="-44"/>
          <w:sz w:val="23"/>
          <w:szCs w:val="23"/>
        </w:rPr>
        <w:t xml:space="preserve"> </w:t>
      </w:r>
      <w:r>
        <w:rPr>
          <w:rFonts w:ascii="仿宋" w:hAnsi="仿宋" w:eastAsia="仿宋" w:cs="仿宋"/>
          <w:spacing w:val="6"/>
          <w:sz w:val="23"/>
          <w:szCs w:val="23"/>
        </w:rPr>
        <w:t>比2023</w:t>
      </w:r>
      <w:r>
        <w:rPr>
          <w:rFonts w:ascii="仿宋" w:hAnsi="仿宋" w:eastAsia="仿宋" w:cs="仿宋"/>
          <w:spacing w:val="-66"/>
          <w:sz w:val="23"/>
          <w:szCs w:val="23"/>
        </w:rPr>
        <w:t xml:space="preserve"> </w:t>
      </w:r>
      <w:r>
        <w:rPr>
          <w:rFonts w:ascii="仿宋" w:hAnsi="仿宋" w:eastAsia="仿宋" w:cs="仿宋"/>
          <w:spacing w:val="6"/>
          <w:sz w:val="23"/>
          <w:szCs w:val="23"/>
        </w:rPr>
        <w:t>年预算减少4.92万</w:t>
      </w:r>
      <w:r>
        <w:rPr>
          <w:rFonts w:ascii="仿宋" w:hAnsi="仿宋" w:eastAsia="仿宋" w:cs="仿宋"/>
          <w:spacing w:val="-68"/>
          <w:sz w:val="23"/>
          <w:szCs w:val="23"/>
        </w:rPr>
        <w:t xml:space="preserve"> </w:t>
      </w:r>
      <w:r>
        <w:rPr>
          <w:rFonts w:ascii="仿宋" w:hAnsi="仿宋" w:eastAsia="仿宋" w:cs="仿宋"/>
          <w:spacing w:val="6"/>
          <w:sz w:val="23"/>
          <w:szCs w:val="23"/>
        </w:rPr>
        <w:t>元</w:t>
      </w:r>
      <w:r>
        <w:rPr>
          <w:rFonts w:ascii="仿宋" w:hAnsi="仿宋" w:eastAsia="仿宋" w:cs="仿宋"/>
          <w:spacing w:val="-54"/>
          <w:sz w:val="23"/>
          <w:szCs w:val="23"/>
        </w:rPr>
        <w:t xml:space="preserve"> </w:t>
      </w:r>
      <w:r>
        <w:rPr>
          <w:rFonts w:ascii="仿宋" w:hAnsi="仿宋" w:eastAsia="仿宋" w:cs="仿宋"/>
          <w:spacing w:val="6"/>
          <w:sz w:val="23"/>
          <w:szCs w:val="23"/>
        </w:rPr>
        <w:t>，</w:t>
      </w:r>
      <w:r>
        <w:rPr>
          <w:rFonts w:ascii="仿宋" w:hAnsi="仿宋" w:eastAsia="仿宋" w:cs="仿宋"/>
          <w:spacing w:val="-66"/>
          <w:sz w:val="23"/>
          <w:szCs w:val="23"/>
        </w:rPr>
        <w:t xml:space="preserve"> </w:t>
      </w:r>
      <w:r>
        <w:rPr>
          <w:rFonts w:ascii="仿宋" w:hAnsi="仿宋" w:eastAsia="仿宋" w:cs="仿宋"/>
          <w:spacing w:val="6"/>
          <w:sz w:val="23"/>
          <w:szCs w:val="23"/>
        </w:rPr>
        <w:t>下</w:t>
      </w:r>
      <w:r>
        <w:rPr>
          <w:rFonts w:ascii="仿宋" w:hAnsi="仿宋" w:eastAsia="仿宋" w:cs="仿宋"/>
          <w:spacing w:val="-59"/>
          <w:sz w:val="23"/>
          <w:szCs w:val="23"/>
        </w:rPr>
        <w:t xml:space="preserve"> </w:t>
      </w:r>
      <w:r>
        <w:rPr>
          <w:rFonts w:ascii="仿宋" w:hAnsi="仿宋" w:eastAsia="仿宋" w:cs="仿宋"/>
          <w:spacing w:val="6"/>
          <w:sz w:val="23"/>
          <w:szCs w:val="23"/>
        </w:rPr>
        <w:t>降</w:t>
      </w:r>
      <w:r>
        <w:rPr>
          <w:rFonts w:ascii="仿宋" w:hAnsi="仿宋" w:eastAsia="仿宋" w:cs="仿宋"/>
          <w:sz w:val="23"/>
          <w:szCs w:val="23"/>
        </w:rPr>
        <w:t>39.55%，原因是因人员变动工资减少，机关运行经费测算基数下降。</w:t>
      </w:r>
    </w:p>
    <w:p w14:paraId="3DD3A1CB">
      <w:pPr>
        <w:spacing w:line="225" w:lineRule="exact"/>
        <w:ind w:left="1258"/>
        <w:outlineLvl w:val="1"/>
        <w:rPr>
          <w:rFonts w:ascii="微软雅黑" w:hAnsi="微软雅黑" w:eastAsia="微软雅黑" w:cs="微软雅黑"/>
          <w:sz w:val="22"/>
          <w:szCs w:val="22"/>
        </w:rPr>
      </w:pPr>
      <w:bookmarkStart w:id="39" w:name="bookmark28"/>
      <w:bookmarkEnd w:id="39"/>
      <w:r>
        <w:rPr>
          <w:rFonts w:ascii="微软雅黑" w:hAnsi="微软雅黑" w:eastAsia="微软雅黑" w:cs="微软雅黑"/>
          <w:spacing w:val="9"/>
          <w:position w:val="-1"/>
          <w:sz w:val="22"/>
          <w:szCs w:val="22"/>
        </w:rPr>
        <w:t>九、政府采购情况</w:t>
      </w:r>
    </w:p>
    <w:p w14:paraId="3C817181">
      <w:pPr>
        <w:spacing w:before="187" w:line="322" w:lineRule="auto"/>
        <w:ind w:left="1267" w:right="1223" w:firstLine="453"/>
        <w:rPr>
          <w:rFonts w:ascii="仿宋" w:hAnsi="仿宋" w:eastAsia="仿宋" w:cs="仿宋"/>
          <w:sz w:val="23"/>
          <w:szCs w:val="23"/>
        </w:rPr>
      </w:pPr>
      <w:r>
        <w:rPr>
          <w:rFonts w:ascii="仿宋" w:hAnsi="仿宋" w:eastAsia="仿宋" w:cs="仿宋"/>
          <w:spacing w:val="5"/>
          <w:sz w:val="23"/>
          <w:szCs w:val="23"/>
        </w:rPr>
        <w:t>2025年兴县工商业    会政府采购预算总额0.10万元。</w:t>
      </w:r>
      <w:r>
        <w:rPr>
          <w:rFonts w:ascii="仿宋" w:hAnsi="仿宋" w:eastAsia="仿宋" w:cs="仿宋"/>
          <w:spacing w:val="4"/>
          <w:sz w:val="23"/>
          <w:szCs w:val="23"/>
        </w:rPr>
        <w:t>其中：政府采购货物预算0.10万</w:t>
      </w:r>
      <w:r>
        <w:rPr>
          <w:rFonts w:ascii="仿宋" w:hAnsi="仿宋" w:eastAsia="仿宋" w:cs="仿宋"/>
          <w:sz w:val="23"/>
          <w:szCs w:val="23"/>
        </w:rPr>
        <w:t>元、政府采购         万元、政府采购服务</w:t>
      </w:r>
      <w:r>
        <w:rPr>
          <w:rFonts w:ascii="仿宋" w:hAnsi="仿宋" w:eastAsia="仿宋" w:cs="仿宋"/>
          <w:spacing w:val="-1"/>
          <w:sz w:val="23"/>
          <w:szCs w:val="23"/>
        </w:rPr>
        <w:t>预算0万元。</w:t>
      </w:r>
    </w:p>
    <w:p w14:paraId="0E5DB9A9">
      <w:pPr>
        <w:pStyle w:val="2"/>
        <w:spacing w:line="332" w:lineRule="auto"/>
      </w:pPr>
    </w:p>
    <w:p w14:paraId="272C6021">
      <w:pPr>
        <w:spacing w:before="76" w:line="223" w:lineRule="auto"/>
        <w:ind w:left="1735"/>
        <w:rPr>
          <w:rFonts w:ascii="仿宋" w:hAnsi="仿宋" w:eastAsia="仿宋" w:cs="仿宋"/>
          <w:sz w:val="23"/>
          <w:szCs w:val="23"/>
        </w:rPr>
      </w:pPr>
      <w:r>
        <w:rPr>
          <w:rFonts w:ascii="仿宋" w:hAnsi="仿宋" w:eastAsia="仿宋" w:cs="仿宋"/>
          <w:spacing w:val="-3"/>
          <w:sz w:val="23"/>
          <w:szCs w:val="23"/>
        </w:rPr>
        <w:t>1、整体绩效目标</w:t>
      </w:r>
    </w:p>
    <w:p w14:paraId="0642CBC8">
      <w:pPr>
        <w:spacing w:before="117" w:line="325" w:lineRule="auto"/>
        <w:ind w:left="1264" w:right="1223" w:hanging="5"/>
        <w:rPr>
          <w:rFonts w:ascii="仿宋" w:hAnsi="仿宋" w:eastAsia="仿宋" w:cs="仿宋"/>
          <w:sz w:val="23"/>
          <w:szCs w:val="23"/>
        </w:rPr>
      </w:pPr>
      <w:r>
        <w:rPr>
          <w:rFonts w:ascii="仿宋" w:hAnsi="仿宋" w:eastAsia="仿宋" w:cs="仿宋"/>
          <w:spacing w:val="5"/>
          <w:sz w:val="23"/>
          <w:szCs w:val="23"/>
        </w:rPr>
        <w:t>2025年整体支出绩效目标是根据党的路线、方针、政策，围绕县委的中心任务，确定全县工商联工作的指导方针和主要任务。贯彻执行国家的方针、政策，对全县工业、商业工作进行宏观调控、指导工业、商业系统的各种制度改革、体制建设。贯彻执行国家的工业、商业、政策、法规、积极维持公正、合理的市场竞争秩序。依法打击各种不合理的摊派及不规范的乱收费行为，维护工业商业系统的利益。会同有关部门对工业、商业系统干部、职工进行学习和参加政治活动，负责干部职工的医疗保健、生活福利等具体项目的组织实施。制定全县工业、商业、发展规划及本年度计划。广泛了解全县工商业发展情况及本年度计划的执行情</w:t>
      </w:r>
      <w:r>
        <w:rPr>
          <w:rFonts w:ascii="仿宋" w:hAnsi="仿宋" w:eastAsia="仿宋" w:cs="仿宋"/>
          <w:spacing w:val="11"/>
          <w:sz w:val="23"/>
          <w:szCs w:val="23"/>
        </w:rPr>
        <w:t>况。对全县工商业系统进行宏观调控，协调各部门的工作和相互配合。涉及部门预算资金</w:t>
      </w:r>
      <w:r>
        <w:rPr>
          <w:rFonts w:ascii="仿宋" w:hAnsi="仿宋" w:eastAsia="仿宋" w:cs="仿宋"/>
          <w:spacing w:val="7"/>
          <w:sz w:val="23"/>
          <w:szCs w:val="23"/>
        </w:rPr>
        <w:t>11 .    元，其中基本支出78.05万元，项</w:t>
      </w:r>
      <w:r>
        <w:rPr>
          <w:rFonts w:ascii="仿宋" w:hAnsi="仿宋" w:eastAsia="仿宋" w:cs="仿宋"/>
          <w:spacing w:val="-46"/>
          <w:sz w:val="23"/>
          <w:szCs w:val="23"/>
        </w:rPr>
        <w:t xml:space="preserve"> </w:t>
      </w:r>
      <w:r>
        <w:rPr>
          <w:rFonts w:ascii="仿宋" w:hAnsi="仿宋" w:eastAsia="仿宋" w:cs="仿宋"/>
          <w:spacing w:val="7"/>
          <w:sz w:val="23"/>
          <w:szCs w:val="23"/>
        </w:rPr>
        <w:t>目支出39</w:t>
      </w:r>
      <w:r>
        <w:rPr>
          <w:rFonts w:ascii="仿宋" w:hAnsi="仿宋" w:eastAsia="仿宋" w:cs="仿宋"/>
          <w:spacing w:val="6"/>
          <w:sz w:val="23"/>
          <w:szCs w:val="23"/>
        </w:rPr>
        <w:t>.16万元。（绩效目标表公</w:t>
      </w:r>
      <w:r>
        <w:rPr>
          <w:rFonts w:ascii="仿宋" w:hAnsi="仿宋" w:eastAsia="仿宋" w:cs="仿宋"/>
          <w:spacing w:val="11"/>
          <w:sz w:val="23"/>
          <w:szCs w:val="23"/>
        </w:rPr>
        <w:t xml:space="preserve">      </w:t>
      </w:r>
      <w:r>
        <w:rPr>
          <w:rFonts w:ascii="仿宋" w:hAnsi="仿宋" w:eastAsia="仿宋" w:cs="仿宋"/>
          <w:spacing w:val="6"/>
          <w:sz w:val="23"/>
          <w:szCs w:val="23"/>
        </w:rPr>
        <w:t>见附</w:t>
      </w:r>
    </w:p>
    <w:p w14:paraId="533B30FE">
      <w:pPr>
        <w:pStyle w:val="2"/>
        <w:spacing w:line="316" w:lineRule="auto"/>
      </w:pPr>
    </w:p>
    <w:p w14:paraId="52D750A1">
      <w:pPr>
        <w:spacing w:before="75" w:line="223" w:lineRule="auto"/>
        <w:ind w:left="1720"/>
        <w:rPr>
          <w:rFonts w:ascii="仿宋" w:hAnsi="仿宋" w:eastAsia="仿宋" w:cs="仿宋"/>
          <w:sz w:val="23"/>
          <w:szCs w:val="23"/>
        </w:rPr>
      </w:pPr>
      <w:r>
        <w:rPr>
          <w:rFonts w:ascii="仿宋" w:hAnsi="仿宋" w:eastAsia="仿宋" w:cs="仿宋"/>
          <w:spacing w:val="-1"/>
          <w:sz w:val="23"/>
          <w:szCs w:val="23"/>
        </w:rPr>
        <w:t>2、项目绩效目标</w:t>
      </w:r>
    </w:p>
    <w:p w14:paraId="17C6D4AC">
      <w:pPr>
        <w:spacing w:line="223" w:lineRule="auto"/>
        <w:rPr>
          <w:rFonts w:ascii="仿宋" w:hAnsi="仿宋" w:eastAsia="仿宋" w:cs="仿宋"/>
          <w:sz w:val="23"/>
          <w:szCs w:val="23"/>
        </w:rPr>
        <w:sectPr>
          <w:headerReference r:id="rId40" w:type="default"/>
          <w:footerReference r:id="rId41" w:type="default"/>
          <w:pgSz w:w="11900" w:h="16840"/>
          <w:pgMar w:top="642" w:right="0" w:bottom="340" w:left="0" w:header="326" w:footer="91" w:gutter="0"/>
          <w:cols w:space="720" w:num="1"/>
        </w:sectPr>
      </w:pPr>
    </w:p>
    <w:p w14:paraId="42E3CBE2">
      <w:pPr>
        <w:pStyle w:val="2"/>
        <w:spacing w:line="281" w:lineRule="auto"/>
      </w:pPr>
    </w:p>
    <w:p w14:paraId="4E6FCC06">
      <w:pPr>
        <w:pStyle w:val="2"/>
        <w:spacing w:line="282" w:lineRule="auto"/>
      </w:pPr>
    </w:p>
    <w:p w14:paraId="25C3BBC7">
      <w:pPr>
        <w:spacing w:before="75" w:line="223" w:lineRule="auto"/>
        <w:ind w:left="1720"/>
        <w:rPr>
          <w:rFonts w:ascii="仿宋" w:hAnsi="仿宋" w:eastAsia="仿宋" w:cs="仿宋"/>
          <w:sz w:val="23"/>
          <w:szCs w:val="23"/>
        </w:rPr>
      </w:pPr>
      <w:bookmarkStart w:id="40" w:name="bookmark48"/>
      <w:bookmarkEnd w:id="40"/>
      <w:r>
        <w:rPr>
          <w:rFonts w:ascii="仿宋" w:hAnsi="仿宋" w:eastAsia="仿宋" w:cs="仿宋"/>
          <w:spacing w:val="10"/>
          <w:sz w:val="23"/>
          <w:szCs w:val="23"/>
        </w:rPr>
        <w:t>2       县工商业联合会纳入绩效目标管理的二级</w:t>
      </w:r>
      <w:r>
        <w:rPr>
          <w:rFonts w:ascii="仿宋" w:hAnsi="仿宋" w:eastAsia="仿宋" w:cs="仿宋"/>
          <w:spacing w:val="9"/>
          <w:sz w:val="23"/>
          <w:szCs w:val="23"/>
        </w:rPr>
        <w:t>项目2个，共计金额39.16    。</w:t>
      </w:r>
    </w:p>
    <w:p w14:paraId="06415B9D">
      <w:pPr>
        <w:spacing w:before="122" w:line="324" w:lineRule="auto"/>
        <w:ind w:left="1264" w:right="1223" w:firstLine="28"/>
        <w:rPr>
          <w:rFonts w:ascii="仿宋" w:hAnsi="仿宋" w:eastAsia="仿宋" w:cs="仿宋"/>
          <w:sz w:val="23"/>
          <w:szCs w:val="23"/>
        </w:rPr>
      </w:pPr>
      <w:r>
        <w:rPr>
          <w:rFonts w:ascii="仿宋" w:hAnsi="仿宋" w:eastAsia="仿宋" w:cs="仿宋"/>
          <w:spacing w:val="4"/>
          <w:sz w:val="23"/>
          <w:szCs w:val="23"/>
        </w:rPr>
        <w:t>中：其他运转类项目2个，涉及金额39.16万元；特定目标类项目0个，涉及金额0万元。公开</w:t>
      </w:r>
      <w:r>
        <w:rPr>
          <w:rFonts w:ascii="仿宋" w:hAnsi="仿宋" w:eastAsia="仿宋" w:cs="仿宋"/>
          <w:spacing w:val="3"/>
          <w:sz w:val="23"/>
          <w:szCs w:val="23"/>
        </w:rPr>
        <w:t>项目绩效目标2个，涉及项目金额39.16万元，</w:t>
      </w:r>
      <w:r>
        <w:rPr>
          <w:rFonts w:ascii="仿宋" w:hAnsi="仿宋" w:eastAsia="仿宋" w:cs="仿宋"/>
          <w:spacing w:val="-46"/>
          <w:sz w:val="23"/>
          <w:szCs w:val="23"/>
        </w:rPr>
        <w:t xml:space="preserve"> </w:t>
      </w:r>
      <w:r>
        <w:rPr>
          <w:rFonts w:ascii="仿宋" w:hAnsi="仿宋" w:eastAsia="仿宋" w:cs="仿宋"/>
          <w:spacing w:val="3"/>
          <w:sz w:val="23"/>
          <w:szCs w:val="23"/>
        </w:rPr>
        <w:t>占部门（单位）项目支出总额的100%。其中：</w:t>
      </w:r>
      <w:r>
        <w:rPr>
          <w:rFonts w:ascii="仿宋" w:hAnsi="仿宋" w:eastAsia="仿宋" w:cs="仿宋"/>
          <w:sz w:val="23"/>
          <w:szCs w:val="23"/>
        </w:rPr>
        <w:t>其他运转类项目2个，涉及项目金额39.16万元；特定目标类项目0个，涉及项目金额0万元。</w:t>
      </w:r>
    </w:p>
    <w:p w14:paraId="20E068FC">
      <w:pPr>
        <w:spacing w:before="1" w:line="222" w:lineRule="auto"/>
        <w:ind w:left="1264"/>
        <w:rPr>
          <w:rFonts w:ascii="仿宋" w:hAnsi="仿宋" w:eastAsia="仿宋" w:cs="仿宋"/>
          <w:sz w:val="23"/>
          <w:szCs w:val="23"/>
        </w:rPr>
      </w:pPr>
      <w:r>
        <w:rPr>
          <w:rFonts w:ascii="仿宋" w:hAnsi="仿宋" w:eastAsia="仿宋" w:cs="仿宋"/>
          <w:spacing w:val="-1"/>
          <w:sz w:val="23"/>
          <w:szCs w:val="23"/>
        </w:rPr>
        <w:t>（项目绩效目标表公开情况见附件）</w:t>
      </w:r>
    </w:p>
    <w:p w14:paraId="28434505">
      <w:pPr>
        <w:spacing w:line="222" w:lineRule="auto"/>
        <w:rPr>
          <w:rFonts w:ascii="仿宋" w:hAnsi="仿宋" w:eastAsia="仿宋" w:cs="仿宋"/>
          <w:sz w:val="23"/>
          <w:szCs w:val="23"/>
        </w:rPr>
        <w:sectPr>
          <w:headerReference r:id="rId42" w:type="default"/>
          <w:footerReference r:id="rId43" w:type="default"/>
          <w:pgSz w:w="11900" w:h="16840"/>
          <w:pgMar w:top="642" w:right="0" w:bottom="340" w:left="0" w:header="326" w:footer="93" w:gutter="0"/>
          <w:cols w:space="720" w:num="1"/>
        </w:sectPr>
      </w:pPr>
    </w:p>
    <w:p w14:paraId="7C67A1C1">
      <w:pPr>
        <w:pStyle w:val="2"/>
        <w:spacing w:line="277" w:lineRule="auto"/>
      </w:pPr>
      <w:bookmarkStart w:id="47" w:name="_GoBack"/>
      <w:bookmarkEnd w:id="47"/>
    </w:p>
    <w:p w14:paraId="0F1C1F44">
      <w:pPr>
        <w:pStyle w:val="2"/>
        <w:spacing w:line="278" w:lineRule="auto"/>
      </w:pPr>
    </w:p>
    <w:p w14:paraId="4498A4B3">
      <w:pPr>
        <w:spacing w:line="10152" w:lineRule="exact"/>
        <w:ind w:firstLine="1983"/>
      </w:pPr>
      <w:r>
        <w:pict>
          <v:shape id="_x0000_s1028" o:spid="_x0000_s1028" o:spt="136" type="#_x0000_t136" style="position:absolute;left:0pt;margin-left:391.9pt;margin-top:228.05pt;height:18.85pt;width:119.4pt;rotation:21626880f;z-index:251659264;mso-width-relative:page;mso-height-relative:page;" fillcolor="#404040" filled="t" stroked="f" coordsize="21600,21600">
            <v:path/>
            <v:fill on="t" opacity="26214f" focussize="0,0"/>
            <v:stroke on="f"/>
            <v:imagedata o:title=""/>
            <o:lock v:ext="edit"/>
            <v:textpath on="t" fitpath="t" trim="t" xscale="f" string="仅供内部审核" style="font-family:STSong;font-size:8pt;v-text-align:center;"/>
          </v:shape>
        </w:pict>
      </w:r>
      <w:r>
        <w:rPr>
          <w:position w:val="-203"/>
        </w:rPr>
        <w:drawing>
          <wp:inline distT="0" distB="0" distL="0" distR="0">
            <wp:extent cx="5052695" cy="644588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8"/>
                    <a:stretch>
                      <a:fillRect/>
                    </a:stretch>
                  </pic:blipFill>
                  <pic:spPr>
                    <a:xfrm>
                      <a:off x="0" y="0"/>
                      <a:ext cx="5052859" cy="6446513"/>
                    </a:xfrm>
                    <a:prstGeom prst="rect">
                      <a:avLst/>
                    </a:prstGeom>
                  </pic:spPr>
                </pic:pic>
              </a:graphicData>
            </a:graphic>
          </wp:inline>
        </w:drawing>
      </w:r>
    </w:p>
    <w:p w14:paraId="108567A5">
      <w:pPr>
        <w:spacing w:line="10152" w:lineRule="exact"/>
        <w:sectPr>
          <w:headerReference r:id="rId44" w:type="default"/>
          <w:footerReference r:id="rId45" w:type="default"/>
          <w:pgSz w:w="11900" w:h="16840"/>
          <w:pgMar w:top="642" w:right="0" w:bottom="340" w:left="0" w:header="326" w:footer="93" w:gutter="0"/>
          <w:cols w:space="720" w:num="1"/>
        </w:sectPr>
      </w:pPr>
    </w:p>
    <w:p w14:paraId="3FECEFD8">
      <w:pPr>
        <w:pStyle w:val="2"/>
        <w:spacing w:line="277" w:lineRule="auto"/>
      </w:pPr>
    </w:p>
    <w:p w14:paraId="16F7243F">
      <w:pPr>
        <w:pStyle w:val="2"/>
        <w:spacing w:line="278" w:lineRule="auto"/>
      </w:pPr>
    </w:p>
    <w:p w14:paraId="00F1DB94">
      <w:pPr>
        <w:spacing w:line="10217" w:lineRule="exact"/>
        <w:ind w:firstLine="1432"/>
      </w:pPr>
      <w:r>
        <w:rPr>
          <w:position w:val="-204"/>
        </w:rPr>
        <w:drawing>
          <wp:inline distT="0" distB="0" distL="0" distR="0">
            <wp:extent cx="5753100" cy="648716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59"/>
                    <a:stretch>
                      <a:fillRect/>
                    </a:stretch>
                  </pic:blipFill>
                  <pic:spPr>
                    <a:xfrm>
                      <a:off x="0" y="0"/>
                      <a:ext cx="5753118" cy="6487705"/>
                    </a:xfrm>
                    <a:prstGeom prst="rect">
                      <a:avLst/>
                    </a:prstGeom>
                  </pic:spPr>
                </pic:pic>
              </a:graphicData>
            </a:graphic>
          </wp:inline>
        </w:drawing>
      </w:r>
    </w:p>
    <w:p w14:paraId="1E0A7E9A">
      <w:pPr>
        <w:spacing w:line="10217" w:lineRule="exact"/>
        <w:sectPr>
          <w:footerReference r:id="rId46" w:type="default"/>
          <w:pgSz w:w="11900" w:h="16840"/>
          <w:pgMar w:top="642" w:right="0" w:bottom="340" w:left="0" w:header="326" w:footer="93" w:gutter="0"/>
          <w:cols w:space="720" w:num="1"/>
        </w:sectPr>
      </w:pPr>
    </w:p>
    <w:p w14:paraId="3FD48CE1">
      <w:pPr>
        <w:pStyle w:val="2"/>
        <w:spacing w:line="271" w:lineRule="auto"/>
      </w:pPr>
    </w:p>
    <w:p w14:paraId="28250A37">
      <w:pPr>
        <w:pStyle w:val="2"/>
        <w:spacing w:line="271" w:lineRule="auto"/>
      </w:pPr>
    </w:p>
    <w:p w14:paraId="3D2BE46B">
      <w:pPr>
        <w:spacing w:before="94" w:line="227" w:lineRule="exact"/>
        <w:ind w:left="1260"/>
        <w:outlineLvl w:val="1"/>
        <w:rPr>
          <w:rFonts w:ascii="微软雅黑" w:hAnsi="微软雅黑" w:eastAsia="微软雅黑" w:cs="微软雅黑"/>
          <w:sz w:val="22"/>
          <w:szCs w:val="22"/>
        </w:rPr>
      </w:pPr>
      <w:bookmarkStart w:id="41" w:name="bookmark30"/>
      <w:bookmarkEnd w:id="41"/>
      <w:bookmarkStart w:id="42" w:name="bookmark49"/>
      <w:bookmarkEnd w:id="42"/>
      <w:r>
        <w:rPr>
          <w:rFonts w:ascii="微软雅黑" w:hAnsi="微软雅黑" w:eastAsia="微软雅黑" w:cs="微软雅黑"/>
          <w:spacing w:val="7"/>
          <w:position w:val="-1"/>
          <w:sz w:val="22"/>
          <w:szCs w:val="22"/>
        </w:rPr>
        <w:t>十一、</w:t>
      </w:r>
      <w:r>
        <w:rPr>
          <w:rFonts w:ascii="微软雅黑" w:hAnsi="微软雅黑" w:eastAsia="微软雅黑" w:cs="微软雅黑"/>
          <w:spacing w:val="-30"/>
          <w:position w:val="-1"/>
          <w:sz w:val="22"/>
          <w:szCs w:val="22"/>
        </w:rPr>
        <w:t xml:space="preserve"> </w:t>
      </w:r>
      <w:r>
        <w:rPr>
          <w:rFonts w:ascii="微软雅黑" w:hAnsi="微软雅黑" w:eastAsia="微软雅黑" w:cs="微软雅黑"/>
          <w:spacing w:val="7"/>
          <w:position w:val="-1"/>
          <w:sz w:val="22"/>
          <w:szCs w:val="22"/>
        </w:rPr>
        <w:t>国有资产占有使用情况</w:t>
      </w:r>
    </w:p>
    <w:p w14:paraId="16F0792F">
      <w:pPr>
        <w:spacing w:before="175" w:line="220" w:lineRule="auto"/>
        <w:ind w:left="1735"/>
        <w:rPr>
          <w:rFonts w:ascii="仿宋" w:hAnsi="仿宋" w:eastAsia="仿宋" w:cs="仿宋"/>
          <w:sz w:val="23"/>
          <w:szCs w:val="23"/>
        </w:rPr>
      </w:pPr>
      <w:r>
        <w:rPr>
          <w:rFonts w:ascii="仿宋" w:hAnsi="仿宋" w:eastAsia="仿宋" w:cs="仿宋"/>
          <w:spacing w:val="-4"/>
          <w:sz w:val="23"/>
          <w:szCs w:val="23"/>
        </w:rPr>
        <w:t>1、车辆情况：</w:t>
      </w:r>
    </w:p>
    <w:p w14:paraId="5080CFA0">
      <w:pPr>
        <w:spacing w:before="135" w:line="321" w:lineRule="auto"/>
        <w:ind w:left="1263" w:right="1223" w:firstLine="461"/>
        <w:rPr>
          <w:rFonts w:ascii="仿宋" w:hAnsi="仿宋" w:eastAsia="仿宋" w:cs="仿宋"/>
          <w:sz w:val="23"/>
          <w:szCs w:val="23"/>
        </w:rPr>
      </w:pPr>
      <w:r>
        <w:rPr>
          <w:rFonts w:ascii="仿宋" w:hAnsi="仿宋" w:eastAsia="仿宋" w:cs="仿宋"/>
          <w:spacing w:val="3"/>
          <w:sz w:val="23"/>
          <w:szCs w:val="23"/>
        </w:rPr>
        <w:t>截至2025年5月1</w:t>
      </w:r>
      <w:r>
        <w:rPr>
          <w:rFonts w:ascii="仿宋" w:hAnsi="仿宋" w:eastAsia="仿宋" w:cs="仿宋"/>
          <w:spacing w:val="-31"/>
          <w:sz w:val="23"/>
          <w:szCs w:val="23"/>
        </w:rPr>
        <w:t xml:space="preserve"> </w:t>
      </w:r>
      <w:r>
        <w:rPr>
          <w:rFonts w:ascii="仿宋" w:hAnsi="仿宋" w:eastAsia="仿宋" w:cs="仿宋"/>
          <w:spacing w:val="3"/>
          <w:sz w:val="23"/>
          <w:szCs w:val="23"/>
        </w:rPr>
        <w:t>日，兴县工商业联合会共有公务用车编制0辆，实有0辆，其中：领导用</w:t>
      </w:r>
      <w:r>
        <w:rPr>
          <w:rFonts w:ascii="仿宋" w:hAnsi="仿宋" w:eastAsia="仿宋" w:cs="仿宋"/>
          <w:spacing w:val="2"/>
          <w:sz w:val="23"/>
          <w:szCs w:val="23"/>
        </w:rPr>
        <w:t>车0辆，机要通信用车0辆，应急保障用车0辆，执法执勤用车0辆，特种专业技术用车0辆，事</w:t>
      </w:r>
      <w:r>
        <w:rPr>
          <w:rFonts w:ascii="仿宋" w:hAnsi="仿宋" w:eastAsia="仿宋" w:cs="仿宋"/>
          <w:spacing w:val="-1"/>
          <w:sz w:val="23"/>
          <w:szCs w:val="23"/>
        </w:rPr>
        <w:t>业单位业务用车0辆，其他公务用车0辆。</w:t>
      </w:r>
    </w:p>
    <w:p w14:paraId="09D38846">
      <w:pPr>
        <w:spacing w:before="11" w:line="223" w:lineRule="auto"/>
        <w:ind w:left="1720"/>
        <w:rPr>
          <w:rFonts w:ascii="仿宋" w:hAnsi="仿宋" w:eastAsia="仿宋" w:cs="仿宋"/>
          <w:sz w:val="23"/>
          <w:szCs w:val="23"/>
        </w:rPr>
      </w:pPr>
      <w:r>
        <w:rPr>
          <w:rFonts w:ascii="仿宋" w:hAnsi="仿宋" w:eastAsia="仿宋" w:cs="仿宋"/>
          <w:spacing w:val="-2"/>
          <w:sz w:val="23"/>
          <w:szCs w:val="23"/>
        </w:rPr>
        <w:t>2、房屋情况：</w:t>
      </w:r>
    </w:p>
    <w:p w14:paraId="2EEF9349">
      <w:pPr>
        <w:spacing w:before="122" w:line="223" w:lineRule="auto"/>
        <w:ind w:left="1725"/>
        <w:rPr>
          <w:rFonts w:ascii="仿宋" w:hAnsi="仿宋" w:eastAsia="仿宋" w:cs="仿宋"/>
          <w:sz w:val="23"/>
          <w:szCs w:val="23"/>
        </w:rPr>
      </w:pPr>
      <w:r>
        <w:rPr>
          <w:rFonts w:ascii="仿宋" w:hAnsi="仿宋" w:eastAsia="仿宋" w:cs="仿宋"/>
          <w:spacing w:val="-2"/>
          <w:sz w:val="23"/>
          <w:szCs w:val="23"/>
        </w:rPr>
        <w:t>截至2025年5月1</w:t>
      </w:r>
      <w:r>
        <w:rPr>
          <w:rFonts w:ascii="仿宋" w:hAnsi="仿宋" w:eastAsia="仿宋" w:cs="仿宋"/>
          <w:spacing w:val="-36"/>
          <w:sz w:val="23"/>
          <w:szCs w:val="23"/>
        </w:rPr>
        <w:t xml:space="preserve"> </w:t>
      </w:r>
      <w:r>
        <w:rPr>
          <w:rFonts w:ascii="仿宋" w:hAnsi="仿宋" w:eastAsia="仿宋" w:cs="仿宋"/>
          <w:spacing w:val="-2"/>
          <w:sz w:val="23"/>
          <w:szCs w:val="23"/>
        </w:rPr>
        <w:t>日，兴县工商业联合会使用的办公用房建筑总面积60平方米。</w:t>
      </w:r>
    </w:p>
    <w:p w14:paraId="2AA9A62C">
      <w:pPr>
        <w:spacing w:before="123" w:line="222" w:lineRule="auto"/>
        <w:ind w:left="1722"/>
        <w:rPr>
          <w:rFonts w:ascii="仿宋" w:hAnsi="仿宋" w:eastAsia="仿宋" w:cs="仿宋"/>
          <w:sz w:val="23"/>
          <w:szCs w:val="23"/>
        </w:rPr>
      </w:pPr>
      <w:r>
        <w:rPr>
          <w:rFonts w:ascii="仿宋" w:hAnsi="仿宋" w:eastAsia="仿宋" w:cs="仿宋"/>
          <w:spacing w:val="-1"/>
          <w:sz w:val="23"/>
          <w:szCs w:val="23"/>
        </w:rPr>
        <w:t>3、其他国有资产占有使用情况：</w:t>
      </w:r>
    </w:p>
    <w:p w14:paraId="66AF343B">
      <w:pPr>
        <w:spacing w:before="135" w:line="320" w:lineRule="auto"/>
        <w:ind w:left="1264" w:right="1223" w:firstLine="460"/>
        <w:rPr>
          <w:rFonts w:ascii="仿宋" w:hAnsi="仿宋" w:eastAsia="仿宋" w:cs="仿宋"/>
          <w:sz w:val="23"/>
          <w:szCs w:val="23"/>
        </w:rPr>
      </w:pPr>
      <w:r>
        <w:rPr>
          <w:rFonts w:ascii="仿宋" w:hAnsi="仿宋" w:eastAsia="仿宋" w:cs="仿宋"/>
          <w:spacing w:val="1"/>
          <w:sz w:val="23"/>
          <w:szCs w:val="23"/>
        </w:rPr>
        <w:t>截至2025年5月1</w:t>
      </w:r>
      <w:r>
        <w:rPr>
          <w:rFonts w:ascii="仿宋" w:hAnsi="仿宋" w:eastAsia="仿宋" w:cs="仿宋"/>
          <w:spacing w:val="-49"/>
          <w:sz w:val="23"/>
          <w:szCs w:val="23"/>
        </w:rPr>
        <w:t xml:space="preserve"> </w:t>
      </w:r>
      <w:r>
        <w:rPr>
          <w:rFonts w:ascii="仿宋" w:hAnsi="仿宋" w:eastAsia="仿宋" w:cs="仿宋"/>
          <w:spacing w:val="1"/>
          <w:sz w:val="23"/>
          <w:szCs w:val="23"/>
        </w:rPr>
        <w:t>日，兴县工商业联合会占有使用价值50万</w:t>
      </w:r>
      <w:r>
        <w:rPr>
          <w:rFonts w:ascii="仿宋" w:hAnsi="仿宋" w:eastAsia="仿宋" w:cs="仿宋"/>
          <w:sz w:val="23"/>
          <w:szCs w:val="23"/>
        </w:rPr>
        <w:t>元（原值）以上的通用设备0台（套</w:t>
      </w:r>
      <w:r>
        <w:rPr>
          <w:rFonts w:ascii="仿宋" w:hAnsi="仿宋" w:eastAsia="仿宋" w:cs="仿宋"/>
          <w:spacing w:val="11"/>
          <w:sz w:val="23"/>
          <w:szCs w:val="23"/>
        </w:rPr>
        <w:t>）；</w:t>
      </w:r>
      <w:r>
        <w:rPr>
          <w:rFonts w:ascii="仿宋" w:hAnsi="仿宋" w:eastAsia="仿宋" w:cs="仿宋"/>
          <w:sz w:val="23"/>
          <w:szCs w:val="23"/>
        </w:rPr>
        <w:t>兴县工商业联合会占有使用价值100万</w:t>
      </w:r>
      <w:r>
        <w:rPr>
          <w:rFonts w:ascii="仿宋" w:hAnsi="仿宋" w:eastAsia="仿宋" w:cs="仿宋"/>
          <w:spacing w:val="-1"/>
          <w:sz w:val="23"/>
          <w:szCs w:val="23"/>
        </w:rPr>
        <w:t>元（原值）以上的通用设备0台（套）。</w:t>
      </w:r>
    </w:p>
    <w:p w14:paraId="250C1494">
      <w:pPr>
        <w:spacing w:line="227" w:lineRule="exact"/>
        <w:ind w:left="1260"/>
        <w:outlineLvl w:val="1"/>
        <w:rPr>
          <w:rFonts w:ascii="微软雅黑" w:hAnsi="微软雅黑" w:eastAsia="微软雅黑" w:cs="微软雅黑"/>
          <w:sz w:val="22"/>
          <w:szCs w:val="22"/>
        </w:rPr>
      </w:pPr>
      <w:bookmarkStart w:id="43" w:name="bookmark31"/>
      <w:bookmarkEnd w:id="43"/>
      <w:r>
        <w:rPr>
          <w:rFonts w:ascii="微软雅黑" w:hAnsi="微软雅黑" w:eastAsia="微软雅黑" w:cs="微软雅黑"/>
          <w:spacing w:val="7"/>
          <w:position w:val="-1"/>
          <w:sz w:val="22"/>
          <w:szCs w:val="22"/>
        </w:rPr>
        <w:t>十二、其他说明</w:t>
      </w:r>
    </w:p>
    <w:p w14:paraId="3C8EEAC5">
      <w:pPr>
        <w:spacing w:before="185" w:line="221" w:lineRule="auto"/>
        <w:ind w:left="1725"/>
        <w:outlineLvl w:val="2"/>
        <w:rPr>
          <w:rFonts w:ascii="仿宋" w:hAnsi="仿宋" w:eastAsia="仿宋" w:cs="仿宋"/>
          <w:sz w:val="23"/>
          <w:szCs w:val="23"/>
        </w:rPr>
      </w:pPr>
      <w:bookmarkStart w:id="44" w:name="bookmark32"/>
      <w:bookmarkEnd w:id="44"/>
      <w:r>
        <w:rPr>
          <w:rFonts w:ascii="仿宋" w:hAnsi="仿宋" w:eastAsia="仿宋" w:cs="仿宋"/>
          <w:spacing w:val="-1"/>
          <w:sz w:val="23"/>
          <w:szCs w:val="23"/>
        </w:rPr>
        <w:t>（一）政府购买服务指导性目录</w:t>
      </w:r>
    </w:p>
    <w:p w14:paraId="34A2434B">
      <w:pPr>
        <w:spacing w:before="255" w:line="226" w:lineRule="auto"/>
        <w:ind w:left="1727"/>
        <w:rPr>
          <w:rFonts w:ascii="仿宋" w:hAnsi="仿宋" w:eastAsia="仿宋" w:cs="仿宋"/>
          <w:sz w:val="23"/>
          <w:szCs w:val="23"/>
        </w:rPr>
      </w:pPr>
      <w:r>
        <w:rPr>
          <w:rFonts w:ascii="仿宋" w:hAnsi="仿宋" w:eastAsia="仿宋" w:cs="仿宋"/>
          <w:sz w:val="23"/>
          <w:szCs w:val="23"/>
        </w:rPr>
        <w:t>无</w:t>
      </w:r>
    </w:p>
    <w:p w14:paraId="301585FE">
      <w:pPr>
        <w:spacing w:before="248" w:line="222" w:lineRule="auto"/>
        <w:ind w:left="1725"/>
        <w:outlineLvl w:val="2"/>
        <w:rPr>
          <w:rFonts w:ascii="仿宋" w:hAnsi="仿宋" w:eastAsia="仿宋" w:cs="仿宋"/>
          <w:sz w:val="23"/>
          <w:szCs w:val="23"/>
        </w:rPr>
      </w:pPr>
      <w:bookmarkStart w:id="45" w:name="bookmark33"/>
      <w:bookmarkEnd w:id="45"/>
      <w:r>
        <w:rPr>
          <w:rFonts w:ascii="仿宋" w:hAnsi="仿宋" w:eastAsia="仿宋" w:cs="仿宋"/>
          <w:spacing w:val="-3"/>
          <w:sz w:val="23"/>
          <w:szCs w:val="23"/>
        </w:rPr>
        <w:t>（二）其他</w:t>
      </w:r>
    </w:p>
    <w:p w14:paraId="692E526F">
      <w:pPr>
        <w:spacing w:before="264" w:line="226" w:lineRule="auto"/>
        <w:ind w:left="1727"/>
        <w:rPr>
          <w:rFonts w:ascii="仿宋" w:hAnsi="仿宋" w:eastAsia="仿宋" w:cs="仿宋"/>
          <w:sz w:val="23"/>
          <w:szCs w:val="23"/>
        </w:rPr>
      </w:pPr>
      <w:r>
        <w:rPr>
          <w:rFonts w:ascii="仿宋" w:hAnsi="仿宋" w:eastAsia="仿宋" w:cs="仿宋"/>
          <w:sz w:val="23"/>
          <w:szCs w:val="23"/>
        </w:rPr>
        <w:t>无</w:t>
      </w:r>
    </w:p>
    <w:p w14:paraId="7BF5D344">
      <w:pPr>
        <w:spacing w:line="226" w:lineRule="auto"/>
        <w:rPr>
          <w:rFonts w:ascii="仿宋" w:hAnsi="仿宋" w:eastAsia="仿宋" w:cs="仿宋"/>
          <w:sz w:val="23"/>
          <w:szCs w:val="23"/>
        </w:rPr>
        <w:sectPr>
          <w:headerReference r:id="rId47" w:type="default"/>
          <w:footerReference r:id="rId48" w:type="default"/>
          <w:pgSz w:w="11900" w:h="16840"/>
          <w:pgMar w:top="642" w:right="0" w:bottom="340" w:left="0" w:header="326" w:footer="91" w:gutter="0"/>
          <w:cols w:space="720" w:num="1"/>
        </w:sectPr>
      </w:pPr>
    </w:p>
    <w:p w14:paraId="02B66E80">
      <w:pPr>
        <w:pStyle w:val="2"/>
        <w:spacing w:line="277" w:lineRule="auto"/>
      </w:pPr>
    </w:p>
    <w:p w14:paraId="4CD0BD83">
      <w:pPr>
        <w:pStyle w:val="2"/>
        <w:spacing w:line="278" w:lineRule="auto"/>
      </w:pPr>
    </w:p>
    <w:p w14:paraId="29A975A7">
      <w:pPr>
        <w:spacing w:line="10152" w:lineRule="exact"/>
        <w:ind w:firstLine="1983"/>
      </w:pPr>
      <w:r>
        <w:rPr>
          <w:position w:val="-203"/>
        </w:rPr>
        <w:drawing>
          <wp:inline distT="0" distB="0" distL="0" distR="0">
            <wp:extent cx="5052695" cy="644588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58"/>
                    <a:stretch>
                      <a:fillRect/>
                    </a:stretch>
                  </pic:blipFill>
                  <pic:spPr>
                    <a:xfrm>
                      <a:off x="0" y="0"/>
                      <a:ext cx="5052859" cy="6446513"/>
                    </a:xfrm>
                    <a:prstGeom prst="rect">
                      <a:avLst/>
                    </a:prstGeom>
                  </pic:spPr>
                </pic:pic>
              </a:graphicData>
            </a:graphic>
          </wp:inline>
        </w:drawing>
      </w:r>
    </w:p>
    <w:p w14:paraId="02B0D5DA">
      <w:pPr>
        <w:spacing w:line="10152" w:lineRule="exact"/>
        <w:sectPr>
          <w:headerReference r:id="rId49" w:type="default"/>
          <w:footerReference r:id="rId50" w:type="default"/>
          <w:pgSz w:w="11900" w:h="16840"/>
          <w:pgMar w:top="642" w:right="0" w:bottom="340" w:left="0" w:header="326" w:footer="91" w:gutter="0"/>
          <w:cols w:space="720" w:num="1"/>
        </w:sectPr>
      </w:pPr>
    </w:p>
    <w:p w14:paraId="14918E6B">
      <w:pPr>
        <w:pStyle w:val="2"/>
        <w:spacing w:line="277" w:lineRule="auto"/>
      </w:pPr>
    </w:p>
    <w:p w14:paraId="144EF817">
      <w:pPr>
        <w:pStyle w:val="2"/>
        <w:spacing w:line="278" w:lineRule="auto"/>
      </w:pPr>
    </w:p>
    <w:p w14:paraId="6BC60BBA">
      <w:pPr>
        <w:spacing w:line="10217" w:lineRule="exact"/>
        <w:ind w:firstLine="1432"/>
      </w:pPr>
      <w:r>
        <w:rPr>
          <w:position w:val="-204"/>
        </w:rPr>
        <w:drawing>
          <wp:inline distT="0" distB="0" distL="0" distR="0">
            <wp:extent cx="5753100" cy="648716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59"/>
                    <a:stretch>
                      <a:fillRect/>
                    </a:stretch>
                  </pic:blipFill>
                  <pic:spPr>
                    <a:xfrm>
                      <a:off x="0" y="0"/>
                      <a:ext cx="5753118" cy="6487705"/>
                    </a:xfrm>
                    <a:prstGeom prst="rect">
                      <a:avLst/>
                    </a:prstGeom>
                  </pic:spPr>
                </pic:pic>
              </a:graphicData>
            </a:graphic>
          </wp:inline>
        </w:drawing>
      </w:r>
    </w:p>
    <w:p w14:paraId="74D6D564">
      <w:pPr>
        <w:spacing w:line="10217" w:lineRule="exact"/>
        <w:sectPr>
          <w:footerReference r:id="rId51" w:type="default"/>
          <w:pgSz w:w="11900" w:h="16840"/>
          <w:pgMar w:top="642" w:right="0" w:bottom="340" w:left="0" w:header="326" w:footer="93" w:gutter="0"/>
          <w:cols w:space="720" w:num="1"/>
        </w:sectPr>
      </w:pPr>
    </w:p>
    <w:p w14:paraId="70B9B670">
      <w:pPr>
        <w:pStyle w:val="2"/>
        <w:spacing w:line="269" w:lineRule="auto"/>
      </w:pPr>
    </w:p>
    <w:p w14:paraId="24C7C284">
      <w:pPr>
        <w:pStyle w:val="2"/>
        <w:spacing w:line="270" w:lineRule="auto"/>
      </w:pPr>
    </w:p>
    <w:p w14:paraId="1A0D57E2">
      <w:pPr>
        <w:spacing w:before="94" w:line="228" w:lineRule="exact"/>
        <w:ind w:left="4986"/>
        <w:outlineLvl w:val="0"/>
        <w:rPr>
          <w:rFonts w:ascii="微软雅黑" w:hAnsi="微软雅黑" w:eastAsia="微软雅黑" w:cs="微软雅黑"/>
          <w:sz w:val="22"/>
          <w:szCs w:val="22"/>
        </w:rPr>
      </w:pPr>
      <w:bookmarkStart w:id="46" w:name="bookmark34"/>
      <w:bookmarkEnd w:id="46"/>
      <w:r>
        <w:rPr>
          <w:rFonts w:ascii="微软雅黑" w:hAnsi="微软雅黑" w:eastAsia="微软雅黑" w:cs="微软雅黑"/>
          <w:spacing w:val="15"/>
          <w:position w:val="-1"/>
          <w:sz w:val="22"/>
          <w:szCs w:val="22"/>
        </w:rPr>
        <w:t>第四部分 名词解释</w:t>
      </w:r>
    </w:p>
    <w:p w14:paraId="050A045C">
      <w:pPr>
        <w:spacing w:before="307" w:line="325" w:lineRule="auto"/>
        <w:ind w:left="1287" w:right="1223" w:firstLine="435"/>
        <w:rPr>
          <w:rFonts w:ascii="仿宋" w:hAnsi="仿宋" w:eastAsia="仿宋" w:cs="仿宋"/>
          <w:sz w:val="23"/>
          <w:szCs w:val="23"/>
        </w:rPr>
      </w:pPr>
      <w:r>
        <w:rPr>
          <w:rFonts w:ascii="黑体" w:hAnsi="黑体" w:eastAsia="黑体" w:cs="黑体"/>
          <w:spacing w:val="6"/>
          <w:sz w:val="23"/>
          <w:szCs w:val="23"/>
        </w:rPr>
        <w:t>一、基本支出：</w:t>
      </w:r>
      <w:r>
        <w:rPr>
          <w:rFonts w:ascii="仿宋" w:hAnsi="仿宋" w:eastAsia="仿宋" w:cs="仿宋"/>
          <w:spacing w:val="6"/>
          <w:sz w:val="23"/>
          <w:szCs w:val="23"/>
        </w:rPr>
        <w:t>指为保障机构正常运转、完成日常</w:t>
      </w:r>
      <w:r>
        <w:rPr>
          <w:rFonts w:ascii="仿宋" w:hAnsi="仿宋" w:eastAsia="仿宋" w:cs="仿宋"/>
          <w:spacing w:val="5"/>
          <w:sz w:val="23"/>
          <w:szCs w:val="23"/>
        </w:rPr>
        <w:t>工作任务而发生的人员支出和公用支</w:t>
      </w:r>
      <w:r>
        <w:rPr>
          <w:rFonts w:ascii="仿宋" w:hAnsi="仿宋" w:eastAsia="仿宋" w:cs="仿宋"/>
          <w:spacing w:val="-20"/>
          <w:sz w:val="23"/>
          <w:szCs w:val="23"/>
        </w:rPr>
        <w:t>出。</w:t>
      </w:r>
    </w:p>
    <w:p w14:paraId="063D43AA">
      <w:pPr>
        <w:spacing w:before="1" w:line="219" w:lineRule="auto"/>
        <w:ind w:left="1722"/>
        <w:rPr>
          <w:rFonts w:ascii="仿宋" w:hAnsi="仿宋" w:eastAsia="仿宋" w:cs="仿宋"/>
          <w:sz w:val="23"/>
          <w:szCs w:val="23"/>
        </w:rPr>
      </w:pPr>
      <w:r>
        <w:rPr>
          <w:rFonts w:ascii="黑体" w:hAnsi="黑体" w:eastAsia="黑体" w:cs="黑体"/>
          <w:sz w:val="23"/>
          <w:szCs w:val="23"/>
        </w:rPr>
        <w:t>二、项目支出：</w:t>
      </w:r>
      <w:r>
        <w:rPr>
          <w:rFonts w:ascii="仿宋" w:hAnsi="仿宋" w:eastAsia="仿宋" w:cs="仿宋"/>
          <w:sz w:val="23"/>
          <w:szCs w:val="23"/>
        </w:rPr>
        <w:t>指在基本支出之外为完成特定行政任务和事业发展目标所发生的支出。</w:t>
      </w:r>
    </w:p>
    <w:p w14:paraId="2770A530">
      <w:pPr>
        <w:spacing w:before="128" w:line="307" w:lineRule="auto"/>
        <w:ind w:left="1266" w:right="1223" w:firstLine="456"/>
        <w:rPr>
          <w:rFonts w:ascii="仿宋" w:hAnsi="仿宋" w:eastAsia="仿宋" w:cs="仿宋"/>
          <w:sz w:val="23"/>
          <w:szCs w:val="23"/>
        </w:rPr>
      </w:pPr>
      <w:r>
        <w:rPr>
          <w:rFonts w:ascii="黑体" w:hAnsi="黑体" w:eastAsia="黑体" w:cs="黑体"/>
          <w:spacing w:val="6"/>
          <w:sz w:val="23"/>
          <w:szCs w:val="23"/>
        </w:rPr>
        <w:t>三、“三公”经费：</w:t>
      </w:r>
      <w:r>
        <w:rPr>
          <w:rFonts w:ascii="仿宋" w:hAnsi="仿宋" w:eastAsia="仿宋" w:cs="仿宋"/>
          <w:spacing w:val="6"/>
          <w:sz w:val="23"/>
          <w:szCs w:val="23"/>
        </w:rPr>
        <w:t>指省直部门用财政拨款安排</w:t>
      </w:r>
      <w:r>
        <w:rPr>
          <w:rFonts w:ascii="仿宋" w:hAnsi="仿宋" w:eastAsia="仿宋" w:cs="仿宋"/>
          <w:spacing w:val="5"/>
          <w:sz w:val="23"/>
          <w:szCs w:val="23"/>
        </w:rPr>
        <w:t>的因公出国（境）费用、公务用车购置</w:t>
      </w:r>
      <w:r>
        <w:rPr>
          <w:rFonts w:ascii="仿宋" w:hAnsi="仿宋" w:eastAsia="仿宋" w:cs="仿宋"/>
          <w:spacing w:val="4"/>
          <w:sz w:val="23"/>
          <w:szCs w:val="23"/>
        </w:rPr>
        <w:t>及运行费和公务接待费。其中：</w:t>
      </w:r>
      <w:r>
        <w:rPr>
          <w:rFonts w:ascii="仿宋" w:hAnsi="仿宋" w:eastAsia="仿宋" w:cs="仿宋"/>
          <w:spacing w:val="-65"/>
          <w:sz w:val="23"/>
          <w:szCs w:val="23"/>
        </w:rPr>
        <w:t xml:space="preserve"> </w:t>
      </w:r>
      <w:r>
        <w:rPr>
          <w:rFonts w:ascii="仿宋" w:hAnsi="仿宋" w:eastAsia="仿宋" w:cs="仿宋"/>
          <w:spacing w:val="4"/>
          <w:sz w:val="23"/>
          <w:szCs w:val="23"/>
        </w:rPr>
        <w:t>因公出国（境）费用反映单位公务出国（境）的国际旅</w:t>
      </w:r>
      <w:r>
        <w:rPr>
          <w:rFonts w:ascii="仿宋" w:hAnsi="仿宋" w:eastAsia="仿宋" w:cs="仿宋"/>
          <w:spacing w:val="3"/>
          <w:sz w:val="23"/>
          <w:szCs w:val="23"/>
        </w:rPr>
        <w:t>费、</w:t>
      </w:r>
      <w:r>
        <w:rPr>
          <w:rFonts w:ascii="仿宋" w:hAnsi="仿宋" w:eastAsia="仿宋" w:cs="仿宋"/>
          <w:spacing w:val="5"/>
          <w:sz w:val="23"/>
          <w:szCs w:val="23"/>
        </w:rPr>
        <w:t>国外城市间交通费、住宿费、伙食费、培训费、公杂费等支出；公务用车购置费反映公务用车购置支出（含车辆购置税、牌照费</w:t>
      </w:r>
      <w:r>
        <w:rPr>
          <w:rFonts w:ascii="仿宋" w:hAnsi="仿宋" w:eastAsia="仿宋" w:cs="仿宋"/>
          <w:spacing w:val="18"/>
          <w:sz w:val="23"/>
          <w:szCs w:val="23"/>
        </w:rPr>
        <w:t>）；</w:t>
      </w:r>
      <w:r>
        <w:rPr>
          <w:rFonts w:ascii="仿宋" w:hAnsi="仿宋" w:eastAsia="仿宋" w:cs="仿宋"/>
          <w:spacing w:val="5"/>
          <w:sz w:val="23"/>
          <w:szCs w:val="23"/>
        </w:rPr>
        <w:t>公务用</w:t>
      </w:r>
      <w:r>
        <w:rPr>
          <w:rFonts w:ascii="仿宋" w:hAnsi="仿宋" w:eastAsia="仿宋" w:cs="仿宋"/>
          <w:spacing w:val="4"/>
          <w:sz w:val="23"/>
          <w:szCs w:val="23"/>
        </w:rPr>
        <w:t>车运行维护费反映单位按规定保留的公务用</w:t>
      </w:r>
      <w:r>
        <w:rPr>
          <w:rFonts w:ascii="仿宋" w:hAnsi="仿宋" w:eastAsia="仿宋" w:cs="仿宋"/>
          <w:spacing w:val="5"/>
          <w:sz w:val="23"/>
          <w:szCs w:val="23"/>
        </w:rPr>
        <w:t>车燃料费、维修费、过路过桥费、保险费、安全奖励费用等支出；公务接待费反映机关和参</w:t>
      </w:r>
      <w:r>
        <w:rPr>
          <w:rFonts w:ascii="仿宋" w:hAnsi="仿宋" w:eastAsia="仿宋" w:cs="仿宋"/>
          <w:sz w:val="23"/>
          <w:szCs w:val="23"/>
        </w:rPr>
        <w:t>公事业单位按规定开支的各类公务接待（含外宾接待</w:t>
      </w:r>
      <w:r>
        <w:rPr>
          <w:rFonts w:ascii="仿宋" w:hAnsi="仿宋" w:eastAsia="仿宋" w:cs="仿宋"/>
          <w:spacing w:val="-1"/>
          <w:sz w:val="23"/>
          <w:szCs w:val="23"/>
        </w:rPr>
        <w:t>）支出。</w:t>
      </w:r>
    </w:p>
    <w:p w14:paraId="14D8AB6A">
      <w:pPr>
        <w:spacing w:before="125" w:line="276" w:lineRule="auto"/>
        <w:ind w:left="1264" w:right="1223" w:firstLine="467"/>
        <w:rPr>
          <w:rFonts w:ascii="仿宋" w:hAnsi="仿宋" w:eastAsia="仿宋" w:cs="仿宋"/>
          <w:sz w:val="23"/>
          <w:szCs w:val="23"/>
        </w:rPr>
      </w:pPr>
      <w:r>
        <w:rPr>
          <w:rFonts w:ascii="黑体" w:hAnsi="黑体" w:eastAsia="黑体" w:cs="黑体"/>
          <w:spacing w:val="5"/>
          <w:sz w:val="23"/>
          <w:szCs w:val="23"/>
        </w:rPr>
        <w:t>四、机关运行经费：</w:t>
      </w:r>
      <w:r>
        <w:rPr>
          <w:rFonts w:ascii="仿宋" w:hAnsi="仿宋" w:eastAsia="仿宋" w:cs="仿宋"/>
          <w:spacing w:val="5"/>
          <w:sz w:val="23"/>
          <w:szCs w:val="23"/>
        </w:rPr>
        <w:t>指行政单位和参照公务员法管理的事业单位使用财政拨款安排的基</w:t>
      </w:r>
      <w:r>
        <w:rPr>
          <w:rFonts w:ascii="仿宋" w:hAnsi="仿宋" w:eastAsia="仿宋" w:cs="仿宋"/>
          <w:spacing w:val="-1"/>
          <w:sz w:val="23"/>
          <w:szCs w:val="23"/>
        </w:rPr>
        <w:t>本支出中的公用经费支出。</w:t>
      </w:r>
    </w:p>
    <w:p w14:paraId="1D6D364F">
      <w:pPr>
        <w:spacing w:before="124" w:line="298" w:lineRule="auto"/>
        <w:ind w:left="1263" w:right="1223" w:firstLine="461"/>
        <w:rPr>
          <w:rFonts w:ascii="仿宋" w:hAnsi="仿宋" w:eastAsia="仿宋" w:cs="仿宋"/>
          <w:sz w:val="23"/>
          <w:szCs w:val="23"/>
        </w:rPr>
      </w:pPr>
      <w:r>
        <w:rPr>
          <w:rFonts w:ascii="黑体" w:hAnsi="黑体" w:eastAsia="黑体" w:cs="黑体"/>
          <w:spacing w:val="6"/>
          <w:sz w:val="23"/>
          <w:szCs w:val="23"/>
        </w:rPr>
        <w:t>五、政府购买服务：</w:t>
      </w:r>
      <w:r>
        <w:rPr>
          <w:rFonts w:ascii="仿宋" w:hAnsi="仿宋" w:eastAsia="仿宋" w:cs="仿宋"/>
          <w:spacing w:val="6"/>
          <w:sz w:val="23"/>
          <w:szCs w:val="23"/>
        </w:rPr>
        <w:t>根据我国现行政策规定，</w:t>
      </w:r>
      <w:r>
        <w:rPr>
          <w:rFonts w:ascii="仿宋" w:hAnsi="仿宋" w:eastAsia="仿宋" w:cs="仿宋"/>
          <w:spacing w:val="5"/>
          <w:sz w:val="23"/>
          <w:szCs w:val="23"/>
        </w:rPr>
        <w:t>政府购买服务，是指充分发挥市场机制作用，将国家机关属于自身职责范围且适合通过市场化方式提供的服务事项，按照政府采购方式和程序，交由符合条件的服务供应商承担，并根据服务数量和质量等情况向其支付费用的</w:t>
      </w:r>
      <w:r>
        <w:rPr>
          <w:rFonts w:ascii="仿宋" w:hAnsi="仿宋" w:eastAsia="仿宋" w:cs="仿宋"/>
          <w:spacing w:val="-5"/>
          <w:sz w:val="23"/>
          <w:szCs w:val="23"/>
        </w:rPr>
        <w:t>行为。</w:t>
      </w:r>
    </w:p>
    <w:p w14:paraId="2693792D">
      <w:pPr>
        <w:spacing w:before="125" w:line="222" w:lineRule="auto"/>
        <w:ind w:left="1726"/>
        <w:rPr>
          <w:rFonts w:ascii="黑体" w:hAnsi="黑体" w:eastAsia="黑体" w:cs="黑体"/>
          <w:sz w:val="23"/>
          <w:szCs w:val="23"/>
        </w:rPr>
      </w:pPr>
      <w:r>
        <w:rPr>
          <w:rFonts w:ascii="黑体" w:hAnsi="黑体" w:eastAsia="黑体" w:cs="黑体"/>
          <w:spacing w:val="-1"/>
          <w:sz w:val="23"/>
          <w:szCs w:val="23"/>
        </w:rPr>
        <w:t>六、财政专户管理资金：</w:t>
      </w:r>
    </w:p>
    <w:p w14:paraId="471C3C48">
      <w:pPr>
        <w:spacing w:before="165" w:line="322" w:lineRule="auto"/>
        <w:ind w:left="1269" w:right="1271" w:firstLine="458"/>
        <w:rPr>
          <w:rFonts w:ascii="仿宋" w:hAnsi="仿宋" w:eastAsia="仿宋" w:cs="仿宋"/>
          <w:sz w:val="23"/>
          <w:szCs w:val="23"/>
        </w:rPr>
      </w:pPr>
      <w:r>
        <w:rPr>
          <w:rFonts w:ascii="仿宋" w:hAnsi="仿宋" w:eastAsia="仿宋" w:cs="仿宋"/>
          <w:spacing w:val="4"/>
          <w:sz w:val="23"/>
          <w:szCs w:val="23"/>
        </w:rPr>
        <w:t>专指教育收费，包括目前在财政专户管理的高中以上学费、住宿费，高校委托培养费，</w:t>
      </w:r>
      <w:r>
        <w:rPr>
          <w:rFonts w:ascii="仿宋" w:hAnsi="仿宋" w:eastAsia="仿宋" w:cs="仿宋"/>
          <w:sz w:val="23"/>
          <w:szCs w:val="23"/>
        </w:rPr>
        <w:t>党校收费，教育考试考务费，函大、电大、夜大及短训班</w:t>
      </w:r>
      <w:r>
        <w:rPr>
          <w:rFonts w:ascii="仿宋" w:hAnsi="仿宋" w:eastAsia="仿宋" w:cs="仿宋"/>
          <w:spacing w:val="-1"/>
          <w:sz w:val="23"/>
          <w:szCs w:val="23"/>
        </w:rPr>
        <w:t>培训费等。</w:t>
      </w:r>
    </w:p>
    <w:p w14:paraId="5B5E6F1C">
      <w:pPr>
        <w:spacing w:before="30" w:line="276" w:lineRule="auto"/>
        <w:ind w:left="1263" w:right="1260" w:firstLine="454"/>
        <w:rPr>
          <w:rFonts w:ascii="仿宋" w:hAnsi="仿宋" w:eastAsia="仿宋" w:cs="仿宋"/>
          <w:sz w:val="23"/>
          <w:szCs w:val="23"/>
        </w:rPr>
      </w:pPr>
      <w:r>
        <w:rPr>
          <w:rFonts w:ascii="黑体" w:hAnsi="黑体" w:eastAsia="黑体" w:cs="黑体"/>
          <w:spacing w:val="5"/>
          <w:sz w:val="23"/>
          <w:szCs w:val="23"/>
        </w:rPr>
        <w:t>七、单位资金：</w:t>
      </w:r>
      <w:r>
        <w:rPr>
          <w:rFonts w:ascii="仿宋" w:hAnsi="仿宋" w:eastAsia="仿宋" w:cs="仿宋"/>
          <w:spacing w:val="5"/>
          <w:sz w:val="23"/>
          <w:szCs w:val="23"/>
        </w:rPr>
        <w:t>是指除政府预算资金和财政专户管理资金以外的</w:t>
      </w:r>
      <w:r>
        <w:rPr>
          <w:rFonts w:ascii="仿宋" w:hAnsi="仿宋" w:eastAsia="仿宋" w:cs="仿宋"/>
          <w:spacing w:val="4"/>
          <w:sz w:val="23"/>
          <w:szCs w:val="23"/>
        </w:rPr>
        <w:t>资金，包括事业收入、</w:t>
      </w:r>
      <w:r>
        <w:rPr>
          <w:rFonts w:ascii="仿宋" w:hAnsi="仿宋" w:eastAsia="仿宋" w:cs="仿宋"/>
          <w:sz w:val="23"/>
          <w:szCs w:val="23"/>
        </w:rPr>
        <w:t>事业单位经营收入、上级补助收入、附属单位上缴收入、其他收入。</w:t>
      </w:r>
    </w:p>
    <w:p w14:paraId="7D60EA71">
      <w:pPr>
        <w:spacing w:before="125" w:line="219" w:lineRule="auto"/>
        <w:ind w:left="1718"/>
        <w:rPr>
          <w:rFonts w:ascii="仿宋" w:hAnsi="仿宋" w:eastAsia="仿宋" w:cs="仿宋"/>
          <w:sz w:val="23"/>
          <w:szCs w:val="23"/>
        </w:rPr>
      </w:pPr>
      <w:r>
        <w:rPr>
          <w:rFonts w:ascii="黑体" w:hAnsi="黑体" w:eastAsia="黑体" w:cs="黑体"/>
          <w:sz w:val="23"/>
          <w:szCs w:val="23"/>
        </w:rPr>
        <w:t>八、上年结转：</w:t>
      </w:r>
      <w:r>
        <w:rPr>
          <w:rFonts w:ascii="仿宋" w:hAnsi="仿宋" w:eastAsia="仿宋" w:cs="仿宋"/>
          <w:sz w:val="23"/>
          <w:szCs w:val="23"/>
        </w:rPr>
        <w:t>指以前年度预算安排、结转到本年仍按原规定用途继续使用的资金。</w:t>
      </w:r>
    </w:p>
    <w:p w14:paraId="1A0B190E">
      <w:pPr>
        <w:spacing w:before="128" w:line="274" w:lineRule="auto"/>
        <w:ind w:left="1265" w:right="1223" w:firstLine="458"/>
        <w:rPr>
          <w:rFonts w:ascii="仿宋" w:hAnsi="仿宋" w:eastAsia="仿宋" w:cs="仿宋"/>
          <w:sz w:val="23"/>
          <w:szCs w:val="23"/>
        </w:rPr>
      </w:pPr>
      <w:r>
        <w:rPr>
          <w:rFonts w:ascii="黑体" w:hAnsi="黑体" w:eastAsia="黑体" w:cs="黑体"/>
          <w:spacing w:val="6"/>
          <w:sz w:val="23"/>
          <w:szCs w:val="23"/>
        </w:rPr>
        <w:t>九、一般公共预算：</w:t>
      </w:r>
      <w:r>
        <w:rPr>
          <w:rFonts w:ascii="仿宋" w:hAnsi="仿宋" w:eastAsia="仿宋" w:cs="仿宋"/>
          <w:spacing w:val="6"/>
          <w:sz w:val="23"/>
          <w:szCs w:val="23"/>
        </w:rPr>
        <w:t>是指以税收为主体的财政</w:t>
      </w:r>
      <w:r>
        <w:rPr>
          <w:rFonts w:ascii="仿宋" w:hAnsi="仿宋" w:eastAsia="仿宋" w:cs="仿宋"/>
          <w:spacing w:val="5"/>
          <w:sz w:val="23"/>
          <w:szCs w:val="23"/>
        </w:rPr>
        <w:t>收入，安排用于保障和改善民生、推动经</w:t>
      </w:r>
      <w:r>
        <w:rPr>
          <w:rFonts w:ascii="仿宋" w:hAnsi="仿宋" w:eastAsia="仿宋" w:cs="仿宋"/>
          <w:sz w:val="23"/>
          <w:szCs w:val="23"/>
        </w:rPr>
        <w:t>济社会发展、维护国家安全、维持国家机构正常运转等方面的收支预算。</w:t>
      </w:r>
    </w:p>
    <w:p w14:paraId="01739AC3">
      <w:pPr>
        <w:spacing w:before="126" w:line="272" w:lineRule="auto"/>
        <w:ind w:left="1276" w:right="1260" w:firstLine="445"/>
        <w:rPr>
          <w:rFonts w:ascii="仿宋" w:hAnsi="仿宋" w:eastAsia="仿宋" w:cs="仿宋"/>
          <w:sz w:val="23"/>
          <w:szCs w:val="23"/>
        </w:rPr>
      </w:pPr>
      <w:r>
        <w:rPr>
          <w:rFonts w:ascii="黑体" w:hAnsi="黑体" w:eastAsia="黑体" w:cs="黑体"/>
          <w:spacing w:val="5"/>
          <w:sz w:val="23"/>
          <w:szCs w:val="23"/>
        </w:rPr>
        <w:t>十、政府性基金预算：</w:t>
      </w:r>
      <w:r>
        <w:rPr>
          <w:rFonts w:ascii="仿宋" w:hAnsi="仿宋" w:eastAsia="仿宋" w:cs="仿宋"/>
          <w:spacing w:val="5"/>
          <w:sz w:val="23"/>
          <w:szCs w:val="23"/>
        </w:rPr>
        <w:t>是对依照法律、行政法规的规定</w:t>
      </w:r>
      <w:r>
        <w:rPr>
          <w:rFonts w:ascii="仿宋" w:hAnsi="仿宋" w:eastAsia="仿宋" w:cs="仿宋"/>
          <w:spacing w:val="4"/>
          <w:sz w:val="23"/>
          <w:szCs w:val="23"/>
        </w:rPr>
        <w:t>在一定期限内向特定对象征收、</w:t>
      </w:r>
      <w:r>
        <w:rPr>
          <w:rFonts w:ascii="仿宋" w:hAnsi="仿宋" w:eastAsia="仿宋" w:cs="仿宋"/>
          <w:sz w:val="23"/>
          <w:szCs w:val="23"/>
        </w:rPr>
        <w:t>收取或者以其他方式筹集的资金，专项用于特定公</w:t>
      </w:r>
      <w:r>
        <w:rPr>
          <w:rFonts w:ascii="仿宋" w:hAnsi="仿宋" w:eastAsia="仿宋" w:cs="仿宋"/>
          <w:spacing w:val="-1"/>
          <w:sz w:val="23"/>
          <w:szCs w:val="23"/>
        </w:rPr>
        <w:t>共事业发展的收支预算。</w:t>
      </w:r>
    </w:p>
    <w:p w14:paraId="6F5E1668">
      <w:pPr>
        <w:spacing w:before="134" w:line="221" w:lineRule="auto"/>
        <w:ind w:left="1721"/>
        <w:rPr>
          <w:rFonts w:ascii="仿宋" w:hAnsi="仿宋" w:eastAsia="仿宋" w:cs="仿宋"/>
          <w:sz w:val="23"/>
          <w:szCs w:val="23"/>
        </w:rPr>
      </w:pPr>
      <w:r>
        <w:rPr>
          <w:rFonts w:ascii="黑体" w:hAnsi="黑体" w:eastAsia="黑体" w:cs="黑体"/>
          <w:sz w:val="23"/>
          <w:szCs w:val="23"/>
        </w:rPr>
        <w:t>十一、国有资本经营预算：</w:t>
      </w:r>
      <w:r>
        <w:rPr>
          <w:rFonts w:ascii="仿宋" w:hAnsi="仿宋" w:eastAsia="仿宋" w:cs="仿宋"/>
          <w:sz w:val="23"/>
          <w:szCs w:val="23"/>
        </w:rPr>
        <w:t>是对国有资本收益作出支出安排的收支预算。</w:t>
      </w:r>
    </w:p>
    <w:p w14:paraId="6D439A6B">
      <w:pPr>
        <w:spacing w:before="124" w:line="221" w:lineRule="auto"/>
        <w:ind w:left="1721"/>
        <w:rPr>
          <w:rFonts w:ascii="仿宋" w:hAnsi="仿宋" w:eastAsia="仿宋" w:cs="仿宋"/>
          <w:sz w:val="23"/>
          <w:szCs w:val="23"/>
        </w:rPr>
      </w:pPr>
      <w:r>
        <w:rPr>
          <w:rFonts w:ascii="黑体" w:hAnsi="黑体" w:eastAsia="黑体" w:cs="黑体"/>
          <w:sz w:val="23"/>
          <w:szCs w:val="23"/>
        </w:rPr>
        <w:t>十二、财政拨款：</w:t>
      </w:r>
      <w:r>
        <w:rPr>
          <w:rFonts w:ascii="仿宋" w:hAnsi="仿宋" w:eastAsia="仿宋" w:cs="仿宋"/>
          <w:sz w:val="23"/>
          <w:szCs w:val="23"/>
        </w:rPr>
        <w:t>包含一般公共预算、政府性基金预算、国有资本经营预算。</w:t>
      </w:r>
    </w:p>
    <w:sectPr>
      <w:headerReference r:id="rId52" w:type="default"/>
      <w:footerReference r:id="rId53" w:type="default"/>
      <w:pgSz w:w="11900" w:h="16840"/>
      <w:pgMar w:top="642" w:right="0" w:bottom="340" w:left="0" w:header="326" w:footer="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E9336">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38FB8">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3A646">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D8463">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E6430">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8482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D14F">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E9D5">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4131F">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D35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B91E">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BF7B">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DB8D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CDDEC">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83B7A">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F74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6CCE1">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5"/>
        <w:position w:val="2"/>
        <w:sz w:val="16"/>
        <w:szCs w:val="16"/>
      </w:rPr>
      <w:t>-24-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2D5AE">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BDF0F">
    <w:pPr>
      <w:spacing w:line="237" w:lineRule="exact"/>
      <w:ind w:left="82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E7F9">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F76CA">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C5EDF">
    <w:pPr>
      <w:spacing w:line="239"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0913">
    <w:pPr>
      <w:spacing w:line="237"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8077C">
    <w:pPr>
      <w:spacing w:line="236" w:lineRule="exact"/>
      <w:ind w:left="5886"/>
      <w:rPr>
        <w:rFonts w:ascii="华文宋体" w:hAnsi="华文宋体" w:eastAsia="华文宋体" w:cs="华文宋体"/>
        <w:sz w:val="16"/>
        <w:szCs w:val="16"/>
      </w:rPr>
    </w:pPr>
    <w:r>
      <w:rPr>
        <w:rFonts w:ascii="华文宋体" w:hAnsi="华文宋体" w:eastAsia="华文宋体" w:cs="华文宋体"/>
        <w:spacing w:val="7"/>
        <w:position w:val="2"/>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037F">
    <w:pPr>
      <w:pStyle w:val="2"/>
      <w:spacing w:line="14"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E6BFD">
    <w:pPr>
      <w:spacing w:before="32" w:line="227" w:lineRule="auto"/>
      <w:ind w:left="649"/>
      <w:rPr>
        <w:rFonts w:ascii="华文宋体" w:hAnsi="华文宋体" w:eastAsia="华文宋体" w:cs="华文宋体"/>
        <w:sz w:val="16"/>
        <w:szCs w:val="16"/>
      </w:rPr>
    </w:pPr>
    <w:r>
      <w:pict>
        <v:shape id="_x0000_s2137" o:spid="_x0000_s2137" style="position:absolute;left:0pt;margin-left:30pt;margin-top:29.5pt;height:1pt;width:535pt;mso-position-horizontal-relative:page;mso-position-vertical-relative:page;z-index:-25165004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8C638">
    <w:pPr>
      <w:spacing w:before="32" w:line="227" w:lineRule="auto"/>
      <w:ind w:left="649"/>
      <w:rPr>
        <w:rFonts w:ascii="华文宋体" w:hAnsi="华文宋体" w:eastAsia="华文宋体" w:cs="华文宋体"/>
        <w:sz w:val="16"/>
        <w:szCs w:val="16"/>
      </w:rPr>
    </w:pPr>
    <w:r>
      <w:pict>
        <v:shape id="_x0000_s2152" o:spid="_x0000_s2152" style="position:absolute;left:0pt;margin-left:30pt;margin-top:29.5pt;height:1pt;width:535pt;mso-position-horizontal-relative:page;mso-position-vertical-relative:page;z-index:-25164902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63A9C">
    <w:pPr>
      <w:spacing w:before="32" w:line="227" w:lineRule="auto"/>
      <w:ind w:left="649"/>
      <w:rPr>
        <w:rFonts w:ascii="华文宋体" w:hAnsi="华文宋体" w:eastAsia="华文宋体" w:cs="华文宋体"/>
        <w:sz w:val="16"/>
        <w:szCs w:val="16"/>
      </w:rPr>
    </w:pPr>
    <w:r>
      <w:pict>
        <v:shape id="_x0000_s2167" o:spid="_x0000_s2167" style="position:absolute;left:0pt;margin-left:30pt;margin-top:29.5pt;height:1pt;width:535pt;mso-position-horizontal-relative:page;mso-position-vertical-relative:page;z-index:-25164800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6B5BE">
    <w:pPr>
      <w:spacing w:before="32" w:line="227" w:lineRule="auto"/>
      <w:ind w:left="649"/>
      <w:rPr>
        <w:rFonts w:ascii="华文宋体" w:hAnsi="华文宋体" w:eastAsia="华文宋体" w:cs="华文宋体"/>
        <w:sz w:val="16"/>
        <w:szCs w:val="16"/>
      </w:rPr>
    </w:pPr>
    <w:r>
      <w:pict>
        <v:shape id="_x0000_s2177" o:spid="_x0000_s2177" style="position:absolute;left:0pt;margin-left:30pt;margin-top:29.5pt;height:1pt;width:535pt;mso-position-horizontal-relative:page;mso-position-vertical-relative:page;z-index:-25164697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4D310">
    <w:pPr>
      <w:spacing w:before="32" w:line="227" w:lineRule="auto"/>
      <w:ind w:left="649"/>
      <w:rPr>
        <w:rFonts w:ascii="华文宋体" w:hAnsi="华文宋体" w:eastAsia="华文宋体" w:cs="华文宋体"/>
        <w:sz w:val="16"/>
        <w:szCs w:val="16"/>
      </w:rPr>
    </w:pPr>
    <w:r>
      <w:pict>
        <v:shape id="_x0000_s2187" o:spid="_x0000_s2187" style="position:absolute;left:0pt;margin-left:30pt;margin-top:29.5pt;height:1pt;width:535pt;mso-position-horizontal-relative:page;mso-position-vertical-relative:page;z-index:-25164595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CDFC">
    <w:pPr>
      <w:spacing w:before="32" w:line="227" w:lineRule="auto"/>
      <w:ind w:left="649"/>
      <w:rPr>
        <w:rFonts w:ascii="华文宋体" w:hAnsi="华文宋体" w:eastAsia="华文宋体" w:cs="华文宋体"/>
        <w:sz w:val="16"/>
        <w:szCs w:val="16"/>
      </w:rPr>
    </w:pPr>
    <w:r>
      <w:pict>
        <v:shape id="_x0000_s2197" o:spid="_x0000_s2197" style="position:absolute;left:0pt;margin-left:30pt;margin-top:29.5pt;height:1pt;width:535pt;mso-position-horizontal-relative:page;mso-position-vertical-relative:page;z-index:-25164492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756AC">
    <w:pPr>
      <w:spacing w:before="32" w:line="227" w:lineRule="auto"/>
      <w:ind w:left="649"/>
      <w:rPr>
        <w:rFonts w:ascii="华文宋体" w:hAnsi="华文宋体" w:eastAsia="华文宋体" w:cs="华文宋体"/>
        <w:sz w:val="16"/>
        <w:szCs w:val="16"/>
      </w:rPr>
    </w:pPr>
    <w:r>
      <w:pict>
        <v:shape id="_x0000_s2207" o:spid="_x0000_s2207" style="position:absolute;left:0pt;margin-left:30pt;margin-top:29.5pt;height:1pt;width:535pt;mso-position-horizontal-relative:page;mso-position-vertical-relative:page;z-index:-25164390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11719">
    <w:pPr>
      <w:spacing w:before="32" w:line="227" w:lineRule="auto"/>
      <w:ind w:left="649"/>
      <w:rPr>
        <w:rFonts w:ascii="华文宋体" w:hAnsi="华文宋体" w:eastAsia="华文宋体" w:cs="华文宋体"/>
        <w:sz w:val="16"/>
        <w:szCs w:val="16"/>
      </w:rPr>
    </w:pPr>
    <w:r>
      <w:pict>
        <v:shape id="_x0000_s2218" o:spid="_x0000_s2218" style="position:absolute;left:0pt;margin-left:30pt;margin-top:29.5pt;height:1pt;width:535pt;mso-position-horizontal-relative:page;mso-position-vertical-relative:page;z-index:-25164288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D86F">
    <w:pPr>
      <w:spacing w:before="32" w:line="227" w:lineRule="auto"/>
      <w:ind w:left="649"/>
      <w:rPr>
        <w:rFonts w:ascii="华文宋体" w:hAnsi="华文宋体" w:eastAsia="华文宋体" w:cs="华文宋体"/>
        <w:sz w:val="16"/>
        <w:szCs w:val="16"/>
      </w:rPr>
    </w:pPr>
    <w:r>
      <w:pict>
        <v:shape id="_x0000_s2228" o:spid="_x0000_s2228" style="position:absolute;left:0pt;margin-left:30pt;margin-top:29.5pt;height:1pt;width:535pt;mso-position-horizontal-relative:page;mso-position-vertical-relative:page;z-index:-25164185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B049F">
    <w:pPr>
      <w:spacing w:before="32" w:line="227" w:lineRule="auto"/>
      <w:ind w:left="649"/>
      <w:rPr>
        <w:rFonts w:ascii="华文宋体" w:hAnsi="华文宋体" w:eastAsia="华文宋体" w:cs="华文宋体"/>
        <w:sz w:val="16"/>
        <w:szCs w:val="16"/>
      </w:rPr>
    </w:pPr>
    <w:r>
      <w:pict>
        <v:shape id="_x0000_s2247" o:spid="_x0000_s2247" style="position:absolute;left:0pt;margin-left:30pt;margin-top:29.5pt;height:1pt;width:535pt;mso-position-horizontal-relative:page;mso-position-vertical-relative:page;z-index:-25164083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D185E">
    <w:pPr>
      <w:pStyle w:val="2"/>
      <w:spacing w:line="14"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183C2">
    <w:pPr>
      <w:spacing w:before="32" w:line="227" w:lineRule="auto"/>
      <w:ind w:left="649"/>
      <w:rPr>
        <w:rFonts w:ascii="华文宋体" w:hAnsi="华文宋体" w:eastAsia="华文宋体" w:cs="华文宋体"/>
        <w:sz w:val="16"/>
        <w:szCs w:val="16"/>
      </w:rPr>
    </w:pPr>
    <w:r>
      <w:pict>
        <v:shape id="_x0000_s2265" o:spid="_x0000_s2265" style="position:absolute;left:0pt;margin-left:30pt;margin-top:29.5pt;height:1pt;width:535pt;mso-position-horizontal-relative:page;mso-position-vertical-relative:page;z-index:-25163980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11D6">
    <w:pPr>
      <w:spacing w:before="32" w:line="227" w:lineRule="auto"/>
      <w:ind w:left="649"/>
      <w:rPr>
        <w:rFonts w:ascii="华文宋体" w:hAnsi="华文宋体" w:eastAsia="华文宋体" w:cs="华文宋体"/>
        <w:sz w:val="16"/>
        <w:szCs w:val="16"/>
      </w:rPr>
    </w:pPr>
    <w:r>
      <w:pict>
        <v:shape id="_x0000_s2276" o:spid="_x0000_s2276" style="position:absolute;left:0pt;margin-left:30pt;margin-top:29.5pt;height:1pt;width:535pt;mso-position-horizontal-relative:page;mso-position-vertical-relative:page;z-index:-25163878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A9F5">
    <w:pPr>
      <w:spacing w:before="32" w:line="227" w:lineRule="auto"/>
      <w:ind w:left="649"/>
      <w:rPr>
        <w:rFonts w:ascii="华文宋体" w:hAnsi="华文宋体" w:eastAsia="华文宋体" w:cs="华文宋体"/>
        <w:sz w:val="16"/>
        <w:szCs w:val="16"/>
      </w:rPr>
    </w:pPr>
    <w:r>
      <w:pict>
        <v:shape id="_x0000_s2280" o:spid="_x0000_s2280" style="position:absolute;left:0pt;margin-left:30pt;margin-top:29.5pt;height:1pt;width:535pt;mso-position-horizontal-relative:page;mso-position-vertical-relative:page;z-index:-25163776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D0B4B">
    <w:pPr>
      <w:spacing w:before="32" w:line="227" w:lineRule="auto"/>
      <w:ind w:left="649"/>
      <w:rPr>
        <w:rFonts w:ascii="华文宋体" w:hAnsi="华文宋体" w:eastAsia="华文宋体" w:cs="华文宋体"/>
        <w:sz w:val="16"/>
        <w:szCs w:val="16"/>
      </w:rPr>
    </w:pPr>
    <w:r>
      <w:pict>
        <v:shape id="_x0000_s2289" o:spid="_x0000_s2289" style="position:absolute;left:0pt;margin-left:30pt;margin-top:29.5pt;height:1pt;width:535pt;mso-position-horizontal-relative:page;mso-position-vertical-relative:page;z-index:-25163673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DA9F5">
    <w:pPr>
      <w:spacing w:before="32" w:line="227" w:lineRule="auto"/>
      <w:ind w:left="649"/>
      <w:rPr>
        <w:rFonts w:ascii="华文宋体" w:hAnsi="华文宋体" w:eastAsia="华文宋体" w:cs="华文宋体"/>
        <w:sz w:val="16"/>
        <w:szCs w:val="16"/>
      </w:rPr>
    </w:pPr>
    <w:r>
      <w:pict>
        <v:shape id="_x0000_s2280" o:spid="_x0000_s2280" style="position:absolute;left:0pt;margin-left:30pt;margin-top:29.5pt;height:1pt;width:535pt;mso-position-horizontal-relative:page;mso-position-vertical-relative:page;z-index:-251637760;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A3572">
    <w:pPr>
      <w:spacing w:before="32" w:line="227" w:lineRule="auto"/>
      <w:ind w:left="649"/>
      <w:rPr>
        <w:rFonts w:ascii="华文宋体" w:hAnsi="华文宋体" w:eastAsia="华文宋体" w:cs="华文宋体"/>
        <w:sz w:val="16"/>
        <w:szCs w:val="16"/>
      </w:rPr>
    </w:pPr>
    <w:r>
      <w:pict>
        <v:shape id="_x0000_s2298" o:spid="_x0000_s2298" style="position:absolute;left:0pt;margin-left:30pt;margin-top:29.5pt;height:1pt;width:535pt;mso-position-horizontal-relative:page;mso-position-vertical-relative:page;z-index:-25163571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DE6ED">
    <w:pPr>
      <w:pStyle w:val="2"/>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1F515">
    <w:pPr>
      <w:spacing w:before="32" w:line="227" w:lineRule="auto"/>
      <w:ind w:left="649"/>
      <w:rPr>
        <w:rFonts w:ascii="华文宋体" w:hAnsi="华文宋体" w:eastAsia="华文宋体" w:cs="华文宋体"/>
        <w:sz w:val="16"/>
        <w:szCs w:val="16"/>
      </w:rPr>
    </w:pPr>
    <w:r>
      <w:pict>
        <v:shape id="_x0000_s2073" o:spid="_x0000_s2073" style="position:absolute;left:0pt;margin-left:30pt;margin-top:29.5pt;height:1pt;width:535pt;mso-position-horizontal-relative:page;mso-position-vertical-relative:page;z-index:-25165619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E85C1">
    <w:pPr>
      <w:spacing w:before="32" w:line="227" w:lineRule="auto"/>
      <w:ind w:left="649"/>
      <w:rPr>
        <w:rFonts w:ascii="华文宋体" w:hAnsi="华文宋体" w:eastAsia="华文宋体" w:cs="华文宋体"/>
        <w:sz w:val="16"/>
        <w:szCs w:val="16"/>
      </w:rPr>
    </w:pPr>
    <w:r>
      <w:pict>
        <v:shape id="_x0000_s2090" o:spid="_x0000_s2090" style="position:absolute;left:0pt;margin-left:30pt;margin-top:29.5pt;height:1pt;width:535pt;mso-position-horizontal-relative:page;mso-position-vertical-relative:page;z-index:-251655168;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607FF">
    <w:pPr>
      <w:spacing w:before="32" w:line="227" w:lineRule="auto"/>
      <w:ind w:left="649"/>
      <w:rPr>
        <w:rFonts w:ascii="华文宋体" w:hAnsi="华文宋体" w:eastAsia="华文宋体" w:cs="华文宋体"/>
        <w:sz w:val="16"/>
        <w:szCs w:val="16"/>
      </w:rPr>
    </w:pPr>
    <w:r>
      <w:pict>
        <v:shape id="_x0000_s2099" o:spid="_x0000_s2099" style="position:absolute;left:0pt;margin-left:30pt;margin-top:29.5pt;height:1pt;width:535pt;mso-position-horizontal-relative:page;mso-position-vertical-relative:page;z-index:-251654144;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20AC3">
    <w:pPr>
      <w:spacing w:before="32" w:line="227" w:lineRule="auto"/>
      <w:ind w:left="649"/>
      <w:rPr>
        <w:rFonts w:ascii="华文宋体" w:hAnsi="华文宋体" w:eastAsia="华文宋体" w:cs="华文宋体"/>
        <w:sz w:val="16"/>
        <w:szCs w:val="16"/>
      </w:rPr>
    </w:pPr>
    <w:r>
      <w:pict>
        <v:shape id="_x0000_s2100" o:spid="_x0000_s2100" style="position:absolute;left:0pt;margin-left:30pt;margin-top:29.5pt;height:1pt;width:782pt;mso-position-horizontal-relative:page;mso-position-vertical-relative:page;z-index:-251653120;mso-width-relative:page;mso-height-relative:page;" filled="f" stroked="t" coordsize="15640,20" o:allowincell="f" path="m0,10l1564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319E0">
    <w:pPr>
      <w:spacing w:before="32" w:line="227" w:lineRule="auto"/>
      <w:ind w:left="649"/>
      <w:rPr>
        <w:rFonts w:ascii="华文宋体" w:hAnsi="华文宋体" w:eastAsia="华文宋体" w:cs="华文宋体"/>
        <w:sz w:val="16"/>
        <w:szCs w:val="16"/>
      </w:rPr>
    </w:pPr>
    <w:r>
      <w:pict>
        <v:shape id="_x0000_s2116" o:spid="_x0000_s2116" style="position:absolute;left:0pt;margin-left:30pt;margin-top:29.5pt;height:1pt;width:535pt;mso-position-horizontal-relative:page;mso-position-vertical-relative:page;z-index:-251652096;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E3B2">
    <w:pPr>
      <w:spacing w:before="32" w:line="227" w:lineRule="auto"/>
      <w:ind w:left="649"/>
      <w:rPr>
        <w:rFonts w:ascii="华文宋体" w:hAnsi="华文宋体" w:eastAsia="华文宋体" w:cs="华文宋体"/>
        <w:sz w:val="16"/>
        <w:szCs w:val="16"/>
      </w:rPr>
    </w:pPr>
    <w:r>
      <w:pict>
        <v:shape id="_x0000_s2127" o:spid="_x0000_s2127" style="position:absolute;left:0pt;margin-left:30pt;margin-top:29.5pt;height:1pt;width:535pt;mso-position-horizontal-relative:page;mso-position-vertical-relative:page;z-index:-251651072;mso-width-relative:page;mso-height-relative:page;" filled="f" stroked="t" coordsize="10700,20" o:allowincell="f" path="m0,10l10700,10e">
          <v:fill on="f" focussize="0,0"/>
          <v:stroke weight="1pt" color="#646464" miterlimit="10" joinstyle="miter"/>
          <v:imagedata o:title=""/>
          <o:lock v:ext="edit"/>
        </v:shape>
      </w:pict>
    </w:r>
    <w:r>
      <w:rPr>
        <w:rFonts w:ascii="华文宋体" w:hAnsi="华文宋体" w:eastAsia="华文宋体" w:cs="华文宋体"/>
        <w:spacing w:val="-1"/>
        <w:sz w:val="16"/>
        <w:szCs w:val="16"/>
      </w:rPr>
      <w:t>兴县工商业联合会2025年部门预算公开报告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7BC0B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1" Type="http://schemas.openxmlformats.org/officeDocument/2006/relationships/fontTable" Target="fontTable.xml"/><Relationship Id="rId60" Type="http://schemas.openxmlformats.org/officeDocument/2006/relationships/customXml" Target="../customXml/item1.xml"/><Relationship Id="rId6" Type="http://schemas.openxmlformats.org/officeDocument/2006/relationships/header" Target="header2.xml"/><Relationship Id="rId59" Type="http://schemas.openxmlformats.org/officeDocument/2006/relationships/image" Target="media/image5.png"/><Relationship Id="rId58" Type="http://schemas.openxmlformats.org/officeDocument/2006/relationships/image" Target="media/image4.png"/><Relationship Id="rId57" Type="http://schemas.openxmlformats.org/officeDocument/2006/relationships/image" Target="media/image3.png"/><Relationship Id="rId56" Type="http://schemas.openxmlformats.org/officeDocument/2006/relationships/image" Target="media/image2.png"/><Relationship Id="rId55" Type="http://schemas.openxmlformats.org/officeDocument/2006/relationships/image" Target="media/image1.png"/><Relationship Id="rId54" Type="http://schemas.openxmlformats.org/officeDocument/2006/relationships/theme" Target="theme/theme1.xml"/><Relationship Id="rId53" Type="http://schemas.openxmlformats.org/officeDocument/2006/relationships/footer" Target="footer24.xml"/><Relationship Id="rId52" Type="http://schemas.openxmlformats.org/officeDocument/2006/relationships/header" Target="header25.xml"/><Relationship Id="rId51" Type="http://schemas.openxmlformats.org/officeDocument/2006/relationships/footer" Target="footer23.xml"/><Relationship Id="rId50" Type="http://schemas.openxmlformats.org/officeDocument/2006/relationships/footer" Target="footer22.xml"/><Relationship Id="rId5" Type="http://schemas.openxmlformats.org/officeDocument/2006/relationships/header" Target="header1.xml"/><Relationship Id="rId49" Type="http://schemas.openxmlformats.org/officeDocument/2006/relationships/header" Target="header24.xml"/><Relationship Id="rId48" Type="http://schemas.openxmlformats.org/officeDocument/2006/relationships/footer" Target="footer21.xml"/><Relationship Id="rId47" Type="http://schemas.openxmlformats.org/officeDocument/2006/relationships/header" Target="header23.xml"/><Relationship Id="rId46" Type="http://schemas.openxmlformats.org/officeDocument/2006/relationships/footer" Target="footer20.xml"/><Relationship Id="rId45" Type="http://schemas.openxmlformats.org/officeDocument/2006/relationships/footer" Target="footer19.xml"/><Relationship Id="rId44" Type="http://schemas.openxmlformats.org/officeDocument/2006/relationships/header" Target="header22.xml"/><Relationship Id="rId43" Type="http://schemas.openxmlformats.org/officeDocument/2006/relationships/footer" Target="footer18.xml"/><Relationship Id="rId42" Type="http://schemas.openxmlformats.org/officeDocument/2006/relationships/header" Target="header21.xml"/><Relationship Id="rId41" Type="http://schemas.openxmlformats.org/officeDocument/2006/relationships/footer" Target="footer17.xml"/><Relationship Id="rId40" Type="http://schemas.openxmlformats.org/officeDocument/2006/relationships/header" Target="header20.xml"/><Relationship Id="rId4" Type="http://schemas.openxmlformats.org/officeDocument/2006/relationships/endnotes" Target="endnotes.xml"/><Relationship Id="rId39" Type="http://schemas.openxmlformats.org/officeDocument/2006/relationships/footer" Target="footer16.xml"/><Relationship Id="rId38" Type="http://schemas.openxmlformats.org/officeDocument/2006/relationships/header" Target="header19.xml"/><Relationship Id="rId37" Type="http://schemas.openxmlformats.org/officeDocument/2006/relationships/footer" Target="footer15.xml"/><Relationship Id="rId36" Type="http://schemas.openxmlformats.org/officeDocument/2006/relationships/header" Target="header18.xml"/><Relationship Id="rId35" Type="http://schemas.openxmlformats.org/officeDocument/2006/relationships/footer" Target="footer14.xml"/><Relationship Id="rId34" Type="http://schemas.openxmlformats.org/officeDocument/2006/relationships/header" Target="header17.xml"/><Relationship Id="rId33" Type="http://schemas.openxmlformats.org/officeDocument/2006/relationships/footer" Target="footer13.xml"/><Relationship Id="rId32" Type="http://schemas.openxmlformats.org/officeDocument/2006/relationships/header" Target="header16.xml"/><Relationship Id="rId31" Type="http://schemas.openxmlformats.org/officeDocument/2006/relationships/footer" Target="footer12.xml"/><Relationship Id="rId30" Type="http://schemas.openxmlformats.org/officeDocument/2006/relationships/header" Target="header15.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footer" Target="footer10.xml"/><Relationship Id="rId26" Type="http://schemas.openxmlformats.org/officeDocument/2006/relationships/header" Target="header13.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footer" Target="footer8.xml"/><Relationship Id="rId22" Type="http://schemas.openxmlformats.org/officeDocument/2006/relationships/header" Target="header11.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6.xml"/><Relationship Id="rId18" Type="http://schemas.openxmlformats.org/officeDocument/2006/relationships/header" Target="header9.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footer" Target="footer4.xml"/><Relationship Id="rId14" Type="http://schemas.openxmlformats.org/officeDocument/2006/relationships/header" Target="header7.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footer" Target="footer2.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73"/>
    <customShpInfo spid="_x0000_s2090"/>
    <customShpInfo spid="_x0000_s2099"/>
    <customShpInfo spid="_x0000_s2100"/>
    <customShpInfo spid="_x0000_s2116"/>
    <customShpInfo spid="_x0000_s2127"/>
    <customShpInfo spid="_x0000_s2137"/>
    <customShpInfo spid="_x0000_s2152"/>
    <customShpInfo spid="_x0000_s2167"/>
    <customShpInfo spid="_x0000_s2177"/>
    <customShpInfo spid="_x0000_s2187"/>
    <customShpInfo spid="_x0000_s2197"/>
    <customShpInfo spid="_x0000_s2207"/>
    <customShpInfo spid="_x0000_s2218"/>
    <customShpInfo spid="_x0000_s2228"/>
    <customShpInfo spid="_x0000_s2247"/>
    <customShpInfo spid="_x0000_s2265"/>
    <customShpInfo spid="_x0000_s2276"/>
    <customShpInfo spid="_x0000_s2280"/>
    <customShpInfo spid="_x0000_s2289"/>
    <customShpInfo spid="_x0000_s2298"/>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27</Pages>
  <Words>6287</Words>
  <Characters>7500</Characters>
  <TotalTime>1</TotalTime>
  <ScaleCrop>false</ScaleCrop>
  <LinksUpToDate>false</LinksUpToDate>
  <CharactersWithSpaces>7832</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2025-10-31T15:46:00Z</dcterms:created>
  <dc:creator>Administrator</dc:creator>
  <cp:lastModifiedBy>石犀</cp:lastModifiedBy>
  <dcterms:modified xsi:type="dcterms:W3CDTF">2025-11-02T01:13:46Z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2025-10-31T16:11:02Z</vt:filetime>
  </property>
  <property fmtid="{D5CDD505-2E9C-101B-9397-08002B2CF9AE}" pid="4" name="KSOTemplateDocerSaveRecord">
    <vt:lpwstr>eyJoZGlkIjoiNDA2MWM1Y2IxMjhhZDZiNTJhODgwOTk2MTY4YzZlM2QiLCJ1c2VySWQiOiIyODYwNTQ2NTcifQ==</vt:lpwstr>
  </property>
  <property fmtid="{D5CDD505-2E9C-101B-9397-08002B2CF9AE}" pid="5" name="KSOProductBuildVer">
    <vt:lpwstr>2052-12.1.0.23542</vt:lpwstr>
  </property>
  <property fmtid="{D5CDD505-2E9C-101B-9397-08002B2CF9AE}" pid="6" name="ICV">
    <vt:lpwstr>BEFC26F327E1454091C3C5B644927415_13</vt:lpwstr>
  </property>
</Properties>
</file>