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BodyText"/>
        <w:ind w:left="2297"/>
        <w:spacing w:before="140" w:line="217" w:lineRule="auto"/>
        <w:rPr/>
      </w:pPr>
      <w:r>
        <w:rPr>
          <w:spacing w:val="96"/>
        </w:rPr>
        <w:t>兴县应急管理局</w:t>
      </w:r>
    </w:p>
    <w:p>
      <w:pPr>
        <w:spacing w:line="380" w:lineRule="auto"/>
        <w:rPr>
          <w:rFonts w:ascii="Arial"/>
          <w:sz w:val="21"/>
        </w:rPr>
      </w:pPr>
      <w:r/>
    </w:p>
    <w:p>
      <w:pPr>
        <w:pStyle w:val="BodyText"/>
        <w:ind w:left="1294"/>
        <w:spacing w:before="140" w:line="583" w:lineRule="exact"/>
        <w:rPr/>
      </w:pPr>
      <w:r>
        <w:rPr>
          <w:spacing w:val="4"/>
          <w:position w:val="2"/>
        </w:rPr>
        <w:t>2</w:t>
      </w:r>
      <w:r>
        <w:rPr>
          <w:spacing w:val="-89"/>
          <w:position w:val="2"/>
        </w:rPr>
        <w:t xml:space="preserve"> </w:t>
      </w:r>
      <w:r>
        <w:rPr>
          <w:spacing w:val="4"/>
          <w:position w:val="2"/>
        </w:rPr>
        <w:t>0</w:t>
      </w:r>
      <w:r>
        <w:rPr>
          <w:spacing w:val="-94"/>
          <w:position w:val="2"/>
        </w:rPr>
        <w:t xml:space="preserve"> </w:t>
      </w:r>
      <w:r>
        <w:rPr>
          <w:spacing w:val="4"/>
          <w:position w:val="2"/>
        </w:rPr>
        <w:t>2</w:t>
      </w:r>
      <w:r>
        <w:rPr>
          <w:spacing w:val="-77"/>
          <w:position w:val="2"/>
        </w:rPr>
        <w:t xml:space="preserve"> </w:t>
      </w:r>
      <w:r>
        <w:rPr>
          <w:spacing w:val="4"/>
          <w:position w:val="2"/>
        </w:rPr>
        <w:t>5</w:t>
      </w:r>
      <w:r>
        <w:rPr>
          <w:spacing w:val="-98"/>
          <w:position w:val="2"/>
        </w:rPr>
        <w:t xml:space="preserve"> </w:t>
      </w:r>
      <w:r>
        <w:rPr>
          <w:spacing w:val="4"/>
          <w:position w:val="2"/>
        </w:rPr>
        <w:t>年</w:t>
      </w:r>
      <w:r>
        <w:rPr>
          <w:spacing w:val="-96"/>
          <w:position w:val="2"/>
        </w:rPr>
        <w:t xml:space="preserve"> </w:t>
      </w:r>
      <w:r>
        <w:rPr>
          <w:spacing w:val="4"/>
          <w:position w:val="2"/>
        </w:rPr>
        <w:t>度</w:t>
      </w:r>
      <w:r>
        <w:rPr>
          <w:spacing w:val="-97"/>
          <w:position w:val="2"/>
        </w:rPr>
        <w:t xml:space="preserve"> </w:t>
      </w:r>
      <w:r>
        <w:rPr>
          <w:spacing w:val="4"/>
          <w:position w:val="2"/>
        </w:rPr>
        <w:t>部</w:t>
      </w:r>
      <w:r>
        <w:rPr>
          <w:spacing w:val="-64"/>
          <w:position w:val="2"/>
        </w:rPr>
        <w:t xml:space="preserve"> </w:t>
      </w:r>
      <w:r>
        <w:rPr>
          <w:spacing w:val="4"/>
          <w:position w:val="2"/>
        </w:rPr>
        <w:t>门</w:t>
      </w:r>
      <w:r>
        <w:rPr>
          <w:spacing w:val="-108"/>
          <w:position w:val="2"/>
        </w:rPr>
        <w:t xml:space="preserve"> </w:t>
      </w:r>
      <w:r>
        <w:rPr>
          <w:spacing w:val="4"/>
          <w:position w:val="2"/>
        </w:rPr>
        <w:t>预</w:t>
      </w:r>
      <w:r>
        <w:rPr>
          <w:spacing w:val="-94"/>
          <w:position w:val="2"/>
        </w:rPr>
        <w:t xml:space="preserve"> </w:t>
      </w:r>
      <w:r>
        <w:rPr>
          <w:spacing w:val="4"/>
          <w:position w:val="2"/>
        </w:rPr>
        <w:t>算</w:t>
      </w:r>
      <w:r>
        <w:rPr>
          <w:spacing w:val="-104"/>
          <w:position w:val="2"/>
        </w:rPr>
        <w:t xml:space="preserve"> </w:t>
      </w:r>
      <w:r>
        <w:rPr>
          <w:spacing w:val="4"/>
          <w:position w:val="2"/>
        </w:rPr>
        <w:t>公</w:t>
      </w:r>
      <w:r>
        <w:rPr>
          <w:spacing w:val="-98"/>
          <w:position w:val="2"/>
        </w:rPr>
        <w:t xml:space="preserve"> </w:t>
      </w:r>
      <w:r>
        <w:rPr>
          <w:spacing w:val="4"/>
          <w:position w:val="2"/>
        </w:rPr>
        <w:t>开</w:t>
      </w:r>
    </w:p>
    <w:p>
      <w:pPr>
        <w:spacing w:line="583" w:lineRule="exact"/>
        <w:sectPr>
          <w:pgSz w:w="11900" w:h="16840"/>
          <w:pgMar w:top="1431" w:right="1785" w:bottom="0" w:left="1785" w:header="0" w:footer="0" w:gutter="0"/>
        </w:sectPr>
        <w:rPr/>
      </w:pPr>
    </w:p>
    <w:p>
      <w:pPr>
        <w:ind w:left="3977"/>
        <w:spacing w:before="10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spacing w:line="444" w:lineRule="auto"/>
        <w:rPr>
          <w:rFonts w:ascii="Arial"/>
          <w:sz w:val="21"/>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1"/>
            <w:spacing w:before="104" w:line="222" w:lineRule="auto"/>
            <w:tabs>
              <w:tab w:val="right" w:leader="dot" w:pos="9235"/>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b/>
                <w:bCs/>
                <w:spacing w:val="-39"/>
              </w:rPr>
              <w:t>1</w:t>
            </w:r>
          </w:hyperlink>
        </w:p>
        <w:p>
          <w:pPr>
            <w:ind w:left="642"/>
            <w:spacing w:before="113" w:line="222" w:lineRule="auto"/>
            <w:tabs>
              <w:tab w:val="right" w:leader="dot" w:pos="9235"/>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35"/>
              </w:rPr>
              <w:t>1</w:t>
            </w:r>
          </w:hyperlink>
        </w:p>
        <w:p>
          <w:pPr>
            <w:ind w:left="647"/>
            <w:spacing w:before="116" w:line="222" w:lineRule="auto"/>
            <w:tabs>
              <w:tab w:val="right" w:leader="dot" w:pos="9235"/>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spacing w:val="-16"/>
              </w:rPr>
              <w:t>2</w:t>
            </w:r>
          </w:hyperlink>
        </w:p>
        <w:p>
          <w:pPr>
            <w:ind w:left="11"/>
            <w:spacing w:before="114" w:line="222" w:lineRule="auto"/>
            <w:tabs>
              <w:tab w:val="right" w:leader="dot" w:pos="9235"/>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3"/>
              </w:rPr>
              <w:t xml:space="preserve"> </w:t>
            </w:r>
            <w:r>
              <w:rPr>
                <w:rFonts w:ascii="FangSong" w:hAnsi="FangSong" w:eastAsia="FangSong" w:cs="FangSong"/>
                <w:sz w:val="32"/>
                <w:szCs w:val="32"/>
                <w:b/>
                <w:bCs/>
                <w:spacing w:val="-21"/>
              </w:rPr>
              <w:t>3</w:t>
            </w:r>
          </w:hyperlink>
        </w:p>
        <w:p>
          <w:pPr>
            <w:ind w:left="640"/>
            <w:spacing w:before="115" w:line="222" w:lineRule="auto"/>
            <w:tabs>
              <w:tab w:val="right" w:leader="dot" w:pos="9235"/>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3</w:t>
            </w:r>
          </w:hyperlink>
        </w:p>
        <w:p>
          <w:pPr>
            <w:ind w:left="640"/>
            <w:spacing w:before="115" w:line="222" w:lineRule="auto"/>
            <w:tabs>
              <w:tab w:val="right" w:leader="dot" w:pos="9235"/>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5</w:t>
            </w:r>
          </w:hyperlink>
        </w:p>
        <w:p>
          <w:pPr>
            <w:ind w:left="640"/>
            <w:spacing w:before="115" w:line="222" w:lineRule="auto"/>
            <w:tabs>
              <w:tab w:val="right" w:leader="dot" w:pos="9235"/>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19"/>
              </w:rPr>
              <w:t>7</w:t>
            </w:r>
          </w:hyperlink>
        </w:p>
        <w:p>
          <w:pPr>
            <w:ind w:left="640"/>
            <w:spacing w:before="117" w:line="222" w:lineRule="auto"/>
            <w:tabs>
              <w:tab w:val="right" w:leader="dot" w:pos="9235"/>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83"/>
              </w:rPr>
              <w:t xml:space="preserve"> </w:t>
            </w:r>
            <w:r>
              <w:rPr>
                <w:rFonts w:ascii="FangSong" w:hAnsi="FangSong" w:eastAsia="FangSong" w:cs="FangSong"/>
                <w:sz w:val="32"/>
                <w:szCs w:val="32"/>
                <w:spacing w:val="-13"/>
              </w:rPr>
              <w:t>8</w:t>
            </w:r>
          </w:hyperlink>
        </w:p>
        <w:p>
          <w:pPr>
            <w:ind w:left="640"/>
            <w:spacing w:before="114" w:line="219" w:lineRule="auto"/>
            <w:tabs>
              <w:tab w:val="right" w:leader="dot" w:pos="9235"/>
            </w:tabs>
            <w:rPr>
              <w:rFonts w:ascii="FangSong" w:hAnsi="FangSong" w:eastAsia="FangSong" w:cs="FangSong"/>
              <w:sz w:val="32"/>
              <w:szCs w:val="32"/>
            </w:rPr>
          </w:pPr>
          <w:hyperlink w:history="true" w:anchor="bookmark10">
            <w:r>
              <w:rPr>
                <w:rFonts w:ascii="FangSong" w:hAnsi="FangSong" w:eastAsia="FangSong" w:cs="FangSong"/>
                <w:sz w:val="32"/>
                <w:szCs w:val="32"/>
                <w:spacing w:val="-1"/>
              </w:rPr>
              <w:t>表五2025年一般公共预算支出预算表（不含上年结转）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10</w:t>
            </w:r>
          </w:hyperlink>
        </w:p>
        <w:p>
          <w:pPr>
            <w:ind w:left="640"/>
            <w:spacing w:before="121"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表六2025年一般公共预算安排基本支出分经济科目表（不含</w:t>
            </w:r>
          </w:hyperlink>
        </w:p>
        <w:p>
          <w:pPr>
            <w:spacing w:before="116" w:line="219" w:lineRule="auto"/>
            <w:tabs>
              <w:tab w:val="right" w:leader="dot" w:pos="9235"/>
            </w:tabs>
            <w:rPr>
              <w:rFonts w:ascii="FangSong" w:hAnsi="FangSong" w:eastAsia="FangSong" w:cs="FangSong"/>
              <w:sz w:val="32"/>
              <w:szCs w:val="32"/>
            </w:rPr>
          </w:pPr>
          <w:hyperlink w:history="true" w:anchor="bookmark12">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11</w:t>
            </w:r>
          </w:hyperlink>
        </w:p>
        <w:p>
          <w:pPr>
            <w:ind w:left="640"/>
            <w:spacing w:before="121" w:line="219" w:lineRule="auto"/>
            <w:tabs>
              <w:tab w:val="right" w:leader="dot" w:pos="9235"/>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12</w:t>
            </w:r>
          </w:hyperlink>
        </w:p>
        <w:p>
          <w:pPr>
            <w:ind w:left="640"/>
            <w:spacing w:before="120" w:line="219" w:lineRule="auto"/>
            <w:tabs>
              <w:tab w:val="right" w:leader="dot" w:pos="9235"/>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13</w:t>
            </w:r>
          </w:hyperlink>
        </w:p>
      </w:sdtContent>
    </w:sdt>
    <w:p>
      <w:pPr>
        <w:ind w:left="11" w:right="19" w:firstLine="628"/>
        <w:spacing w:before="122"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1"/>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14</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40"/>
            <w:spacing w:before="1" w:line="221" w:lineRule="auto"/>
            <w:tabs>
              <w:tab w:val="right" w:leader="dot" w:pos="9235"/>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23"/>
              </w:rPr>
              <w:t>1</w:t>
            </w:r>
            <w:r>
              <w:rPr>
                <w:rFonts w:ascii="FangSong" w:hAnsi="FangSong" w:eastAsia="FangSong" w:cs="FangSong"/>
                <w:sz w:val="32"/>
                <w:szCs w:val="32"/>
                <w:spacing w:val="-13"/>
              </w:rPr>
              <w:t>4</w:t>
            </w:r>
          </w:hyperlink>
        </w:p>
        <w:p>
          <w:pPr>
            <w:ind w:left="640"/>
            <w:spacing w:before="116" w:line="221" w:lineRule="auto"/>
            <w:tabs>
              <w:tab w:val="right" w:leader="dot" w:pos="9235"/>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0"/>
              </w:rPr>
              <w:t xml:space="preserve"> </w:t>
            </w:r>
            <w:r>
              <w:rPr>
                <w:rFonts w:ascii="FangSong" w:hAnsi="FangSong" w:eastAsia="FangSong" w:cs="FangSong"/>
                <w:sz w:val="32"/>
                <w:szCs w:val="32"/>
                <w:spacing w:val="-18"/>
              </w:rPr>
              <w:t>15</w:t>
            </w:r>
          </w:hyperlink>
        </w:p>
        <w:p>
          <w:pPr>
            <w:ind w:left="640"/>
            <w:spacing w:before="117" w:line="222" w:lineRule="auto"/>
            <w:tabs>
              <w:tab w:val="right" w:leader="dot" w:pos="9235"/>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16</w:t>
            </w:r>
          </w:hyperlink>
        </w:p>
        <w:p>
          <w:pPr>
            <w:ind w:left="640"/>
            <w:spacing w:before="115" w:line="219" w:lineRule="auto"/>
            <w:tabs>
              <w:tab w:val="right" w:leader="dot" w:pos="9235"/>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17</w:t>
            </w:r>
          </w:hyperlink>
        </w:p>
        <w:p>
          <w:pPr>
            <w:ind w:left="11"/>
            <w:spacing w:before="120" w:line="222" w:lineRule="auto"/>
            <w:tabs>
              <w:tab w:val="right" w:leader="dot" w:pos="9235"/>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21"/>
              </w:rPr>
              <w:t>18</w:t>
            </w:r>
          </w:hyperlink>
        </w:p>
        <w:p>
          <w:pPr>
            <w:ind w:left="642"/>
            <w:spacing w:before="115" w:line="222" w:lineRule="auto"/>
            <w:tabs>
              <w:tab w:val="right" w:leader="dot" w:pos="9235"/>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18</w:t>
            </w:r>
          </w:hyperlink>
        </w:p>
        <w:p>
          <w:pPr>
            <w:ind w:left="647"/>
            <w:spacing w:before="116" w:line="222" w:lineRule="auto"/>
            <w:tabs>
              <w:tab w:val="right" w:leader="dot" w:pos="9235"/>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18</w:t>
            </w:r>
          </w:hyperlink>
        </w:p>
        <w:p>
          <w:pPr>
            <w:ind w:left="646"/>
            <w:spacing w:before="115" w:line="222" w:lineRule="auto"/>
            <w:tabs>
              <w:tab w:val="right" w:leader="dot" w:pos="9235"/>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18</w:t>
            </w:r>
          </w:hyperlink>
        </w:p>
        <w:p>
          <w:pPr>
            <w:ind w:left="675"/>
            <w:spacing w:before="115" w:line="222" w:lineRule="auto"/>
            <w:tabs>
              <w:tab w:val="right" w:leader="dot" w:pos="9235"/>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18</w:t>
            </w:r>
          </w:hyperlink>
        </w:p>
        <w:p>
          <w:pPr>
            <w:ind w:left="642"/>
            <w:spacing w:before="115" w:line="222" w:lineRule="auto"/>
            <w:tabs>
              <w:tab w:val="right" w:leader="dot" w:pos="9235"/>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18</w:t>
            </w:r>
          </w:hyperlink>
        </w:p>
        <w:p>
          <w:pPr>
            <w:ind w:left="640"/>
            <w:spacing w:before="115" w:line="222" w:lineRule="auto"/>
            <w:tabs>
              <w:tab w:val="right" w:leader="dot" w:pos="9235"/>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19</w:t>
            </w:r>
          </w:hyperlink>
        </w:p>
        <w:p>
          <w:pPr>
            <w:ind w:left="643"/>
            <w:spacing w:before="116" w:line="223" w:lineRule="auto"/>
            <w:tabs>
              <w:tab w:val="right" w:leader="dot" w:pos="9235"/>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19</w:t>
            </w:r>
          </w:hyperlink>
        </w:p>
        <w:p>
          <w:pPr>
            <w:ind w:left="636"/>
            <w:spacing w:before="114" w:line="221" w:lineRule="auto"/>
            <w:tabs>
              <w:tab w:val="right" w:leader="dot" w:pos="9235"/>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19</w:t>
            </w:r>
          </w:hyperlink>
        </w:p>
      </w:sdtContent>
    </w:sdt>
    <w:p>
      <w:pPr>
        <w:spacing w:line="221" w:lineRule="auto"/>
        <w:sectPr>
          <w:pgSz w:w="11900" w:h="16840"/>
          <w:pgMar w:top="938" w:right="1320" w:bottom="0" w:left="1343" w:header="0" w:footer="0" w:gutter="0"/>
        </w:sectPr>
        <w:rPr>
          <w:rFonts w:ascii="FangSong" w:hAnsi="FangSong" w:eastAsia="FangSong" w:cs="FangSong"/>
          <w:sz w:val="32"/>
          <w:szCs w:val="32"/>
        </w:rPr>
      </w:pP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37"/>
            <w:spacing w:before="66" w:line="222" w:lineRule="auto"/>
            <w:tabs>
              <w:tab w:val="right" w:leader="dot" w:pos="9225"/>
            </w:tabs>
            <w:rPr>
              <w:rFonts w:ascii="FangSong" w:hAnsi="FangSong" w:eastAsia="FangSong" w:cs="FangSong"/>
              <w:sz w:val="32"/>
              <w:szCs w:val="32"/>
            </w:rPr>
          </w:pPr>
          <w:bookmarkStart w:name="bookmark28" w:id="2"/>
          <w:bookmarkEnd w:id="2"/>
          <w:hyperlink w:history="true" w:anchor="bookmark29">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20</w:t>
            </w:r>
          </w:hyperlink>
        </w:p>
        <w:p>
          <w:pPr>
            <w:ind w:left="635"/>
            <w:spacing w:before="115" w:line="222" w:lineRule="auto"/>
            <w:tabs>
              <w:tab w:val="right" w:leader="dot" w:pos="9225"/>
            </w:tabs>
            <w:rPr>
              <w:rFonts w:ascii="FangSong" w:hAnsi="FangSong" w:eastAsia="FangSong" w:cs="FangSong"/>
              <w:sz w:val="32"/>
              <w:szCs w:val="32"/>
            </w:rPr>
          </w:pPr>
          <w:hyperlink w:history="true" w:anchor="bookmark30">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20</w:t>
            </w:r>
          </w:hyperlink>
        </w:p>
        <w:p>
          <w:pPr>
            <w:ind w:left="635"/>
            <w:spacing w:before="115" w:line="222" w:lineRule="auto"/>
            <w:tabs>
              <w:tab w:val="right" w:leader="dot" w:pos="9225"/>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5"/>
              </w:rPr>
              <w:t>45</w:t>
            </w:r>
          </w:hyperlink>
        </w:p>
        <w:p>
          <w:pPr>
            <w:ind w:left="635"/>
            <w:spacing w:before="113" w:line="222" w:lineRule="auto"/>
            <w:tabs>
              <w:tab w:val="right" w:leader="dot" w:pos="9225"/>
            </w:tabs>
            <w:rPr>
              <w:rFonts w:ascii="FangSong" w:hAnsi="FangSong" w:eastAsia="FangSong" w:cs="FangSong"/>
              <w:sz w:val="32"/>
              <w:szCs w:val="32"/>
            </w:rPr>
          </w:pPr>
          <w:hyperlink w:history="true" w:anchor="bookmark32">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0"/>
              </w:rPr>
              <w:t xml:space="preserve"> </w:t>
            </w:r>
            <w:r>
              <w:rPr>
                <w:rFonts w:ascii="FangSong" w:hAnsi="FangSong" w:eastAsia="FangSong" w:cs="FangSong"/>
                <w:sz w:val="32"/>
                <w:szCs w:val="32"/>
                <w:spacing w:val="-5"/>
              </w:rPr>
              <w:t>45</w:t>
            </w:r>
          </w:hyperlink>
        </w:p>
        <w:p>
          <w:pPr>
            <w:ind w:left="1266"/>
            <w:spacing w:before="116" w:line="220" w:lineRule="auto"/>
            <w:tabs>
              <w:tab w:val="right" w:leader="dot" w:pos="9225"/>
            </w:tabs>
            <w:rPr>
              <w:rFonts w:ascii="FangSong" w:hAnsi="FangSong" w:eastAsia="FangSong" w:cs="FangSong"/>
              <w:sz w:val="32"/>
              <w:szCs w:val="32"/>
            </w:rPr>
          </w:pPr>
          <w:hyperlink w:history="true" w:anchor="bookmark33">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100"/>
              </w:rPr>
              <w:t xml:space="preserve"> </w:t>
            </w:r>
            <w:r>
              <w:rPr>
                <w:rFonts w:ascii="FangSong" w:hAnsi="FangSong" w:eastAsia="FangSong" w:cs="FangSong"/>
                <w:sz w:val="32"/>
                <w:szCs w:val="32"/>
                <w:spacing w:val="-5"/>
              </w:rPr>
              <w:t>45</w:t>
            </w:r>
          </w:hyperlink>
        </w:p>
        <w:p>
          <w:pPr>
            <w:ind w:left="1266"/>
            <w:spacing w:before="117" w:line="222" w:lineRule="auto"/>
            <w:tabs>
              <w:tab w:val="right" w:leader="dot" w:pos="9225"/>
            </w:tabs>
            <w:rPr>
              <w:rFonts w:ascii="FangSong" w:hAnsi="FangSong" w:eastAsia="FangSong" w:cs="FangSong"/>
              <w:sz w:val="32"/>
              <w:szCs w:val="32"/>
            </w:rPr>
          </w:pPr>
          <w:hyperlink w:history="true" w:anchor="bookmark34">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70"/>
              </w:rPr>
              <w:t xml:space="preserve"> </w:t>
            </w:r>
            <w:r>
              <w:rPr>
                <w:rFonts w:ascii="FangSong" w:hAnsi="FangSong" w:eastAsia="FangSong" w:cs="FangSong"/>
                <w:sz w:val="32"/>
                <w:szCs w:val="32"/>
                <w:spacing w:val="-5"/>
              </w:rPr>
              <w:t>45</w:t>
            </w:r>
          </w:hyperlink>
        </w:p>
        <w:p>
          <w:pPr>
            <w:spacing w:before="116" w:line="222" w:lineRule="auto"/>
            <w:tabs>
              <w:tab w:val="right" w:leader="dot" w:pos="9225"/>
            </w:tabs>
            <w:rPr>
              <w:rFonts w:ascii="FangSong" w:hAnsi="FangSong" w:eastAsia="FangSong" w:cs="FangSong"/>
              <w:sz w:val="32"/>
              <w:szCs w:val="32"/>
            </w:rPr>
          </w:pPr>
          <w:hyperlink w:history="true" w:anchor="bookmark35">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16"/>
              </w:rPr>
              <w:t>10</w:t>
            </w:r>
            <w:r>
              <w:rPr>
                <w:rFonts w:ascii="FangSong" w:hAnsi="FangSong" w:eastAsia="FangSong" w:cs="FangSong"/>
                <w:sz w:val="32"/>
                <w:szCs w:val="32"/>
                <w:b/>
                <w:bCs/>
                <w:spacing w:val="-13"/>
              </w:rPr>
              <w:t>4</w:t>
            </w:r>
          </w:hyperlink>
        </w:p>
      </w:sdtContent>
    </w:sdt>
    <w:p>
      <w:pPr>
        <w:spacing w:line="222" w:lineRule="auto"/>
        <w:sectPr>
          <w:pgSz w:w="11900" w:h="16840"/>
          <w:pgMar w:top="879" w:right="1320" w:bottom="0" w:left="1354" w:header="0" w:footer="0" w:gutter="0"/>
        </w:sectPr>
        <w:rPr>
          <w:rFonts w:ascii="FangSong" w:hAnsi="FangSong" w:eastAsia="FangSong" w:cs="FangSong"/>
          <w:sz w:val="32"/>
          <w:szCs w:val="32"/>
        </w:rPr>
      </w:pPr>
    </w:p>
    <w:p>
      <w:pPr>
        <w:spacing w:line="266" w:lineRule="auto"/>
        <w:rPr>
          <w:rFonts w:ascii="Arial"/>
          <w:sz w:val="21"/>
        </w:rPr>
      </w:pPr>
      <w:r/>
    </w:p>
    <w:p>
      <w:pPr>
        <w:spacing w:line="266" w:lineRule="auto"/>
        <w:rPr>
          <w:rFonts w:ascii="Arial"/>
          <w:sz w:val="21"/>
        </w:rPr>
      </w:pPr>
      <w:r/>
    </w:p>
    <w:p>
      <w:pPr>
        <w:ind w:left="4587"/>
        <w:spacing w:before="99" w:line="238" w:lineRule="exact"/>
        <w:outlineLvl w:val="0"/>
        <w:rPr>
          <w:rFonts w:ascii="Microsoft YaHei" w:hAnsi="Microsoft YaHei" w:eastAsia="Microsoft YaHei" w:cs="Microsoft YaHei"/>
          <w:sz w:val="23"/>
          <w:szCs w:val="23"/>
        </w:rPr>
      </w:pPr>
      <w:bookmarkStart w:name="bookmark2" w:id="3"/>
      <w:bookmarkEnd w:id="3"/>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spacing w:line="255" w:lineRule="auto"/>
        <w:rPr>
          <w:rFonts w:ascii="Arial"/>
          <w:sz w:val="21"/>
        </w:rPr>
      </w:pPr>
      <w:r/>
    </w:p>
    <w:p>
      <w:pPr>
        <w:ind w:left="913"/>
        <w:spacing w:before="78" w:line="221"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4"/>
        </w:rPr>
        <w:t>一、本部门职责</w:t>
      </w:r>
    </w:p>
    <w:p>
      <w:pPr>
        <w:ind w:left="915" w:right="874" w:firstLine="10"/>
        <w:spacing w:before="283" w:line="281" w:lineRule="auto"/>
        <w:rPr>
          <w:rFonts w:ascii="FangSong" w:hAnsi="FangSong" w:eastAsia="FangSong" w:cs="FangSong"/>
          <w:sz w:val="24"/>
          <w:szCs w:val="24"/>
        </w:rPr>
      </w:pPr>
      <w:r>
        <w:rPr>
          <w:rFonts w:ascii="FangSong" w:hAnsi="FangSong" w:eastAsia="FangSong" w:cs="FangSong"/>
          <w:sz w:val="24"/>
          <w:szCs w:val="24"/>
          <w:spacing w:val="-1"/>
        </w:rPr>
        <w:t>1.负责应急管理工作，指导各乡（镇）、各部门应对安全生产类、</w:t>
      </w:r>
      <w:r>
        <w:rPr>
          <w:rFonts w:ascii="FangSong" w:hAnsi="FangSong" w:eastAsia="FangSong" w:cs="FangSong"/>
          <w:sz w:val="24"/>
          <w:szCs w:val="24"/>
          <w:spacing w:val="-58"/>
        </w:rPr>
        <w:t xml:space="preserve"> </w:t>
      </w:r>
      <w:r>
        <w:rPr>
          <w:rFonts w:ascii="FangSong" w:hAnsi="FangSong" w:eastAsia="FangSong" w:cs="FangSong"/>
          <w:sz w:val="24"/>
          <w:szCs w:val="24"/>
          <w:spacing w:val="-1"/>
        </w:rPr>
        <w:t>自</w:t>
      </w:r>
      <w:r>
        <w:rPr>
          <w:rFonts w:ascii="FangSong" w:hAnsi="FangSong" w:eastAsia="FangSong" w:cs="FangSong"/>
          <w:sz w:val="24"/>
          <w:szCs w:val="24"/>
          <w:spacing w:val="-2"/>
        </w:rPr>
        <w:t>然灾害类等突发</w:t>
      </w:r>
      <w:r>
        <w:rPr>
          <w:rFonts w:ascii="FangSong" w:hAnsi="FangSong" w:eastAsia="FangSong" w:cs="FangSong"/>
          <w:sz w:val="24"/>
          <w:szCs w:val="24"/>
          <w:spacing w:val="1"/>
        </w:rPr>
        <w:t>事件和综合防灾减灾救灾工作。负责安全生产综合监督管理和工</w:t>
      </w:r>
      <w:r>
        <w:rPr>
          <w:rFonts w:ascii="FangSong" w:hAnsi="FangSong" w:eastAsia="FangSong" w:cs="FangSong"/>
          <w:sz w:val="24"/>
          <w:szCs w:val="24"/>
        </w:rPr>
        <w:t>矿商贸行业安全生产</w:t>
      </w:r>
      <w:r>
        <w:rPr>
          <w:rFonts w:ascii="FangSong" w:hAnsi="FangSong" w:eastAsia="FangSong" w:cs="FangSong"/>
          <w:sz w:val="24"/>
          <w:szCs w:val="24"/>
          <w:spacing w:val="-6"/>
        </w:rPr>
        <w:t>监督管理工作。</w:t>
      </w:r>
    </w:p>
    <w:p>
      <w:pPr>
        <w:ind w:left="919" w:right="875" w:hanging="8"/>
        <w:spacing w:before="103" w:line="266" w:lineRule="auto"/>
        <w:rPr>
          <w:rFonts w:ascii="FangSong" w:hAnsi="FangSong" w:eastAsia="FangSong" w:cs="FangSong"/>
          <w:sz w:val="24"/>
          <w:szCs w:val="24"/>
        </w:rPr>
      </w:pPr>
      <w:r>
        <w:rPr>
          <w:rFonts w:ascii="FangSong" w:hAnsi="FangSong" w:eastAsia="FangSong" w:cs="FangSong"/>
          <w:sz w:val="24"/>
          <w:szCs w:val="24"/>
          <w:spacing w:val="4"/>
        </w:rPr>
        <w:t>2.贯彻执行应急管理、安全生产等方针政策和法律法规,起草相关地方性规定和细则</w:t>
      </w:r>
      <w:r>
        <w:rPr>
          <w:rFonts w:ascii="FangSong" w:hAnsi="FangSong" w:eastAsia="FangSong" w:cs="FangSong"/>
          <w:sz w:val="24"/>
          <w:szCs w:val="24"/>
          <w:spacing w:val="-2"/>
        </w:rPr>
        <w:t>草案，组织编制应急体系建设、安全生产和综合防灾减灾规划并监督实施。</w:t>
      </w:r>
    </w:p>
    <w:p>
      <w:pPr>
        <w:ind w:left="914" w:right="874" w:hanging="1"/>
        <w:spacing w:before="117" w:line="287" w:lineRule="auto"/>
        <w:rPr>
          <w:rFonts w:ascii="FangSong" w:hAnsi="FangSong" w:eastAsia="FangSong" w:cs="FangSong"/>
          <w:sz w:val="24"/>
          <w:szCs w:val="24"/>
        </w:rPr>
      </w:pPr>
      <w:r>
        <w:rPr>
          <w:rFonts w:ascii="FangSong" w:hAnsi="FangSong" w:eastAsia="FangSong" w:cs="FangSong"/>
          <w:sz w:val="24"/>
          <w:szCs w:val="24"/>
          <w:spacing w:val="4"/>
        </w:rPr>
        <w:t>3.指导应急预案体系建设,建立完善事故灾难和自然灾害分级应对制度，组织编</w:t>
      </w:r>
      <w:r>
        <w:rPr>
          <w:rFonts w:ascii="FangSong" w:hAnsi="FangSong" w:eastAsia="FangSong" w:cs="FangSong"/>
          <w:sz w:val="24"/>
          <w:szCs w:val="24"/>
          <w:spacing w:val="3"/>
        </w:rPr>
        <w:t>制县</w:t>
      </w:r>
      <w:r>
        <w:rPr>
          <w:rFonts w:ascii="FangSong" w:hAnsi="FangSong" w:eastAsia="FangSong" w:cs="FangSong"/>
          <w:sz w:val="24"/>
          <w:szCs w:val="24"/>
          <w:spacing w:val="-1"/>
        </w:rPr>
        <w:t>级总体应急预案和安全生产类、</w:t>
      </w:r>
      <w:r>
        <w:rPr>
          <w:rFonts w:ascii="FangSong" w:hAnsi="FangSong" w:eastAsia="FangSong" w:cs="FangSong"/>
          <w:sz w:val="24"/>
          <w:szCs w:val="24"/>
          <w:spacing w:val="-55"/>
        </w:rPr>
        <w:t xml:space="preserve"> </w:t>
      </w:r>
      <w:r>
        <w:rPr>
          <w:rFonts w:ascii="FangSong" w:hAnsi="FangSong" w:eastAsia="FangSong" w:cs="FangSong"/>
          <w:sz w:val="24"/>
          <w:szCs w:val="24"/>
          <w:spacing w:val="-1"/>
        </w:rPr>
        <w:t>自然灾害类专项预案，综合管理乡（镇）、部门和企</w:t>
      </w:r>
      <w:r>
        <w:rPr>
          <w:rFonts w:ascii="FangSong" w:hAnsi="FangSong" w:eastAsia="FangSong" w:cs="FangSong"/>
          <w:sz w:val="24"/>
          <w:szCs w:val="24"/>
          <w:spacing w:val="1"/>
        </w:rPr>
        <w:t>业应急救援预案，综合协调应急预案衔接工作，组织开展预案演</w:t>
      </w:r>
      <w:r>
        <w:rPr>
          <w:rFonts w:ascii="FangSong" w:hAnsi="FangSong" w:eastAsia="FangSong" w:cs="FangSong"/>
          <w:sz w:val="24"/>
          <w:szCs w:val="24"/>
        </w:rPr>
        <w:t>练，推动应急避难设</w:t>
      </w:r>
      <w:r>
        <w:rPr>
          <w:rFonts w:ascii="FangSong" w:hAnsi="FangSong" w:eastAsia="FangSong" w:cs="FangSong"/>
          <w:sz w:val="24"/>
          <w:szCs w:val="24"/>
          <w:spacing w:val="-9"/>
        </w:rPr>
        <w:t>施建设。</w:t>
      </w:r>
    </w:p>
    <w:p>
      <w:pPr>
        <w:ind w:left="914" w:right="874" w:hanging="7"/>
        <w:spacing w:before="98" w:line="266" w:lineRule="auto"/>
        <w:rPr>
          <w:rFonts w:ascii="FangSong" w:hAnsi="FangSong" w:eastAsia="FangSong" w:cs="FangSong"/>
          <w:sz w:val="24"/>
          <w:szCs w:val="24"/>
        </w:rPr>
      </w:pPr>
      <w:r>
        <w:rPr>
          <w:rFonts w:ascii="FangSong" w:hAnsi="FangSong" w:eastAsia="FangSong" w:cs="FangSong"/>
          <w:sz w:val="24"/>
          <w:szCs w:val="24"/>
          <w:spacing w:val="1"/>
        </w:rPr>
        <w:t>4.牵头建立统一的应急管理信息系统，负责信息传输渠道的规划和布局，建立监</w:t>
      </w:r>
      <w:r>
        <w:rPr>
          <w:rFonts w:ascii="FangSong" w:hAnsi="FangSong" w:eastAsia="FangSong" w:cs="FangSong"/>
          <w:sz w:val="24"/>
          <w:szCs w:val="24"/>
        </w:rPr>
        <w:t>测预</w:t>
      </w:r>
      <w:r>
        <w:rPr>
          <w:rFonts w:ascii="FangSong" w:hAnsi="FangSong" w:eastAsia="FangSong" w:cs="FangSong"/>
          <w:sz w:val="24"/>
          <w:szCs w:val="24"/>
          <w:spacing w:val="-1"/>
        </w:rPr>
        <w:t>警和灾情报告制度,健全自然灾害信息资源获取和共享机制，依法统</w:t>
      </w:r>
      <w:r>
        <w:rPr>
          <w:rFonts w:ascii="FangSong" w:hAnsi="FangSong" w:eastAsia="FangSong" w:cs="FangSong"/>
          <w:sz w:val="24"/>
          <w:szCs w:val="24"/>
          <w:spacing w:val="-2"/>
        </w:rPr>
        <w:t>一发布灾情。</w:t>
      </w:r>
    </w:p>
    <w:p>
      <w:pPr>
        <w:ind w:left="915" w:right="874" w:hanging="2"/>
        <w:spacing w:before="120" w:line="277" w:lineRule="auto"/>
        <w:rPr>
          <w:rFonts w:ascii="FangSong" w:hAnsi="FangSong" w:eastAsia="FangSong" w:cs="FangSong"/>
          <w:sz w:val="24"/>
          <w:szCs w:val="24"/>
        </w:rPr>
      </w:pPr>
      <w:r>
        <w:rPr>
          <w:rFonts w:ascii="FangSong" w:hAnsi="FangSong" w:eastAsia="FangSong" w:cs="FangSong"/>
          <w:sz w:val="24"/>
          <w:szCs w:val="24"/>
          <w:spacing w:val="-1"/>
        </w:rPr>
        <w:t>5.组织指导协调安全生产类、</w:t>
      </w:r>
      <w:r>
        <w:rPr>
          <w:rFonts w:ascii="FangSong" w:hAnsi="FangSong" w:eastAsia="FangSong" w:cs="FangSong"/>
          <w:sz w:val="24"/>
          <w:szCs w:val="24"/>
          <w:spacing w:val="-52"/>
        </w:rPr>
        <w:t xml:space="preserve"> </w:t>
      </w:r>
      <w:r>
        <w:rPr>
          <w:rFonts w:ascii="FangSong" w:hAnsi="FangSong" w:eastAsia="FangSong" w:cs="FangSong"/>
          <w:sz w:val="24"/>
          <w:szCs w:val="24"/>
          <w:spacing w:val="-1"/>
        </w:rPr>
        <w:t>自然灾害类等突发事件应急救援，承担兴县应对一般灾</w:t>
      </w:r>
      <w:r>
        <w:rPr>
          <w:rFonts w:ascii="FangSong" w:hAnsi="FangSong" w:eastAsia="FangSong" w:cs="FangSong"/>
          <w:sz w:val="24"/>
          <w:szCs w:val="24"/>
          <w:spacing w:val="4"/>
        </w:rPr>
        <w:t>害指挥部工作,综合研判突发事件发展态势并提出应对建议，协助县委、县人民政府</w:t>
      </w:r>
      <w:r>
        <w:rPr>
          <w:rFonts w:ascii="FangSong" w:hAnsi="FangSong" w:eastAsia="FangSong" w:cs="FangSong"/>
          <w:sz w:val="24"/>
          <w:szCs w:val="24"/>
          <w:spacing w:val="-3"/>
        </w:rPr>
        <w:t>指定的负责同志组织一般灾害应急处置工作。</w:t>
      </w:r>
    </w:p>
    <w:p>
      <w:pPr>
        <w:ind w:left="916" w:right="874" w:hanging="6"/>
        <w:spacing w:before="119" w:line="260" w:lineRule="auto"/>
        <w:rPr>
          <w:rFonts w:ascii="FangSong" w:hAnsi="FangSong" w:eastAsia="FangSong" w:cs="FangSong"/>
          <w:sz w:val="24"/>
          <w:szCs w:val="24"/>
        </w:rPr>
      </w:pPr>
      <w:r>
        <w:rPr>
          <w:rFonts w:ascii="FangSong" w:hAnsi="FangSong" w:eastAsia="FangSong" w:cs="FangSong"/>
          <w:sz w:val="24"/>
          <w:szCs w:val="24"/>
          <w:spacing w:val="1"/>
        </w:rPr>
        <w:t>6.统一协调指挥各类应急专业队伍，建立应急协调联动机制，推进指挥平</w:t>
      </w:r>
      <w:r>
        <w:rPr>
          <w:rFonts w:ascii="FangSong" w:hAnsi="FangSong" w:eastAsia="FangSong" w:cs="FangSong"/>
          <w:sz w:val="24"/>
          <w:szCs w:val="24"/>
        </w:rPr>
        <w:t>台对接，衔</w:t>
      </w:r>
      <w:r>
        <w:rPr>
          <w:rFonts w:ascii="FangSong" w:hAnsi="FangSong" w:eastAsia="FangSong" w:cs="FangSong"/>
          <w:sz w:val="24"/>
          <w:szCs w:val="24"/>
          <w:spacing w:val="-3"/>
        </w:rPr>
        <w:t>接驻兴县武警部队参与应急救援工作。</w:t>
      </w:r>
    </w:p>
    <w:p>
      <w:pPr>
        <w:ind w:left="914" w:right="874"/>
        <w:spacing w:before="120" w:line="278" w:lineRule="auto"/>
        <w:rPr>
          <w:rFonts w:ascii="FangSong" w:hAnsi="FangSong" w:eastAsia="FangSong" w:cs="FangSong"/>
          <w:sz w:val="24"/>
          <w:szCs w:val="24"/>
        </w:rPr>
      </w:pPr>
      <w:r>
        <w:rPr>
          <w:rFonts w:ascii="FangSong" w:hAnsi="FangSong" w:eastAsia="FangSong" w:cs="FangSong"/>
          <w:sz w:val="24"/>
          <w:szCs w:val="24"/>
          <w:spacing w:val="1"/>
        </w:rPr>
        <w:t>7.统筹消防、森林和草原火灾扑救、抗洪抢险、地震和地质灾害</w:t>
      </w:r>
      <w:r>
        <w:rPr>
          <w:rFonts w:ascii="FangSong" w:hAnsi="FangSong" w:eastAsia="FangSong" w:cs="FangSong"/>
          <w:sz w:val="24"/>
          <w:szCs w:val="24"/>
        </w:rPr>
        <w:t>救援、生产安全事故</w:t>
      </w:r>
      <w:r>
        <w:rPr>
          <w:rFonts w:ascii="FangSong" w:hAnsi="FangSong" w:eastAsia="FangSong" w:cs="FangSong"/>
          <w:sz w:val="24"/>
          <w:szCs w:val="24"/>
          <w:spacing w:val="1"/>
        </w:rPr>
        <w:t>救援等专业应急救援力量建设，管理县级应急救援队伍，指导各乡</w:t>
      </w:r>
      <w:r>
        <w:rPr>
          <w:rFonts w:ascii="FangSong" w:hAnsi="FangSong" w:eastAsia="FangSong" w:cs="FangSong"/>
          <w:sz w:val="24"/>
          <w:szCs w:val="24"/>
        </w:rPr>
        <w:t>（镇）及社会应急</w:t>
      </w:r>
      <w:r>
        <w:rPr>
          <w:rFonts w:ascii="FangSong" w:hAnsi="FangSong" w:eastAsia="FangSong" w:cs="FangSong"/>
          <w:sz w:val="24"/>
          <w:szCs w:val="24"/>
          <w:spacing w:val="-6"/>
        </w:rPr>
        <w:t>救援力量建设。</w:t>
      </w:r>
    </w:p>
    <w:p>
      <w:pPr>
        <w:ind w:left="909"/>
        <w:spacing w:before="115" w:line="220" w:lineRule="auto"/>
        <w:rPr>
          <w:rFonts w:ascii="FangSong" w:hAnsi="FangSong" w:eastAsia="FangSong" w:cs="FangSong"/>
          <w:sz w:val="24"/>
          <w:szCs w:val="24"/>
        </w:rPr>
      </w:pPr>
      <w:r>
        <w:rPr>
          <w:rFonts w:ascii="FangSong" w:hAnsi="FangSong" w:eastAsia="FangSong" w:cs="FangSong"/>
          <w:sz w:val="24"/>
          <w:szCs w:val="24"/>
          <w:spacing w:val="-2"/>
        </w:rPr>
        <w:t>8.组织指导消防监督、火灾预防、火灾扑救等工作。</w:t>
      </w:r>
    </w:p>
    <w:p>
      <w:pPr>
        <w:ind w:left="918" w:right="874" w:hanging="9"/>
        <w:spacing w:before="103" w:line="266" w:lineRule="auto"/>
        <w:rPr>
          <w:rFonts w:ascii="FangSong" w:hAnsi="FangSong" w:eastAsia="FangSong" w:cs="FangSong"/>
          <w:sz w:val="24"/>
          <w:szCs w:val="24"/>
        </w:rPr>
      </w:pPr>
      <w:r>
        <w:rPr>
          <w:rFonts w:ascii="FangSong" w:hAnsi="FangSong" w:eastAsia="FangSong" w:cs="FangSong"/>
          <w:sz w:val="24"/>
          <w:szCs w:val="24"/>
          <w:spacing w:val="1"/>
        </w:rPr>
        <w:t>9.指导协调森林和草原火灾、水旱灾害、地震和地质灾害等防治工作，负责</w:t>
      </w:r>
      <w:r>
        <w:rPr>
          <w:rFonts w:ascii="FangSong" w:hAnsi="FangSong" w:eastAsia="FangSong" w:cs="FangSong"/>
          <w:sz w:val="24"/>
          <w:szCs w:val="24"/>
        </w:rPr>
        <w:t>自然灾害</w:t>
      </w:r>
      <w:r>
        <w:rPr>
          <w:rFonts w:ascii="FangSong" w:hAnsi="FangSong" w:eastAsia="FangSong" w:cs="FangSong"/>
          <w:sz w:val="24"/>
          <w:szCs w:val="24"/>
          <w:spacing w:val="-2"/>
        </w:rPr>
        <w:t>综合监测预警工作，指导开展自然灾害综合风险评估工作。</w:t>
      </w:r>
    </w:p>
    <w:p>
      <w:pPr>
        <w:ind w:left="918" w:right="913" w:firstLine="7"/>
        <w:spacing w:before="119" w:line="260" w:lineRule="auto"/>
        <w:rPr>
          <w:rFonts w:ascii="FangSong" w:hAnsi="FangSong" w:eastAsia="FangSong" w:cs="FangSong"/>
          <w:sz w:val="24"/>
          <w:szCs w:val="24"/>
        </w:rPr>
      </w:pPr>
      <w:r>
        <w:rPr>
          <w:rFonts w:ascii="FangSong" w:hAnsi="FangSong" w:eastAsia="FangSong" w:cs="FangSong"/>
          <w:sz w:val="24"/>
          <w:szCs w:val="24"/>
          <w:spacing w:val="3"/>
        </w:rPr>
        <w:t>10.组织协调灾害救助工作，组织指导灾情核查、</w:t>
      </w:r>
      <w:r>
        <w:rPr>
          <w:rFonts w:ascii="FangSong" w:hAnsi="FangSong" w:eastAsia="FangSong" w:cs="FangSong"/>
          <w:sz w:val="24"/>
          <w:szCs w:val="24"/>
          <w:spacing w:val="2"/>
        </w:rPr>
        <w:t>损失评估、救灾捐赠工作，管理、</w:t>
      </w:r>
      <w:r>
        <w:rPr>
          <w:rFonts w:ascii="FangSong" w:hAnsi="FangSong" w:eastAsia="FangSong" w:cs="FangSong"/>
          <w:sz w:val="24"/>
          <w:szCs w:val="24"/>
          <w:spacing w:val="-3"/>
        </w:rPr>
        <w:t>分配市级划拨和县级救灾款物并监督使用。</w:t>
      </w:r>
    </w:p>
    <w:p>
      <w:pPr>
        <w:ind w:left="938" w:right="875" w:hanging="12"/>
        <w:spacing w:before="118" w:line="266" w:lineRule="auto"/>
        <w:rPr>
          <w:rFonts w:ascii="FangSong" w:hAnsi="FangSong" w:eastAsia="FangSong" w:cs="FangSong"/>
          <w:sz w:val="24"/>
          <w:szCs w:val="24"/>
        </w:rPr>
      </w:pPr>
      <w:r>
        <w:rPr>
          <w:rFonts w:ascii="FangSong" w:hAnsi="FangSong" w:eastAsia="FangSong" w:cs="FangSong"/>
          <w:sz w:val="24"/>
          <w:szCs w:val="24"/>
          <w:spacing w:val="4"/>
        </w:rPr>
        <w:t>11.依法行使安全生产综合监督管理职权，指导协</w:t>
      </w:r>
      <w:r>
        <w:rPr>
          <w:rFonts w:ascii="FangSong" w:hAnsi="FangSong" w:eastAsia="FangSong" w:cs="FangSong"/>
          <w:sz w:val="24"/>
          <w:szCs w:val="24"/>
          <w:spacing w:val="3"/>
        </w:rPr>
        <w:t>调、监督检查县有关部门、单位和</w:t>
      </w:r>
      <w:r>
        <w:rPr>
          <w:rFonts w:ascii="FangSong" w:hAnsi="FangSong" w:eastAsia="FangSong" w:cs="FangSong"/>
          <w:sz w:val="24"/>
          <w:szCs w:val="24"/>
          <w:spacing w:val="-2"/>
        </w:rPr>
        <w:t>乡（镇）人民政府安全生产工作，组织开展安全生产</w:t>
      </w:r>
      <w:r>
        <w:rPr>
          <w:rFonts w:ascii="FangSong" w:hAnsi="FangSong" w:eastAsia="FangSong" w:cs="FangSong"/>
          <w:sz w:val="24"/>
          <w:szCs w:val="24"/>
          <w:spacing w:val="-3"/>
        </w:rPr>
        <w:t>巡查、考核工作。</w:t>
      </w:r>
    </w:p>
    <w:p>
      <w:pPr>
        <w:ind w:left="913" w:right="874" w:firstLine="12"/>
        <w:spacing w:before="101" w:line="296" w:lineRule="auto"/>
        <w:rPr>
          <w:rFonts w:ascii="FangSong" w:hAnsi="FangSong" w:eastAsia="FangSong" w:cs="FangSong"/>
          <w:sz w:val="24"/>
          <w:szCs w:val="24"/>
        </w:rPr>
      </w:pPr>
      <w:r>
        <w:rPr>
          <w:rFonts w:ascii="FangSong" w:hAnsi="FangSong" w:eastAsia="FangSong" w:cs="FangSong"/>
          <w:sz w:val="24"/>
          <w:szCs w:val="24"/>
          <w:spacing w:val="4"/>
        </w:rPr>
        <w:t>12.按照分级、属地原则，负责监督管理工矿商贸</w:t>
      </w:r>
      <w:r>
        <w:rPr>
          <w:rFonts w:ascii="FangSong" w:hAnsi="FangSong" w:eastAsia="FangSong" w:cs="FangSong"/>
          <w:sz w:val="24"/>
          <w:szCs w:val="24"/>
          <w:spacing w:val="3"/>
        </w:rPr>
        <w:t>行业企业安全生产工作，依法监督</w:t>
      </w:r>
      <w:r>
        <w:rPr>
          <w:rFonts w:ascii="FangSong" w:hAnsi="FangSong" w:eastAsia="FangSong" w:cs="FangSong"/>
          <w:sz w:val="24"/>
          <w:szCs w:val="24"/>
          <w:spacing w:val="1"/>
        </w:rPr>
        <w:t>检查工矿商贸行业生产经营单位贯彻执行安全生产法律法规情况及其</w:t>
      </w:r>
      <w:r>
        <w:rPr>
          <w:rFonts w:ascii="FangSong" w:hAnsi="FangSong" w:eastAsia="FangSong" w:cs="FangSong"/>
          <w:sz w:val="24"/>
          <w:szCs w:val="24"/>
        </w:rPr>
        <w:t>安全生产条件和</w:t>
      </w:r>
      <w:r>
        <w:rPr>
          <w:rFonts w:ascii="FangSong" w:hAnsi="FangSong" w:eastAsia="FangSong" w:cs="FangSong"/>
          <w:sz w:val="24"/>
          <w:szCs w:val="24"/>
          <w:spacing w:val="1"/>
        </w:rPr>
        <w:t>有关设备(特种设备除外)、材料、劳动防护用品的安全生产管理工</w:t>
      </w:r>
      <w:r>
        <w:rPr>
          <w:rFonts w:ascii="FangSong" w:hAnsi="FangSong" w:eastAsia="FangSong" w:cs="FangSong"/>
          <w:sz w:val="24"/>
          <w:szCs w:val="24"/>
        </w:rPr>
        <w:t>作。负责煤矿安全</w:t>
      </w:r>
      <w:r>
        <w:rPr>
          <w:rFonts w:ascii="FangSong" w:hAnsi="FangSong" w:eastAsia="FangSong" w:cs="FangSong"/>
          <w:sz w:val="24"/>
          <w:szCs w:val="24"/>
          <w:spacing w:val="7"/>
        </w:rPr>
        <w:t>监督管理工作。负责非煤矿山和工贸行业的安全监督管理工作。负责全县洗(选)煤</w:t>
      </w:r>
      <w:r>
        <w:rPr>
          <w:rFonts w:ascii="FangSong" w:hAnsi="FangSong" w:eastAsia="FangSong" w:cs="FangSong"/>
          <w:sz w:val="24"/>
          <w:szCs w:val="24"/>
          <w:spacing w:val="1"/>
        </w:rPr>
        <w:t>厂、配煤、型煤加工企业的安全监督管理工作。负责危险化学品安全</w:t>
      </w:r>
      <w:r>
        <w:rPr>
          <w:rFonts w:ascii="FangSong" w:hAnsi="FangSong" w:eastAsia="FangSong" w:cs="FangSong"/>
          <w:sz w:val="24"/>
          <w:szCs w:val="24"/>
        </w:rPr>
        <w:t>监督管理综合工</w:t>
      </w:r>
      <w:r>
        <w:rPr>
          <w:rFonts w:ascii="FangSong" w:hAnsi="FangSong" w:eastAsia="FangSong" w:cs="FangSong"/>
          <w:sz w:val="24"/>
          <w:szCs w:val="24"/>
          <w:spacing w:val="1"/>
        </w:rPr>
        <w:t>作和烟花爆竹行业安全生产监督管理工作。依法组织并指导监督实施</w:t>
      </w:r>
      <w:r>
        <w:rPr>
          <w:rFonts w:ascii="FangSong" w:hAnsi="FangSong" w:eastAsia="FangSong" w:cs="FangSong"/>
          <w:sz w:val="24"/>
          <w:szCs w:val="24"/>
        </w:rPr>
        <w:t>安全生产准入制</w:t>
      </w:r>
      <w:r>
        <w:rPr>
          <w:rFonts w:ascii="FangSong" w:hAnsi="FangSong" w:eastAsia="FangSong" w:cs="FangSong"/>
          <w:sz w:val="24"/>
          <w:szCs w:val="24"/>
          <w:spacing w:val="-12"/>
        </w:rPr>
        <w:t>度。</w:t>
      </w:r>
    </w:p>
    <w:p>
      <w:pPr>
        <w:ind w:left="926"/>
        <w:spacing w:before="115" w:line="222" w:lineRule="auto"/>
        <w:rPr>
          <w:rFonts w:ascii="FangSong" w:hAnsi="FangSong" w:eastAsia="FangSong" w:cs="FangSong"/>
          <w:sz w:val="24"/>
          <w:szCs w:val="24"/>
        </w:rPr>
      </w:pPr>
      <w:r>
        <w:rPr>
          <w:rFonts w:ascii="FangSong" w:hAnsi="FangSong" w:eastAsia="FangSong" w:cs="FangSong"/>
          <w:sz w:val="24"/>
          <w:szCs w:val="24"/>
          <w:spacing w:val="4"/>
        </w:rPr>
        <w:t>13.依法组织指导生产安全事故调查处理，监督事</w:t>
      </w:r>
      <w:r>
        <w:rPr>
          <w:rFonts w:ascii="FangSong" w:hAnsi="FangSong" w:eastAsia="FangSong" w:cs="FangSong"/>
          <w:sz w:val="24"/>
          <w:szCs w:val="24"/>
          <w:spacing w:val="3"/>
        </w:rPr>
        <w:t>故查处和责任追究落实情况。组织</w:t>
      </w:r>
    </w:p>
    <w:p>
      <w:pPr>
        <w:spacing w:line="222" w:lineRule="auto"/>
        <w:sectPr>
          <w:headerReference w:type="default" r:id="rId2"/>
          <w:footerReference w:type="default" r:id="rId3"/>
          <w:pgSz w:w="11900" w:h="16840"/>
          <w:pgMar w:top="642" w:right="600" w:bottom="340" w:left="600" w:header="326" w:footer="110" w:gutter="0"/>
        </w:sectPr>
        <w:rPr>
          <w:rFonts w:ascii="FangSong" w:hAnsi="FangSong" w:eastAsia="FangSong" w:cs="FangSong"/>
          <w:sz w:val="24"/>
          <w:szCs w:val="24"/>
        </w:rPr>
      </w:pPr>
    </w:p>
    <w:p>
      <w:pPr>
        <w:spacing w:line="270" w:lineRule="auto"/>
        <w:rPr>
          <w:rFonts w:ascii="Arial"/>
          <w:sz w:val="21"/>
        </w:rPr>
      </w:pPr>
      <w:r/>
    </w:p>
    <w:p>
      <w:pPr>
        <w:spacing w:line="271" w:lineRule="auto"/>
        <w:rPr>
          <w:rFonts w:ascii="Arial"/>
          <w:sz w:val="21"/>
        </w:rPr>
      </w:pPr>
      <w:r/>
    </w:p>
    <w:p>
      <w:pPr>
        <w:ind w:left="915"/>
        <w:spacing w:before="78" w:line="220" w:lineRule="auto"/>
        <w:rPr>
          <w:rFonts w:ascii="FangSong" w:hAnsi="FangSong" w:eastAsia="FangSong" w:cs="FangSong"/>
          <w:sz w:val="24"/>
          <w:szCs w:val="24"/>
        </w:rPr>
      </w:pPr>
      <w:bookmarkStart w:name="bookmark36" w:id="5"/>
      <w:bookmarkEnd w:id="5"/>
      <w:r>
        <w:rPr>
          <w:rFonts w:ascii="FangSong" w:hAnsi="FangSong" w:eastAsia="FangSong" w:cs="FangSong"/>
          <w:sz w:val="24"/>
          <w:szCs w:val="24"/>
          <w:spacing w:val="-3"/>
        </w:rPr>
        <w:t>开展自然灾害类突发事件的调查评估工作。</w:t>
      </w:r>
    </w:p>
    <w:p>
      <w:pPr>
        <w:ind w:left="915" w:right="875" w:firstLine="10"/>
        <w:spacing w:before="119" w:line="260" w:lineRule="auto"/>
        <w:rPr>
          <w:rFonts w:ascii="FangSong" w:hAnsi="FangSong" w:eastAsia="FangSong" w:cs="FangSong"/>
          <w:sz w:val="24"/>
          <w:szCs w:val="24"/>
        </w:rPr>
      </w:pPr>
      <w:r>
        <w:rPr>
          <w:rFonts w:ascii="FangSong" w:hAnsi="FangSong" w:eastAsia="FangSong" w:cs="FangSong"/>
          <w:sz w:val="24"/>
          <w:szCs w:val="24"/>
          <w:spacing w:val="2"/>
        </w:rPr>
        <w:t>14.开展应急管理方面的对外交流与合作，组织参与安全生产类、</w:t>
      </w:r>
      <w:r>
        <w:rPr>
          <w:rFonts w:ascii="FangSong" w:hAnsi="FangSong" w:eastAsia="FangSong" w:cs="FangSong"/>
          <w:sz w:val="24"/>
          <w:szCs w:val="24"/>
          <w:spacing w:val="-55"/>
        </w:rPr>
        <w:t xml:space="preserve"> </w:t>
      </w:r>
      <w:r>
        <w:rPr>
          <w:rFonts w:ascii="FangSong" w:hAnsi="FangSong" w:eastAsia="FangSong" w:cs="FangSong"/>
          <w:sz w:val="24"/>
          <w:szCs w:val="24"/>
          <w:spacing w:val="2"/>
        </w:rPr>
        <w:t>自然灾害</w:t>
      </w:r>
      <w:r>
        <w:rPr>
          <w:rFonts w:ascii="FangSong" w:hAnsi="FangSong" w:eastAsia="FangSong" w:cs="FangSong"/>
          <w:sz w:val="24"/>
          <w:szCs w:val="24"/>
          <w:spacing w:val="1"/>
        </w:rPr>
        <w:t>类等突发</w:t>
      </w:r>
      <w:r>
        <w:rPr>
          <w:rFonts w:ascii="FangSong" w:hAnsi="FangSong" w:eastAsia="FangSong" w:cs="FangSong"/>
          <w:sz w:val="24"/>
          <w:szCs w:val="24"/>
          <w:spacing w:val="-3"/>
        </w:rPr>
        <w:t>事件的出县救援工作和县际之间应急救援合作。</w:t>
      </w:r>
    </w:p>
    <w:p>
      <w:pPr>
        <w:ind w:left="915" w:right="875" w:firstLine="10"/>
        <w:spacing w:before="120" w:line="265" w:lineRule="auto"/>
        <w:rPr>
          <w:rFonts w:ascii="FangSong" w:hAnsi="FangSong" w:eastAsia="FangSong" w:cs="FangSong"/>
          <w:sz w:val="24"/>
          <w:szCs w:val="24"/>
        </w:rPr>
      </w:pPr>
      <w:r>
        <w:rPr>
          <w:rFonts w:ascii="FangSong" w:hAnsi="FangSong" w:eastAsia="FangSong" w:cs="FangSong"/>
          <w:sz w:val="24"/>
          <w:szCs w:val="24"/>
          <w:spacing w:val="4"/>
        </w:rPr>
        <w:t>15.制定应急物资储备和应急救援装备规划并组织</w:t>
      </w:r>
      <w:r>
        <w:rPr>
          <w:rFonts w:ascii="FangSong" w:hAnsi="FangSong" w:eastAsia="FangSong" w:cs="FangSong"/>
          <w:sz w:val="24"/>
          <w:szCs w:val="24"/>
          <w:spacing w:val="3"/>
        </w:rPr>
        <w:t>实施，会同县发展和改革局等部门</w:t>
      </w:r>
      <w:r>
        <w:rPr>
          <w:rFonts w:ascii="FangSong" w:hAnsi="FangSong" w:eastAsia="FangSong" w:cs="FangSong"/>
          <w:sz w:val="24"/>
          <w:szCs w:val="24"/>
          <w:spacing w:val="-1"/>
        </w:rPr>
        <w:t>建立健全全县应急物资信息平台和调拨制度</w:t>
      </w:r>
      <w:r>
        <w:rPr>
          <w:rFonts w:ascii="FangSong" w:hAnsi="FangSong" w:eastAsia="FangSong" w:cs="FangSong"/>
          <w:sz w:val="24"/>
          <w:szCs w:val="24"/>
          <w:spacing w:val="-2"/>
        </w:rPr>
        <w:t>，在救灾时统一调度。</w:t>
      </w:r>
    </w:p>
    <w:p>
      <w:pPr>
        <w:ind w:left="916" w:right="875" w:firstLine="9"/>
        <w:spacing w:before="104" w:line="266" w:lineRule="auto"/>
        <w:rPr>
          <w:rFonts w:ascii="FangSong" w:hAnsi="FangSong" w:eastAsia="FangSong" w:cs="FangSong"/>
          <w:sz w:val="24"/>
          <w:szCs w:val="24"/>
        </w:rPr>
      </w:pPr>
      <w:r>
        <w:rPr>
          <w:rFonts w:ascii="FangSong" w:hAnsi="FangSong" w:eastAsia="FangSong" w:cs="FangSong"/>
          <w:sz w:val="24"/>
          <w:szCs w:val="24"/>
          <w:spacing w:val="4"/>
        </w:rPr>
        <w:t>16.负责应急管理、安全生产宣传教育和培训工作</w:t>
      </w:r>
      <w:r>
        <w:rPr>
          <w:rFonts w:ascii="FangSong" w:hAnsi="FangSong" w:eastAsia="FangSong" w:cs="FangSong"/>
          <w:sz w:val="24"/>
          <w:szCs w:val="24"/>
          <w:spacing w:val="3"/>
        </w:rPr>
        <w:t>，组织指导应急管理、安全生产的</w:t>
      </w:r>
      <w:r>
        <w:rPr>
          <w:rFonts w:ascii="FangSong" w:hAnsi="FangSong" w:eastAsia="FangSong" w:cs="FangSong"/>
          <w:sz w:val="24"/>
          <w:szCs w:val="24"/>
          <w:spacing w:val="-3"/>
        </w:rPr>
        <w:t>科学技术研究、推广应用和信息化建设工作。</w:t>
      </w:r>
    </w:p>
    <w:p>
      <w:pPr>
        <w:ind w:left="917" w:right="874" w:firstLine="8"/>
        <w:spacing w:before="119" w:line="277" w:lineRule="auto"/>
        <w:rPr>
          <w:rFonts w:ascii="FangSong" w:hAnsi="FangSong" w:eastAsia="FangSong" w:cs="FangSong"/>
          <w:sz w:val="24"/>
          <w:szCs w:val="24"/>
        </w:rPr>
      </w:pPr>
      <w:r>
        <w:rPr>
          <w:rFonts w:ascii="FangSong" w:hAnsi="FangSong" w:eastAsia="FangSong" w:cs="FangSong"/>
          <w:sz w:val="24"/>
          <w:szCs w:val="24"/>
          <w:spacing w:val="4"/>
        </w:rPr>
        <w:t>17.县应急管理局为县防震减灾工作主管部门，相</w:t>
      </w:r>
      <w:r>
        <w:rPr>
          <w:rFonts w:ascii="FangSong" w:hAnsi="FangSong" w:eastAsia="FangSong" w:cs="FangSong"/>
          <w:sz w:val="24"/>
          <w:szCs w:val="24"/>
          <w:spacing w:val="3"/>
        </w:rPr>
        <w:t>关工作接受市地震局业务指导，负</w:t>
      </w:r>
      <w:r>
        <w:rPr>
          <w:rFonts w:ascii="FangSong" w:hAnsi="FangSong" w:eastAsia="FangSong" w:cs="FangSong"/>
          <w:sz w:val="24"/>
          <w:szCs w:val="24"/>
          <w:spacing w:val="1"/>
        </w:rPr>
        <w:t>责配合有关部门做好因地震引发的生产安全事故应急处置工</w:t>
      </w:r>
      <w:r>
        <w:rPr>
          <w:rFonts w:ascii="FangSong" w:hAnsi="FangSong" w:eastAsia="FangSong" w:cs="FangSong"/>
          <w:sz w:val="24"/>
          <w:szCs w:val="24"/>
        </w:rPr>
        <w:t>作，负责做好防震知识宣</w:t>
      </w:r>
      <w:r>
        <w:rPr>
          <w:rFonts w:ascii="FangSong" w:hAnsi="FangSong" w:eastAsia="FangSong" w:cs="FangSong"/>
          <w:sz w:val="24"/>
          <w:szCs w:val="24"/>
          <w:spacing w:val="-5"/>
        </w:rPr>
        <w:t>传和防震救援演练工作。</w:t>
      </w:r>
    </w:p>
    <w:p>
      <w:pPr>
        <w:ind w:left="922" w:right="875" w:firstLine="3"/>
        <w:spacing w:before="119" w:line="260" w:lineRule="auto"/>
        <w:rPr>
          <w:rFonts w:ascii="FangSong" w:hAnsi="FangSong" w:eastAsia="FangSong" w:cs="FangSong"/>
          <w:sz w:val="24"/>
          <w:szCs w:val="24"/>
        </w:rPr>
      </w:pPr>
      <w:r>
        <w:rPr>
          <w:rFonts w:ascii="FangSong" w:hAnsi="FangSong" w:eastAsia="FangSong" w:cs="FangSong"/>
          <w:sz w:val="24"/>
          <w:szCs w:val="24"/>
          <w:spacing w:val="4"/>
        </w:rPr>
        <w:t>18.负责民用爆炸物品生产销售的安全监督管理及</w:t>
      </w:r>
      <w:r>
        <w:rPr>
          <w:rFonts w:ascii="FangSong" w:hAnsi="FangSong" w:eastAsia="FangSong" w:cs="FangSong"/>
          <w:sz w:val="24"/>
          <w:szCs w:val="24"/>
          <w:spacing w:val="3"/>
        </w:rPr>
        <w:t>民用爆炸物品行业安全生产综合监</w:t>
      </w:r>
      <w:r>
        <w:rPr>
          <w:rFonts w:ascii="FangSong" w:hAnsi="FangSong" w:eastAsia="FangSong" w:cs="FangSong"/>
          <w:sz w:val="24"/>
          <w:szCs w:val="24"/>
          <w:spacing w:val="-8"/>
        </w:rPr>
        <w:t>督管理工作。</w:t>
      </w:r>
    </w:p>
    <w:p>
      <w:pPr>
        <w:ind w:left="926"/>
        <w:spacing w:before="118" w:line="222" w:lineRule="auto"/>
        <w:rPr>
          <w:rFonts w:ascii="FangSong" w:hAnsi="FangSong" w:eastAsia="FangSong" w:cs="FangSong"/>
          <w:sz w:val="24"/>
          <w:szCs w:val="24"/>
        </w:rPr>
      </w:pPr>
      <w:r>
        <w:rPr>
          <w:rFonts w:ascii="FangSong" w:hAnsi="FangSong" w:eastAsia="FangSong" w:cs="FangSong"/>
          <w:sz w:val="24"/>
          <w:szCs w:val="24"/>
          <w:spacing w:val="-3"/>
        </w:rPr>
        <w:t>19.完成县委、县人民政府交办的其他任务。</w:t>
      </w:r>
    </w:p>
    <w:p>
      <w:pPr>
        <w:ind w:left="913"/>
        <w:spacing w:before="296" w:line="222" w:lineRule="auto"/>
        <w:outlineLvl w:val="1"/>
        <w:rPr>
          <w:rFonts w:ascii="SimHei" w:hAnsi="SimHei" w:eastAsia="SimHei" w:cs="SimHei"/>
          <w:sz w:val="24"/>
          <w:szCs w:val="24"/>
        </w:rPr>
      </w:pPr>
      <w:bookmarkStart w:name="bookmark4" w:id="6"/>
      <w:bookmarkEnd w:id="6"/>
      <w:r>
        <w:rPr>
          <w:rFonts w:ascii="SimHei" w:hAnsi="SimHei" w:eastAsia="SimHei" w:cs="SimHei"/>
          <w:sz w:val="24"/>
          <w:szCs w:val="24"/>
          <w:spacing w:val="-2"/>
        </w:rPr>
        <w:t>二、机构设置情况</w:t>
      </w:r>
    </w:p>
    <w:p>
      <w:pPr>
        <w:ind w:left="915" w:right="874" w:firstLine="423"/>
        <w:spacing w:before="101" w:line="308" w:lineRule="auto"/>
        <w:jc w:val="both"/>
        <w:rPr>
          <w:rFonts w:ascii="FangSong" w:hAnsi="FangSong" w:eastAsia="FangSong" w:cs="FangSong"/>
          <w:sz w:val="24"/>
          <w:szCs w:val="24"/>
        </w:rPr>
      </w:pPr>
      <w:r>
        <w:rPr>
          <w:rFonts w:ascii="FangSong" w:hAnsi="FangSong" w:eastAsia="FangSong" w:cs="FangSong"/>
          <w:sz w:val="24"/>
          <w:szCs w:val="24"/>
          <w:spacing w:val="10"/>
        </w:rPr>
        <w:t>内设机构有：综合办公室、预案管理和训练</w:t>
      </w:r>
      <w:r>
        <w:rPr>
          <w:rFonts w:ascii="FangSong" w:hAnsi="FangSong" w:eastAsia="FangSong" w:cs="FangSong"/>
          <w:sz w:val="24"/>
          <w:szCs w:val="24"/>
          <w:spacing w:val="9"/>
        </w:rPr>
        <w:t>规划股、火灾防治和自然灾害救援</w:t>
      </w:r>
      <w:r>
        <w:rPr>
          <w:rFonts w:ascii="FangSong" w:hAnsi="FangSong" w:eastAsia="FangSong" w:cs="FangSong"/>
          <w:sz w:val="24"/>
          <w:szCs w:val="24"/>
          <w:spacing w:val="1"/>
        </w:rPr>
        <w:t>股、救灾减灾和物资保障股、安全生产综合协调股、煤矿安全监</w:t>
      </w:r>
      <w:r>
        <w:rPr>
          <w:rFonts w:ascii="FangSong" w:hAnsi="FangSong" w:eastAsia="FangSong" w:cs="FangSong"/>
          <w:sz w:val="24"/>
          <w:szCs w:val="24"/>
        </w:rPr>
        <w:t>督管理股、、非煤矿</w:t>
      </w:r>
      <w:r>
        <w:rPr>
          <w:rFonts w:ascii="FangSong" w:hAnsi="FangSong" w:eastAsia="FangSong" w:cs="FangSong"/>
          <w:sz w:val="24"/>
          <w:szCs w:val="24"/>
          <w:spacing w:val="-2"/>
        </w:rPr>
        <w:t>山和工贸行业安全监督管理股、危险化学品安全监督管理股。</w:t>
      </w:r>
    </w:p>
    <w:p>
      <w:pPr>
        <w:ind w:left="922" w:right="874" w:firstLine="721"/>
        <w:spacing w:before="2" w:line="305" w:lineRule="auto"/>
        <w:rPr>
          <w:rFonts w:ascii="FangSong" w:hAnsi="FangSong" w:eastAsia="FangSong" w:cs="FangSong"/>
          <w:sz w:val="24"/>
          <w:szCs w:val="24"/>
        </w:rPr>
      </w:pPr>
      <w:r>
        <w:rPr>
          <w:rFonts w:ascii="FangSong" w:hAnsi="FangSong" w:eastAsia="FangSong" w:cs="FangSong"/>
          <w:sz w:val="24"/>
          <w:szCs w:val="24"/>
          <w:spacing w:val="1"/>
        </w:rPr>
        <w:t>县应急管理局机关行政编制11名，设局长</w:t>
      </w:r>
      <w:r>
        <w:rPr>
          <w:rFonts w:ascii="FangSong" w:hAnsi="FangSong" w:eastAsia="FangSong" w:cs="FangSong"/>
          <w:sz w:val="24"/>
          <w:szCs w:val="24"/>
        </w:rPr>
        <w:t>1名，副局长2名，科级领导职数1正2</w:t>
      </w:r>
      <w:r>
        <w:rPr>
          <w:rFonts w:ascii="FangSong" w:hAnsi="FangSong" w:eastAsia="FangSong" w:cs="FangSong"/>
          <w:sz w:val="24"/>
          <w:szCs w:val="24"/>
          <w:spacing w:val="-14"/>
        </w:rPr>
        <w:t>副。</w:t>
      </w:r>
    </w:p>
    <w:p>
      <w:pPr>
        <w:ind w:left="917" w:right="874" w:firstLine="726"/>
        <w:spacing w:before="3" w:line="307" w:lineRule="auto"/>
        <w:jc w:val="both"/>
        <w:rPr>
          <w:rFonts w:ascii="FangSong" w:hAnsi="FangSong" w:eastAsia="FangSong" w:cs="FangSong"/>
          <w:sz w:val="24"/>
          <w:szCs w:val="24"/>
        </w:rPr>
      </w:pPr>
      <w:r>
        <w:rPr>
          <w:rFonts w:ascii="FangSong" w:hAnsi="FangSong" w:eastAsia="FangSong" w:cs="FangSong"/>
          <w:sz w:val="24"/>
          <w:szCs w:val="24"/>
          <w:spacing w:val="1"/>
        </w:rPr>
        <w:t>县应急管理局所属事业单位为兴县应急管理</w:t>
      </w:r>
      <w:r>
        <w:rPr>
          <w:rFonts w:ascii="FangSong" w:hAnsi="FangSong" w:eastAsia="FangSong" w:cs="FangSong"/>
          <w:sz w:val="24"/>
          <w:szCs w:val="24"/>
        </w:rPr>
        <w:t>综合行政执法队，与应急管理局实</w:t>
      </w:r>
      <w:r>
        <w:rPr>
          <w:rFonts w:ascii="FangSong" w:hAnsi="FangSong" w:eastAsia="FangSong" w:cs="FangSong"/>
          <w:sz w:val="24"/>
          <w:szCs w:val="24"/>
        </w:rPr>
        <w:t>行“局队合一</w:t>
      </w:r>
      <w:r>
        <w:rPr>
          <w:rFonts w:ascii="FangSong" w:hAnsi="FangSong" w:eastAsia="FangSong" w:cs="FangSong"/>
          <w:sz w:val="24"/>
          <w:szCs w:val="24"/>
          <w:spacing w:val="-87"/>
        </w:rPr>
        <w:t xml:space="preserve"> </w:t>
      </w:r>
      <w:r>
        <w:rPr>
          <w:rFonts w:ascii="FangSong" w:hAnsi="FangSong" w:eastAsia="FangSong" w:cs="FangSong"/>
          <w:sz w:val="24"/>
          <w:szCs w:val="24"/>
        </w:rPr>
        <w:t>”体制，为公益一类事业单位，内设机构有：办公室、</w:t>
      </w:r>
      <w:r>
        <w:rPr>
          <w:rFonts w:ascii="FangSong" w:hAnsi="FangSong" w:eastAsia="FangSong" w:cs="FangSong"/>
          <w:sz w:val="24"/>
          <w:szCs w:val="24"/>
          <w:spacing w:val="-1"/>
        </w:rPr>
        <w:t>执法一中队、执</w:t>
      </w:r>
      <w:r>
        <w:rPr>
          <w:rFonts w:ascii="FangSong" w:hAnsi="FangSong" w:eastAsia="FangSong" w:cs="FangSong"/>
          <w:sz w:val="24"/>
          <w:szCs w:val="24"/>
          <w:spacing w:val="-5"/>
        </w:rPr>
        <w:t>法二中队、执法监督股。</w:t>
      </w:r>
    </w:p>
    <w:p>
      <w:pPr>
        <w:ind w:left="924" w:right="875" w:firstLine="738"/>
        <w:spacing w:before="1" w:line="311" w:lineRule="auto"/>
        <w:rPr>
          <w:rFonts w:ascii="FangSong" w:hAnsi="FangSong" w:eastAsia="FangSong" w:cs="FangSong"/>
          <w:sz w:val="24"/>
          <w:szCs w:val="24"/>
        </w:rPr>
      </w:pPr>
      <w:r>
        <w:rPr>
          <w:rFonts w:ascii="FangSong" w:hAnsi="FangSong" w:eastAsia="FangSong" w:cs="FangSong"/>
          <w:sz w:val="24"/>
          <w:szCs w:val="24"/>
          <w:spacing w:val="3"/>
        </w:rPr>
        <w:t>县应急管理综合行政执法队核定编制29名，设队长1名（由县应急管理局局长</w:t>
      </w:r>
      <w:r>
        <w:rPr>
          <w:rFonts w:ascii="FangSong" w:hAnsi="FangSong" w:eastAsia="FangSong" w:cs="FangSong"/>
          <w:sz w:val="24"/>
          <w:szCs w:val="24"/>
          <w:spacing w:val="-4"/>
        </w:rPr>
        <w:t>兼任</w:t>
      </w:r>
      <w:r>
        <w:rPr>
          <w:rFonts w:ascii="FangSong" w:hAnsi="FangSong" w:eastAsia="FangSong" w:cs="FangSong"/>
          <w:sz w:val="24"/>
          <w:szCs w:val="24"/>
          <w:spacing w:val="-1"/>
        </w:rPr>
        <w:t>），</w:t>
      </w:r>
      <w:r>
        <w:rPr>
          <w:rFonts w:ascii="FangSong" w:hAnsi="FangSong" w:eastAsia="FangSong" w:cs="FangSong"/>
          <w:sz w:val="24"/>
          <w:szCs w:val="24"/>
          <w:spacing w:val="-4"/>
        </w:rPr>
        <w:t>副队长（副科级）2名。</w:t>
      </w:r>
    </w:p>
    <w:p>
      <w:pPr>
        <w:spacing w:line="311" w:lineRule="auto"/>
        <w:sectPr>
          <w:footerReference w:type="default" r:id="rId4"/>
          <w:pgSz w:w="11900" w:h="16840"/>
          <w:pgMar w:top="642" w:right="600" w:bottom="340" w:left="600" w:header="326" w:footer="110" w:gutter="0"/>
        </w:sectPr>
        <w:rPr>
          <w:rFonts w:ascii="FangSong" w:hAnsi="FangSong" w:eastAsia="FangSong" w:cs="FangSong"/>
          <w:sz w:val="24"/>
          <w:szCs w:val="24"/>
        </w:rPr>
      </w:pPr>
    </w:p>
    <w:p>
      <w:pPr>
        <w:spacing w:line="303" w:lineRule="auto"/>
        <w:rPr>
          <w:rFonts w:ascii="Arial"/>
          <w:sz w:val="21"/>
        </w:rPr>
      </w:pPr>
      <w:r/>
    </w:p>
    <w:p>
      <w:pPr>
        <w:spacing w:line="303" w:lineRule="auto"/>
        <w:rPr>
          <w:rFonts w:ascii="Arial"/>
          <w:sz w:val="21"/>
        </w:rPr>
      </w:pPr>
      <w:r/>
    </w:p>
    <w:p>
      <w:pPr>
        <w:ind w:left="3747"/>
        <w:spacing w:before="98" w:line="238" w:lineRule="exact"/>
        <w:outlineLvl w:val="0"/>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2025年部门预算报表</w:t>
      </w:r>
    </w:p>
    <w:p>
      <w:pPr>
        <w:spacing w:before="23"/>
        <w:rPr/>
      </w:pPr>
      <w:r/>
    </w:p>
    <w:p>
      <w:pPr>
        <w:spacing w:before="22"/>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39"/>
        <w:gridCol w:w="1183"/>
        <w:gridCol w:w="1991"/>
        <w:gridCol w:w="1198"/>
        <w:gridCol w:w="1183"/>
        <w:gridCol w:w="1056"/>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6" w:id="8"/>
            <w:bookmarkEnd w:id="8"/>
            <w:r>
              <w:rPr>
                <w:rFonts w:ascii="Microsoft YaHei" w:hAnsi="Microsoft YaHei" w:eastAsia="Microsoft YaHei" w:cs="Microsoft YaHei"/>
                <w:sz w:val="23"/>
                <w:szCs w:val="23"/>
                <w:color w:val="212529"/>
                <w:position w:val="-1"/>
              </w:rPr>
              <w:t>2025年预算收支总表</w:t>
            </w:r>
          </w:p>
        </w:tc>
      </w:tr>
      <w:tr>
        <w:trPr>
          <w:trHeight w:val="524" w:hRule="atLeast"/>
        </w:trPr>
        <w:tc>
          <w:tcPr>
            <w:tcW w:w="5113" w:type="dxa"/>
            <w:vAlign w:val="top"/>
            <w:gridSpan w:val="3"/>
            <w:tcBorders>
              <w:top w:val="single" w:color="FFFFFF" w:sz="6" w:space="0"/>
              <w:left w:val="single" w:color="FFFFFF" w:sz="2" w:space="0"/>
              <w:right w:val="single" w:color="FFFFFF" w:sz="2" w:space="0"/>
            </w:tcBorders>
          </w:tcPr>
          <w:p>
            <w:pPr>
              <w:ind w:left="14"/>
              <w:spacing w:before="169" w:line="219" w:lineRule="auto"/>
              <w:rPr>
                <w:rFonts w:ascii="SimSun" w:hAnsi="SimSun" w:eastAsia="SimSun" w:cs="SimSun"/>
                <w:sz w:val="18"/>
                <w:szCs w:val="18"/>
              </w:rPr>
            </w:pPr>
            <w:r>
              <w:rPr>
                <w:rFonts w:ascii="SimSun" w:hAnsi="SimSun" w:eastAsia="SimSun" w:cs="SimSun"/>
                <w:sz w:val="18"/>
                <w:szCs w:val="18"/>
                <w:color w:val="212529"/>
                <w:spacing w:val="-1"/>
              </w:rPr>
              <w:t>部门名称：兴县应急管理局</w:t>
            </w:r>
          </w:p>
        </w:tc>
        <w:tc>
          <w:tcPr>
            <w:tcW w:w="3437" w:type="dxa"/>
            <w:vAlign w:val="top"/>
            <w:gridSpan w:val="3"/>
            <w:tcBorders>
              <w:top w:val="single" w:color="FFFFFF" w:sz="6" w:space="0"/>
              <w:left w:val="single" w:color="FFFFFF" w:sz="2" w:space="0"/>
              <w:right w:val="single" w:color="FFFFFF" w:sz="2" w:space="0"/>
            </w:tcBorders>
          </w:tcPr>
          <w:p>
            <w:pPr>
              <w:ind w:left="2505"/>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122" w:type="dxa"/>
            <w:vAlign w:val="top"/>
            <w:gridSpan w:val="2"/>
          </w:tcPr>
          <w:p>
            <w:pPr>
              <w:ind w:left="1365"/>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428" w:type="dxa"/>
            <w:vAlign w:val="top"/>
            <w:gridSpan w:val="4"/>
          </w:tcPr>
          <w:p>
            <w:pPr>
              <w:ind w:left="2513"/>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1939" w:type="dxa"/>
            <w:vAlign w:val="top"/>
          </w:tcPr>
          <w:p>
            <w:pPr>
              <w:ind w:left="769"/>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tcPr>
          <w:p>
            <w:pPr>
              <w:ind w:left="302"/>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1991" w:type="dxa"/>
            <w:vAlign w:val="top"/>
          </w:tcPr>
          <w:p>
            <w:pPr>
              <w:ind w:left="797"/>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98" w:type="dxa"/>
            <w:vAlign w:val="top"/>
          </w:tcPr>
          <w:p>
            <w:pPr>
              <w:ind w:left="141"/>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183" w:type="dxa"/>
            <w:vAlign w:val="top"/>
          </w:tcPr>
          <w:p>
            <w:pPr>
              <w:ind w:left="47"/>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1056" w:type="dxa"/>
            <w:vAlign w:val="top"/>
          </w:tcPr>
          <w:p>
            <w:pPr>
              <w:ind w:left="420" w:right="80" w:hanging="359"/>
              <w:spacing w:before="64"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上年结转安</w:t>
            </w:r>
            <w:r>
              <w:rPr>
                <w:rFonts w:ascii="Microsoft YaHei" w:hAnsi="Microsoft YaHei" w:eastAsia="Microsoft YaHei" w:cs="Microsoft YaHei"/>
                <w:sz w:val="17"/>
                <w:szCs w:val="17"/>
                <w:color w:val="212529"/>
                <w:spacing w:val="11"/>
              </w:rPr>
              <w:t>排</w:t>
            </w:r>
          </w:p>
        </w:tc>
      </w:tr>
      <w:tr>
        <w:trPr>
          <w:trHeight w:val="524" w:hRule="atLeast"/>
        </w:trPr>
        <w:tc>
          <w:tcPr>
            <w:tcW w:w="1939"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183" w:type="dxa"/>
            <w:vAlign w:val="top"/>
          </w:tcPr>
          <w:p>
            <w:pPr>
              <w:ind w:left="509"/>
              <w:spacing w:before="173" w:line="238" w:lineRule="auto"/>
              <w:rPr>
                <w:rFonts w:ascii="SimSun" w:hAnsi="SimSun" w:eastAsia="SimSun" w:cs="SimSun"/>
                <w:sz w:val="18"/>
                <w:szCs w:val="18"/>
              </w:rPr>
            </w:pPr>
            <w:r>
              <w:rPr>
                <w:rFonts w:ascii="SimSun" w:hAnsi="SimSun" w:eastAsia="SimSun" w:cs="SimSun"/>
                <w:sz w:val="18"/>
                <w:szCs w:val="18"/>
                <w:color w:val="212529"/>
                <w:spacing w:val="-2"/>
              </w:rPr>
              <w:t>2132.24</w:t>
            </w:r>
          </w:p>
        </w:tc>
        <w:tc>
          <w:tcPr>
            <w:tcW w:w="1991" w:type="dxa"/>
            <w:vAlign w:val="top"/>
          </w:tcPr>
          <w:p>
            <w:pPr>
              <w:ind w:left="1"/>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183" w:type="dxa"/>
            <w:vAlign w:val="top"/>
          </w:tcPr>
          <w:p>
            <w:pPr>
              <w:pStyle w:val="TableText"/>
              <w:rPr/>
            </w:pPr>
            <w:r/>
          </w:p>
        </w:tc>
        <w:tc>
          <w:tcPr>
            <w:tcW w:w="1991" w:type="dxa"/>
            <w:vAlign w:val="top"/>
          </w:tcPr>
          <w:p>
            <w:pPr>
              <w:ind w:left="1"/>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183" w:type="dxa"/>
            <w:vAlign w:val="top"/>
          </w:tcPr>
          <w:p>
            <w:pPr>
              <w:pStyle w:val="TableText"/>
              <w:rPr/>
            </w:pPr>
            <w:r/>
          </w:p>
        </w:tc>
        <w:tc>
          <w:tcPr>
            <w:tcW w:w="1991" w:type="dxa"/>
            <w:vAlign w:val="top"/>
          </w:tcPr>
          <w:p>
            <w:pPr>
              <w:spacing w:before="175" w:line="219" w:lineRule="auto"/>
              <w:rPr>
                <w:rFonts w:ascii="SimSun" w:hAnsi="SimSun" w:eastAsia="SimSun" w:cs="SimSun"/>
                <w:sz w:val="18"/>
                <w:szCs w:val="18"/>
              </w:rPr>
            </w:pPr>
            <w:r>
              <w:rPr>
                <w:rFonts w:ascii="SimSun" w:hAnsi="SimSun" w:eastAsia="SimSun" w:cs="SimSun"/>
                <w:sz w:val="18"/>
                <w:szCs w:val="18"/>
                <w:color w:val="212529"/>
                <w:spacing w:val="-2"/>
              </w:rPr>
              <w:t>三、国防支出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183" w:type="dxa"/>
            <w:vAlign w:val="top"/>
          </w:tcPr>
          <w:p>
            <w:pPr>
              <w:pStyle w:val="TableText"/>
              <w:rPr/>
            </w:pPr>
            <w:r/>
          </w:p>
        </w:tc>
        <w:tc>
          <w:tcPr>
            <w:tcW w:w="1991" w:type="dxa"/>
            <w:vAlign w:val="top"/>
          </w:tcPr>
          <w:p>
            <w:pPr>
              <w:ind w:left="15"/>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183" w:type="dxa"/>
            <w:vAlign w:val="top"/>
          </w:tcPr>
          <w:p>
            <w:pPr>
              <w:pStyle w:val="TableText"/>
              <w:rPr/>
            </w:pPr>
            <w:r/>
          </w:p>
        </w:tc>
        <w:tc>
          <w:tcPr>
            <w:tcW w:w="1991" w:type="dxa"/>
            <w:vAlign w:val="top"/>
          </w:tcPr>
          <w:p>
            <w:pPr>
              <w:ind w:left="1"/>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74" w:line="217" w:lineRule="auto"/>
              <w:rPr>
                <w:rFonts w:ascii="SimSun" w:hAnsi="SimSun" w:eastAsia="SimSun" w:cs="SimSun"/>
                <w:sz w:val="18"/>
                <w:szCs w:val="18"/>
              </w:rPr>
            </w:pPr>
            <w:r>
              <w:rPr>
                <w:rFonts w:ascii="SimSun" w:hAnsi="SimSun" w:eastAsia="SimSun" w:cs="SimSun"/>
                <w:sz w:val="18"/>
                <w:szCs w:val="18"/>
                <w:color w:val="212529"/>
                <w:spacing w:val="-1"/>
              </w:rPr>
              <w:t>七、文化旅游体育与传</w:t>
            </w:r>
            <w:r>
              <w:rPr>
                <w:rFonts w:ascii="SimSun" w:hAnsi="SimSun" w:eastAsia="SimSun" w:cs="SimSun"/>
                <w:sz w:val="18"/>
                <w:szCs w:val="18"/>
                <w:color w:val="212529"/>
                <w:spacing w:val="-2"/>
              </w:rPr>
              <w:t>媒支出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2"/>
              <w:spacing w:before="75" w:line="219" w:lineRule="auto"/>
              <w:rPr>
                <w:rFonts w:ascii="SimSun" w:hAnsi="SimSun" w:eastAsia="SimSun" w:cs="SimSun"/>
                <w:sz w:val="18"/>
                <w:szCs w:val="18"/>
              </w:rPr>
            </w:pPr>
            <w:r>
              <w:rPr>
                <w:rFonts w:ascii="SimSun" w:hAnsi="SimSun" w:eastAsia="SimSun" w:cs="SimSun"/>
                <w:sz w:val="18"/>
                <w:szCs w:val="18"/>
                <w:color w:val="212529"/>
                <w:spacing w:val="-1"/>
              </w:rPr>
              <w:t>八、社会保障和就业支</w:t>
            </w:r>
            <w:r>
              <w:rPr>
                <w:rFonts w:ascii="SimSun" w:hAnsi="SimSun" w:eastAsia="SimSun" w:cs="SimSun"/>
                <w:sz w:val="18"/>
                <w:szCs w:val="18"/>
                <w:color w:val="212529"/>
              </w:rPr>
              <w:t>出</w:t>
            </w:r>
          </w:p>
        </w:tc>
        <w:tc>
          <w:tcPr>
            <w:tcW w:w="1198" w:type="dxa"/>
            <w:vAlign w:val="top"/>
          </w:tcPr>
          <w:p>
            <w:pPr>
              <w:ind w:right="22"/>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64.61</w:t>
            </w:r>
          </w:p>
        </w:tc>
        <w:tc>
          <w:tcPr>
            <w:tcW w:w="1183" w:type="dxa"/>
            <w:vAlign w:val="top"/>
          </w:tcPr>
          <w:p>
            <w:pPr>
              <w:ind w:right="22"/>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2"/>
              </w:rPr>
              <w:t>64.61</w:t>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198" w:type="dxa"/>
            <w:vAlign w:val="top"/>
          </w:tcPr>
          <w:p>
            <w:pPr>
              <w:ind w:right="22"/>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26.84</w:t>
            </w:r>
          </w:p>
        </w:tc>
        <w:tc>
          <w:tcPr>
            <w:tcW w:w="1183" w:type="dxa"/>
            <w:vAlign w:val="top"/>
          </w:tcPr>
          <w:p>
            <w:pPr>
              <w:ind w:right="22"/>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26.84</w:t>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4" w:right="184" w:hanging="4"/>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w:t>
            </w:r>
            <w:r>
              <w:rPr>
                <w:rFonts w:ascii="SimSun" w:hAnsi="SimSun" w:eastAsia="SimSun" w:cs="SimSun"/>
                <w:sz w:val="18"/>
                <w:szCs w:val="18"/>
                <w:color w:val="212529"/>
                <w:spacing w:val="-3"/>
              </w:rPr>
              <w:t>息等支出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3" w:right="184" w:hanging="14"/>
              <w:spacing w:before="79"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w:t>
            </w:r>
            <w:r>
              <w:rPr>
                <w:rFonts w:ascii="SimSun" w:hAnsi="SimSun" w:eastAsia="SimSun" w:cs="SimSun"/>
                <w:sz w:val="18"/>
                <w:szCs w:val="18"/>
                <w:color w:val="212529"/>
              </w:rPr>
              <w:t>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w:t>
            </w:r>
            <w:r>
              <w:rPr>
                <w:rFonts w:ascii="SimSun" w:hAnsi="SimSun" w:eastAsia="SimSun" w:cs="SimSun"/>
                <w:sz w:val="18"/>
                <w:szCs w:val="18"/>
                <w:color w:val="212529"/>
                <w:spacing w:val="-2"/>
              </w:rPr>
              <w:t>象等支出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5"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198" w:type="dxa"/>
            <w:vAlign w:val="top"/>
          </w:tcPr>
          <w:p>
            <w:pPr>
              <w:ind w:right="22"/>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50.69</w:t>
            </w:r>
          </w:p>
        </w:tc>
        <w:tc>
          <w:tcPr>
            <w:tcW w:w="1183" w:type="dxa"/>
            <w:vAlign w:val="top"/>
          </w:tcPr>
          <w:p>
            <w:pPr>
              <w:ind w:right="22"/>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50.69</w:t>
            </w:r>
          </w:p>
        </w:tc>
        <w:tc>
          <w:tcPr>
            <w:tcW w:w="1056" w:type="dxa"/>
            <w:vAlign w:val="top"/>
          </w:tcPr>
          <w:p>
            <w:pPr>
              <w:pStyle w:val="TableText"/>
              <w:rPr/>
            </w:pPr>
            <w:r/>
          </w:p>
        </w:tc>
      </w:tr>
      <w:tr>
        <w:trPr>
          <w:trHeight w:val="532"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92" w:firstLine="2"/>
              <w:spacing w:before="78" w:line="218" w:lineRule="auto"/>
              <w:rPr>
                <w:rFonts w:ascii="SimSun" w:hAnsi="SimSun" w:eastAsia="SimSun" w:cs="SimSun"/>
                <w:sz w:val="18"/>
                <w:szCs w:val="18"/>
              </w:rPr>
            </w:pPr>
            <w:r>
              <w:rPr>
                <w:rFonts w:ascii="SimSun" w:hAnsi="SimSun" w:eastAsia="SimSun" w:cs="SimSun"/>
                <w:sz w:val="18"/>
                <w:szCs w:val="18"/>
                <w:color w:val="212529"/>
                <w:spacing w:val="-2"/>
              </w:rPr>
              <w:t>二十一、粮油物资储备</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bl>
    <w:p>
      <w:pPr>
        <w:rPr>
          <w:rFonts w:ascii="Arial"/>
          <w:sz w:val="21"/>
        </w:rPr>
      </w:pPr>
      <w:r/>
    </w:p>
    <w:p>
      <w:pPr>
        <w:sectPr>
          <w:footerReference w:type="default" r:id="rId5"/>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39"/>
        <w:gridCol w:w="1183"/>
        <w:gridCol w:w="1991"/>
        <w:gridCol w:w="1198"/>
        <w:gridCol w:w="1183"/>
        <w:gridCol w:w="1056"/>
      </w:tblGrid>
      <w:tr>
        <w:trPr>
          <w:trHeight w:val="531"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firstLine="2"/>
              <w:spacing w:before="55" w:line="218" w:lineRule="auto"/>
              <w:rPr>
                <w:rFonts w:ascii="SimSun" w:hAnsi="SimSun" w:eastAsia="SimSun" w:cs="SimSun"/>
                <w:sz w:val="18"/>
                <w:szCs w:val="18"/>
              </w:rPr>
            </w:pPr>
            <w:bookmarkStart w:name="bookmark37" w:id="9"/>
            <w:bookmarkEnd w:id="9"/>
            <w:r>
              <w:rPr>
                <w:rFonts w:ascii="SimSun" w:hAnsi="SimSun" w:eastAsia="SimSun" w:cs="SimSun"/>
                <w:sz w:val="18"/>
                <w:szCs w:val="18"/>
                <w:color w:val="212529"/>
                <w:spacing w:val="-2"/>
              </w:rPr>
              <w:t>二十二、国有资本经营</w:t>
            </w:r>
            <w:r>
              <w:rPr>
                <w:rFonts w:ascii="SimSun" w:hAnsi="SimSun" w:eastAsia="SimSun" w:cs="SimSun"/>
                <w:sz w:val="18"/>
                <w:szCs w:val="18"/>
                <w:color w:val="212529"/>
                <w:spacing w:val="-2"/>
              </w:rPr>
              <w:t>预算支出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3"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3" w:right="184" w:hanging="2"/>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w:t>
            </w:r>
            <w:r>
              <w:rPr>
                <w:rFonts w:ascii="SimSun" w:hAnsi="SimSun" w:eastAsia="SimSun" w:cs="SimSun"/>
                <w:sz w:val="18"/>
                <w:szCs w:val="18"/>
                <w:color w:val="212529"/>
                <w:spacing w:val="-3"/>
              </w:rPr>
              <w:t>急管理支出</w:t>
            </w:r>
          </w:p>
        </w:tc>
        <w:tc>
          <w:tcPr>
            <w:tcW w:w="1198" w:type="dxa"/>
            <w:vAlign w:val="top"/>
          </w:tcPr>
          <w:p>
            <w:pPr>
              <w:ind w:right="23"/>
              <w:spacing w:before="155" w:line="238" w:lineRule="auto"/>
              <w:jc w:val="right"/>
              <w:rPr>
                <w:rFonts w:ascii="SimSun" w:hAnsi="SimSun" w:eastAsia="SimSun" w:cs="SimSun"/>
                <w:sz w:val="18"/>
                <w:szCs w:val="18"/>
              </w:rPr>
            </w:pPr>
            <w:r>
              <w:rPr>
                <w:rFonts w:ascii="SimSun" w:hAnsi="SimSun" w:eastAsia="SimSun" w:cs="SimSun"/>
                <w:sz w:val="18"/>
                <w:szCs w:val="18"/>
                <w:color w:val="212529"/>
                <w:spacing w:val="-2"/>
              </w:rPr>
              <w:t>2095.09</w:t>
            </w:r>
          </w:p>
        </w:tc>
        <w:tc>
          <w:tcPr>
            <w:tcW w:w="1183" w:type="dxa"/>
            <w:vAlign w:val="top"/>
          </w:tcPr>
          <w:p>
            <w:pPr>
              <w:ind w:right="21"/>
              <w:spacing w:before="155" w:line="238" w:lineRule="auto"/>
              <w:jc w:val="right"/>
              <w:rPr>
                <w:rFonts w:ascii="SimSun" w:hAnsi="SimSun" w:eastAsia="SimSun" w:cs="SimSun"/>
                <w:sz w:val="18"/>
                <w:szCs w:val="18"/>
              </w:rPr>
            </w:pPr>
            <w:r>
              <w:rPr>
                <w:rFonts w:ascii="SimSun" w:hAnsi="SimSun" w:eastAsia="SimSun" w:cs="SimSun"/>
                <w:sz w:val="18"/>
                <w:szCs w:val="18"/>
                <w:color w:val="212529"/>
                <w:spacing w:val="-3"/>
              </w:rPr>
              <w:t>1990.09</w:t>
            </w:r>
          </w:p>
        </w:tc>
        <w:tc>
          <w:tcPr>
            <w:tcW w:w="1056" w:type="dxa"/>
            <w:vAlign w:val="top"/>
          </w:tcPr>
          <w:p>
            <w:pPr>
              <w:ind w:right="26"/>
              <w:spacing w:before="155" w:line="238" w:lineRule="auto"/>
              <w:jc w:val="right"/>
              <w:rPr>
                <w:rFonts w:ascii="SimSun" w:hAnsi="SimSun" w:eastAsia="SimSun" w:cs="SimSun"/>
                <w:sz w:val="18"/>
                <w:szCs w:val="18"/>
              </w:rPr>
            </w:pPr>
            <w:r>
              <w:rPr>
                <w:rFonts w:ascii="SimSun" w:hAnsi="SimSun" w:eastAsia="SimSun" w:cs="SimSun"/>
                <w:sz w:val="18"/>
                <w:szCs w:val="18"/>
                <w:color w:val="212529"/>
                <w:spacing w:val="-3"/>
              </w:rPr>
              <w:t>105.00</w:t>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left="1"/>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firstLine="2"/>
              <w:spacing w:before="56" w:line="218" w:lineRule="auto"/>
              <w:rPr>
                <w:rFonts w:ascii="SimSun" w:hAnsi="SimSun" w:eastAsia="SimSun" w:cs="SimSun"/>
                <w:sz w:val="18"/>
                <w:szCs w:val="18"/>
              </w:rPr>
            </w:pPr>
            <w:r>
              <w:rPr>
                <w:rFonts w:ascii="SimSun" w:hAnsi="SimSun" w:eastAsia="SimSun" w:cs="SimSun"/>
                <w:sz w:val="18"/>
                <w:szCs w:val="18"/>
                <w:color w:val="212529"/>
                <w:spacing w:val="-2"/>
              </w:rPr>
              <w:t>二十九、债务发行费用</w:t>
            </w:r>
            <w:r>
              <w:rPr>
                <w:rFonts w:ascii="SimSun" w:hAnsi="SimSun" w:eastAsia="SimSun" w:cs="SimSun"/>
                <w:sz w:val="18"/>
                <w:szCs w:val="18"/>
                <w:color w:val="212529"/>
                <w:spacing w:val="-2"/>
              </w:rPr>
              <w:t>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ind w:right="184"/>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w:t>
            </w:r>
            <w:r>
              <w:rPr>
                <w:rFonts w:ascii="SimSun" w:hAnsi="SimSun" w:eastAsia="SimSun" w:cs="SimSun"/>
                <w:sz w:val="18"/>
                <w:szCs w:val="18"/>
                <w:color w:val="212529"/>
                <w:spacing w:val="-2"/>
              </w:rPr>
              <w:t>排的支出</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pStyle w:val="TableText"/>
              <w:rPr/>
            </w:pPr>
            <w:r/>
          </w:p>
        </w:tc>
        <w:tc>
          <w:tcPr>
            <w:tcW w:w="1183" w:type="dxa"/>
            <w:vAlign w:val="top"/>
          </w:tcPr>
          <w:p>
            <w:pPr>
              <w:pStyle w:val="TableText"/>
              <w:rPr/>
            </w:pPr>
            <w:r/>
          </w:p>
        </w:tc>
        <w:tc>
          <w:tcPr>
            <w:tcW w:w="1991" w:type="dxa"/>
            <w:vAlign w:val="top"/>
          </w:tcPr>
          <w:p>
            <w:pPr>
              <w:pStyle w:val="TableText"/>
              <w:rPr/>
            </w:pPr>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24" w:hRule="atLeast"/>
        </w:trPr>
        <w:tc>
          <w:tcPr>
            <w:tcW w:w="1939"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83" w:type="dxa"/>
            <w:vAlign w:val="top"/>
          </w:tcPr>
          <w:p>
            <w:pPr>
              <w:pStyle w:val="TableText"/>
              <w:ind w:left="509"/>
              <w:spacing w:before="186" w:line="162" w:lineRule="auto"/>
              <w:rPr>
                <w:sz w:val="17"/>
                <w:szCs w:val="17"/>
              </w:rPr>
            </w:pPr>
            <w:r>
              <w:rPr>
                <w:sz w:val="17"/>
                <w:szCs w:val="17"/>
                <w:color w:val="212529"/>
                <w:spacing w:val="1"/>
              </w:rPr>
              <w:t>2132.24</w:t>
            </w:r>
          </w:p>
        </w:tc>
        <w:tc>
          <w:tcPr>
            <w:tcW w:w="1991" w:type="dxa"/>
            <w:vAlign w:val="top"/>
          </w:tcPr>
          <w:p>
            <w:pPr>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98" w:type="dxa"/>
            <w:vAlign w:val="top"/>
          </w:tcPr>
          <w:p>
            <w:pPr>
              <w:pStyle w:val="TableText"/>
              <w:ind w:left="537"/>
              <w:spacing w:before="186" w:line="183" w:lineRule="auto"/>
              <w:rPr>
                <w:sz w:val="15"/>
                <w:szCs w:val="15"/>
              </w:rPr>
            </w:pPr>
            <w:r>
              <w:rPr>
                <w:sz w:val="15"/>
                <w:szCs w:val="15"/>
                <w:color w:val="212529"/>
                <w:spacing w:val="4"/>
              </w:rPr>
              <w:t>2237.</w:t>
            </w:r>
            <w:r>
              <w:rPr>
                <w:sz w:val="15"/>
                <w:szCs w:val="15"/>
                <w:color w:val="212529"/>
                <w:spacing w:val="9"/>
              </w:rPr>
              <w:t xml:space="preserve"> </w:t>
            </w:r>
            <w:r>
              <w:rPr>
                <w:sz w:val="15"/>
                <w:szCs w:val="15"/>
                <w:color w:val="212529"/>
                <w:spacing w:val="4"/>
              </w:rPr>
              <w:t>24</w:t>
            </w:r>
          </w:p>
        </w:tc>
        <w:tc>
          <w:tcPr>
            <w:tcW w:w="1183" w:type="dxa"/>
            <w:vAlign w:val="top"/>
          </w:tcPr>
          <w:p>
            <w:pPr>
              <w:pStyle w:val="TableText"/>
              <w:ind w:left="522"/>
              <w:spacing w:before="186" w:line="184" w:lineRule="auto"/>
              <w:rPr>
                <w:sz w:val="15"/>
                <w:szCs w:val="15"/>
              </w:rPr>
            </w:pPr>
            <w:r>
              <w:rPr>
                <w:sz w:val="15"/>
                <w:szCs w:val="15"/>
                <w:color w:val="212529"/>
                <w:spacing w:val="4"/>
              </w:rPr>
              <w:t>2132.</w:t>
            </w:r>
            <w:r>
              <w:rPr>
                <w:sz w:val="15"/>
                <w:szCs w:val="15"/>
                <w:color w:val="212529"/>
                <w:spacing w:val="9"/>
              </w:rPr>
              <w:t xml:space="preserve"> </w:t>
            </w:r>
            <w:r>
              <w:rPr>
                <w:sz w:val="15"/>
                <w:szCs w:val="15"/>
                <w:color w:val="212529"/>
                <w:spacing w:val="4"/>
              </w:rPr>
              <w:t>24</w:t>
            </w:r>
          </w:p>
        </w:tc>
        <w:tc>
          <w:tcPr>
            <w:tcW w:w="1056" w:type="dxa"/>
            <w:vAlign w:val="top"/>
          </w:tcPr>
          <w:p>
            <w:pPr>
              <w:pStyle w:val="TableText"/>
              <w:ind w:left="491"/>
              <w:spacing w:before="186" w:line="172" w:lineRule="auto"/>
              <w:rPr>
                <w:sz w:val="16"/>
                <w:szCs w:val="16"/>
              </w:rPr>
            </w:pPr>
            <w:r>
              <w:rPr>
                <w:sz w:val="16"/>
                <w:szCs w:val="16"/>
                <w:color w:val="212529"/>
                <w:spacing w:val="4"/>
              </w:rPr>
              <w:t>105.00</w:t>
            </w:r>
          </w:p>
        </w:tc>
      </w:tr>
      <w:tr>
        <w:trPr>
          <w:trHeight w:val="524" w:hRule="atLeast"/>
        </w:trPr>
        <w:tc>
          <w:tcPr>
            <w:tcW w:w="1939"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183" w:type="dxa"/>
            <w:vAlign w:val="top"/>
          </w:tcPr>
          <w:p>
            <w:pPr>
              <w:ind w:left="655"/>
              <w:spacing w:before="196"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3"/>
              </w:rPr>
              <w:t>105.00</w:t>
            </w:r>
          </w:p>
        </w:tc>
        <w:tc>
          <w:tcPr>
            <w:tcW w:w="1991" w:type="dxa"/>
            <w:vAlign w:val="top"/>
          </w:tcPr>
          <w:p>
            <w:pPr>
              <w:ind w:left="187"/>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198" w:type="dxa"/>
            <w:vAlign w:val="top"/>
          </w:tcPr>
          <w:p>
            <w:pPr>
              <w:pStyle w:val="TableText"/>
              <w:rPr/>
            </w:pPr>
            <w:r/>
          </w:p>
        </w:tc>
        <w:tc>
          <w:tcPr>
            <w:tcW w:w="1183" w:type="dxa"/>
            <w:vAlign w:val="top"/>
          </w:tcPr>
          <w:p>
            <w:pPr>
              <w:pStyle w:val="TableText"/>
              <w:rPr/>
            </w:pPr>
            <w:r/>
          </w:p>
        </w:tc>
        <w:tc>
          <w:tcPr>
            <w:tcW w:w="1056" w:type="dxa"/>
            <w:vAlign w:val="top"/>
          </w:tcPr>
          <w:p>
            <w:pPr>
              <w:pStyle w:val="TableText"/>
              <w:rPr/>
            </w:pPr>
            <w:r/>
          </w:p>
        </w:tc>
      </w:tr>
      <w:tr>
        <w:trPr>
          <w:trHeight w:val="531" w:hRule="atLeast"/>
        </w:trPr>
        <w:tc>
          <w:tcPr>
            <w:tcW w:w="1939"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183" w:type="dxa"/>
            <w:vAlign w:val="top"/>
          </w:tcPr>
          <w:p>
            <w:pPr>
              <w:pStyle w:val="TableText"/>
              <w:ind w:left="509"/>
              <w:spacing w:before="188" w:line="183" w:lineRule="auto"/>
              <w:rPr>
                <w:sz w:val="15"/>
                <w:szCs w:val="15"/>
              </w:rPr>
            </w:pPr>
            <w:r>
              <w:rPr>
                <w:sz w:val="15"/>
                <w:szCs w:val="15"/>
                <w:color w:val="212529"/>
                <w:spacing w:val="3"/>
              </w:rPr>
              <w:t>2237.</w:t>
            </w:r>
            <w:r>
              <w:rPr>
                <w:sz w:val="15"/>
                <w:szCs w:val="15"/>
                <w:color w:val="212529"/>
                <w:spacing w:val="16"/>
              </w:rPr>
              <w:t xml:space="preserve"> </w:t>
            </w:r>
            <w:r>
              <w:rPr>
                <w:sz w:val="15"/>
                <w:szCs w:val="15"/>
                <w:color w:val="212529"/>
                <w:spacing w:val="3"/>
              </w:rPr>
              <w:t>24</w:t>
            </w:r>
          </w:p>
        </w:tc>
        <w:tc>
          <w:tcPr>
            <w:tcW w:w="1991" w:type="dxa"/>
            <w:vAlign w:val="top"/>
          </w:tcPr>
          <w:p>
            <w:pPr>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198" w:type="dxa"/>
            <w:vAlign w:val="top"/>
          </w:tcPr>
          <w:p>
            <w:pPr>
              <w:pStyle w:val="TableText"/>
              <w:ind w:left="537"/>
              <w:spacing w:before="188" w:line="183" w:lineRule="auto"/>
              <w:rPr>
                <w:sz w:val="15"/>
                <w:szCs w:val="15"/>
              </w:rPr>
            </w:pPr>
            <w:r>
              <w:rPr>
                <w:sz w:val="15"/>
                <w:szCs w:val="15"/>
                <w:color w:val="212529"/>
                <w:spacing w:val="4"/>
              </w:rPr>
              <w:t>2237.</w:t>
            </w:r>
            <w:r>
              <w:rPr>
                <w:sz w:val="15"/>
                <w:szCs w:val="15"/>
                <w:color w:val="212529"/>
                <w:spacing w:val="9"/>
              </w:rPr>
              <w:t xml:space="preserve"> </w:t>
            </w:r>
            <w:r>
              <w:rPr>
                <w:sz w:val="15"/>
                <w:szCs w:val="15"/>
                <w:color w:val="212529"/>
                <w:spacing w:val="4"/>
              </w:rPr>
              <w:t>24</w:t>
            </w:r>
          </w:p>
        </w:tc>
        <w:tc>
          <w:tcPr>
            <w:tcW w:w="1183" w:type="dxa"/>
            <w:vAlign w:val="top"/>
          </w:tcPr>
          <w:p>
            <w:pPr>
              <w:pStyle w:val="TableText"/>
              <w:ind w:left="522"/>
              <w:spacing w:before="188" w:line="184" w:lineRule="auto"/>
              <w:rPr>
                <w:sz w:val="15"/>
                <w:szCs w:val="15"/>
              </w:rPr>
            </w:pPr>
            <w:r>
              <w:rPr>
                <w:sz w:val="15"/>
                <w:szCs w:val="15"/>
                <w:color w:val="212529"/>
                <w:spacing w:val="4"/>
              </w:rPr>
              <w:t>2132.</w:t>
            </w:r>
            <w:r>
              <w:rPr>
                <w:sz w:val="15"/>
                <w:szCs w:val="15"/>
                <w:color w:val="212529"/>
                <w:spacing w:val="9"/>
              </w:rPr>
              <w:t xml:space="preserve"> </w:t>
            </w:r>
            <w:r>
              <w:rPr>
                <w:sz w:val="15"/>
                <w:szCs w:val="15"/>
                <w:color w:val="212529"/>
                <w:spacing w:val="4"/>
              </w:rPr>
              <w:t>24</w:t>
            </w:r>
          </w:p>
        </w:tc>
        <w:tc>
          <w:tcPr>
            <w:tcW w:w="1056" w:type="dxa"/>
            <w:vAlign w:val="top"/>
          </w:tcPr>
          <w:p>
            <w:pPr>
              <w:pStyle w:val="TableText"/>
              <w:ind w:left="491"/>
              <w:spacing w:before="188" w:line="172" w:lineRule="auto"/>
              <w:rPr>
                <w:sz w:val="16"/>
                <w:szCs w:val="16"/>
              </w:rPr>
            </w:pPr>
            <w:r>
              <w:rPr>
                <w:sz w:val="16"/>
                <w:szCs w:val="16"/>
                <w:color w:val="212529"/>
                <w:spacing w:val="4"/>
              </w:rPr>
              <w:t>105.00</w:t>
            </w:r>
          </w:p>
        </w:tc>
      </w:tr>
    </w:tbl>
    <w:p>
      <w:pPr>
        <w:rPr>
          <w:rFonts w:ascii="Arial"/>
          <w:sz w:val="21"/>
        </w:rPr>
      </w:pPr>
      <w:r/>
    </w:p>
    <w:p>
      <w:pPr>
        <w:sectPr>
          <w:footerReference w:type="default" r:id="rId6"/>
          <w:pgSz w:w="11900" w:h="16840"/>
          <w:pgMar w:top="642" w:right="600" w:bottom="340" w:left="600" w:header="326" w:footer="110" w:gutter="0"/>
        </w:sectPr>
        <w:rPr>
          <w:rFonts w:ascii="Arial" w:hAnsi="Arial" w:eastAsia="Arial" w:cs="Arial"/>
          <w:sz w:val="21"/>
          <w:szCs w:val="21"/>
        </w:rPr>
      </w:pPr>
    </w:p>
    <w:p>
      <w:pPr>
        <w:spacing w:before="118"/>
        <w:rPr/>
      </w:pPr>
      <w:r/>
    </w:p>
    <w:p>
      <w:pPr>
        <w:spacing w:before="11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01"/>
        <w:gridCol w:w="2907"/>
        <w:gridCol w:w="1438"/>
        <w:gridCol w:w="1274"/>
        <w:gridCol w:w="1303"/>
        <w:gridCol w:w="1468"/>
        <w:gridCol w:w="1468"/>
        <w:gridCol w:w="944"/>
        <w:gridCol w:w="1266"/>
      </w:tblGrid>
      <w:tr>
        <w:trPr>
          <w:trHeight w:val="442" w:hRule="atLeast"/>
        </w:trPr>
        <w:tc>
          <w:tcPr>
            <w:tcW w:w="1401"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907"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3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74"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30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6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6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210" w:type="dxa"/>
            <w:vAlign w:val="top"/>
            <w:gridSpan w:val="2"/>
            <w:tcBorders>
              <w:left w:val="single" w:color="FFFFFF" w:sz="2" w:space="0"/>
              <w:right w:val="single" w:color="FFFFFF" w:sz="2" w:space="0"/>
              <w:bottom w:val="single" w:color="FFFFFF" w:sz="6" w:space="0"/>
              <w:top w:val="single" w:color="FFFFFF" w:sz="6" w:space="0"/>
            </w:tcBorders>
          </w:tcPr>
          <w:p>
            <w:pPr>
              <w:ind w:left="1188"/>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8" w:id="10"/>
            <w:bookmarkEnd w:id="10"/>
            <w:bookmarkStart w:name="bookmark7" w:id="11"/>
            <w:bookmarkEnd w:id="11"/>
            <w:r>
              <w:rPr>
                <w:rFonts w:ascii="Microsoft YaHei" w:hAnsi="Microsoft YaHei" w:eastAsia="Microsoft YaHei" w:cs="Microsoft YaHei"/>
                <w:sz w:val="23"/>
                <w:szCs w:val="23"/>
                <w:color w:val="212529"/>
                <w:position w:val="-1"/>
              </w:rPr>
              <w:t>2025年预算收入总表</w:t>
            </w:r>
          </w:p>
        </w:tc>
      </w:tr>
      <w:tr>
        <w:trPr>
          <w:trHeight w:val="434" w:hRule="atLeast"/>
        </w:trPr>
        <w:tc>
          <w:tcPr>
            <w:tcW w:w="4308" w:type="dxa"/>
            <w:vAlign w:val="top"/>
            <w:gridSpan w:val="2"/>
            <w:tcBorders>
              <w:left w:val="single" w:color="FFFFFF" w:sz="2" w:space="0"/>
              <w:right w:val="single" w:color="FFFFFF" w:sz="2" w:space="0"/>
              <w:top w:val="single" w:color="FFFFFF" w:sz="6" w:space="0"/>
            </w:tcBorders>
          </w:tcPr>
          <w:p>
            <w:pPr>
              <w:ind w:left="14"/>
              <w:spacing w:before="124" w:line="219" w:lineRule="auto"/>
              <w:rPr>
                <w:rFonts w:ascii="SimSun" w:hAnsi="SimSun" w:eastAsia="SimSun" w:cs="SimSun"/>
                <w:sz w:val="18"/>
                <w:szCs w:val="18"/>
              </w:rPr>
            </w:pPr>
            <w:r>
              <w:rPr>
                <w:rFonts w:ascii="SimSun" w:hAnsi="SimSun" w:eastAsia="SimSun" w:cs="SimSun"/>
                <w:sz w:val="18"/>
                <w:szCs w:val="18"/>
                <w:color w:val="212529"/>
                <w:spacing w:val="-1"/>
              </w:rPr>
              <w:t>部门名称：兴县应急管理局</w:t>
            </w:r>
          </w:p>
        </w:tc>
        <w:tc>
          <w:tcPr>
            <w:tcW w:w="1438" w:type="dxa"/>
            <w:vAlign w:val="top"/>
            <w:tcBorders>
              <w:left w:val="single" w:color="FFFFFF" w:sz="2" w:space="0"/>
              <w:right w:val="single" w:color="FFFFFF" w:sz="2" w:space="0"/>
              <w:top w:val="single" w:color="FFFFFF" w:sz="6" w:space="0"/>
            </w:tcBorders>
          </w:tcPr>
          <w:p>
            <w:pPr>
              <w:pStyle w:val="TableText"/>
              <w:rPr/>
            </w:pPr>
            <w:r/>
          </w:p>
        </w:tc>
        <w:tc>
          <w:tcPr>
            <w:tcW w:w="1274" w:type="dxa"/>
            <w:vAlign w:val="top"/>
            <w:tcBorders>
              <w:left w:val="single" w:color="FFFFFF" w:sz="2" w:space="0"/>
              <w:right w:val="single" w:color="FFFFFF" w:sz="2" w:space="0"/>
              <w:top w:val="single" w:color="FFFFFF" w:sz="6" w:space="0"/>
            </w:tcBorders>
          </w:tcPr>
          <w:p>
            <w:pPr>
              <w:pStyle w:val="TableText"/>
              <w:rPr/>
            </w:pPr>
            <w:r/>
          </w:p>
        </w:tc>
        <w:tc>
          <w:tcPr>
            <w:tcW w:w="1303" w:type="dxa"/>
            <w:vAlign w:val="top"/>
            <w:tcBorders>
              <w:left w:val="single" w:color="FFFFFF" w:sz="2" w:space="0"/>
              <w:right w:val="single" w:color="FFFFFF" w:sz="2" w:space="0"/>
              <w:top w:val="single" w:color="FFFFFF" w:sz="6" w:space="0"/>
            </w:tcBorders>
          </w:tcPr>
          <w:p>
            <w:pPr>
              <w:pStyle w:val="TableText"/>
              <w:rPr/>
            </w:pPr>
            <w:r/>
          </w:p>
        </w:tc>
        <w:tc>
          <w:tcPr>
            <w:tcW w:w="1468" w:type="dxa"/>
            <w:vAlign w:val="top"/>
            <w:tcBorders>
              <w:left w:val="single" w:color="FFFFFF" w:sz="2" w:space="0"/>
              <w:right w:val="single" w:color="FFFFFF" w:sz="2" w:space="0"/>
              <w:top w:val="single" w:color="FFFFFF" w:sz="6" w:space="0"/>
            </w:tcBorders>
          </w:tcPr>
          <w:p>
            <w:pPr>
              <w:pStyle w:val="TableText"/>
              <w:rPr/>
            </w:pPr>
            <w:r/>
          </w:p>
        </w:tc>
        <w:tc>
          <w:tcPr>
            <w:tcW w:w="1468" w:type="dxa"/>
            <w:vAlign w:val="top"/>
            <w:tcBorders>
              <w:left w:val="single" w:color="FFFFFF" w:sz="2" w:space="0"/>
              <w:right w:val="single" w:color="FFFFFF" w:sz="2" w:space="0"/>
              <w:top w:val="single" w:color="FFFFFF" w:sz="6" w:space="0"/>
            </w:tcBorders>
          </w:tcPr>
          <w:p>
            <w:pPr>
              <w:pStyle w:val="TableText"/>
              <w:rPr/>
            </w:pPr>
            <w:r/>
          </w:p>
        </w:tc>
        <w:tc>
          <w:tcPr>
            <w:tcW w:w="2210" w:type="dxa"/>
            <w:vAlign w:val="top"/>
            <w:gridSpan w:val="2"/>
            <w:tcBorders>
              <w:left w:val="single" w:color="FFFFFF" w:sz="2" w:space="0"/>
              <w:right w:val="single" w:color="FFFFFF" w:sz="2" w:space="0"/>
              <w:top w:val="single" w:color="FFFFFF" w:sz="6" w:space="0"/>
            </w:tcBorders>
          </w:tcPr>
          <w:p>
            <w:pPr>
              <w:ind w:left="1279"/>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308" w:type="dxa"/>
            <w:vAlign w:val="top"/>
            <w:gridSpan w:val="2"/>
          </w:tcPr>
          <w:p>
            <w:pPr>
              <w:ind w:left="1953"/>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895" w:type="dxa"/>
            <w:vAlign w:val="top"/>
            <w:gridSpan w:val="6"/>
          </w:tcPr>
          <w:p>
            <w:pPr>
              <w:ind w:left="3575"/>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266" w:type="dxa"/>
            <w:vAlign w:val="top"/>
            <w:vMerge w:val="restart"/>
            <w:tcBorders>
              <w:bottom w:val="nil"/>
            </w:tcBorders>
          </w:tcPr>
          <w:p>
            <w:pPr>
              <w:pStyle w:val="TableText"/>
              <w:spacing w:line="273" w:lineRule="auto"/>
              <w:rPr/>
            </w:pPr>
            <w:r/>
          </w:p>
          <w:p>
            <w:pPr>
              <w:ind w:left="259"/>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401" w:type="dxa"/>
            <w:vAlign w:val="top"/>
          </w:tcPr>
          <w:p>
            <w:pPr>
              <w:ind w:left="320"/>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2907" w:type="dxa"/>
            <w:vAlign w:val="top"/>
          </w:tcPr>
          <w:p>
            <w:pPr>
              <w:ind w:left="1070"/>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438" w:type="dxa"/>
            <w:vAlign w:val="top"/>
          </w:tcPr>
          <w:p>
            <w:pPr>
              <w:ind w:left="520"/>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274" w:type="dxa"/>
            <w:vAlign w:val="top"/>
          </w:tcPr>
          <w:p>
            <w:pPr>
              <w:ind w:left="81"/>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303" w:type="dxa"/>
            <w:vAlign w:val="top"/>
          </w:tcPr>
          <w:p>
            <w:pPr>
              <w:ind w:left="185"/>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468" w:type="dxa"/>
            <w:vAlign w:val="top"/>
          </w:tcPr>
          <w:p>
            <w:pPr>
              <w:ind w:left="623" w:right="105" w:hanging="517"/>
              <w:spacing w:before="19"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rPr>
              <w:t>国有资本经营预</w:t>
            </w:r>
            <w:r>
              <w:rPr>
                <w:rFonts w:ascii="Microsoft YaHei" w:hAnsi="Microsoft YaHei" w:eastAsia="Microsoft YaHei" w:cs="Microsoft YaHei"/>
                <w:sz w:val="17"/>
                <w:szCs w:val="17"/>
                <w:color w:val="212529"/>
                <w:spacing w:val="12"/>
              </w:rPr>
              <w:t>算</w:t>
            </w:r>
          </w:p>
        </w:tc>
        <w:tc>
          <w:tcPr>
            <w:tcW w:w="1468" w:type="dxa"/>
            <w:vAlign w:val="top"/>
          </w:tcPr>
          <w:p>
            <w:pPr>
              <w:ind w:left="630" w:right="113" w:hanging="536"/>
              <w:spacing w:before="17" w:line="164" w:lineRule="auto"/>
              <w:rPr>
                <w:rFonts w:ascii="Microsoft YaHei" w:hAnsi="Microsoft YaHei" w:eastAsia="Microsoft YaHei" w:cs="Microsoft YaHei"/>
                <w:sz w:val="16"/>
                <w:szCs w:val="16"/>
              </w:rPr>
            </w:pPr>
            <w:r>
              <w:rPr>
                <w:rFonts w:ascii="Microsoft YaHei" w:hAnsi="Microsoft YaHei" w:eastAsia="Microsoft YaHei" w:cs="Microsoft YaHei"/>
                <w:sz w:val="17"/>
                <w:szCs w:val="17"/>
                <w:color w:val="212529"/>
                <w:spacing w:val="7"/>
              </w:rPr>
              <w:t>财政专户管理资</w:t>
            </w:r>
            <w:r>
              <w:rPr>
                <w:rFonts w:ascii="Microsoft YaHei" w:hAnsi="Microsoft YaHei" w:eastAsia="Microsoft YaHei" w:cs="Microsoft YaHei"/>
                <w:sz w:val="16"/>
                <w:szCs w:val="16"/>
                <w:color w:val="212529"/>
                <w:spacing w:val="19"/>
              </w:rPr>
              <w:t>金</w:t>
            </w:r>
          </w:p>
        </w:tc>
        <w:tc>
          <w:tcPr>
            <w:tcW w:w="944" w:type="dxa"/>
            <w:vAlign w:val="top"/>
          </w:tcPr>
          <w:p>
            <w:pPr>
              <w:ind w:left="101"/>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266" w:type="dxa"/>
            <w:vAlign w:val="top"/>
            <w:vMerge w:val="continue"/>
            <w:tcBorders>
              <w:top w:val="nil"/>
            </w:tcBorders>
          </w:tcPr>
          <w:p>
            <w:pPr>
              <w:pStyle w:val="TableText"/>
              <w:rPr/>
            </w:pPr>
            <w:r/>
          </w:p>
        </w:tc>
      </w:tr>
      <w:tr>
        <w:trPr>
          <w:trHeight w:val="434" w:hRule="atLeast"/>
        </w:trPr>
        <w:tc>
          <w:tcPr>
            <w:tcW w:w="4308" w:type="dxa"/>
            <w:vAlign w:val="top"/>
            <w:gridSpan w:val="2"/>
          </w:tcPr>
          <w:p>
            <w:pPr>
              <w:ind w:left="1955"/>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38" w:type="dxa"/>
            <w:vAlign w:val="top"/>
          </w:tcPr>
          <w:p>
            <w:pPr>
              <w:pStyle w:val="TableText"/>
              <w:ind w:left="772"/>
              <w:spacing w:before="149" w:line="162" w:lineRule="auto"/>
              <w:rPr>
                <w:sz w:val="17"/>
                <w:szCs w:val="17"/>
              </w:rPr>
            </w:pPr>
            <w:r>
              <w:rPr>
                <w:sz w:val="17"/>
                <w:szCs w:val="17"/>
                <w:color w:val="212529"/>
                <w:spacing w:val="1"/>
              </w:rPr>
              <w:t>2132.24</w:t>
            </w:r>
          </w:p>
        </w:tc>
        <w:tc>
          <w:tcPr>
            <w:tcW w:w="1274" w:type="dxa"/>
            <w:vAlign w:val="top"/>
          </w:tcPr>
          <w:p>
            <w:pPr>
              <w:pStyle w:val="TableText"/>
              <w:ind w:left="614"/>
              <w:spacing w:before="149" w:line="162" w:lineRule="auto"/>
              <w:rPr>
                <w:sz w:val="17"/>
                <w:szCs w:val="17"/>
              </w:rPr>
            </w:pPr>
            <w:r>
              <w:rPr>
                <w:sz w:val="17"/>
                <w:szCs w:val="17"/>
                <w:color w:val="212529"/>
                <w:spacing w:val="1"/>
              </w:rPr>
              <w:t>2132.24</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ind w:left="702"/>
              <w:spacing w:before="149" w:line="172" w:lineRule="auto"/>
              <w:rPr>
                <w:sz w:val="16"/>
                <w:szCs w:val="16"/>
              </w:rPr>
            </w:pPr>
            <w:r>
              <w:rPr>
                <w:sz w:val="16"/>
                <w:szCs w:val="16"/>
                <w:color w:val="212529"/>
                <w:spacing w:val="4"/>
              </w:rPr>
              <w:t>105.00</w:t>
            </w:r>
          </w:p>
        </w:tc>
      </w:tr>
      <w:tr>
        <w:trPr>
          <w:trHeight w:val="434" w:hRule="atLeast"/>
        </w:trPr>
        <w:tc>
          <w:tcPr>
            <w:tcW w:w="1401"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2907" w:type="dxa"/>
            <w:vAlign w:val="top"/>
          </w:tcPr>
          <w:p>
            <w:pPr>
              <w:ind w:left="6"/>
              <w:spacing w:before="128"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438" w:type="dxa"/>
            <w:vAlign w:val="top"/>
          </w:tcPr>
          <w:p>
            <w:pPr>
              <w:ind w:right="28"/>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64.61</w:t>
            </w:r>
          </w:p>
        </w:tc>
        <w:tc>
          <w:tcPr>
            <w:tcW w:w="1274" w:type="dxa"/>
            <w:vAlign w:val="top"/>
          </w:tcPr>
          <w:p>
            <w:pPr>
              <w:ind w:right="22"/>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2"/>
              </w:rPr>
              <w:t>64.61</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2907" w:type="dxa"/>
            <w:vAlign w:val="top"/>
          </w:tcPr>
          <w:p>
            <w:pPr>
              <w:ind w:left="5"/>
              <w:spacing w:before="129"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438" w:type="dxa"/>
            <w:vAlign w:val="top"/>
          </w:tcPr>
          <w:p>
            <w:pPr>
              <w:ind w:right="28"/>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64.61</w:t>
            </w:r>
          </w:p>
        </w:tc>
        <w:tc>
          <w:tcPr>
            <w:tcW w:w="1274" w:type="dxa"/>
            <w:vAlign w:val="top"/>
          </w:tcPr>
          <w:p>
            <w:pPr>
              <w:ind w:right="22"/>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2"/>
              </w:rPr>
              <w:t>64.61</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2080501</w:t>
            </w:r>
          </w:p>
        </w:tc>
        <w:tc>
          <w:tcPr>
            <w:tcW w:w="2907" w:type="dxa"/>
            <w:vAlign w:val="top"/>
          </w:tcPr>
          <w:p>
            <w:pPr>
              <w:ind w:left="5"/>
              <w:spacing w:before="130" w:line="219" w:lineRule="auto"/>
              <w:rPr>
                <w:rFonts w:ascii="SimSun" w:hAnsi="SimSun" w:eastAsia="SimSun" w:cs="SimSun"/>
                <w:sz w:val="18"/>
                <w:szCs w:val="18"/>
              </w:rPr>
            </w:pPr>
            <w:r>
              <w:rPr>
                <w:rFonts w:ascii="SimSun" w:hAnsi="SimSun" w:eastAsia="SimSun" w:cs="SimSun"/>
                <w:sz w:val="18"/>
                <w:szCs w:val="18"/>
                <w:color w:val="212529"/>
                <w:spacing w:val="-1"/>
              </w:rPr>
              <w:t>行政单位离退休</w:t>
            </w:r>
          </w:p>
        </w:tc>
        <w:tc>
          <w:tcPr>
            <w:tcW w:w="1438" w:type="dxa"/>
            <w:vAlign w:val="top"/>
          </w:tcPr>
          <w:p>
            <w:pPr>
              <w:ind w:right="28"/>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4.06</w:t>
            </w:r>
          </w:p>
        </w:tc>
        <w:tc>
          <w:tcPr>
            <w:tcW w:w="1274" w:type="dxa"/>
            <w:vAlign w:val="top"/>
          </w:tcPr>
          <w:p>
            <w:pPr>
              <w:ind w:right="22"/>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4.06</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2907" w:type="dxa"/>
            <w:vAlign w:val="top"/>
          </w:tcPr>
          <w:p>
            <w:pPr>
              <w:ind w:left="20" w:right="194" w:hanging="16"/>
              <w:spacing w:before="26" w:line="204"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w:t>
            </w:r>
            <w:r>
              <w:rPr>
                <w:rFonts w:ascii="SimSun" w:hAnsi="SimSun" w:eastAsia="SimSun" w:cs="SimSun"/>
                <w:sz w:val="18"/>
                <w:szCs w:val="18"/>
                <w:color w:val="212529"/>
              </w:rPr>
              <w:t>出</w:t>
            </w:r>
          </w:p>
        </w:tc>
        <w:tc>
          <w:tcPr>
            <w:tcW w:w="1438" w:type="dxa"/>
            <w:vAlign w:val="top"/>
          </w:tcPr>
          <w:p>
            <w:pPr>
              <w:ind w:right="28"/>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60.55</w:t>
            </w:r>
          </w:p>
        </w:tc>
        <w:tc>
          <w:tcPr>
            <w:tcW w:w="1274" w:type="dxa"/>
            <w:vAlign w:val="top"/>
          </w:tcPr>
          <w:p>
            <w:pPr>
              <w:ind w:right="22"/>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60.55</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2907" w:type="dxa"/>
            <w:vAlign w:val="top"/>
          </w:tcPr>
          <w:p>
            <w:pPr>
              <w:ind w:left="6"/>
              <w:spacing w:before="132"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438" w:type="dxa"/>
            <w:vAlign w:val="top"/>
          </w:tcPr>
          <w:p>
            <w:pPr>
              <w:ind w:right="28"/>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26.84</w:t>
            </w:r>
          </w:p>
        </w:tc>
        <w:tc>
          <w:tcPr>
            <w:tcW w:w="1274" w:type="dxa"/>
            <w:vAlign w:val="top"/>
          </w:tcPr>
          <w:p>
            <w:pPr>
              <w:ind w:right="22"/>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26.84</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2907" w:type="dxa"/>
            <w:vAlign w:val="top"/>
          </w:tcPr>
          <w:p>
            <w:pPr>
              <w:ind w:left="5"/>
              <w:spacing w:before="134"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438" w:type="dxa"/>
            <w:vAlign w:val="top"/>
          </w:tcPr>
          <w:p>
            <w:pPr>
              <w:ind w:right="28"/>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26.84</w:t>
            </w:r>
          </w:p>
        </w:tc>
        <w:tc>
          <w:tcPr>
            <w:tcW w:w="1274" w:type="dxa"/>
            <w:vAlign w:val="top"/>
          </w:tcPr>
          <w:p>
            <w:pPr>
              <w:ind w:right="22"/>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26.84</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2907" w:type="dxa"/>
            <w:vAlign w:val="top"/>
          </w:tcPr>
          <w:p>
            <w:pPr>
              <w:ind w:left="5"/>
              <w:spacing w:before="135" w:line="219" w:lineRule="auto"/>
              <w:rPr>
                <w:rFonts w:ascii="SimSun" w:hAnsi="SimSun" w:eastAsia="SimSun" w:cs="SimSun"/>
                <w:sz w:val="18"/>
                <w:szCs w:val="18"/>
              </w:rPr>
            </w:pPr>
            <w:r>
              <w:rPr>
                <w:rFonts w:ascii="SimSun" w:hAnsi="SimSun" w:eastAsia="SimSun" w:cs="SimSun"/>
                <w:sz w:val="18"/>
                <w:szCs w:val="18"/>
                <w:color w:val="212529"/>
                <w:spacing w:val="-1"/>
              </w:rPr>
              <w:t>行政单位医疗</w:t>
            </w:r>
          </w:p>
        </w:tc>
        <w:tc>
          <w:tcPr>
            <w:tcW w:w="1438" w:type="dxa"/>
            <w:vAlign w:val="top"/>
          </w:tcPr>
          <w:p>
            <w:pPr>
              <w:ind w:right="28"/>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4.38</w:t>
            </w:r>
          </w:p>
        </w:tc>
        <w:tc>
          <w:tcPr>
            <w:tcW w:w="1274" w:type="dxa"/>
            <w:vAlign w:val="top"/>
          </w:tcPr>
          <w:p>
            <w:pPr>
              <w:ind w:right="22"/>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4.38</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2907" w:type="dxa"/>
            <w:vAlign w:val="top"/>
          </w:tcPr>
          <w:p>
            <w:pPr>
              <w:ind w:left="6"/>
              <w:spacing w:before="136"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438" w:type="dxa"/>
            <w:vAlign w:val="top"/>
          </w:tcPr>
          <w:p>
            <w:pPr>
              <w:ind w:right="28"/>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20.45</w:t>
            </w:r>
          </w:p>
        </w:tc>
        <w:tc>
          <w:tcPr>
            <w:tcW w:w="1274" w:type="dxa"/>
            <w:vAlign w:val="top"/>
          </w:tcPr>
          <w:p>
            <w:pPr>
              <w:ind w:right="22"/>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20.45</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2907" w:type="dxa"/>
            <w:vAlign w:val="top"/>
          </w:tcPr>
          <w:p>
            <w:pPr>
              <w:ind w:left="10"/>
              <w:spacing w:before="136"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438" w:type="dxa"/>
            <w:vAlign w:val="top"/>
          </w:tcPr>
          <w:p>
            <w:pPr>
              <w:ind w:right="27"/>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2.02</w:t>
            </w:r>
          </w:p>
        </w:tc>
        <w:tc>
          <w:tcPr>
            <w:tcW w:w="1274" w:type="dxa"/>
            <w:vAlign w:val="top"/>
          </w:tcPr>
          <w:p>
            <w:pPr>
              <w:ind w:right="21"/>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2.02</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4" w:hRule="atLeast"/>
        </w:trPr>
        <w:tc>
          <w:tcPr>
            <w:tcW w:w="1401" w:type="dxa"/>
            <w:vAlign w:val="top"/>
          </w:tcPr>
          <w:p>
            <w:pPr>
              <w:ind w:left="9"/>
              <w:spacing w:before="138"/>
              <w:rPr>
                <w:rFonts w:ascii="SimSun" w:hAnsi="SimSun" w:eastAsia="SimSun" w:cs="SimSun"/>
                <w:sz w:val="18"/>
                <w:szCs w:val="18"/>
              </w:rPr>
            </w:pPr>
            <w:r>
              <w:rPr>
                <w:rFonts w:ascii="SimSun" w:hAnsi="SimSun" w:eastAsia="SimSun" w:cs="SimSun"/>
                <w:sz w:val="18"/>
                <w:szCs w:val="18"/>
                <w:color w:val="212529"/>
                <w:spacing w:val="-3"/>
              </w:rPr>
              <w:t>221</w:t>
            </w:r>
          </w:p>
        </w:tc>
        <w:tc>
          <w:tcPr>
            <w:tcW w:w="2907" w:type="dxa"/>
            <w:vAlign w:val="top"/>
          </w:tcPr>
          <w:p>
            <w:pPr>
              <w:ind w:left="5"/>
              <w:spacing w:before="137"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438" w:type="dxa"/>
            <w:vAlign w:val="top"/>
          </w:tcPr>
          <w:p>
            <w:pPr>
              <w:ind w:right="27"/>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50.69</w:t>
            </w:r>
          </w:p>
        </w:tc>
        <w:tc>
          <w:tcPr>
            <w:tcW w:w="1274" w:type="dxa"/>
            <w:vAlign w:val="top"/>
          </w:tcPr>
          <w:p>
            <w:pPr>
              <w:ind w:right="2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50.69</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2907" w:type="dxa"/>
            <w:vAlign w:val="top"/>
          </w:tcPr>
          <w:p>
            <w:pPr>
              <w:ind w:left="5"/>
              <w:spacing w:before="138"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50.69</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50.69</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2907" w:type="dxa"/>
            <w:vAlign w:val="top"/>
          </w:tcPr>
          <w:p>
            <w:pPr>
              <w:ind w:left="5"/>
              <w:spacing w:before="139"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50.69</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50.69</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9"/>
              <w:rPr>
                <w:rFonts w:ascii="SimSun" w:hAnsi="SimSun" w:eastAsia="SimSun" w:cs="SimSun"/>
                <w:sz w:val="18"/>
                <w:szCs w:val="18"/>
              </w:rPr>
            </w:pPr>
            <w:r>
              <w:rPr>
                <w:rFonts w:ascii="SimSun" w:hAnsi="SimSun" w:eastAsia="SimSun" w:cs="SimSun"/>
                <w:sz w:val="18"/>
                <w:szCs w:val="18"/>
                <w:color w:val="212529"/>
                <w:spacing w:val="-3"/>
              </w:rPr>
              <w:t>224</w:t>
            </w:r>
          </w:p>
        </w:tc>
        <w:tc>
          <w:tcPr>
            <w:tcW w:w="2907" w:type="dxa"/>
            <w:vAlign w:val="top"/>
          </w:tcPr>
          <w:p>
            <w:pPr>
              <w:ind w:left="7"/>
              <w:spacing w:before="138" w:line="219" w:lineRule="auto"/>
              <w:rPr>
                <w:rFonts w:ascii="SimSun" w:hAnsi="SimSun" w:eastAsia="SimSun" w:cs="SimSun"/>
                <w:sz w:val="18"/>
                <w:szCs w:val="18"/>
              </w:rPr>
            </w:pPr>
            <w:r>
              <w:rPr>
                <w:rFonts w:ascii="SimSun" w:hAnsi="SimSun" w:eastAsia="SimSun" w:cs="SimSun"/>
                <w:sz w:val="18"/>
                <w:szCs w:val="18"/>
                <w:color w:val="212529"/>
                <w:spacing w:val="-1"/>
              </w:rPr>
              <w:t>灾害防治及应急管理支出</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1990.09</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1990.09</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ind w:right="25"/>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105.00</w:t>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22401</w:t>
            </w:r>
          </w:p>
        </w:tc>
        <w:tc>
          <w:tcPr>
            <w:tcW w:w="2907" w:type="dxa"/>
            <w:vAlign w:val="top"/>
          </w:tcPr>
          <w:p>
            <w:pPr>
              <w:ind w:left="5"/>
              <w:spacing w:before="138" w:line="219" w:lineRule="auto"/>
              <w:rPr>
                <w:rFonts w:ascii="SimSun" w:hAnsi="SimSun" w:eastAsia="SimSun" w:cs="SimSun"/>
                <w:sz w:val="18"/>
                <w:szCs w:val="18"/>
              </w:rPr>
            </w:pPr>
            <w:r>
              <w:rPr>
                <w:rFonts w:ascii="SimSun" w:hAnsi="SimSun" w:eastAsia="SimSun" w:cs="SimSun"/>
                <w:sz w:val="18"/>
                <w:szCs w:val="18"/>
                <w:color w:val="212529"/>
                <w:spacing w:val="-1"/>
              </w:rPr>
              <w:t>应急管理事务</w:t>
            </w:r>
          </w:p>
        </w:tc>
        <w:tc>
          <w:tcPr>
            <w:tcW w:w="1438" w:type="dxa"/>
            <w:vAlign w:val="top"/>
          </w:tcPr>
          <w:p>
            <w:pPr>
              <w:ind w:right="27"/>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1477.69</w:t>
            </w:r>
          </w:p>
        </w:tc>
        <w:tc>
          <w:tcPr>
            <w:tcW w:w="1274" w:type="dxa"/>
            <w:vAlign w:val="top"/>
          </w:tcPr>
          <w:p>
            <w:pPr>
              <w:ind w:right="2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1477.69</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5"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2240101</w:t>
            </w:r>
          </w:p>
        </w:tc>
        <w:tc>
          <w:tcPr>
            <w:tcW w:w="2907" w:type="dxa"/>
            <w:vAlign w:val="top"/>
          </w:tcPr>
          <w:p>
            <w:pPr>
              <w:ind w:left="5"/>
              <w:spacing w:before="139" w:line="219" w:lineRule="auto"/>
              <w:rPr>
                <w:rFonts w:ascii="SimSun" w:hAnsi="SimSun" w:eastAsia="SimSun" w:cs="SimSun"/>
                <w:sz w:val="18"/>
                <w:szCs w:val="18"/>
              </w:rPr>
            </w:pPr>
            <w:r>
              <w:rPr>
                <w:rFonts w:ascii="SimSun" w:hAnsi="SimSun" w:eastAsia="SimSun" w:cs="SimSun"/>
                <w:sz w:val="18"/>
                <w:szCs w:val="18"/>
                <w:color w:val="212529"/>
                <w:spacing w:val="-2"/>
              </w:rPr>
              <w:t>行政运行</w:t>
            </w:r>
          </w:p>
        </w:tc>
        <w:tc>
          <w:tcPr>
            <w:tcW w:w="1438"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148.28</w:t>
            </w:r>
          </w:p>
        </w:tc>
        <w:tc>
          <w:tcPr>
            <w:tcW w:w="1274" w:type="dxa"/>
            <w:vAlign w:val="top"/>
          </w:tcPr>
          <w:p>
            <w:pPr>
              <w:ind w:right="2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148.28</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42" w:hRule="atLeast"/>
        </w:trPr>
        <w:tc>
          <w:tcPr>
            <w:tcW w:w="140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2240150</w:t>
            </w:r>
          </w:p>
        </w:tc>
        <w:tc>
          <w:tcPr>
            <w:tcW w:w="2907" w:type="dxa"/>
            <w:vAlign w:val="top"/>
          </w:tcPr>
          <w:p>
            <w:pPr>
              <w:ind w:left="6"/>
              <w:spacing w:before="139" w:line="219" w:lineRule="auto"/>
              <w:rPr>
                <w:rFonts w:ascii="SimSun" w:hAnsi="SimSun" w:eastAsia="SimSun" w:cs="SimSun"/>
                <w:sz w:val="18"/>
                <w:szCs w:val="18"/>
              </w:rPr>
            </w:pPr>
            <w:r>
              <w:rPr>
                <w:rFonts w:ascii="SimSun" w:hAnsi="SimSun" w:eastAsia="SimSun" w:cs="SimSun"/>
                <w:sz w:val="18"/>
                <w:szCs w:val="18"/>
                <w:color w:val="212529"/>
                <w:spacing w:val="-2"/>
              </w:rPr>
              <w:t>事业运行</w:t>
            </w:r>
          </w:p>
        </w:tc>
        <w:tc>
          <w:tcPr>
            <w:tcW w:w="1438" w:type="dxa"/>
            <w:vAlign w:val="top"/>
          </w:tcPr>
          <w:p>
            <w:pPr>
              <w:ind w:right="28"/>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382.04</w:t>
            </w:r>
          </w:p>
        </w:tc>
        <w:tc>
          <w:tcPr>
            <w:tcW w:w="1274" w:type="dxa"/>
            <w:vAlign w:val="top"/>
          </w:tcPr>
          <w:p>
            <w:pPr>
              <w:ind w:right="22"/>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382.04</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bl>
    <w:p>
      <w:pPr>
        <w:rPr>
          <w:rFonts w:ascii="Arial"/>
          <w:sz w:val="21"/>
        </w:rPr>
      </w:pPr>
      <w:r/>
    </w:p>
    <w:p>
      <w:pPr>
        <w:sectPr>
          <w:headerReference w:type="default" r:id="rId7"/>
          <w:footerReference w:type="default" r:id="rId8"/>
          <w:pgSz w:w="16840" w:h="11900"/>
          <w:pgMar w:top="642" w:right="600" w:bottom="340" w:left="600" w:header="326" w:footer="111" w:gutter="0"/>
        </w:sectPr>
        <w:rPr>
          <w:rFonts w:ascii="Arial" w:hAnsi="Arial" w:eastAsia="Arial" w:cs="Arial"/>
          <w:sz w:val="21"/>
          <w:szCs w:val="21"/>
        </w:rPr>
      </w:pPr>
    </w:p>
    <w:p>
      <w:pPr>
        <w:spacing w:before="28"/>
        <w:rPr/>
      </w:pPr>
      <w:r/>
    </w:p>
    <w:p>
      <w:pPr>
        <w:spacing w:before="2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401"/>
        <w:gridCol w:w="2907"/>
        <w:gridCol w:w="1438"/>
        <w:gridCol w:w="1274"/>
        <w:gridCol w:w="1303"/>
        <w:gridCol w:w="1468"/>
        <w:gridCol w:w="1468"/>
        <w:gridCol w:w="944"/>
        <w:gridCol w:w="1266"/>
      </w:tblGrid>
      <w:tr>
        <w:trPr>
          <w:trHeight w:val="441" w:hRule="atLeast"/>
        </w:trPr>
        <w:tc>
          <w:tcPr>
            <w:tcW w:w="1401"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2240199</w:t>
            </w:r>
          </w:p>
        </w:tc>
        <w:tc>
          <w:tcPr>
            <w:tcW w:w="2907" w:type="dxa"/>
            <w:vAlign w:val="top"/>
          </w:tcPr>
          <w:p>
            <w:pPr>
              <w:ind w:left="4"/>
              <w:spacing w:before="115" w:line="219" w:lineRule="auto"/>
              <w:rPr>
                <w:rFonts w:ascii="SimSun" w:hAnsi="SimSun" w:eastAsia="SimSun" w:cs="SimSun"/>
                <w:sz w:val="18"/>
                <w:szCs w:val="18"/>
              </w:rPr>
            </w:pPr>
            <w:r>
              <w:rPr>
                <w:rFonts w:ascii="SimSun" w:hAnsi="SimSun" w:eastAsia="SimSun" w:cs="SimSun"/>
                <w:sz w:val="18"/>
                <w:szCs w:val="18"/>
                <w:color w:val="212529"/>
                <w:spacing w:val="-1"/>
              </w:rPr>
              <w:t>其他应急管理支出</w:t>
            </w:r>
          </w:p>
        </w:tc>
        <w:tc>
          <w:tcPr>
            <w:tcW w:w="1438" w:type="dxa"/>
            <w:vAlign w:val="top"/>
          </w:tcPr>
          <w:p>
            <w:pPr>
              <w:ind w:right="28"/>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947.37</w:t>
            </w:r>
          </w:p>
        </w:tc>
        <w:tc>
          <w:tcPr>
            <w:tcW w:w="1274" w:type="dxa"/>
            <w:vAlign w:val="top"/>
          </w:tcPr>
          <w:p>
            <w:pPr>
              <w:ind w:right="22"/>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947.37</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3" w:hRule="atLeast"/>
        </w:trPr>
        <w:tc>
          <w:tcPr>
            <w:tcW w:w="1401" w:type="dxa"/>
            <w:vAlign w:val="top"/>
          </w:tcPr>
          <w:p>
            <w:pPr>
              <w:ind w:left="9"/>
              <w:spacing w:before="109" w:line="239" w:lineRule="auto"/>
              <w:rPr>
                <w:rFonts w:ascii="SimSun" w:hAnsi="SimSun" w:eastAsia="SimSun" w:cs="SimSun"/>
                <w:sz w:val="18"/>
                <w:szCs w:val="18"/>
              </w:rPr>
            </w:pPr>
            <w:r>
              <w:rPr>
                <w:rFonts w:ascii="SimSun" w:hAnsi="SimSun" w:eastAsia="SimSun" w:cs="SimSun"/>
                <w:sz w:val="18"/>
                <w:szCs w:val="18"/>
                <w:color w:val="212529"/>
                <w:spacing w:val="-2"/>
              </w:rPr>
              <w:t>22402</w:t>
            </w:r>
          </w:p>
        </w:tc>
        <w:tc>
          <w:tcPr>
            <w:tcW w:w="2907" w:type="dxa"/>
            <w:vAlign w:val="top"/>
          </w:tcPr>
          <w:p>
            <w:pPr>
              <w:ind w:left="10"/>
              <w:spacing w:before="109" w:line="219" w:lineRule="auto"/>
              <w:rPr>
                <w:rFonts w:ascii="SimSun" w:hAnsi="SimSun" w:eastAsia="SimSun" w:cs="SimSun"/>
                <w:sz w:val="18"/>
                <w:szCs w:val="18"/>
              </w:rPr>
            </w:pPr>
            <w:r>
              <w:rPr>
                <w:rFonts w:ascii="SimSun" w:hAnsi="SimSun" w:eastAsia="SimSun" w:cs="SimSun"/>
                <w:sz w:val="18"/>
                <w:szCs w:val="18"/>
                <w:color w:val="212529"/>
                <w:spacing w:val="-2"/>
              </w:rPr>
              <w:t>消防救援事务</w:t>
            </w:r>
          </w:p>
        </w:tc>
        <w:tc>
          <w:tcPr>
            <w:tcW w:w="1438" w:type="dxa"/>
            <w:vAlign w:val="top"/>
          </w:tcPr>
          <w:p>
            <w:pPr>
              <w:ind w:right="29"/>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1"/>
              </w:rPr>
              <w:t>435.00</w:t>
            </w:r>
          </w:p>
        </w:tc>
        <w:tc>
          <w:tcPr>
            <w:tcW w:w="1274" w:type="dxa"/>
            <w:vAlign w:val="top"/>
          </w:tcPr>
          <w:p>
            <w:pPr>
              <w:ind w:right="22"/>
              <w:spacing w:before="110" w:line="238" w:lineRule="auto"/>
              <w:jc w:val="right"/>
              <w:rPr>
                <w:rFonts w:ascii="SimSun" w:hAnsi="SimSun" w:eastAsia="SimSun" w:cs="SimSun"/>
                <w:sz w:val="18"/>
                <w:szCs w:val="18"/>
              </w:rPr>
            </w:pPr>
            <w:r>
              <w:rPr>
                <w:rFonts w:ascii="SimSun" w:hAnsi="SimSun" w:eastAsia="SimSun" w:cs="SimSun"/>
                <w:sz w:val="18"/>
                <w:szCs w:val="18"/>
                <w:color w:val="212529"/>
                <w:spacing w:val="-1"/>
              </w:rPr>
              <w:t>435.00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3" w:hRule="atLeast"/>
        </w:trPr>
        <w:tc>
          <w:tcPr>
            <w:tcW w:w="1401" w:type="dxa"/>
            <w:vAlign w:val="top"/>
          </w:tcPr>
          <w:p>
            <w:pPr>
              <w:ind w:left="9"/>
              <w:spacing w:before="111" w:line="239" w:lineRule="auto"/>
              <w:rPr>
                <w:rFonts w:ascii="SimSun" w:hAnsi="SimSun" w:eastAsia="SimSun" w:cs="SimSun"/>
                <w:sz w:val="18"/>
                <w:szCs w:val="18"/>
              </w:rPr>
            </w:pPr>
            <w:r>
              <w:rPr>
                <w:rFonts w:ascii="SimSun" w:hAnsi="SimSun" w:eastAsia="SimSun" w:cs="SimSun"/>
                <w:sz w:val="18"/>
                <w:szCs w:val="18"/>
                <w:color w:val="212529"/>
                <w:spacing w:val="-2"/>
              </w:rPr>
              <w:t>2240204</w:t>
            </w:r>
          </w:p>
        </w:tc>
        <w:tc>
          <w:tcPr>
            <w:tcW w:w="2907" w:type="dxa"/>
            <w:vAlign w:val="top"/>
          </w:tcPr>
          <w:p>
            <w:pPr>
              <w:ind w:left="10"/>
              <w:spacing w:before="111" w:line="219" w:lineRule="auto"/>
              <w:rPr>
                <w:rFonts w:ascii="SimSun" w:hAnsi="SimSun" w:eastAsia="SimSun" w:cs="SimSun"/>
                <w:sz w:val="18"/>
                <w:szCs w:val="18"/>
              </w:rPr>
            </w:pPr>
            <w:r>
              <w:rPr>
                <w:rFonts w:ascii="SimSun" w:hAnsi="SimSun" w:eastAsia="SimSun" w:cs="SimSun"/>
                <w:sz w:val="18"/>
                <w:szCs w:val="18"/>
                <w:color w:val="212529"/>
                <w:spacing w:val="-2"/>
              </w:rPr>
              <w:t>消防应急救援</w:t>
            </w:r>
          </w:p>
        </w:tc>
        <w:tc>
          <w:tcPr>
            <w:tcW w:w="1438" w:type="dxa"/>
            <w:vAlign w:val="top"/>
          </w:tcPr>
          <w:p>
            <w:pPr>
              <w:ind w:right="29"/>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1"/>
              </w:rPr>
              <w:t>435.00</w:t>
            </w:r>
          </w:p>
        </w:tc>
        <w:tc>
          <w:tcPr>
            <w:tcW w:w="1274" w:type="dxa"/>
            <w:vAlign w:val="top"/>
          </w:tcPr>
          <w:p>
            <w:pPr>
              <w:ind w:right="22"/>
              <w:spacing w:before="112" w:line="238" w:lineRule="auto"/>
              <w:jc w:val="right"/>
              <w:rPr>
                <w:rFonts w:ascii="SimSun" w:hAnsi="SimSun" w:eastAsia="SimSun" w:cs="SimSun"/>
                <w:sz w:val="18"/>
                <w:szCs w:val="18"/>
              </w:rPr>
            </w:pPr>
            <w:r>
              <w:rPr>
                <w:rFonts w:ascii="SimSun" w:hAnsi="SimSun" w:eastAsia="SimSun" w:cs="SimSun"/>
                <w:sz w:val="18"/>
                <w:szCs w:val="18"/>
                <w:color w:val="212529"/>
                <w:spacing w:val="-1"/>
              </w:rPr>
              <w:t>435.00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3" w:hRule="atLeast"/>
        </w:trPr>
        <w:tc>
          <w:tcPr>
            <w:tcW w:w="1401" w:type="dxa"/>
            <w:vAlign w:val="top"/>
          </w:tcPr>
          <w:p>
            <w:pPr>
              <w:ind w:left="9"/>
              <w:spacing w:before="113" w:line="239" w:lineRule="auto"/>
              <w:rPr>
                <w:rFonts w:ascii="SimSun" w:hAnsi="SimSun" w:eastAsia="SimSun" w:cs="SimSun"/>
                <w:sz w:val="18"/>
                <w:szCs w:val="18"/>
              </w:rPr>
            </w:pPr>
            <w:r>
              <w:rPr>
                <w:rFonts w:ascii="SimSun" w:hAnsi="SimSun" w:eastAsia="SimSun" w:cs="SimSun"/>
                <w:sz w:val="18"/>
                <w:szCs w:val="18"/>
                <w:color w:val="212529"/>
                <w:spacing w:val="-2"/>
              </w:rPr>
              <w:t>22405</w:t>
            </w:r>
          </w:p>
        </w:tc>
        <w:tc>
          <w:tcPr>
            <w:tcW w:w="2907" w:type="dxa"/>
            <w:vAlign w:val="top"/>
          </w:tcPr>
          <w:p>
            <w:pPr>
              <w:ind w:left="5"/>
              <w:spacing w:before="113" w:line="219" w:lineRule="auto"/>
              <w:rPr>
                <w:rFonts w:ascii="SimSun" w:hAnsi="SimSun" w:eastAsia="SimSun" w:cs="SimSun"/>
                <w:sz w:val="18"/>
                <w:szCs w:val="18"/>
              </w:rPr>
            </w:pPr>
            <w:r>
              <w:rPr>
                <w:rFonts w:ascii="SimSun" w:hAnsi="SimSun" w:eastAsia="SimSun" w:cs="SimSun"/>
                <w:sz w:val="18"/>
                <w:szCs w:val="18"/>
                <w:color w:val="212529"/>
                <w:spacing w:val="-2"/>
              </w:rPr>
              <w:t>地震事务</w:t>
            </w:r>
          </w:p>
        </w:tc>
        <w:tc>
          <w:tcPr>
            <w:tcW w:w="1438" w:type="dxa"/>
            <w:vAlign w:val="top"/>
          </w:tcPr>
          <w:p>
            <w:pPr>
              <w:ind w:right="27"/>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77.40</w:t>
            </w:r>
          </w:p>
        </w:tc>
        <w:tc>
          <w:tcPr>
            <w:tcW w:w="1274" w:type="dxa"/>
            <w:vAlign w:val="top"/>
          </w:tcPr>
          <w:p>
            <w:pPr>
              <w:ind w:right="21"/>
              <w:spacing w:before="114" w:line="238" w:lineRule="auto"/>
              <w:jc w:val="right"/>
              <w:rPr>
                <w:rFonts w:ascii="SimSun" w:hAnsi="SimSun" w:eastAsia="SimSun" w:cs="SimSun"/>
                <w:sz w:val="18"/>
                <w:szCs w:val="18"/>
              </w:rPr>
            </w:pPr>
            <w:r>
              <w:rPr>
                <w:rFonts w:ascii="SimSun" w:hAnsi="SimSun" w:eastAsia="SimSun" w:cs="SimSun"/>
                <w:sz w:val="18"/>
                <w:szCs w:val="18"/>
                <w:color w:val="212529"/>
                <w:spacing w:val="-2"/>
              </w:rPr>
              <w:t>77.40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3" w:hRule="atLeast"/>
        </w:trPr>
        <w:tc>
          <w:tcPr>
            <w:tcW w:w="1401"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2240504</w:t>
            </w:r>
          </w:p>
        </w:tc>
        <w:tc>
          <w:tcPr>
            <w:tcW w:w="2907" w:type="dxa"/>
            <w:vAlign w:val="top"/>
          </w:tcPr>
          <w:p>
            <w:pPr>
              <w:ind w:left="5"/>
              <w:spacing w:before="116" w:line="219" w:lineRule="auto"/>
              <w:rPr>
                <w:rFonts w:ascii="SimSun" w:hAnsi="SimSun" w:eastAsia="SimSun" w:cs="SimSun"/>
                <w:sz w:val="18"/>
                <w:szCs w:val="18"/>
              </w:rPr>
            </w:pPr>
            <w:r>
              <w:rPr>
                <w:rFonts w:ascii="SimSun" w:hAnsi="SimSun" w:eastAsia="SimSun" w:cs="SimSun"/>
                <w:sz w:val="18"/>
                <w:szCs w:val="18"/>
                <w:color w:val="212529"/>
                <w:spacing w:val="-2"/>
              </w:rPr>
              <w:t>地震监测</w:t>
            </w:r>
          </w:p>
        </w:tc>
        <w:tc>
          <w:tcPr>
            <w:tcW w:w="1438" w:type="dxa"/>
            <w:vAlign w:val="top"/>
          </w:tcPr>
          <w:p>
            <w:pPr>
              <w:ind w:right="27"/>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37.40</w:t>
            </w:r>
          </w:p>
        </w:tc>
        <w:tc>
          <w:tcPr>
            <w:tcW w:w="1274" w:type="dxa"/>
            <w:vAlign w:val="top"/>
          </w:tcPr>
          <w:p>
            <w:pPr>
              <w:ind w:right="21"/>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37.40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3" w:hRule="atLeast"/>
        </w:trPr>
        <w:tc>
          <w:tcPr>
            <w:tcW w:w="1401" w:type="dxa"/>
            <w:vAlign w:val="top"/>
          </w:tcPr>
          <w:p>
            <w:pPr>
              <w:ind w:left="9"/>
              <w:spacing w:before="117" w:line="239" w:lineRule="auto"/>
              <w:rPr>
                <w:rFonts w:ascii="SimSun" w:hAnsi="SimSun" w:eastAsia="SimSun" w:cs="SimSun"/>
                <w:sz w:val="18"/>
                <w:szCs w:val="18"/>
              </w:rPr>
            </w:pPr>
            <w:r>
              <w:rPr>
                <w:rFonts w:ascii="SimSun" w:hAnsi="SimSun" w:eastAsia="SimSun" w:cs="SimSun"/>
                <w:sz w:val="18"/>
                <w:szCs w:val="18"/>
                <w:color w:val="212529"/>
                <w:spacing w:val="-2"/>
              </w:rPr>
              <w:t>2240599</w:t>
            </w:r>
          </w:p>
        </w:tc>
        <w:tc>
          <w:tcPr>
            <w:tcW w:w="2907" w:type="dxa"/>
            <w:vAlign w:val="top"/>
          </w:tcPr>
          <w:p>
            <w:pPr>
              <w:ind w:left="4"/>
              <w:spacing w:before="117" w:line="219" w:lineRule="auto"/>
              <w:rPr>
                <w:rFonts w:ascii="SimSun" w:hAnsi="SimSun" w:eastAsia="SimSun" w:cs="SimSun"/>
                <w:sz w:val="18"/>
                <w:szCs w:val="18"/>
              </w:rPr>
            </w:pPr>
            <w:r>
              <w:rPr>
                <w:rFonts w:ascii="SimSun" w:hAnsi="SimSun" w:eastAsia="SimSun" w:cs="SimSun"/>
                <w:sz w:val="18"/>
                <w:szCs w:val="18"/>
                <w:color w:val="212529"/>
                <w:spacing w:val="-1"/>
              </w:rPr>
              <w:t>其他地震事务支出</w:t>
            </w:r>
          </w:p>
        </w:tc>
        <w:tc>
          <w:tcPr>
            <w:tcW w:w="1438" w:type="dxa"/>
            <w:vAlign w:val="top"/>
          </w:tcPr>
          <w:p>
            <w:pPr>
              <w:ind w:right="28"/>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40.00</w:t>
            </w:r>
          </w:p>
        </w:tc>
        <w:tc>
          <w:tcPr>
            <w:tcW w:w="1274" w:type="dxa"/>
            <w:vAlign w:val="top"/>
          </w:tcPr>
          <w:p>
            <w:pPr>
              <w:ind w:right="22"/>
              <w:spacing w:before="118" w:line="238" w:lineRule="auto"/>
              <w:jc w:val="right"/>
              <w:rPr>
                <w:rFonts w:ascii="SimSun" w:hAnsi="SimSun" w:eastAsia="SimSun" w:cs="SimSun"/>
                <w:sz w:val="18"/>
                <w:szCs w:val="18"/>
              </w:rPr>
            </w:pPr>
            <w:r>
              <w:rPr>
                <w:rFonts w:ascii="SimSun" w:hAnsi="SimSun" w:eastAsia="SimSun" w:cs="SimSun"/>
                <w:sz w:val="18"/>
                <w:szCs w:val="18"/>
                <w:color w:val="212529"/>
                <w:spacing w:val="-2"/>
              </w:rPr>
              <w:t>40.00</w:t>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pStyle w:val="TableText"/>
              <w:rPr/>
            </w:pPr>
            <w:r/>
          </w:p>
        </w:tc>
      </w:tr>
      <w:tr>
        <w:trPr>
          <w:trHeight w:val="433" w:hRule="atLeast"/>
        </w:trPr>
        <w:tc>
          <w:tcPr>
            <w:tcW w:w="1401" w:type="dxa"/>
            <w:vAlign w:val="top"/>
          </w:tcPr>
          <w:p>
            <w:pPr>
              <w:ind w:left="9"/>
              <w:spacing w:before="119" w:line="239" w:lineRule="auto"/>
              <w:rPr>
                <w:rFonts w:ascii="SimSun" w:hAnsi="SimSun" w:eastAsia="SimSun" w:cs="SimSun"/>
                <w:sz w:val="18"/>
                <w:szCs w:val="18"/>
              </w:rPr>
            </w:pPr>
            <w:r>
              <w:rPr>
                <w:rFonts w:ascii="SimSun" w:hAnsi="SimSun" w:eastAsia="SimSun" w:cs="SimSun"/>
                <w:sz w:val="18"/>
                <w:szCs w:val="18"/>
                <w:color w:val="212529"/>
                <w:spacing w:val="-2"/>
              </w:rPr>
              <w:t>22407</w:t>
            </w:r>
          </w:p>
        </w:tc>
        <w:tc>
          <w:tcPr>
            <w:tcW w:w="2907" w:type="dxa"/>
            <w:vAlign w:val="top"/>
          </w:tcPr>
          <w:p>
            <w:pPr>
              <w:ind w:left="40"/>
              <w:spacing w:before="119" w:line="219" w:lineRule="auto"/>
              <w:rPr>
                <w:rFonts w:ascii="SimSun" w:hAnsi="SimSun" w:eastAsia="SimSun" w:cs="SimSun"/>
                <w:sz w:val="18"/>
                <w:szCs w:val="18"/>
              </w:rPr>
            </w:pPr>
            <w:r>
              <w:rPr>
                <w:rFonts w:ascii="SimSun" w:hAnsi="SimSun" w:eastAsia="SimSun" w:cs="SimSun"/>
                <w:sz w:val="18"/>
                <w:szCs w:val="18"/>
                <w:color w:val="212529"/>
                <w:spacing w:val="-3"/>
              </w:rPr>
              <w:t>自然灾害救灾及恢复重建支出</w:t>
            </w:r>
          </w:p>
        </w:tc>
        <w:tc>
          <w:tcPr>
            <w:tcW w:w="1438" w:type="dxa"/>
            <w:vAlign w:val="top"/>
          </w:tcPr>
          <w:p>
            <w:pPr>
              <w:pStyle w:val="TableText"/>
              <w:rPr/>
            </w:pPr>
            <w:r/>
          </w:p>
        </w:tc>
        <w:tc>
          <w:tcPr>
            <w:tcW w:w="1274" w:type="dxa"/>
            <w:vAlign w:val="top"/>
          </w:tcPr>
          <w:p>
            <w:pPr>
              <w:pStyle w:val="TableText"/>
              <w:rPr/>
            </w:pPr>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ind w:right="25"/>
              <w:spacing w:before="120" w:line="238" w:lineRule="auto"/>
              <w:jc w:val="right"/>
              <w:rPr>
                <w:rFonts w:ascii="SimSun" w:hAnsi="SimSun" w:eastAsia="SimSun" w:cs="SimSun"/>
                <w:sz w:val="18"/>
                <w:szCs w:val="18"/>
              </w:rPr>
            </w:pPr>
            <w:r>
              <w:rPr>
                <w:rFonts w:ascii="SimSun" w:hAnsi="SimSun" w:eastAsia="SimSun" w:cs="SimSun"/>
                <w:sz w:val="18"/>
                <w:szCs w:val="18"/>
                <w:color w:val="212529"/>
                <w:spacing w:val="-3"/>
              </w:rPr>
              <w:t>105.00</w:t>
            </w:r>
          </w:p>
        </w:tc>
      </w:tr>
      <w:tr>
        <w:trPr>
          <w:trHeight w:val="441" w:hRule="atLeast"/>
        </w:trPr>
        <w:tc>
          <w:tcPr>
            <w:tcW w:w="1401" w:type="dxa"/>
            <w:vAlign w:val="top"/>
          </w:tcPr>
          <w:p>
            <w:pPr>
              <w:ind w:left="9"/>
              <w:spacing w:before="121" w:line="239" w:lineRule="auto"/>
              <w:rPr>
                <w:rFonts w:ascii="SimSun" w:hAnsi="SimSun" w:eastAsia="SimSun" w:cs="SimSun"/>
                <w:sz w:val="18"/>
                <w:szCs w:val="18"/>
              </w:rPr>
            </w:pPr>
            <w:r>
              <w:rPr>
                <w:rFonts w:ascii="SimSun" w:hAnsi="SimSun" w:eastAsia="SimSun" w:cs="SimSun"/>
                <w:sz w:val="18"/>
                <w:szCs w:val="18"/>
                <w:color w:val="212529"/>
                <w:spacing w:val="-2"/>
              </w:rPr>
              <w:t>2240703</w:t>
            </w:r>
          </w:p>
        </w:tc>
        <w:tc>
          <w:tcPr>
            <w:tcW w:w="2907" w:type="dxa"/>
            <w:vAlign w:val="top"/>
          </w:tcPr>
          <w:p>
            <w:pPr>
              <w:ind w:left="40"/>
              <w:spacing w:before="121" w:line="219" w:lineRule="auto"/>
              <w:rPr>
                <w:rFonts w:ascii="SimSun" w:hAnsi="SimSun" w:eastAsia="SimSun" w:cs="SimSun"/>
                <w:sz w:val="18"/>
                <w:szCs w:val="18"/>
              </w:rPr>
            </w:pPr>
            <w:r>
              <w:rPr>
                <w:rFonts w:ascii="SimSun" w:hAnsi="SimSun" w:eastAsia="SimSun" w:cs="SimSun"/>
                <w:sz w:val="18"/>
                <w:szCs w:val="18"/>
                <w:color w:val="212529"/>
                <w:spacing w:val="-5"/>
              </w:rPr>
              <w:t>自然灾害救灾补助</w:t>
            </w:r>
          </w:p>
        </w:tc>
        <w:tc>
          <w:tcPr>
            <w:tcW w:w="1438" w:type="dxa"/>
            <w:vAlign w:val="top"/>
          </w:tcPr>
          <w:p>
            <w:pPr>
              <w:pStyle w:val="TableText"/>
              <w:rPr/>
            </w:pPr>
            <w:r/>
          </w:p>
        </w:tc>
        <w:tc>
          <w:tcPr>
            <w:tcW w:w="1274" w:type="dxa"/>
            <w:vAlign w:val="top"/>
          </w:tcPr>
          <w:p>
            <w:pPr>
              <w:pStyle w:val="TableText"/>
              <w:rPr/>
            </w:pPr>
            <w:r/>
          </w:p>
        </w:tc>
        <w:tc>
          <w:tcPr>
            <w:tcW w:w="1303" w:type="dxa"/>
            <w:vAlign w:val="top"/>
          </w:tcPr>
          <w:p>
            <w:pPr>
              <w:pStyle w:val="TableText"/>
              <w:rPr/>
            </w:pPr>
            <w:r/>
          </w:p>
        </w:tc>
        <w:tc>
          <w:tcPr>
            <w:tcW w:w="1468" w:type="dxa"/>
            <w:vAlign w:val="top"/>
          </w:tcPr>
          <w:p>
            <w:pPr>
              <w:pStyle w:val="TableText"/>
              <w:rPr/>
            </w:pPr>
            <w:r/>
          </w:p>
        </w:tc>
        <w:tc>
          <w:tcPr>
            <w:tcW w:w="1468" w:type="dxa"/>
            <w:vAlign w:val="top"/>
          </w:tcPr>
          <w:p>
            <w:pPr>
              <w:pStyle w:val="TableText"/>
              <w:rPr/>
            </w:pPr>
            <w:r/>
          </w:p>
        </w:tc>
        <w:tc>
          <w:tcPr>
            <w:tcW w:w="944" w:type="dxa"/>
            <w:vAlign w:val="top"/>
          </w:tcPr>
          <w:p>
            <w:pPr>
              <w:pStyle w:val="TableText"/>
              <w:rPr/>
            </w:pPr>
            <w:r/>
          </w:p>
        </w:tc>
        <w:tc>
          <w:tcPr>
            <w:tcW w:w="1266" w:type="dxa"/>
            <w:vAlign w:val="top"/>
          </w:tcPr>
          <w:p>
            <w:pPr>
              <w:ind w:right="25"/>
              <w:spacing w:before="122" w:line="238" w:lineRule="auto"/>
              <w:jc w:val="right"/>
              <w:rPr>
                <w:rFonts w:ascii="SimSun" w:hAnsi="SimSun" w:eastAsia="SimSun" w:cs="SimSun"/>
                <w:sz w:val="18"/>
                <w:szCs w:val="18"/>
              </w:rPr>
            </w:pPr>
            <w:r>
              <w:rPr>
                <w:rFonts w:ascii="SimSun" w:hAnsi="SimSun" w:eastAsia="SimSun" w:cs="SimSun"/>
                <w:sz w:val="18"/>
                <w:szCs w:val="18"/>
                <w:color w:val="212529"/>
                <w:spacing w:val="-3"/>
              </w:rPr>
              <w:t>105.00</w:t>
            </w:r>
          </w:p>
        </w:tc>
      </w:tr>
    </w:tbl>
    <w:p>
      <w:pPr>
        <w:rPr>
          <w:rFonts w:ascii="Arial"/>
          <w:sz w:val="21"/>
        </w:rPr>
      </w:pPr>
      <w:r/>
    </w:p>
    <w:p>
      <w:pPr>
        <w:sectPr>
          <w:footerReference w:type="default" r:id="rId9"/>
          <w:pgSz w:w="16840" w:h="1190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33"/>
        <w:gridCol w:w="3229"/>
        <w:gridCol w:w="1458"/>
        <w:gridCol w:w="1329"/>
        <w:gridCol w:w="1409"/>
      </w:tblGrid>
      <w:tr>
        <w:trPr>
          <w:trHeight w:val="320" w:hRule="atLeast"/>
        </w:trPr>
        <w:tc>
          <w:tcPr>
            <w:tcW w:w="173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2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9" w:type="dxa"/>
            <w:vAlign w:val="top"/>
            <w:tcBorders>
              <w:bottom w:val="single" w:color="FFFFFF" w:sz="4" w:space="0"/>
              <w:top w:val="single" w:color="FFFFFF" w:sz="4" w:space="0"/>
              <w:left w:val="single" w:color="FFFFFF" w:sz="2" w:space="0"/>
              <w:right w:val="single" w:color="FFFFFF" w:sz="2" w:space="0"/>
            </w:tcBorders>
          </w:tcPr>
          <w:p>
            <w:pPr>
              <w:ind w:left="670"/>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5" w:line="200" w:lineRule="exact"/>
              <w:outlineLvl w:val="1"/>
              <w:rPr>
                <w:rFonts w:ascii="Microsoft YaHei" w:hAnsi="Microsoft YaHei" w:eastAsia="Microsoft YaHei" w:cs="Microsoft YaHei"/>
                <w:sz w:val="19"/>
                <w:szCs w:val="19"/>
              </w:rPr>
            </w:pPr>
            <w:bookmarkStart w:name="bookmark8" w:id="12"/>
            <w:bookmarkEnd w:id="12"/>
            <w:r>
              <w:rPr>
                <w:rFonts w:ascii="Microsoft YaHei" w:hAnsi="Microsoft YaHei" w:eastAsia="Microsoft YaHei" w:cs="Microsoft YaHei"/>
                <w:sz w:val="19"/>
                <w:szCs w:val="19"/>
                <w:color w:val="212529"/>
                <w:spacing w:val="2"/>
                <w:position w:val="-1"/>
              </w:rPr>
              <w:t>2025年预算支出总表</w:t>
            </w:r>
          </w:p>
        </w:tc>
      </w:tr>
      <w:tr>
        <w:trPr>
          <w:trHeight w:val="314" w:hRule="atLeast"/>
        </w:trPr>
        <w:tc>
          <w:tcPr>
            <w:tcW w:w="6420" w:type="dxa"/>
            <w:vAlign w:val="top"/>
            <w:gridSpan w:val="3"/>
            <w:tcBorders>
              <w:top w:val="single" w:color="FFFFFF" w:sz="4" w:space="0"/>
              <w:left w:val="single" w:color="FFFFFF" w:sz="2" w:space="0"/>
              <w:right w:val="single" w:color="FFFFFF" w:sz="2" w:space="0"/>
            </w:tcBorders>
          </w:tcPr>
          <w:p>
            <w:pPr>
              <w:ind w:left="9"/>
              <w:spacing w:before="89"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329" w:type="dxa"/>
            <w:vAlign w:val="top"/>
            <w:tcBorders>
              <w:top w:val="single" w:color="FFFFFF" w:sz="4" w:space="0"/>
              <w:left w:val="single" w:color="FFFFFF" w:sz="2" w:space="0"/>
              <w:right w:val="single" w:color="FFFFFF" w:sz="2" w:space="0"/>
            </w:tcBorders>
          </w:tcPr>
          <w:p>
            <w:pPr>
              <w:pStyle w:val="TableText"/>
              <w:rPr/>
            </w:pPr>
            <w:r/>
          </w:p>
        </w:tc>
        <w:tc>
          <w:tcPr>
            <w:tcW w:w="1409" w:type="dxa"/>
            <w:vAlign w:val="top"/>
            <w:tcBorders>
              <w:top w:val="single" w:color="FFFFFF" w:sz="4" w:space="0"/>
              <w:left w:val="single" w:color="FFFFFF" w:sz="2" w:space="0"/>
              <w:right w:val="single" w:color="FFFFFF" w:sz="2" w:space="0"/>
            </w:tcBorders>
          </w:tcPr>
          <w:p>
            <w:pPr>
              <w:ind w:left="736"/>
              <w:spacing w:before="9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962" w:type="dxa"/>
            <w:vAlign w:val="top"/>
            <w:gridSpan w:val="2"/>
          </w:tcPr>
          <w:p>
            <w:pPr>
              <w:ind w:left="2309"/>
              <w:spacing w:before="7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6" w:type="dxa"/>
            <w:vAlign w:val="top"/>
            <w:gridSpan w:val="3"/>
          </w:tcPr>
          <w:p>
            <w:pPr>
              <w:ind w:left="1605"/>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4" w:hRule="atLeast"/>
        </w:trPr>
        <w:tc>
          <w:tcPr>
            <w:tcW w:w="1733" w:type="dxa"/>
            <w:vAlign w:val="top"/>
          </w:tcPr>
          <w:p>
            <w:pPr>
              <w:ind w:left="527"/>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229" w:type="dxa"/>
            <w:vAlign w:val="top"/>
          </w:tcPr>
          <w:p>
            <w:pPr>
              <w:ind w:left="1277"/>
              <w:spacing w:before="7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58" w:type="dxa"/>
            <w:vAlign w:val="top"/>
          </w:tcPr>
          <w:p>
            <w:pPr>
              <w:ind w:left="560"/>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29" w:type="dxa"/>
            <w:vAlign w:val="top"/>
          </w:tcPr>
          <w:p>
            <w:pPr>
              <w:ind w:left="327"/>
              <w:spacing w:before="74" w:line="156" w:lineRule="exact"/>
              <w:outlineLvl w:val="1"/>
              <w:rPr>
                <w:rFonts w:ascii="Microsoft YaHei" w:hAnsi="Microsoft YaHei" w:eastAsia="Microsoft YaHei" w:cs="Microsoft YaHei"/>
                <w:sz w:val="15"/>
                <w:szCs w:val="15"/>
              </w:rPr>
            </w:pPr>
            <w:bookmarkStart w:name="bookmark11" w:id="13"/>
            <w:bookmarkEnd w:id="13"/>
            <w:r>
              <w:rPr>
                <w:rFonts w:ascii="Microsoft YaHei" w:hAnsi="Microsoft YaHei" w:eastAsia="Microsoft YaHei" w:cs="Microsoft YaHei"/>
                <w:sz w:val="15"/>
                <w:szCs w:val="15"/>
                <w:color w:val="212529"/>
                <w:spacing w:val="8"/>
                <w:position w:val="-1"/>
              </w:rPr>
              <w:t>基本支出</w:t>
            </w:r>
          </w:p>
        </w:tc>
        <w:tc>
          <w:tcPr>
            <w:tcW w:w="1409" w:type="dxa"/>
            <w:vAlign w:val="top"/>
          </w:tcPr>
          <w:p>
            <w:pPr>
              <w:ind w:left="368"/>
              <w:spacing w:before="7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962" w:type="dxa"/>
            <w:vAlign w:val="top"/>
            <w:gridSpan w:val="2"/>
          </w:tcPr>
          <w:p>
            <w:pPr>
              <w:ind w:left="2311"/>
              <w:spacing w:before="7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pStyle w:val="TableText"/>
              <w:ind w:left="869"/>
              <w:spacing w:before="96" w:line="172" w:lineRule="auto"/>
              <w:rPr>
                <w:sz w:val="14"/>
                <w:szCs w:val="14"/>
              </w:rPr>
            </w:pPr>
            <w:r>
              <w:rPr>
                <w:sz w:val="14"/>
                <w:szCs w:val="14"/>
                <w:color w:val="212529"/>
                <w:spacing w:val="1"/>
              </w:rPr>
              <w:t>2237.</w:t>
            </w:r>
            <w:r>
              <w:rPr>
                <w:sz w:val="14"/>
                <w:szCs w:val="14"/>
                <w:color w:val="212529"/>
                <w:spacing w:val="6"/>
              </w:rPr>
              <w:t xml:space="preserve"> </w:t>
            </w:r>
            <w:r>
              <w:rPr>
                <w:sz w:val="14"/>
                <w:szCs w:val="14"/>
                <w:color w:val="212529"/>
                <w:spacing w:val="1"/>
              </w:rPr>
              <w:t>24</w:t>
            </w:r>
          </w:p>
        </w:tc>
        <w:tc>
          <w:tcPr>
            <w:tcW w:w="1329" w:type="dxa"/>
            <w:vAlign w:val="top"/>
          </w:tcPr>
          <w:p>
            <w:pPr>
              <w:pStyle w:val="TableText"/>
              <w:ind w:left="819"/>
              <w:spacing w:before="96" w:line="172" w:lineRule="auto"/>
              <w:rPr>
                <w:sz w:val="14"/>
                <w:szCs w:val="14"/>
              </w:rPr>
            </w:pPr>
            <w:r>
              <w:rPr>
                <w:sz w:val="14"/>
                <w:szCs w:val="14"/>
                <w:color w:val="212529"/>
              </w:rPr>
              <w:t>672.</w:t>
            </w:r>
            <w:r>
              <w:rPr>
                <w:sz w:val="14"/>
                <w:szCs w:val="14"/>
                <w:color w:val="212529"/>
                <w:spacing w:val="6"/>
              </w:rPr>
              <w:t xml:space="preserve"> </w:t>
            </w:r>
            <w:r>
              <w:rPr>
                <w:sz w:val="14"/>
                <w:szCs w:val="14"/>
                <w:color w:val="212529"/>
              </w:rPr>
              <w:t>47</w:t>
            </w:r>
          </w:p>
        </w:tc>
        <w:tc>
          <w:tcPr>
            <w:tcW w:w="1409" w:type="dxa"/>
            <w:vAlign w:val="top"/>
          </w:tcPr>
          <w:p>
            <w:pPr>
              <w:pStyle w:val="TableText"/>
              <w:ind w:left="827"/>
              <w:spacing w:before="96" w:line="186" w:lineRule="auto"/>
              <w:rPr>
                <w:sz w:val="13"/>
                <w:szCs w:val="13"/>
              </w:rPr>
            </w:pPr>
            <w:r>
              <w:rPr>
                <w:sz w:val="13"/>
                <w:szCs w:val="13"/>
                <w:color w:val="212529"/>
                <w:spacing w:val="3"/>
              </w:rPr>
              <w:t>1564.</w:t>
            </w:r>
            <w:r>
              <w:rPr>
                <w:sz w:val="13"/>
                <w:szCs w:val="13"/>
                <w:color w:val="212529"/>
                <w:spacing w:val="17"/>
              </w:rPr>
              <w:t xml:space="preserve"> </w:t>
            </w:r>
            <w:r>
              <w:rPr>
                <w:sz w:val="13"/>
                <w:szCs w:val="13"/>
                <w:color w:val="212529"/>
                <w:spacing w:val="3"/>
              </w:rPr>
              <w:t>77</w:t>
            </w:r>
          </w:p>
        </w:tc>
      </w:tr>
      <w:tr>
        <w:trPr>
          <w:trHeight w:val="314" w:hRule="atLeast"/>
        </w:trPr>
        <w:tc>
          <w:tcPr>
            <w:tcW w:w="173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229" w:type="dxa"/>
            <w:vAlign w:val="top"/>
          </w:tcPr>
          <w:p>
            <w:pPr>
              <w:ind w:left="5"/>
              <w:spacing w:before="77"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58" w:type="dxa"/>
            <w:vAlign w:val="top"/>
          </w:tcPr>
          <w:p>
            <w:pPr>
              <w:ind w:right="20"/>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64.61</w:t>
            </w:r>
          </w:p>
        </w:tc>
        <w:tc>
          <w:tcPr>
            <w:tcW w:w="1329" w:type="dxa"/>
            <w:vAlign w:val="top"/>
          </w:tcPr>
          <w:p>
            <w:pPr>
              <w:pStyle w:val="TableText"/>
              <w:ind w:left="900"/>
              <w:spacing w:before="96" w:line="187" w:lineRule="auto"/>
              <w:rPr>
                <w:sz w:val="13"/>
                <w:szCs w:val="13"/>
              </w:rPr>
            </w:pPr>
            <w:r>
              <w:rPr>
                <w:sz w:val="13"/>
                <w:szCs w:val="13"/>
                <w:color w:val="212529"/>
                <w:spacing w:val="3"/>
              </w:rPr>
              <w:t>64.</w:t>
            </w:r>
            <w:r>
              <w:rPr>
                <w:sz w:val="13"/>
                <w:szCs w:val="13"/>
                <w:color w:val="212529"/>
                <w:spacing w:val="9"/>
              </w:rPr>
              <w:t xml:space="preserve"> </w:t>
            </w:r>
            <w:r>
              <w:rPr>
                <w:sz w:val="13"/>
                <w:szCs w:val="13"/>
                <w:color w:val="212529"/>
                <w:spacing w:val="3"/>
              </w:rPr>
              <w:t>61</w:t>
            </w:r>
          </w:p>
        </w:tc>
        <w:tc>
          <w:tcPr>
            <w:tcW w:w="1409" w:type="dxa"/>
            <w:vAlign w:val="top"/>
          </w:tcPr>
          <w:p>
            <w:pPr>
              <w:pStyle w:val="TableText"/>
              <w:rPr/>
            </w:pPr>
            <w:r/>
          </w:p>
        </w:tc>
      </w:tr>
      <w:tr>
        <w:trPr>
          <w:trHeight w:val="314" w:hRule="atLeast"/>
        </w:trPr>
        <w:tc>
          <w:tcPr>
            <w:tcW w:w="1733" w:type="dxa"/>
            <w:vAlign w:val="top"/>
          </w:tcPr>
          <w:p>
            <w:pPr>
              <w:ind w:left="8"/>
              <w:spacing w:before="77"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229" w:type="dxa"/>
            <w:vAlign w:val="top"/>
          </w:tcPr>
          <w:p>
            <w:pPr>
              <w:ind w:left="4"/>
              <w:spacing w:before="77"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58" w:type="dxa"/>
            <w:vAlign w:val="top"/>
          </w:tcPr>
          <w:p>
            <w:pPr>
              <w:ind w:right="20"/>
              <w:spacing w:before="7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64.61</w:t>
            </w:r>
          </w:p>
        </w:tc>
        <w:tc>
          <w:tcPr>
            <w:tcW w:w="1329" w:type="dxa"/>
            <w:vAlign w:val="top"/>
          </w:tcPr>
          <w:p>
            <w:pPr>
              <w:pStyle w:val="TableText"/>
              <w:ind w:left="900"/>
              <w:spacing w:before="96" w:line="186" w:lineRule="auto"/>
              <w:rPr>
                <w:sz w:val="13"/>
                <w:szCs w:val="13"/>
              </w:rPr>
            </w:pPr>
            <w:r>
              <w:rPr>
                <w:sz w:val="13"/>
                <w:szCs w:val="13"/>
                <w:color w:val="212529"/>
                <w:spacing w:val="4"/>
              </w:rPr>
              <w:t>64.</w:t>
            </w:r>
            <w:r>
              <w:rPr>
                <w:sz w:val="13"/>
                <w:szCs w:val="13"/>
                <w:color w:val="212529"/>
                <w:spacing w:val="4"/>
              </w:rPr>
              <w:t xml:space="preserve"> </w:t>
            </w:r>
            <w:r>
              <w:rPr>
                <w:sz w:val="13"/>
                <w:szCs w:val="13"/>
                <w:color w:val="212529"/>
                <w:spacing w:val="4"/>
              </w:rPr>
              <w:t>61</w:t>
            </w:r>
          </w:p>
        </w:tc>
        <w:tc>
          <w:tcPr>
            <w:tcW w:w="1409" w:type="dxa"/>
            <w:vAlign w:val="top"/>
          </w:tcPr>
          <w:p>
            <w:pPr>
              <w:pStyle w:val="TableText"/>
              <w:rPr/>
            </w:pPr>
            <w:r/>
          </w:p>
        </w:tc>
      </w:tr>
      <w:tr>
        <w:trPr>
          <w:trHeight w:val="314" w:hRule="atLeast"/>
        </w:trPr>
        <w:tc>
          <w:tcPr>
            <w:tcW w:w="1733" w:type="dxa"/>
            <w:vAlign w:val="top"/>
          </w:tcPr>
          <w:p>
            <w:pPr>
              <w:ind w:left="8"/>
              <w:spacing w:before="78"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229" w:type="dxa"/>
            <w:vAlign w:val="top"/>
          </w:tcPr>
          <w:p>
            <w:pPr>
              <w:ind w:left="4"/>
              <w:spacing w:before="78"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329" w:type="dxa"/>
            <w:vAlign w:val="top"/>
          </w:tcPr>
          <w:p>
            <w:pPr>
              <w:ind w:right="22"/>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409" w:type="dxa"/>
            <w:vAlign w:val="top"/>
          </w:tcPr>
          <w:p>
            <w:pPr>
              <w:pStyle w:val="TableText"/>
              <w:rPr/>
            </w:pPr>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229" w:type="dxa"/>
            <w:vAlign w:val="top"/>
          </w:tcPr>
          <w:p>
            <w:pPr>
              <w:ind w:left="3"/>
              <w:spacing w:before="78"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60.55</w:t>
            </w:r>
          </w:p>
        </w:tc>
        <w:tc>
          <w:tcPr>
            <w:tcW w:w="1329" w:type="dxa"/>
            <w:vAlign w:val="top"/>
          </w:tcPr>
          <w:p>
            <w:pPr>
              <w:ind w:right="22"/>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60.55</w:t>
            </w:r>
          </w:p>
        </w:tc>
        <w:tc>
          <w:tcPr>
            <w:tcW w:w="1409" w:type="dxa"/>
            <w:vAlign w:val="top"/>
          </w:tcPr>
          <w:p>
            <w:pPr>
              <w:pStyle w:val="TableText"/>
              <w:rPr/>
            </w:pPr>
            <w:r/>
          </w:p>
        </w:tc>
      </w:tr>
      <w:tr>
        <w:trPr>
          <w:trHeight w:val="314" w:hRule="atLeast"/>
        </w:trPr>
        <w:tc>
          <w:tcPr>
            <w:tcW w:w="1733" w:type="dxa"/>
            <w:vAlign w:val="top"/>
          </w:tcPr>
          <w:p>
            <w:pPr>
              <w:ind w:left="8"/>
              <w:spacing w:before="78"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229" w:type="dxa"/>
            <w:vAlign w:val="top"/>
          </w:tcPr>
          <w:p>
            <w:pPr>
              <w:ind w:left="5"/>
              <w:spacing w:before="78"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58" w:type="dxa"/>
            <w:vAlign w:val="top"/>
          </w:tcPr>
          <w:p>
            <w:pPr>
              <w:ind w:right="20"/>
              <w:spacing w:before="7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26.84</w:t>
            </w:r>
          </w:p>
        </w:tc>
        <w:tc>
          <w:tcPr>
            <w:tcW w:w="1329" w:type="dxa"/>
            <w:vAlign w:val="top"/>
          </w:tcPr>
          <w:p>
            <w:pPr>
              <w:pStyle w:val="TableText"/>
              <w:ind w:left="900"/>
              <w:spacing w:before="98" w:line="172" w:lineRule="auto"/>
              <w:rPr>
                <w:sz w:val="14"/>
                <w:szCs w:val="14"/>
              </w:rPr>
            </w:pPr>
            <w:r>
              <w:rPr>
                <w:sz w:val="14"/>
                <w:szCs w:val="14"/>
                <w:color w:val="212529"/>
              </w:rPr>
              <w:t>26.</w:t>
            </w:r>
            <w:r>
              <w:rPr>
                <w:sz w:val="14"/>
                <w:szCs w:val="14"/>
                <w:color w:val="212529"/>
                <w:spacing w:val="6"/>
              </w:rPr>
              <w:t xml:space="preserve"> </w:t>
            </w:r>
            <w:r>
              <w:rPr>
                <w:sz w:val="14"/>
                <w:szCs w:val="14"/>
                <w:color w:val="212529"/>
              </w:rPr>
              <w:t>84</w:t>
            </w:r>
          </w:p>
        </w:tc>
        <w:tc>
          <w:tcPr>
            <w:tcW w:w="1409" w:type="dxa"/>
            <w:vAlign w:val="top"/>
          </w:tcPr>
          <w:p>
            <w:pPr>
              <w:pStyle w:val="TableText"/>
              <w:rPr/>
            </w:pPr>
            <w:r/>
          </w:p>
        </w:tc>
      </w:tr>
      <w:tr>
        <w:trPr>
          <w:trHeight w:val="314" w:hRule="atLeast"/>
        </w:trPr>
        <w:tc>
          <w:tcPr>
            <w:tcW w:w="1733" w:type="dxa"/>
            <w:vAlign w:val="top"/>
          </w:tcPr>
          <w:p>
            <w:pPr>
              <w:ind w:left="8"/>
              <w:spacing w:before="79"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229" w:type="dxa"/>
            <w:vAlign w:val="top"/>
          </w:tcPr>
          <w:p>
            <w:pPr>
              <w:ind w:left="4"/>
              <w:spacing w:before="79"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26.84</w:t>
            </w:r>
          </w:p>
        </w:tc>
        <w:tc>
          <w:tcPr>
            <w:tcW w:w="1329" w:type="dxa"/>
            <w:vAlign w:val="top"/>
          </w:tcPr>
          <w:p>
            <w:pPr>
              <w:pStyle w:val="TableText"/>
              <w:ind w:left="900"/>
              <w:spacing w:before="98" w:line="172" w:lineRule="auto"/>
              <w:rPr>
                <w:sz w:val="14"/>
                <w:szCs w:val="14"/>
              </w:rPr>
            </w:pPr>
            <w:r>
              <w:rPr>
                <w:sz w:val="14"/>
                <w:szCs w:val="14"/>
                <w:color w:val="212529"/>
              </w:rPr>
              <w:t>26.</w:t>
            </w:r>
            <w:r>
              <w:rPr>
                <w:sz w:val="14"/>
                <w:szCs w:val="14"/>
                <w:color w:val="212529"/>
                <w:spacing w:val="6"/>
              </w:rPr>
              <w:t xml:space="preserve"> </w:t>
            </w:r>
            <w:r>
              <w:rPr>
                <w:sz w:val="14"/>
                <w:szCs w:val="14"/>
                <w:color w:val="212529"/>
              </w:rPr>
              <w:t>84</w:t>
            </w:r>
          </w:p>
        </w:tc>
        <w:tc>
          <w:tcPr>
            <w:tcW w:w="1409" w:type="dxa"/>
            <w:vAlign w:val="top"/>
          </w:tcPr>
          <w:p>
            <w:pPr>
              <w:pStyle w:val="TableText"/>
              <w:rPr/>
            </w:pPr>
            <w:r/>
          </w:p>
        </w:tc>
      </w:tr>
      <w:tr>
        <w:trPr>
          <w:trHeight w:val="314" w:hRule="atLeast"/>
        </w:trPr>
        <w:tc>
          <w:tcPr>
            <w:tcW w:w="1733" w:type="dxa"/>
            <w:vAlign w:val="top"/>
          </w:tcPr>
          <w:p>
            <w:pPr>
              <w:ind w:left="8"/>
              <w:spacing w:before="79" w:line="203"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229" w:type="dxa"/>
            <w:vAlign w:val="top"/>
          </w:tcPr>
          <w:p>
            <w:pPr>
              <w:ind w:left="4"/>
              <w:spacing w:before="79"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458" w:type="dxa"/>
            <w:vAlign w:val="top"/>
          </w:tcPr>
          <w:p>
            <w:pPr>
              <w:ind w:right="20"/>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4.38</w:t>
            </w:r>
          </w:p>
        </w:tc>
        <w:tc>
          <w:tcPr>
            <w:tcW w:w="1329" w:type="dxa"/>
            <w:vAlign w:val="top"/>
          </w:tcPr>
          <w:p>
            <w:pPr>
              <w:ind w:right="22"/>
              <w:spacing w:before="7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4.38</w:t>
            </w:r>
          </w:p>
        </w:tc>
        <w:tc>
          <w:tcPr>
            <w:tcW w:w="1409" w:type="dxa"/>
            <w:vAlign w:val="top"/>
          </w:tcPr>
          <w:p>
            <w:pPr>
              <w:pStyle w:val="TableText"/>
              <w:rPr/>
            </w:pPr>
            <w:r/>
          </w:p>
        </w:tc>
      </w:tr>
      <w:tr>
        <w:trPr>
          <w:trHeight w:val="314" w:hRule="atLeast"/>
        </w:trPr>
        <w:tc>
          <w:tcPr>
            <w:tcW w:w="173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229" w:type="dxa"/>
            <w:vAlign w:val="top"/>
          </w:tcPr>
          <w:p>
            <w:pPr>
              <w:ind w:left="5"/>
              <w:spacing w:before="79"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58" w:type="dxa"/>
            <w:vAlign w:val="top"/>
          </w:tcPr>
          <w:p>
            <w:pPr>
              <w:ind w:right="20"/>
              <w:spacing w:before="80"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20.45</w:t>
            </w:r>
          </w:p>
        </w:tc>
        <w:tc>
          <w:tcPr>
            <w:tcW w:w="1329" w:type="dxa"/>
            <w:vAlign w:val="top"/>
          </w:tcPr>
          <w:p>
            <w:pPr>
              <w:ind w:right="22"/>
              <w:spacing w:before="80"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20.45</w:t>
            </w:r>
          </w:p>
        </w:tc>
        <w:tc>
          <w:tcPr>
            <w:tcW w:w="1409" w:type="dxa"/>
            <w:vAlign w:val="top"/>
          </w:tcPr>
          <w:p>
            <w:pPr>
              <w:pStyle w:val="TableText"/>
              <w:rPr/>
            </w:pPr>
            <w:r/>
          </w:p>
        </w:tc>
      </w:tr>
      <w:tr>
        <w:trPr>
          <w:trHeight w:val="314" w:hRule="atLeast"/>
        </w:trPr>
        <w:tc>
          <w:tcPr>
            <w:tcW w:w="1733" w:type="dxa"/>
            <w:vAlign w:val="top"/>
          </w:tcPr>
          <w:p>
            <w:pPr>
              <w:ind w:left="8"/>
              <w:spacing w:before="80"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229" w:type="dxa"/>
            <w:vAlign w:val="top"/>
          </w:tcPr>
          <w:p>
            <w:pPr>
              <w:ind w:left="8"/>
              <w:spacing w:before="80"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329" w:type="dxa"/>
            <w:vAlign w:val="top"/>
          </w:tcPr>
          <w:p>
            <w:pPr>
              <w:ind w:right="22"/>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409" w:type="dxa"/>
            <w:vAlign w:val="top"/>
          </w:tcPr>
          <w:p>
            <w:pPr>
              <w:pStyle w:val="TableText"/>
              <w:rPr/>
            </w:pPr>
            <w:r/>
          </w:p>
        </w:tc>
      </w:tr>
      <w:tr>
        <w:trPr>
          <w:trHeight w:val="314" w:hRule="atLeast"/>
        </w:trPr>
        <w:tc>
          <w:tcPr>
            <w:tcW w:w="1733" w:type="dxa"/>
            <w:vAlign w:val="top"/>
          </w:tcPr>
          <w:p>
            <w:pPr>
              <w:ind w:left="8"/>
              <w:spacing w:before="80"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229" w:type="dxa"/>
            <w:vAlign w:val="top"/>
          </w:tcPr>
          <w:p>
            <w:pPr>
              <w:ind w:left="4"/>
              <w:spacing w:before="80"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58" w:type="dxa"/>
            <w:vAlign w:val="top"/>
          </w:tcPr>
          <w:p>
            <w:pPr>
              <w:ind w:right="20"/>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329" w:type="dxa"/>
            <w:vAlign w:val="top"/>
          </w:tcPr>
          <w:p>
            <w:pPr>
              <w:pStyle w:val="TableText"/>
              <w:ind w:left="902"/>
              <w:spacing w:before="99" w:line="186" w:lineRule="auto"/>
              <w:rPr>
                <w:sz w:val="13"/>
                <w:szCs w:val="13"/>
              </w:rPr>
            </w:pPr>
            <w:r>
              <w:rPr>
                <w:sz w:val="13"/>
                <w:szCs w:val="13"/>
                <w:color w:val="212529"/>
                <w:spacing w:val="4"/>
              </w:rPr>
              <w:t>50.</w:t>
            </w:r>
            <w:r>
              <w:rPr>
                <w:sz w:val="13"/>
                <w:szCs w:val="13"/>
                <w:color w:val="212529"/>
                <w:spacing w:val="9"/>
                <w:w w:val="102"/>
              </w:rPr>
              <w:t xml:space="preserve"> </w:t>
            </w:r>
            <w:r>
              <w:rPr>
                <w:sz w:val="13"/>
                <w:szCs w:val="13"/>
                <w:color w:val="212529"/>
                <w:spacing w:val="4"/>
              </w:rPr>
              <w:t>69</w:t>
            </w:r>
          </w:p>
        </w:tc>
        <w:tc>
          <w:tcPr>
            <w:tcW w:w="1409" w:type="dxa"/>
            <w:vAlign w:val="top"/>
          </w:tcPr>
          <w:p>
            <w:pPr>
              <w:pStyle w:val="TableText"/>
              <w:rPr/>
            </w:pPr>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229" w:type="dxa"/>
            <w:vAlign w:val="top"/>
          </w:tcPr>
          <w:p>
            <w:pPr>
              <w:ind w:left="4"/>
              <w:spacing w:before="81"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58" w:type="dxa"/>
            <w:vAlign w:val="top"/>
          </w:tcPr>
          <w:p>
            <w:pPr>
              <w:ind w:right="20"/>
              <w:spacing w:before="81"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329" w:type="dxa"/>
            <w:vAlign w:val="top"/>
          </w:tcPr>
          <w:p>
            <w:pPr>
              <w:pStyle w:val="TableText"/>
              <w:ind w:left="902"/>
              <w:spacing w:before="100" w:line="186" w:lineRule="auto"/>
              <w:rPr>
                <w:sz w:val="13"/>
                <w:szCs w:val="13"/>
              </w:rPr>
            </w:pPr>
            <w:r>
              <w:rPr>
                <w:sz w:val="13"/>
                <w:szCs w:val="13"/>
                <w:color w:val="212529"/>
                <w:spacing w:val="4"/>
              </w:rPr>
              <w:t>50.</w:t>
            </w:r>
            <w:r>
              <w:rPr>
                <w:sz w:val="13"/>
                <w:szCs w:val="13"/>
                <w:color w:val="212529"/>
                <w:spacing w:val="9"/>
                <w:w w:val="102"/>
              </w:rPr>
              <w:t xml:space="preserve"> </w:t>
            </w:r>
            <w:r>
              <w:rPr>
                <w:sz w:val="13"/>
                <w:szCs w:val="13"/>
                <w:color w:val="212529"/>
                <w:spacing w:val="4"/>
              </w:rPr>
              <w:t>69</w:t>
            </w:r>
          </w:p>
        </w:tc>
        <w:tc>
          <w:tcPr>
            <w:tcW w:w="1409" w:type="dxa"/>
            <w:vAlign w:val="top"/>
          </w:tcPr>
          <w:p>
            <w:pPr>
              <w:pStyle w:val="TableText"/>
              <w:rPr/>
            </w:pPr>
            <w:r/>
          </w:p>
        </w:tc>
      </w:tr>
      <w:tr>
        <w:trPr>
          <w:trHeight w:val="314" w:hRule="atLeast"/>
        </w:trPr>
        <w:tc>
          <w:tcPr>
            <w:tcW w:w="1733"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229" w:type="dxa"/>
            <w:vAlign w:val="top"/>
          </w:tcPr>
          <w:p>
            <w:pPr>
              <w:ind w:left="4"/>
              <w:spacing w:before="8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329" w:type="dxa"/>
            <w:vAlign w:val="top"/>
          </w:tcPr>
          <w:p>
            <w:pPr>
              <w:ind w:right="22"/>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409" w:type="dxa"/>
            <w:vAlign w:val="top"/>
          </w:tcPr>
          <w:p>
            <w:pPr>
              <w:pStyle w:val="TableText"/>
              <w:rPr/>
            </w:pPr>
            <w:r/>
          </w:p>
        </w:tc>
      </w:tr>
      <w:tr>
        <w:trPr>
          <w:trHeight w:val="314" w:hRule="atLeast"/>
        </w:trPr>
        <w:tc>
          <w:tcPr>
            <w:tcW w:w="1733" w:type="dxa"/>
            <w:vAlign w:val="top"/>
          </w:tcPr>
          <w:p>
            <w:pPr>
              <w:ind w:left="8"/>
              <w:spacing w:before="81" w:line="204" w:lineRule="exact"/>
              <w:rPr>
                <w:rFonts w:ascii="SimSun" w:hAnsi="SimSun" w:eastAsia="SimSun" w:cs="SimSun"/>
                <w:sz w:val="15"/>
                <w:szCs w:val="15"/>
              </w:rPr>
            </w:pPr>
            <w:r>
              <w:rPr>
                <w:rFonts w:ascii="SimSun" w:hAnsi="SimSun" w:eastAsia="SimSun" w:cs="SimSun"/>
                <w:sz w:val="15"/>
                <w:szCs w:val="15"/>
                <w:color w:val="212529"/>
                <w:spacing w:val="2"/>
                <w:position w:val="1"/>
              </w:rPr>
              <w:t>224</w:t>
            </w:r>
          </w:p>
        </w:tc>
        <w:tc>
          <w:tcPr>
            <w:tcW w:w="3229" w:type="dxa"/>
            <w:vAlign w:val="top"/>
          </w:tcPr>
          <w:p>
            <w:pPr>
              <w:ind w:left="6"/>
              <w:spacing w:before="81" w:line="229" w:lineRule="auto"/>
              <w:rPr>
                <w:rFonts w:ascii="SimSun" w:hAnsi="SimSun" w:eastAsia="SimSun" w:cs="SimSun"/>
                <w:sz w:val="15"/>
                <w:szCs w:val="15"/>
              </w:rPr>
            </w:pPr>
            <w:r>
              <w:rPr>
                <w:rFonts w:ascii="SimSun" w:hAnsi="SimSun" w:eastAsia="SimSun" w:cs="SimSun"/>
                <w:sz w:val="15"/>
                <w:szCs w:val="15"/>
                <w:color w:val="212529"/>
                <w:spacing w:val="11"/>
              </w:rPr>
              <w:t>灾害防治及应急管理支出</w:t>
            </w:r>
          </w:p>
        </w:tc>
        <w:tc>
          <w:tcPr>
            <w:tcW w:w="1458" w:type="dxa"/>
            <w:vAlign w:val="top"/>
          </w:tcPr>
          <w:p>
            <w:pPr>
              <w:ind w:right="20"/>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2095.09</w:t>
            </w:r>
          </w:p>
        </w:tc>
        <w:tc>
          <w:tcPr>
            <w:tcW w:w="1329" w:type="dxa"/>
            <w:vAlign w:val="top"/>
          </w:tcPr>
          <w:p>
            <w:pPr>
              <w:pStyle w:val="TableText"/>
              <w:ind w:left="821"/>
              <w:spacing w:before="100" w:line="186" w:lineRule="auto"/>
              <w:rPr>
                <w:sz w:val="13"/>
                <w:szCs w:val="13"/>
              </w:rPr>
            </w:pPr>
            <w:r>
              <w:rPr>
                <w:sz w:val="13"/>
                <w:szCs w:val="13"/>
                <w:color w:val="212529"/>
                <w:spacing w:val="4"/>
              </w:rPr>
              <w:t>530.</w:t>
            </w:r>
            <w:r>
              <w:rPr>
                <w:sz w:val="13"/>
                <w:szCs w:val="13"/>
                <w:color w:val="212529"/>
                <w:spacing w:val="13"/>
                <w:w w:val="102"/>
              </w:rPr>
              <w:t xml:space="preserve"> </w:t>
            </w:r>
            <w:r>
              <w:rPr>
                <w:sz w:val="13"/>
                <w:szCs w:val="13"/>
                <w:color w:val="212529"/>
                <w:spacing w:val="4"/>
              </w:rPr>
              <w:t>32</w:t>
            </w:r>
          </w:p>
        </w:tc>
        <w:tc>
          <w:tcPr>
            <w:tcW w:w="1409" w:type="dxa"/>
            <w:vAlign w:val="top"/>
          </w:tcPr>
          <w:p>
            <w:pPr>
              <w:pStyle w:val="TableText"/>
              <w:ind w:left="827"/>
              <w:spacing w:before="100" w:line="186" w:lineRule="auto"/>
              <w:rPr>
                <w:sz w:val="13"/>
                <w:szCs w:val="13"/>
              </w:rPr>
            </w:pPr>
            <w:r>
              <w:rPr>
                <w:sz w:val="13"/>
                <w:szCs w:val="13"/>
                <w:color w:val="212529"/>
                <w:spacing w:val="3"/>
              </w:rPr>
              <w:t>1564.</w:t>
            </w:r>
            <w:r>
              <w:rPr>
                <w:sz w:val="13"/>
                <w:szCs w:val="13"/>
                <w:color w:val="212529"/>
                <w:spacing w:val="17"/>
              </w:rPr>
              <w:t xml:space="preserve"> </w:t>
            </w:r>
            <w:r>
              <w:rPr>
                <w:sz w:val="13"/>
                <w:szCs w:val="13"/>
                <w:color w:val="212529"/>
                <w:spacing w:val="3"/>
              </w:rPr>
              <w:t>77</w:t>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22401</w:t>
            </w:r>
          </w:p>
        </w:tc>
        <w:tc>
          <w:tcPr>
            <w:tcW w:w="3229" w:type="dxa"/>
            <w:vAlign w:val="top"/>
          </w:tcPr>
          <w:p>
            <w:pPr>
              <w:ind w:left="4"/>
              <w:spacing w:before="82" w:line="229" w:lineRule="auto"/>
              <w:rPr>
                <w:rFonts w:ascii="SimSun" w:hAnsi="SimSun" w:eastAsia="SimSun" w:cs="SimSun"/>
                <w:sz w:val="15"/>
                <w:szCs w:val="15"/>
              </w:rPr>
            </w:pPr>
            <w:r>
              <w:rPr>
                <w:rFonts w:ascii="SimSun" w:hAnsi="SimSun" w:eastAsia="SimSun" w:cs="SimSun"/>
                <w:sz w:val="15"/>
                <w:szCs w:val="15"/>
                <w:color w:val="212529"/>
                <w:spacing w:val="10"/>
              </w:rPr>
              <w:t>应急管理事务</w:t>
            </w:r>
          </w:p>
        </w:tc>
        <w:tc>
          <w:tcPr>
            <w:tcW w:w="1458" w:type="dxa"/>
            <w:vAlign w:val="top"/>
          </w:tcPr>
          <w:p>
            <w:pPr>
              <w:ind w:right="20"/>
              <w:spacing w:before="82"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1477.69</w:t>
            </w:r>
          </w:p>
        </w:tc>
        <w:tc>
          <w:tcPr>
            <w:tcW w:w="1329" w:type="dxa"/>
            <w:vAlign w:val="top"/>
          </w:tcPr>
          <w:p>
            <w:pPr>
              <w:pStyle w:val="TableText"/>
              <w:ind w:left="821"/>
              <w:spacing w:before="101" w:line="186" w:lineRule="auto"/>
              <w:rPr>
                <w:sz w:val="13"/>
                <w:szCs w:val="13"/>
              </w:rPr>
            </w:pPr>
            <w:r>
              <w:rPr>
                <w:sz w:val="13"/>
                <w:szCs w:val="13"/>
                <w:color w:val="212529"/>
                <w:spacing w:val="4"/>
              </w:rPr>
              <w:t>530.</w:t>
            </w:r>
            <w:r>
              <w:rPr>
                <w:sz w:val="13"/>
                <w:szCs w:val="13"/>
                <w:color w:val="212529"/>
                <w:spacing w:val="13"/>
                <w:w w:val="102"/>
              </w:rPr>
              <w:t xml:space="preserve"> </w:t>
            </w:r>
            <w:r>
              <w:rPr>
                <w:sz w:val="13"/>
                <w:szCs w:val="13"/>
                <w:color w:val="212529"/>
                <w:spacing w:val="4"/>
              </w:rPr>
              <w:t>32</w:t>
            </w:r>
          </w:p>
        </w:tc>
        <w:tc>
          <w:tcPr>
            <w:tcW w:w="1409" w:type="dxa"/>
            <w:vAlign w:val="top"/>
          </w:tcPr>
          <w:p>
            <w:pPr>
              <w:pStyle w:val="TableText"/>
              <w:ind w:left="897"/>
              <w:spacing w:before="101" w:line="172" w:lineRule="auto"/>
              <w:rPr>
                <w:sz w:val="14"/>
                <w:szCs w:val="14"/>
              </w:rPr>
            </w:pPr>
            <w:r>
              <w:rPr>
                <w:sz w:val="14"/>
                <w:szCs w:val="14"/>
                <w:color w:val="212529"/>
              </w:rPr>
              <w:t>947.</w:t>
            </w:r>
            <w:r>
              <w:rPr>
                <w:sz w:val="14"/>
                <w:szCs w:val="14"/>
                <w:color w:val="212529"/>
                <w:spacing w:val="7"/>
              </w:rPr>
              <w:t xml:space="preserve"> </w:t>
            </w:r>
            <w:r>
              <w:rPr>
                <w:sz w:val="14"/>
                <w:szCs w:val="14"/>
                <w:color w:val="212529"/>
              </w:rPr>
              <w:t>37</w:t>
            </w:r>
          </w:p>
        </w:tc>
      </w:tr>
      <w:tr>
        <w:trPr>
          <w:trHeight w:val="314" w:hRule="atLeast"/>
        </w:trPr>
        <w:tc>
          <w:tcPr>
            <w:tcW w:w="1733"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2240101</w:t>
            </w:r>
          </w:p>
        </w:tc>
        <w:tc>
          <w:tcPr>
            <w:tcW w:w="3229" w:type="dxa"/>
            <w:vAlign w:val="top"/>
          </w:tcPr>
          <w:p>
            <w:pPr>
              <w:ind w:left="4"/>
              <w:spacing w:before="82"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148.28</w:t>
            </w:r>
          </w:p>
        </w:tc>
        <w:tc>
          <w:tcPr>
            <w:tcW w:w="1329"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148.28</w:t>
            </w:r>
          </w:p>
        </w:tc>
        <w:tc>
          <w:tcPr>
            <w:tcW w:w="1409" w:type="dxa"/>
            <w:vAlign w:val="top"/>
          </w:tcPr>
          <w:p>
            <w:pPr>
              <w:pStyle w:val="TableText"/>
              <w:rPr/>
            </w:pPr>
            <w:r/>
          </w:p>
        </w:tc>
      </w:tr>
      <w:tr>
        <w:trPr>
          <w:trHeight w:val="314" w:hRule="atLeast"/>
        </w:trPr>
        <w:tc>
          <w:tcPr>
            <w:tcW w:w="1733"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2240150</w:t>
            </w:r>
          </w:p>
        </w:tc>
        <w:tc>
          <w:tcPr>
            <w:tcW w:w="3229" w:type="dxa"/>
            <w:vAlign w:val="top"/>
          </w:tcPr>
          <w:p>
            <w:pPr>
              <w:ind w:left="5"/>
              <w:spacing w:before="82"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458" w:type="dxa"/>
            <w:vAlign w:val="top"/>
          </w:tcPr>
          <w:p>
            <w:pPr>
              <w:ind w:right="20"/>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382.04</w:t>
            </w:r>
          </w:p>
        </w:tc>
        <w:tc>
          <w:tcPr>
            <w:tcW w:w="1329"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382.04</w:t>
            </w:r>
          </w:p>
        </w:tc>
        <w:tc>
          <w:tcPr>
            <w:tcW w:w="1409" w:type="dxa"/>
            <w:vAlign w:val="top"/>
          </w:tcPr>
          <w:p>
            <w:pPr>
              <w:pStyle w:val="TableText"/>
              <w:rPr/>
            </w:pPr>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2240199</w:t>
            </w:r>
          </w:p>
        </w:tc>
        <w:tc>
          <w:tcPr>
            <w:tcW w:w="3229" w:type="dxa"/>
            <w:vAlign w:val="top"/>
          </w:tcPr>
          <w:p>
            <w:pPr>
              <w:ind w:left="3"/>
              <w:spacing w:before="83" w:line="229" w:lineRule="auto"/>
              <w:rPr>
                <w:rFonts w:ascii="SimSun" w:hAnsi="SimSun" w:eastAsia="SimSun" w:cs="SimSun"/>
                <w:sz w:val="15"/>
                <w:szCs w:val="15"/>
              </w:rPr>
            </w:pPr>
            <w:r>
              <w:rPr>
                <w:rFonts w:ascii="SimSun" w:hAnsi="SimSun" w:eastAsia="SimSun" w:cs="SimSun"/>
                <w:sz w:val="15"/>
                <w:szCs w:val="15"/>
                <w:color w:val="212529"/>
                <w:spacing w:val="11"/>
              </w:rPr>
              <w:t>其他应急管理支出</w:t>
            </w:r>
          </w:p>
        </w:tc>
        <w:tc>
          <w:tcPr>
            <w:tcW w:w="1458" w:type="dxa"/>
            <w:vAlign w:val="top"/>
          </w:tcPr>
          <w:p>
            <w:pPr>
              <w:ind w:right="20"/>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947.37</w:t>
            </w:r>
          </w:p>
        </w:tc>
        <w:tc>
          <w:tcPr>
            <w:tcW w:w="1329" w:type="dxa"/>
            <w:vAlign w:val="top"/>
          </w:tcPr>
          <w:p>
            <w:pPr>
              <w:pStyle w:val="TableText"/>
              <w:rPr/>
            </w:pPr>
            <w:r/>
          </w:p>
        </w:tc>
        <w:tc>
          <w:tcPr>
            <w:tcW w:w="1409" w:type="dxa"/>
            <w:vAlign w:val="top"/>
          </w:tcPr>
          <w:p>
            <w:pPr>
              <w:ind w:right="24"/>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947.37</w:t>
            </w:r>
          </w:p>
        </w:tc>
      </w:tr>
      <w:tr>
        <w:trPr>
          <w:trHeight w:val="314" w:hRule="atLeast"/>
        </w:trPr>
        <w:tc>
          <w:tcPr>
            <w:tcW w:w="1733"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22402</w:t>
            </w:r>
          </w:p>
        </w:tc>
        <w:tc>
          <w:tcPr>
            <w:tcW w:w="3229" w:type="dxa"/>
            <w:vAlign w:val="top"/>
          </w:tcPr>
          <w:p>
            <w:pPr>
              <w:ind w:left="8"/>
              <w:spacing w:before="83" w:line="229" w:lineRule="auto"/>
              <w:rPr>
                <w:rFonts w:ascii="SimSun" w:hAnsi="SimSun" w:eastAsia="SimSun" w:cs="SimSun"/>
                <w:sz w:val="15"/>
                <w:szCs w:val="15"/>
              </w:rPr>
            </w:pPr>
            <w:r>
              <w:rPr>
                <w:rFonts w:ascii="SimSun" w:hAnsi="SimSun" w:eastAsia="SimSun" w:cs="SimSun"/>
                <w:sz w:val="15"/>
                <w:szCs w:val="15"/>
                <w:color w:val="212529"/>
                <w:spacing w:val="9"/>
              </w:rPr>
              <w:t>消防救援事务</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329" w:type="dxa"/>
            <w:vAlign w:val="top"/>
          </w:tcPr>
          <w:p>
            <w:pPr>
              <w:pStyle w:val="TableText"/>
              <w:rPr/>
            </w:pPr>
            <w:r/>
          </w:p>
        </w:tc>
        <w:tc>
          <w:tcPr>
            <w:tcW w:w="1409" w:type="dxa"/>
            <w:vAlign w:val="top"/>
          </w:tcPr>
          <w:p>
            <w:pPr>
              <w:pStyle w:val="TableText"/>
              <w:ind w:left="895"/>
              <w:spacing w:before="102" w:line="172" w:lineRule="auto"/>
              <w:rPr>
                <w:sz w:val="14"/>
                <w:szCs w:val="14"/>
              </w:rPr>
            </w:pPr>
            <w:r>
              <w:rPr>
                <w:sz w:val="14"/>
                <w:szCs w:val="14"/>
                <w:color w:val="212529"/>
              </w:rPr>
              <w:t>435.</w:t>
            </w:r>
            <w:r>
              <w:rPr>
                <w:sz w:val="14"/>
                <w:szCs w:val="14"/>
                <w:color w:val="212529"/>
                <w:spacing w:val="9"/>
              </w:rPr>
              <w:t xml:space="preserve"> </w:t>
            </w:r>
            <w:r>
              <w:rPr>
                <w:sz w:val="14"/>
                <w:szCs w:val="14"/>
                <w:color w:val="212529"/>
              </w:rPr>
              <w:t>00</w:t>
            </w:r>
          </w:p>
        </w:tc>
      </w:tr>
      <w:tr>
        <w:trPr>
          <w:trHeight w:val="314" w:hRule="atLeast"/>
        </w:trPr>
        <w:tc>
          <w:tcPr>
            <w:tcW w:w="1733" w:type="dxa"/>
            <w:vAlign w:val="top"/>
          </w:tcPr>
          <w:p>
            <w:pPr>
              <w:ind w:left="8"/>
              <w:spacing w:before="83" w:line="203" w:lineRule="exact"/>
              <w:rPr>
                <w:rFonts w:ascii="SimSun" w:hAnsi="SimSun" w:eastAsia="SimSun" w:cs="SimSun"/>
                <w:sz w:val="15"/>
                <w:szCs w:val="15"/>
              </w:rPr>
            </w:pPr>
            <w:r>
              <w:rPr>
                <w:rFonts w:ascii="SimSun" w:hAnsi="SimSun" w:eastAsia="SimSun" w:cs="SimSun"/>
                <w:sz w:val="15"/>
                <w:szCs w:val="15"/>
                <w:color w:val="212529"/>
                <w:spacing w:val="4"/>
                <w:position w:val="1"/>
              </w:rPr>
              <w:t>2240204</w:t>
            </w:r>
          </w:p>
        </w:tc>
        <w:tc>
          <w:tcPr>
            <w:tcW w:w="3229" w:type="dxa"/>
            <w:vAlign w:val="top"/>
          </w:tcPr>
          <w:p>
            <w:pPr>
              <w:ind w:left="8"/>
              <w:spacing w:before="83" w:line="229" w:lineRule="auto"/>
              <w:rPr>
                <w:rFonts w:ascii="SimSun" w:hAnsi="SimSun" w:eastAsia="SimSun" w:cs="SimSun"/>
                <w:sz w:val="15"/>
                <w:szCs w:val="15"/>
              </w:rPr>
            </w:pPr>
            <w:r>
              <w:rPr>
                <w:rFonts w:ascii="SimSun" w:hAnsi="SimSun" w:eastAsia="SimSun" w:cs="SimSun"/>
                <w:sz w:val="15"/>
                <w:szCs w:val="15"/>
                <w:color w:val="212529"/>
                <w:spacing w:val="9"/>
              </w:rPr>
              <w:t>消防应急救援</w:t>
            </w:r>
          </w:p>
        </w:tc>
        <w:tc>
          <w:tcPr>
            <w:tcW w:w="1458" w:type="dxa"/>
            <w:vAlign w:val="top"/>
          </w:tcPr>
          <w:p>
            <w:pPr>
              <w:ind w:right="20"/>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329" w:type="dxa"/>
            <w:vAlign w:val="top"/>
          </w:tcPr>
          <w:p>
            <w:pPr>
              <w:pStyle w:val="TableText"/>
              <w:rPr/>
            </w:pPr>
            <w:r/>
          </w:p>
        </w:tc>
        <w:tc>
          <w:tcPr>
            <w:tcW w:w="1409" w:type="dxa"/>
            <w:vAlign w:val="top"/>
          </w:tcPr>
          <w:p>
            <w:pPr>
              <w:ind w:right="24"/>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22405</w:t>
            </w:r>
          </w:p>
        </w:tc>
        <w:tc>
          <w:tcPr>
            <w:tcW w:w="3229" w:type="dxa"/>
            <w:vAlign w:val="top"/>
          </w:tcPr>
          <w:p>
            <w:pPr>
              <w:ind w:left="4"/>
              <w:spacing w:before="84" w:line="229" w:lineRule="auto"/>
              <w:rPr>
                <w:rFonts w:ascii="SimSun" w:hAnsi="SimSun" w:eastAsia="SimSun" w:cs="SimSun"/>
                <w:sz w:val="15"/>
                <w:szCs w:val="15"/>
              </w:rPr>
            </w:pPr>
            <w:r>
              <w:rPr>
                <w:rFonts w:ascii="SimSun" w:hAnsi="SimSun" w:eastAsia="SimSun" w:cs="SimSun"/>
                <w:sz w:val="15"/>
                <w:szCs w:val="15"/>
                <w:color w:val="212529"/>
                <w:spacing w:val="9"/>
              </w:rPr>
              <w:t>地震事务</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77.40</w:t>
            </w:r>
          </w:p>
        </w:tc>
        <w:tc>
          <w:tcPr>
            <w:tcW w:w="1329" w:type="dxa"/>
            <w:vAlign w:val="top"/>
          </w:tcPr>
          <w:p>
            <w:pPr>
              <w:pStyle w:val="TableText"/>
              <w:rPr/>
            </w:pPr>
            <w:r/>
          </w:p>
        </w:tc>
        <w:tc>
          <w:tcPr>
            <w:tcW w:w="1409" w:type="dxa"/>
            <w:vAlign w:val="top"/>
          </w:tcPr>
          <w:p>
            <w:pPr>
              <w:pStyle w:val="TableText"/>
              <w:ind w:left="980"/>
              <w:spacing w:before="103" w:line="161" w:lineRule="auto"/>
              <w:rPr>
                <w:sz w:val="15"/>
                <w:szCs w:val="15"/>
              </w:rPr>
            </w:pPr>
            <w:r>
              <w:rPr>
                <w:sz w:val="15"/>
                <w:szCs w:val="15"/>
                <w:color w:val="212529"/>
                <w:spacing w:val="3"/>
              </w:rPr>
              <w:t>77.40</w:t>
            </w:r>
          </w:p>
        </w:tc>
      </w:tr>
      <w:tr>
        <w:trPr>
          <w:trHeight w:val="314" w:hRule="atLeast"/>
        </w:trPr>
        <w:tc>
          <w:tcPr>
            <w:tcW w:w="1733"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2240504</w:t>
            </w:r>
          </w:p>
        </w:tc>
        <w:tc>
          <w:tcPr>
            <w:tcW w:w="3229" w:type="dxa"/>
            <w:vAlign w:val="top"/>
          </w:tcPr>
          <w:p>
            <w:pPr>
              <w:ind w:left="4"/>
              <w:spacing w:before="84" w:line="230" w:lineRule="auto"/>
              <w:rPr>
                <w:rFonts w:ascii="SimSun" w:hAnsi="SimSun" w:eastAsia="SimSun" w:cs="SimSun"/>
                <w:sz w:val="15"/>
                <w:szCs w:val="15"/>
              </w:rPr>
            </w:pPr>
            <w:r>
              <w:rPr>
                <w:rFonts w:ascii="SimSun" w:hAnsi="SimSun" w:eastAsia="SimSun" w:cs="SimSun"/>
                <w:sz w:val="15"/>
                <w:szCs w:val="15"/>
                <w:color w:val="212529"/>
                <w:spacing w:val="9"/>
              </w:rPr>
              <w:t>地震监测</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37.40</w:t>
            </w:r>
          </w:p>
        </w:tc>
        <w:tc>
          <w:tcPr>
            <w:tcW w:w="1329" w:type="dxa"/>
            <w:vAlign w:val="top"/>
          </w:tcPr>
          <w:p>
            <w:pPr>
              <w:pStyle w:val="TableText"/>
              <w:rPr/>
            </w:pPr>
            <w:r/>
          </w:p>
        </w:tc>
        <w:tc>
          <w:tcPr>
            <w:tcW w:w="1409"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37.40</w:t>
            </w:r>
          </w:p>
        </w:tc>
      </w:tr>
      <w:tr>
        <w:trPr>
          <w:trHeight w:val="314" w:hRule="atLeast"/>
        </w:trPr>
        <w:tc>
          <w:tcPr>
            <w:tcW w:w="1733"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2240599</w:t>
            </w:r>
          </w:p>
        </w:tc>
        <w:tc>
          <w:tcPr>
            <w:tcW w:w="3229" w:type="dxa"/>
            <w:vAlign w:val="top"/>
          </w:tcPr>
          <w:p>
            <w:pPr>
              <w:ind w:left="3"/>
              <w:spacing w:before="84" w:line="229" w:lineRule="auto"/>
              <w:rPr>
                <w:rFonts w:ascii="SimSun" w:hAnsi="SimSun" w:eastAsia="SimSun" w:cs="SimSun"/>
                <w:sz w:val="15"/>
                <w:szCs w:val="15"/>
              </w:rPr>
            </w:pPr>
            <w:r>
              <w:rPr>
                <w:rFonts w:ascii="SimSun" w:hAnsi="SimSun" w:eastAsia="SimSun" w:cs="SimSun"/>
                <w:sz w:val="15"/>
                <w:szCs w:val="15"/>
                <w:color w:val="212529"/>
                <w:spacing w:val="11"/>
              </w:rPr>
              <w:t>其他地震事务支出</w:t>
            </w:r>
          </w:p>
        </w:tc>
        <w:tc>
          <w:tcPr>
            <w:tcW w:w="1458" w:type="dxa"/>
            <w:vAlign w:val="top"/>
          </w:tcPr>
          <w:p>
            <w:pPr>
              <w:ind w:right="20"/>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329" w:type="dxa"/>
            <w:vAlign w:val="top"/>
          </w:tcPr>
          <w:p>
            <w:pPr>
              <w:pStyle w:val="TableText"/>
              <w:rPr/>
            </w:pPr>
            <w:r/>
          </w:p>
        </w:tc>
        <w:tc>
          <w:tcPr>
            <w:tcW w:w="1409"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r>
      <w:tr>
        <w:trPr>
          <w:trHeight w:val="314" w:hRule="atLeast"/>
        </w:trPr>
        <w:tc>
          <w:tcPr>
            <w:tcW w:w="1733"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22407</w:t>
            </w:r>
          </w:p>
        </w:tc>
        <w:tc>
          <w:tcPr>
            <w:tcW w:w="3229" w:type="dxa"/>
            <w:vAlign w:val="top"/>
          </w:tcPr>
          <w:p>
            <w:pPr>
              <w:ind w:left="34"/>
              <w:spacing w:before="85" w:line="229" w:lineRule="auto"/>
              <w:rPr>
                <w:rFonts w:ascii="SimSun" w:hAnsi="SimSun" w:eastAsia="SimSun" w:cs="SimSun"/>
                <w:sz w:val="15"/>
                <w:szCs w:val="15"/>
              </w:rPr>
            </w:pPr>
            <w:r>
              <w:rPr>
                <w:rFonts w:ascii="SimSun" w:hAnsi="SimSun" w:eastAsia="SimSun" w:cs="SimSun"/>
                <w:sz w:val="15"/>
                <w:szCs w:val="15"/>
                <w:color w:val="212529"/>
                <w:spacing w:val="9"/>
              </w:rPr>
              <w:t>自然灾害救灾及恢复重建支出</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329" w:type="dxa"/>
            <w:vAlign w:val="top"/>
          </w:tcPr>
          <w:p>
            <w:pPr>
              <w:pStyle w:val="TableText"/>
              <w:rPr/>
            </w:pPr>
            <w:r/>
          </w:p>
        </w:tc>
        <w:tc>
          <w:tcPr>
            <w:tcW w:w="1409" w:type="dxa"/>
            <w:vAlign w:val="top"/>
          </w:tcPr>
          <w:p>
            <w:pPr>
              <w:pStyle w:val="TableText"/>
              <w:ind w:left="908"/>
              <w:spacing w:before="104" w:line="186" w:lineRule="auto"/>
              <w:rPr>
                <w:sz w:val="13"/>
                <w:szCs w:val="13"/>
              </w:rPr>
            </w:pPr>
            <w:r>
              <w:rPr>
                <w:sz w:val="13"/>
                <w:szCs w:val="13"/>
                <w:color w:val="212529"/>
                <w:spacing w:val="2"/>
              </w:rPr>
              <w:t>105.</w:t>
            </w:r>
            <w:r>
              <w:rPr>
                <w:sz w:val="13"/>
                <w:szCs w:val="13"/>
                <w:color w:val="212529"/>
                <w:spacing w:val="18"/>
                <w:w w:val="101"/>
              </w:rPr>
              <w:t xml:space="preserve"> </w:t>
            </w:r>
            <w:r>
              <w:rPr>
                <w:sz w:val="13"/>
                <w:szCs w:val="13"/>
                <w:color w:val="212529"/>
                <w:spacing w:val="2"/>
              </w:rPr>
              <w:t>00</w:t>
            </w:r>
          </w:p>
        </w:tc>
      </w:tr>
      <w:tr>
        <w:trPr>
          <w:trHeight w:val="319" w:hRule="atLeast"/>
        </w:trPr>
        <w:tc>
          <w:tcPr>
            <w:tcW w:w="1733"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2240703</w:t>
            </w:r>
          </w:p>
        </w:tc>
        <w:tc>
          <w:tcPr>
            <w:tcW w:w="3229" w:type="dxa"/>
            <w:vAlign w:val="top"/>
          </w:tcPr>
          <w:p>
            <w:pPr>
              <w:ind w:left="34"/>
              <w:spacing w:before="85" w:line="229" w:lineRule="auto"/>
              <w:rPr>
                <w:rFonts w:ascii="SimSun" w:hAnsi="SimSun" w:eastAsia="SimSun" w:cs="SimSun"/>
                <w:sz w:val="15"/>
                <w:szCs w:val="15"/>
              </w:rPr>
            </w:pPr>
            <w:r>
              <w:rPr>
                <w:rFonts w:ascii="SimSun" w:hAnsi="SimSun" w:eastAsia="SimSun" w:cs="SimSun"/>
                <w:sz w:val="15"/>
                <w:szCs w:val="15"/>
                <w:color w:val="212529"/>
                <w:spacing w:val="7"/>
              </w:rPr>
              <w:t>自然灾害救灾补助</w:t>
            </w:r>
          </w:p>
        </w:tc>
        <w:tc>
          <w:tcPr>
            <w:tcW w:w="1458" w:type="dxa"/>
            <w:vAlign w:val="top"/>
          </w:tcPr>
          <w:p>
            <w:pPr>
              <w:ind w:right="20"/>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329" w:type="dxa"/>
            <w:vAlign w:val="top"/>
          </w:tcPr>
          <w:p>
            <w:pPr>
              <w:pStyle w:val="TableText"/>
              <w:rPr/>
            </w:pPr>
            <w:r/>
          </w:p>
        </w:tc>
        <w:tc>
          <w:tcPr>
            <w:tcW w:w="1409" w:type="dxa"/>
            <w:vAlign w:val="top"/>
          </w:tcPr>
          <w:p>
            <w:pPr>
              <w:ind w:right="24"/>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r>
    </w:tbl>
    <w:p>
      <w:pPr>
        <w:rPr>
          <w:rFonts w:ascii="Arial"/>
          <w:sz w:val="21"/>
        </w:rPr>
      </w:pPr>
      <w:r/>
    </w:p>
    <w:p>
      <w:pPr>
        <w:sectPr>
          <w:headerReference w:type="default" r:id="rId2"/>
          <w:footerReference w:type="default" r:id="rId10"/>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4" w:hRule="atLeast"/>
        </w:trPr>
        <w:tc>
          <w:tcPr>
            <w:tcW w:w="18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1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4" w:line="225" w:lineRule="auto"/>
              <w:jc w:val="right"/>
              <w:rPr>
                <w:rFonts w:ascii="SimSun" w:hAnsi="SimSun" w:eastAsia="SimSun" w:cs="SimSun"/>
                <w:sz w:val="14"/>
                <w:szCs w:val="14"/>
              </w:rPr>
            </w:pPr>
            <w:r>
              <w:rPr>
                <w:rFonts w:ascii="SimSun" w:hAnsi="SimSun" w:eastAsia="SimSun" w:cs="SimSun"/>
                <w:sz w:val="14"/>
                <w:szCs w:val="14"/>
                <w:color w:val="212529"/>
                <w:spacing w:val="2"/>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9" w:id="14"/>
            <w:bookmarkEnd w:id="14"/>
            <w:bookmarkStart w:name="bookmark9" w:id="15"/>
            <w:bookmarkEnd w:id="15"/>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116" w:type="dxa"/>
            <w:vAlign w:val="top"/>
            <w:gridSpan w:val="6"/>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042" w:type="dxa"/>
            <w:vAlign w:val="top"/>
            <w:tcBorders>
              <w:top w:val="single" w:color="FFFFFF" w:sz="4" w:space="0"/>
              <w:left w:val="single" w:color="FFFFFF" w:sz="2" w:space="0"/>
              <w:right w:val="single" w:color="FFFFFF" w:sz="2" w:space="0"/>
            </w:tcBorders>
          </w:tcPr>
          <w:p>
            <w:pPr>
              <w:ind w:left="369"/>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31"/>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8"/>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895" w:type="dxa"/>
            <w:vAlign w:val="top"/>
            <w:vMerge w:val="restart"/>
            <w:tcBorders>
              <w:bottom w:val="nil"/>
            </w:tcBorders>
          </w:tcPr>
          <w:p>
            <w:pPr>
              <w:ind w:left="771"/>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02" w:type="dxa"/>
            <w:vAlign w:val="top"/>
            <w:vMerge w:val="restart"/>
            <w:tcBorders>
              <w:bottom w:val="nil"/>
            </w:tcBorders>
          </w:tcPr>
          <w:p>
            <w:pPr>
              <w:ind w:left="375"/>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66" w:type="dxa"/>
            <w:vAlign w:val="top"/>
            <w:vMerge w:val="restart"/>
            <w:tcBorders>
              <w:bottom w:val="nil"/>
            </w:tcBorders>
          </w:tcPr>
          <w:p>
            <w:pPr>
              <w:ind w:left="810"/>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195" w:type="dxa"/>
            <w:vAlign w:val="top"/>
            <w:gridSpan w:val="4"/>
          </w:tcPr>
          <w:p>
            <w:pPr>
              <w:ind w:left="1923"/>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895" w:type="dxa"/>
            <w:vAlign w:val="top"/>
            <w:vMerge w:val="continue"/>
            <w:tcBorders>
              <w:top w:val="nil"/>
            </w:tcBorders>
          </w:tcPr>
          <w:p>
            <w:pPr>
              <w:pStyle w:val="TableText"/>
              <w:rPr/>
            </w:pPr>
            <w:r/>
          </w:p>
        </w:tc>
        <w:tc>
          <w:tcPr>
            <w:tcW w:w="1102" w:type="dxa"/>
            <w:vAlign w:val="top"/>
            <w:vMerge w:val="continue"/>
            <w:tcBorders>
              <w:top w:val="nil"/>
            </w:tcBorders>
          </w:tcPr>
          <w:p>
            <w:pPr>
              <w:pStyle w:val="TableText"/>
              <w:rPr/>
            </w:pPr>
            <w:r/>
          </w:p>
        </w:tc>
        <w:tc>
          <w:tcPr>
            <w:tcW w:w="1966" w:type="dxa"/>
            <w:vAlign w:val="top"/>
            <w:vMerge w:val="continue"/>
            <w:tcBorders>
              <w:top w:val="nil"/>
            </w:tcBorders>
          </w:tcPr>
          <w:p>
            <w:pPr>
              <w:pStyle w:val="TableText"/>
              <w:rPr/>
            </w:pPr>
            <w:r/>
          </w:p>
        </w:tc>
        <w:tc>
          <w:tcPr>
            <w:tcW w:w="1112" w:type="dxa"/>
            <w:vAlign w:val="top"/>
          </w:tcPr>
          <w:p>
            <w:pPr>
              <w:ind w:left="387"/>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23" w:type="dxa"/>
            <w:vAlign w:val="top"/>
          </w:tcPr>
          <w:p>
            <w:pPr>
              <w:ind w:left="65"/>
              <w:spacing w:before="107" w:line="157" w:lineRule="exact"/>
              <w:outlineLvl w:val="1"/>
              <w:rPr>
                <w:rFonts w:ascii="Microsoft YaHei" w:hAnsi="Microsoft YaHei" w:eastAsia="Microsoft YaHei" w:cs="Microsoft YaHei"/>
                <w:sz w:val="15"/>
                <w:szCs w:val="15"/>
              </w:rPr>
            </w:pPr>
            <w:bookmarkStart w:name="bookmark11" w:id="16"/>
            <w:bookmarkEnd w:id="16"/>
            <w:bookmarkStart w:name="bookmark10" w:id="17"/>
            <w:bookmarkEnd w:id="17"/>
            <w:r>
              <w:rPr>
                <w:rFonts w:ascii="Microsoft YaHei" w:hAnsi="Microsoft YaHei" w:eastAsia="Microsoft YaHei" w:cs="Microsoft YaHei"/>
                <w:sz w:val="15"/>
                <w:szCs w:val="15"/>
                <w:color w:val="212529"/>
                <w:spacing w:val="11"/>
              </w:rPr>
              <w:t>一般公共预算</w:t>
            </w:r>
          </w:p>
        </w:tc>
        <w:tc>
          <w:tcPr>
            <w:tcW w:w="918" w:type="dxa"/>
            <w:vAlign w:val="top"/>
          </w:tcPr>
          <w:p>
            <w:pPr>
              <w:ind w:left="286" w:right="56" w:hanging="240"/>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042" w:type="dxa"/>
            <w:vAlign w:val="top"/>
          </w:tcPr>
          <w:p>
            <w:pPr>
              <w:ind w:left="344" w:right="43" w:hanging="304"/>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r>
      <w:tr>
        <w:trPr>
          <w:trHeight w:val="379"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2132.24</w:t>
            </w:r>
          </w:p>
        </w:tc>
        <w:tc>
          <w:tcPr>
            <w:tcW w:w="1966" w:type="dxa"/>
            <w:vAlign w:val="top"/>
          </w:tcPr>
          <w:p>
            <w:pPr>
              <w:ind w:left="1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ind w:left="11"/>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ind w:left="8"/>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5"/>
              </w:rPr>
              <w:t>国防支出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w:t>
            </w:r>
            <w:r>
              <w:rPr>
                <w:rFonts w:ascii="SimSun" w:hAnsi="SimSun" w:eastAsia="SimSun" w:cs="SimSun"/>
                <w:sz w:val="15"/>
                <w:szCs w:val="15"/>
                <w:color w:val="212529"/>
                <w:spacing w:val="6"/>
              </w:rPr>
              <w:t>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112" w:type="dxa"/>
            <w:vAlign w:val="top"/>
          </w:tcPr>
          <w:p>
            <w:pPr>
              <w:ind w:right="25"/>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64.61</w:t>
            </w:r>
          </w:p>
        </w:tc>
        <w:tc>
          <w:tcPr>
            <w:tcW w:w="1123" w:type="dxa"/>
            <w:vAlign w:val="top"/>
          </w:tcPr>
          <w:p>
            <w:pPr>
              <w:ind w:right="1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64.61</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12" w:type="dxa"/>
            <w:vAlign w:val="top"/>
          </w:tcPr>
          <w:p>
            <w:pPr>
              <w:ind w:right="25"/>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26.84</w:t>
            </w:r>
          </w:p>
        </w:tc>
        <w:tc>
          <w:tcPr>
            <w:tcW w:w="1123" w:type="dxa"/>
            <w:vAlign w:val="top"/>
          </w:tcPr>
          <w:p>
            <w:pPr>
              <w:ind w:right="1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26.84</w:t>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7"/>
              </w:rPr>
              <w:t>自然资源海洋气象</w:t>
            </w:r>
            <w:r>
              <w:rPr>
                <w:rFonts w:ascii="SimSun" w:hAnsi="SimSun" w:eastAsia="SimSun" w:cs="SimSun"/>
                <w:sz w:val="15"/>
                <w:szCs w:val="15"/>
                <w:color w:val="212529"/>
                <w:spacing w:val="8"/>
              </w:rPr>
              <w:t>等支出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12" w:type="dxa"/>
            <w:vAlign w:val="top"/>
          </w:tcPr>
          <w:p>
            <w:pPr>
              <w:ind w:right="25"/>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123"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29" w:line="209" w:lineRule="auto"/>
              <w:rPr>
                <w:rFonts w:ascii="SimSun" w:hAnsi="SimSun" w:eastAsia="SimSun" w:cs="SimSun"/>
                <w:sz w:val="15"/>
                <w:szCs w:val="15"/>
              </w:rPr>
            </w:pPr>
            <w:r>
              <w:rPr>
                <w:rFonts w:ascii="SimSun" w:hAnsi="SimSun" w:eastAsia="SimSun" w:cs="SimSun"/>
                <w:sz w:val="15"/>
                <w:szCs w:val="15"/>
                <w:color w:val="212529"/>
                <w:spacing w:val="11"/>
              </w:rPr>
              <w:t>二十一、粮油物资储备支</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9" w:right="172" w:firstLine="2"/>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国有资本经营预</w:t>
            </w:r>
            <w:r>
              <w:rPr>
                <w:rFonts w:ascii="SimSun" w:hAnsi="SimSun" w:eastAsia="SimSun" w:cs="SimSun"/>
                <w:sz w:val="15"/>
                <w:szCs w:val="15"/>
                <w:color w:val="212529"/>
                <w:spacing w:val="8"/>
              </w:rPr>
              <w:t>算支出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right="172"/>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二十三、灾害防治及应急</w:t>
            </w:r>
            <w:r>
              <w:rPr>
                <w:rFonts w:ascii="SimSun" w:hAnsi="SimSun" w:eastAsia="SimSun" w:cs="SimSun"/>
                <w:sz w:val="15"/>
                <w:szCs w:val="15"/>
                <w:color w:val="212529"/>
                <w:spacing w:val="8"/>
              </w:rPr>
              <w:t>管理支出</w:t>
            </w:r>
          </w:p>
        </w:tc>
        <w:tc>
          <w:tcPr>
            <w:tcW w:w="1112" w:type="dxa"/>
            <w:vAlign w:val="top"/>
          </w:tcPr>
          <w:p>
            <w:pPr>
              <w:ind w:right="25"/>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2095.09</w:t>
            </w:r>
          </w:p>
        </w:tc>
        <w:tc>
          <w:tcPr>
            <w:tcW w:w="1123"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2095.09</w:t>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11"/>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2" w:right="172" w:hanging="1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二十九、债务发行费用支</w:t>
            </w:r>
            <w:r>
              <w:rPr>
                <w:rFonts w:ascii="SimSun" w:hAnsi="SimSun" w:eastAsia="SimSun" w:cs="SimSun"/>
                <w:sz w:val="15"/>
                <w:szCs w:val="15"/>
                <w:color w:val="212529"/>
              </w:rPr>
              <w:t>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ind w:left="21" w:right="172" w:hanging="13"/>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w:t>
            </w:r>
            <w:r>
              <w:rPr>
                <w:rFonts w:ascii="SimSun" w:hAnsi="SimSun" w:eastAsia="SimSun" w:cs="SimSun"/>
                <w:sz w:val="15"/>
                <w:szCs w:val="15"/>
                <w:color w:val="212529"/>
                <w:spacing w:val="4"/>
              </w:rPr>
              <w:t>的支出</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9"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4" w:hRule="atLeast"/>
        </w:trPr>
        <w:tc>
          <w:tcPr>
            <w:tcW w:w="1895" w:type="dxa"/>
            <w:vAlign w:val="top"/>
          </w:tcPr>
          <w:p>
            <w:pPr>
              <w:ind w:left="449"/>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02" w:type="dxa"/>
            <w:vAlign w:val="top"/>
          </w:tcPr>
          <w:p>
            <w:pPr>
              <w:pStyle w:val="TableText"/>
              <w:ind w:left="258"/>
              <w:spacing w:before="137" w:line="173" w:lineRule="auto"/>
              <w:rPr>
                <w:sz w:val="14"/>
                <w:szCs w:val="14"/>
              </w:rPr>
            </w:pPr>
            <w:r>
              <w:rPr>
                <w:sz w:val="14"/>
                <w:szCs w:val="14"/>
                <w:color w:val="212529"/>
              </w:rPr>
              <w:t>2132.</w:t>
            </w:r>
            <w:r>
              <w:rPr>
                <w:sz w:val="14"/>
                <w:szCs w:val="14"/>
                <w:color w:val="212529"/>
                <w:spacing w:val="12"/>
                <w:w w:val="101"/>
              </w:rPr>
              <w:t xml:space="preserve"> </w:t>
            </w:r>
            <w:r>
              <w:rPr>
                <w:sz w:val="14"/>
                <w:szCs w:val="14"/>
                <w:color w:val="212529"/>
              </w:rPr>
              <w:t>24</w:t>
            </w:r>
          </w:p>
        </w:tc>
        <w:tc>
          <w:tcPr>
            <w:tcW w:w="1966" w:type="dxa"/>
            <w:vAlign w:val="top"/>
          </w:tcPr>
          <w:p>
            <w:pPr>
              <w:ind w:left="488"/>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12" w:type="dxa"/>
            <w:vAlign w:val="top"/>
          </w:tcPr>
          <w:p>
            <w:pPr>
              <w:pStyle w:val="TableText"/>
              <w:ind w:left="264"/>
              <w:spacing w:before="138" w:line="172" w:lineRule="auto"/>
              <w:rPr>
                <w:sz w:val="14"/>
                <w:szCs w:val="14"/>
              </w:rPr>
            </w:pPr>
            <w:r>
              <w:rPr>
                <w:sz w:val="14"/>
                <w:szCs w:val="14"/>
                <w:color w:val="212529"/>
              </w:rPr>
              <w:t>2237.</w:t>
            </w:r>
            <w:r>
              <w:rPr>
                <w:sz w:val="14"/>
                <w:szCs w:val="14"/>
                <w:color w:val="212529"/>
                <w:spacing w:val="12"/>
                <w:w w:val="101"/>
              </w:rPr>
              <w:t xml:space="preserve"> </w:t>
            </w:r>
            <w:r>
              <w:rPr>
                <w:sz w:val="14"/>
                <w:szCs w:val="14"/>
                <w:color w:val="212529"/>
              </w:rPr>
              <w:t>24</w:t>
            </w:r>
          </w:p>
        </w:tc>
        <w:tc>
          <w:tcPr>
            <w:tcW w:w="1123" w:type="dxa"/>
            <w:vAlign w:val="top"/>
          </w:tcPr>
          <w:p>
            <w:pPr>
              <w:pStyle w:val="TableText"/>
              <w:ind w:left="272"/>
              <w:spacing w:before="138" w:line="172" w:lineRule="auto"/>
              <w:rPr>
                <w:sz w:val="14"/>
                <w:szCs w:val="14"/>
              </w:rPr>
            </w:pPr>
            <w:r>
              <w:rPr>
                <w:sz w:val="14"/>
                <w:szCs w:val="14"/>
                <w:color w:val="212529"/>
                <w:spacing w:val="1"/>
              </w:rPr>
              <w:t>2237.</w:t>
            </w:r>
            <w:r>
              <w:rPr>
                <w:sz w:val="14"/>
                <w:szCs w:val="14"/>
                <w:color w:val="212529"/>
                <w:spacing w:val="6"/>
              </w:rPr>
              <w:t xml:space="preserve"> </w:t>
            </w:r>
            <w:r>
              <w:rPr>
                <w:sz w:val="14"/>
                <w:szCs w:val="14"/>
                <w:color w:val="212529"/>
                <w:spacing w:val="1"/>
              </w:rPr>
              <w:t>24</w:t>
            </w:r>
          </w:p>
        </w:tc>
        <w:tc>
          <w:tcPr>
            <w:tcW w:w="918" w:type="dxa"/>
            <w:vAlign w:val="top"/>
          </w:tcPr>
          <w:p>
            <w:pPr>
              <w:pStyle w:val="TableText"/>
              <w:rPr/>
            </w:pPr>
            <w:r/>
          </w:p>
        </w:tc>
        <w:tc>
          <w:tcPr>
            <w:tcW w:w="1042" w:type="dxa"/>
            <w:vAlign w:val="top"/>
          </w:tcPr>
          <w:p>
            <w:pPr>
              <w:pStyle w:val="TableText"/>
              <w:rPr/>
            </w:pPr>
            <w:r/>
          </w:p>
        </w:tc>
      </w:tr>
    </w:tbl>
    <w:p>
      <w:pPr>
        <w:rPr>
          <w:rFonts w:ascii="Arial"/>
          <w:sz w:val="21"/>
        </w:rPr>
      </w:pPr>
      <w:r/>
    </w:p>
    <w:p>
      <w:pPr>
        <w:sectPr>
          <w:footerReference w:type="default" r:id="rId11"/>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95"/>
        <w:gridCol w:w="1102"/>
        <w:gridCol w:w="1966"/>
        <w:gridCol w:w="1112"/>
        <w:gridCol w:w="1123"/>
        <w:gridCol w:w="918"/>
        <w:gridCol w:w="1042"/>
      </w:tblGrid>
      <w:tr>
        <w:trPr>
          <w:trHeight w:val="383" w:hRule="atLeast"/>
        </w:trPr>
        <w:tc>
          <w:tcPr>
            <w:tcW w:w="1895" w:type="dxa"/>
            <w:vAlign w:val="top"/>
          </w:tcPr>
          <w:p>
            <w:pPr>
              <w:ind w:left="7"/>
              <w:spacing w:before="113" w:line="229" w:lineRule="auto"/>
              <w:rPr>
                <w:rFonts w:ascii="SimSun" w:hAnsi="SimSun" w:eastAsia="SimSun" w:cs="SimSun"/>
                <w:sz w:val="15"/>
                <w:szCs w:val="15"/>
              </w:rPr>
            </w:pPr>
            <w:bookmarkStart w:name="bookmark40" w:id="18"/>
            <w:bookmarkEnd w:id="18"/>
            <w:r>
              <w:rPr>
                <w:rFonts w:ascii="SimSun" w:hAnsi="SimSun" w:eastAsia="SimSun" w:cs="SimSun"/>
                <w:sz w:val="15"/>
                <w:szCs w:val="15"/>
                <w:color w:val="212529"/>
                <w:spacing w:val="10"/>
              </w:rPr>
              <w:t>上年财政拨款结转</w:t>
            </w:r>
          </w:p>
        </w:tc>
        <w:tc>
          <w:tcPr>
            <w:tcW w:w="1102" w:type="dxa"/>
            <w:vAlign w:val="top"/>
          </w:tcPr>
          <w:p>
            <w:pPr>
              <w:ind w:right="21"/>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966" w:type="dxa"/>
            <w:vAlign w:val="top"/>
          </w:tcPr>
          <w:p>
            <w:pPr>
              <w:ind w:left="9"/>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02" w:type="dxa"/>
            <w:vAlign w:val="top"/>
          </w:tcPr>
          <w:p>
            <w:pPr>
              <w:ind w:right="21"/>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7" w:hRule="atLeast"/>
        </w:trPr>
        <w:tc>
          <w:tcPr>
            <w:tcW w:w="1895"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78" w:hRule="atLeast"/>
        </w:trPr>
        <w:tc>
          <w:tcPr>
            <w:tcW w:w="1895" w:type="dxa"/>
            <w:vAlign w:val="top"/>
          </w:tcPr>
          <w:p>
            <w:pPr>
              <w:pStyle w:val="TableText"/>
              <w:rPr/>
            </w:pPr>
            <w:r/>
          </w:p>
        </w:tc>
        <w:tc>
          <w:tcPr>
            <w:tcW w:w="1102" w:type="dxa"/>
            <w:vAlign w:val="top"/>
          </w:tcPr>
          <w:p>
            <w:pPr>
              <w:pStyle w:val="TableText"/>
              <w:rPr/>
            </w:pPr>
            <w:r/>
          </w:p>
        </w:tc>
        <w:tc>
          <w:tcPr>
            <w:tcW w:w="1966" w:type="dxa"/>
            <w:vAlign w:val="top"/>
          </w:tcPr>
          <w:p>
            <w:pPr>
              <w:pStyle w:val="TableText"/>
              <w:rPr/>
            </w:pPr>
            <w:r/>
          </w:p>
        </w:tc>
        <w:tc>
          <w:tcPr>
            <w:tcW w:w="1112" w:type="dxa"/>
            <w:vAlign w:val="top"/>
          </w:tcPr>
          <w:p>
            <w:pPr>
              <w:pStyle w:val="TableText"/>
              <w:rPr/>
            </w:pPr>
            <w:r/>
          </w:p>
        </w:tc>
        <w:tc>
          <w:tcPr>
            <w:tcW w:w="1123" w:type="dxa"/>
            <w:vAlign w:val="top"/>
          </w:tcPr>
          <w:p>
            <w:pPr>
              <w:pStyle w:val="TableText"/>
              <w:rPr/>
            </w:pPr>
            <w:r/>
          </w:p>
        </w:tc>
        <w:tc>
          <w:tcPr>
            <w:tcW w:w="918" w:type="dxa"/>
            <w:vAlign w:val="top"/>
          </w:tcPr>
          <w:p>
            <w:pPr>
              <w:pStyle w:val="TableText"/>
              <w:rPr/>
            </w:pPr>
            <w:r/>
          </w:p>
        </w:tc>
        <w:tc>
          <w:tcPr>
            <w:tcW w:w="1042" w:type="dxa"/>
            <w:vAlign w:val="top"/>
          </w:tcPr>
          <w:p>
            <w:pPr>
              <w:pStyle w:val="TableText"/>
              <w:rPr/>
            </w:pPr>
            <w:r/>
          </w:p>
        </w:tc>
      </w:tr>
      <w:tr>
        <w:trPr>
          <w:trHeight w:val="383" w:hRule="atLeast"/>
        </w:trPr>
        <w:tc>
          <w:tcPr>
            <w:tcW w:w="1895" w:type="dxa"/>
            <w:vAlign w:val="top"/>
          </w:tcPr>
          <w:p>
            <w:pPr>
              <w:ind w:left="614"/>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02" w:type="dxa"/>
            <w:vAlign w:val="top"/>
          </w:tcPr>
          <w:p>
            <w:pPr>
              <w:pStyle w:val="TableText"/>
              <w:ind w:left="258"/>
              <w:spacing w:before="136" w:line="172" w:lineRule="auto"/>
              <w:rPr>
                <w:sz w:val="14"/>
                <w:szCs w:val="14"/>
              </w:rPr>
            </w:pPr>
            <w:r>
              <w:rPr>
                <w:sz w:val="14"/>
                <w:szCs w:val="14"/>
                <w:color w:val="212529"/>
                <w:spacing w:val="1"/>
              </w:rPr>
              <w:t>2237.</w:t>
            </w:r>
            <w:r>
              <w:rPr>
                <w:sz w:val="14"/>
                <w:szCs w:val="14"/>
                <w:color w:val="212529"/>
                <w:spacing w:val="6"/>
              </w:rPr>
              <w:t xml:space="preserve"> </w:t>
            </w:r>
            <w:r>
              <w:rPr>
                <w:sz w:val="14"/>
                <w:szCs w:val="14"/>
                <w:color w:val="212529"/>
                <w:spacing w:val="1"/>
              </w:rPr>
              <w:t>24</w:t>
            </w:r>
          </w:p>
        </w:tc>
        <w:tc>
          <w:tcPr>
            <w:tcW w:w="1966" w:type="dxa"/>
            <w:vAlign w:val="top"/>
          </w:tcPr>
          <w:p>
            <w:pPr>
              <w:ind w:left="649"/>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12" w:type="dxa"/>
            <w:vAlign w:val="top"/>
          </w:tcPr>
          <w:p>
            <w:pPr>
              <w:pStyle w:val="TableText"/>
              <w:ind w:left="264"/>
              <w:spacing w:before="136" w:line="172" w:lineRule="auto"/>
              <w:rPr>
                <w:sz w:val="14"/>
                <w:szCs w:val="14"/>
              </w:rPr>
            </w:pPr>
            <w:r>
              <w:rPr>
                <w:sz w:val="14"/>
                <w:szCs w:val="14"/>
                <w:color w:val="212529"/>
              </w:rPr>
              <w:t>2237.</w:t>
            </w:r>
            <w:r>
              <w:rPr>
                <w:sz w:val="14"/>
                <w:szCs w:val="14"/>
                <w:color w:val="212529"/>
                <w:spacing w:val="12"/>
                <w:w w:val="101"/>
              </w:rPr>
              <w:t xml:space="preserve"> </w:t>
            </w:r>
            <w:r>
              <w:rPr>
                <w:sz w:val="14"/>
                <w:szCs w:val="14"/>
                <w:color w:val="212529"/>
              </w:rPr>
              <w:t>24</w:t>
            </w:r>
          </w:p>
        </w:tc>
        <w:tc>
          <w:tcPr>
            <w:tcW w:w="1123" w:type="dxa"/>
            <w:vAlign w:val="top"/>
          </w:tcPr>
          <w:p>
            <w:pPr>
              <w:pStyle w:val="TableText"/>
              <w:ind w:left="272"/>
              <w:spacing w:before="136" w:line="172" w:lineRule="auto"/>
              <w:rPr>
                <w:sz w:val="14"/>
                <w:szCs w:val="14"/>
              </w:rPr>
            </w:pPr>
            <w:r>
              <w:rPr>
                <w:sz w:val="14"/>
                <w:szCs w:val="14"/>
                <w:color w:val="212529"/>
                <w:spacing w:val="1"/>
              </w:rPr>
              <w:t>2237.</w:t>
            </w:r>
            <w:r>
              <w:rPr>
                <w:sz w:val="14"/>
                <w:szCs w:val="14"/>
                <w:color w:val="212529"/>
                <w:spacing w:val="6"/>
              </w:rPr>
              <w:t xml:space="preserve"> </w:t>
            </w:r>
            <w:r>
              <w:rPr>
                <w:sz w:val="14"/>
                <w:szCs w:val="14"/>
                <w:color w:val="212529"/>
                <w:spacing w:val="1"/>
              </w:rPr>
              <w:t>24</w:t>
            </w:r>
          </w:p>
        </w:tc>
        <w:tc>
          <w:tcPr>
            <w:tcW w:w="918" w:type="dxa"/>
            <w:vAlign w:val="top"/>
          </w:tcPr>
          <w:p>
            <w:pPr>
              <w:pStyle w:val="TableText"/>
              <w:rPr/>
            </w:pPr>
            <w:r/>
          </w:p>
        </w:tc>
        <w:tc>
          <w:tcPr>
            <w:tcW w:w="1042" w:type="dxa"/>
            <w:vAlign w:val="top"/>
          </w:tcPr>
          <w:p>
            <w:pPr>
              <w:pStyle w:val="TableText"/>
              <w:rPr/>
            </w:pPr>
            <w:r/>
          </w:p>
        </w:tc>
      </w:tr>
    </w:tbl>
    <w:p>
      <w:pPr>
        <w:rPr>
          <w:rFonts w:ascii="Arial"/>
          <w:sz w:val="21"/>
        </w:rPr>
      </w:pPr>
      <w:r/>
    </w:p>
    <w:p>
      <w:pPr>
        <w:sectPr>
          <w:footerReference w:type="default" r:id="rId12"/>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36"/>
        <w:gridCol w:w="3045"/>
        <w:gridCol w:w="1588"/>
        <w:gridCol w:w="1382"/>
        <w:gridCol w:w="1507"/>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419"/>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1" w:id="19"/>
            <w:bookmarkEnd w:id="19"/>
            <w:bookmarkStart w:name="bookmark10" w:id="20"/>
            <w:bookmarkEnd w:id="20"/>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651"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507" w:type="dxa"/>
            <w:vAlign w:val="top"/>
            <w:tcBorders>
              <w:top w:val="single" w:color="FFFFFF" w:sz="4" w:space="0"/>
              <w:left w:val="single" w:color="FFFFFF" w:sz="2" w:space="0"/>
              <w:right w:val="single" w:color="FFFFFF" w:sz="2" w:space="0"/>
            </w:tcBorders>
          </w:tcPr>
          <w:p>
            <w:pPr>
              <w:ind w:left="834"/>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681" w:type="dxa"/>
            <w:vAlign w:val="top"/>
            <w:gridSpan w:val="2"/>
          </w:tcPr>
          <w:p>
            <w:pPr>
              <w:ind w:left="2169"/>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477" w:type="dxa"/>
            <w:vAlign w:val="top"/>
            <w:gridSpan w:val="3"/>
          </w:tcPr>
          <w:p>
            <w:pPr>
              <w:ind w:left="1747"/>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36" w:type="dxa"/>
            <w:vAlign w:val="top"/>
          </w:tcPr>
          <w:p>
            <w:pPr>
              <w:ind w:left="479"/>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045" w:type="dxa"/>
            <w:vAlign w:val="top"/>
          </w:tcPr>
          <w:p>
            <w:pPr>
              <w:ind w:left="118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88" w:type="dxa"/>
            <w:vAlign w:val="top"/>
          </w:tcPr>
          <w:p>
            <w:pPr>
              <w:ind w:left="626"/>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82" w:type="dxa"/>
            <w:vAlign w:val="top"/>
          </w:tcPr>
          <w:p>
            <w:pPr>
              <w:ind w:left="355"/>
              <w:spacing w:before="64" w:line="157" w:lineRule="exact"/>
              <w:outlineLvl w:val="1"/>
              <w:rPr>
                <w:rFonts w:ascii="Microsoft YaHei" w:hAnsi="Microsoft YaHei" w:eastAsia="Microsoft YaHei" w:cs="Microsoft YaHei"/>
                <w:sz w:val="15"/>
                <w:szCs w:val="15"/>
              </w:rPr>
            </w:pPr>
            <w:bookmarkStart w:name="bookmark11" w:id="21"/>
            <w:bookmarkEnd w:id="21"/>
            <w:r>
              <w:rPr>
                <w:rFonts w:ascii="Microsoft YaHei" w:hAnsi="Microsoft YaHei" w:eastAsia="Microsoft YaHei" w:cs="Microsoft YaHei"/>
                <w:sz w:val="15"/>
                <w:szCs w:val="15"/>
                <w:color w:val="212529"/>
                <w:spacing w:val="8"/>
                <w:position w:val="-1"/>
              </w:rPr>
              <w:t>基本支出</w:t>
            </w:r>
          </w:p>
        </w:tc>
        <w:tc>
          <w:tcPr>
            <w:tcW w:w="1507" w:type="dxa"/>
            <w:vAlign w:val="top"/>
          </w:tcPr>
          <w:p>
            <w:pPr>
              <w:ind w:left="418"/>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681" w:type="dxa"/>
            <w:vAlign w:val="top"/>
            <w:gridSpan w:val="2"/>
          </w:tcPr>
          <w:p>
            <w:pPr>
              <w:ind w:left="2171"/>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88" w:type="dxa"/>
            <w:vAlign w:val="top"/>
          </w:tcPr>
          <w:p>
            <w:pPr>
              <w:pStyle w:val="TableText"/>
              <w:ind w:left="999"/>
              <w:spacing w:before="87" w:line="173" w:lineRule="auto"/>
              <w:rPr>
                <w:sz w:val="14"/>
                <w:szCs w:val="14"/>
              </w:rPr>
            </w:pPr>
            <w:r>
              <w:rPr>
                <w:sz w:val="14"/>
                <w:szCs w:val="14"/>
                <w:color w:val="212529"/>
                <w:spacing w:val="1"/>
              </w:rPr>
              <w:t>2132.</w:t>
            </w:r>
            <w:r>
              <w:rPr>
                <w:sz w:val="14"/>
                <w:szCs w:val="14"/>
                <w:color w:val="212529"/>
                <w:spacing w:val="6"/>
              </w:rPr>
              <w:t xml:space="preserve"> </w:t>
            </w:r>
            <w:r>
              <w:rPr>
                <w:sz w:val="14"/>
                <w:szCs w:val="14"/>
                <w:color w:val="212529"/>
                <w:spacing w:val="1"/>
              </w:rPr>
              <w:t>24</w:t>
            </w:r>
          </w:p>
        </w:tc>
        <w:tc>
          <w:tcPr>
            <w:tcW w:w="1382" w:type="dxa"/>
            <w:vAlign w:val="top"/>
          </w:tcPr>
          <w:p>
            <w:pPr>
              <w:pStyle w:val="TableText"/>
              <w:ind w:left="874"/>
              <w:spacing w:before="87" w:line="172" w:lineRule="auto"/>
              <w:rPr>
                <w:sz w:val="14"/>
                <w:szCs w:val="14"/>
              </w:rPr>
            </w:pPr>
            <w:r>
              <w:rPr>
                <w:sz w:val="14"/>
                <w:szCs w:val="14"/>
                <w:color w:val="212529"/>
              </w:rPr>
              <w:t>672.</w:t>
            </w:r>
            <w:r>
              <w:rPr>
                <w:sz w:val="14"/>
                <w:szCs w:val="14"/>
                <w:color w:val="212529"/>
                <w:spacing w:val="6"/>
              </w:rPr>
              <w:t xml:space="preserve"> </w:t>
            </w:r>
            <w:r>
              <w:rPr>
                <w:sz w:val="14"/>
                <w:szCs w:val="14"/>
                <w:color w:val="212529"/>
              </w:rPr>
              <w:t>47</w:t>
            </w:r>
          </w:p>
        </w:tc>
        <w:tc>
          <w:tcPr>
            <w:tcW w:w="1507" w:type="dxa"/>
            <w:vAlign w:val="top"/>
          </w:tcPr>
          <w:p>
            <w:pPr>
              <w:pStyle w:val="TableText"/>
              <w:ind w:left="925"/>
              <w:spacing w:before="87" w:line="186" w:lineRule="auto"/>
              <w:rPr>
                <w:sz w:val="13"/>
                <w:szCs w:val="13"/>
              </w:rPr>
            </w:pPr>
            <w:r>
              <w:rPr>
                <w:sz w:val="13"/>
                <w:szCs w:val="13"/>
                <w:color w:val="212529"/>
                <w:spacing w:val="3"/>
              </w:rPr>
              <w:t>1459.</w:t>
            </w:r>
            <w:r>
              <w:rPr>
                <w:sz w:val="13"/>
                <w:szCs w:val="13"/>
                <w:color w:val="212529"/>
                <w:spacing w:val="17"/>
              </w:rPr>
              <w:t xml:space="preserve"> </w:t>
            </w:r>
            <w:r>
              <w:rPr>
                <w:sz w:val="13"/>
                <w:szCs w:val="13"/>
                <w:color w:val="212529"/>
                <w:spacing w:val="3"/>
              </w:rPr>
              <w:t>77</w:t>
            </w:r>
          </w:p>
        </w:tc>
      </w:tr>
      <w:tr>
        <w:trPr>
          <w:trHeight w:val="292" w:hRule="atLeast"/>
        </w:trPr>
        <w:tc>
          <w:tcPr>
            <w:tcW w:w="1636"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045" w:type="dxa"/>
            <w:vAlign w:val="top"/>
          </w:tcPr>
          <w:p>
            <w:pPr>
              <w:ind w:left="6"/>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88"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64.61</w:t>
            </w:r>
          </w:p>
        </w:tc>
        <w:tc>
          <w:tcPr>
            <w:tcW w:w="1382"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64.61</w:t>
            </w:r>
          </w:p>
        </w:tc>
        <w:tc>
          <w:tcPr>
            <w:tcW w:w="1507" w:type="dxa"/>
            <w:vAlign w:val="top"/>
          </w:tcPr>
          <w:p>
            <w:pPr>
              <w:pStyle w:val="TableText"/>
              <w:rPr/>
            </w:pPr>
            <w:r/>
          </w:p>
        </w:tc>
      </w:tr>
      <w:tr>
        <w:trPr>
          <w:trHeight w:val="292" w:hRule="atLeast"/>
        </w:trPr>
        <w:tc>
          <w:tcPr>
            <w:tcW w:w="1636"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045" w:type="dxa"/>
            <w:vAlign w:val="top"/>
          </w:tcPr>
          <w:p>
            <w:pPr>
              <w:ind w:left="4"/>
              <w:spacing w:before="69"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88"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64.61</w:t>
            </w:r>
          </w:p>
        </w:tc>
        <w:tc>
          <w:tcPr>
            <w:tcW w:w="1382"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64.61</w:t>
            </w:r>
          </w:p>
        </w:tc>
        <w:tc>
          <w:tcPr>
            <w:tcW w:w="1507" w:type="dxa"/>
            <w:vAlign w:val="top"/>
          </w:tcPr>
          <w:p>
            <w:pPr>
              <w:pStyle w:val="TableText"/>
              <w:rPr/>
            </w:pPr>
            <w:r/>
          </w:p>
        </w:tc>
      </w:tr>
      <w:tr>
        <w:trPr>
          <w:trHeight w:val="292" w:hRule="atLeast"/>
        </w:trPr>
        <w:tc>
          <w:tcPr>
            <w:tcW w:w="1636"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2080501</w:t>
            </w:r>
          </w:p>
        </w:tc>
        <w:tc>
          <w:tcPr>
            <w:tcW w:w="3045" w:type="dxa"/>
            <w:vAlign w:val="top"/>
          </w:tcPr>
          <w:p>
            <w:pPr>
              <w:ind w:left="4"/>
              <w:spacing w:before="70" w:line="229" w:lineRule="auto"/>
              <w:rPr>
                <w:rFonts w:ascii="SimSun" w:hAnsi="SimSun" w:eastAsia="SimSun" w:cs="SimSun"/>
                <w:sz w:val="15"/>
                <w:szCs w:val="15"/>
              </w:rPr>
            </w:pPr>
            <w:r>
              <w:rPr>
                <w:rFonts w:ascii="SimSun" w:hAnsi="SimSun" w:eastAsia="SimSun" w:cs="SimSun"/>
                <w:sz w:val="15"/>
                <w:szCs w:val="15"/>
                <w:color w:val="212529"/>
                <w:spacing w:val="10"/>
              </w:rPr>
              <w:t>行政单位离退休</w:t>
            </w:r>
          </w:p>
        </w:tc>
        <w:tc>
          <w:tcPr>
            <w:tcW w:w="1588"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382"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507" w:type="dxa"/>
            <w:vAlign w:val="top"/>
          </w:tcPr>
          <w:p>
            <w:pPr>
              <w:pStyle w:val="TableText"/>
              <w:rPr/>
            </w:pPr>
            <w:r/>
          </w:p>
        </w:tc>
      </w:tr>
      <w:tr>
        <w:trPr>
          <w:trHeight w:val="292" w:hRule="atLeast"/>
        </w:trPr>
        <w:tc>
          <w:tcPr>
            <w:tcW w:w="1636"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045" w:type="dxa"/>
            <w:vAlign w:val="top"/>
          </w:tcPr>
          <w:p>
            <w:pPr>
              <w:ind w:left="4"/>
              <w:spacing w:before="7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60.55</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60.55</w:t>
            </w:r>
          </w:p>
        </w:tc>
        <w:tc>
          <w:tcPr>
            <w:tcW w:w="1507" w:type="dxa"/>
            <w:vAlign w:val="top"/>
          </w:tcPr>
          <w:p>
            <w:pPr>
              <w:pStyle w:val="TableText"/>
              <w:rPr/>
            </w:pPr>
            <w:r/>
          </w:p>
        </w:tc>
      </w:tr>
      <w:tr>
        <w:trPr>
          <w:trHeight w:val="292" w:hRule="atLeast"/>
        </w:trPr>
        <w:tc>
          <w:tcPr>
            <w:tcW w:w="1636"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045" w:type="dxa"/>
            <w:vAlign w:val="top"/>
          </w:tcPr>
          <w:p>
            <w:pPr>
              <w:ind w:left="6"/>
              <w:spacing w:before="71"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26.84</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26.84</w:t>
            </w:r>
          </w:p>
        </w:tc>
        <w:tc>
          <w:tcPr>
            <w:tcW w:w="1507" w:type="dxa"/>
            <w:vAlign w:val="top"/>
          </w:tcPr>
          <w:p>
            <w:pPr>
              <w:pStyle w:val="TableText"/>
              <w:rPr/>
            </w:pPr>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045" w:type="dxa"/>
            <w:vAlign w:val="top"/>
          </w:tcPr>
          <w:p>
            <w:pPr>
              <w:ind w:left="4"/>
              <w:spacing w:before="72"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26.84</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26.84</w:t>
            </w:r>
          </w:p>
        </w:tc>
        <w:tc>
          <w:tcPr>
            <w:tcW w:w="1507" w:type="dxa"/>
            <w:vAlign w:val="top"/>
          </w:tcPr>
          <w:p>
            <w:pPr>
              <w:pStyle w:val="TableText"/>
              <w:rPr/>
            </w:pPr>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045" w:type="dxa"/>
            <w:vAlign w:val="top"/>
          </w:tcPr>
          <w:p>
            <w:pPr>
              <w:ind w:left="4"/>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4.38</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4.38</w:t>
            </w:r>
          </w:p>
        </w:tc>
        <w:tc>
          <w:tcPr>
            <w:tcW w:w="1507" w:type="dxa"/>
            <w:vAlign w:val="top"/>
          </w:tcPr>
          <w:p>
            <w:pPr>
              <w:pStyle w:val="TableText"/>
              <w:rPr/>
            </w:pPr>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045" w:type="dxa"/>
            <w:vAlign w:val="top"/>
          </w:tcPr>
          <w:p>
            <w:pPr>
              <w:ind w:left="6"/>
              <w:spacing w:before="72"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88" w:type="dxa"/>
            <w:vAlign w:val="top"/>
          </w:tcPr>
          <w:p>
            <w:pPr>
              <w:ind w:right="20"/>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20.45</w:t>
            </w:r>
          </w:p>
        </w:tc>
        <w:tc>
          <w:tcPr>
            <w:tcW w:w="1382" w:type="dxa"/>
            <w:vAlign w:val="top"/>
          </w:tcPr>
          <w:p>
            <w:pPr>
              <w:ind w:right="20"/>
              <w:spacing w:before="73"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20.45</w:t>
            </w:r>
          </w:p>
        </w:tc>
        <w:tc>
          <w:tcPr>
            <w:tcW w:w="1507" w:type="dxa"/>
            <w:vAlign w:val="top"/>
          </w:tcPr>
          <w:p>
            <w:pPr>
              <w:pStyle w:val="TableText"/>
              <w:rPr/>
            </w:pPr>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045" w:type="dxa"/>
            <w:vAlign w:val="top"/>
          </w:tcPr>
          <w:p>
            <w:pPr>
              <w:ind w:left="9"/>
              <w:spacing w:before="72"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507" w:type="dxa"/>
            <w:vAlign w:val="top"/>
          </w:tcPr>
          <w:p>
            <w:pPr>
              <w:pStyle w:val="TableText"/>
              <w:rPr/>
            </w:pPr>
            <w:r/>
          </w:p>
        </w:tc>
      </w:tr>
      <w:tr>
        <w:trPr>
          <w:trHeight w:val="293" w:hRule="atLeast"/>
        </w:trPr>
        <w:tc>
          <w:tcPr>
            <w:tcW w:w="1636" w:type="dxa"/>
            <w:vAlign w:val="top"/>
          </w:tcPr>
          <w:p>
            <w:pPr>
              <w:ind w:left="8"/>
              <w:spacing w:before="72"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045" w:type="dxa"/>
            <w:vAlign w:val="top"/>
          </w:tcPr>
          <w:p>
            <w:pPr>
              <w:ind w:left="5"/>
              <w:spacing w:before="72"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507" w:type="dxa"/>
            <w:vAlign w:val="top"/>
          </w:tcPr>
          <w:p>
            <w:pPr>
              <w:pStyle w:val="TableText"/>
              <w:rPr/>
            </w:pPr>
            <w:r/>
          </w:p>
        </w:tc>
      </w:tr>
      <w:tr>
        <w:trPr>
          <w:trHeight w:val="293" w:hRule="atLeast"/>
        </w:trPr>
        <w:tc>
          <w:tcPr>
            <w:tcW w:w="1636"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045" w:type="dxa"/>
            <w:vAlign w:val="top"/>
          </w:tcPr>
          <w:p>
            <w:pPr>
              <w:ind w:left="5"/>
              <w:spacing w:before="72"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507" w:type="dxa"/>
            <w:vAlign w:val="top"/>
          </w:tcPr>
          <w:p>
            <w:pPr>
              <w:pStyle w:val="TableText"/>
              <w:rPr/>
            </w:pPr>
            <w:r/>
          </w:p>
        </w:tc>
      </w:tr>
      <w:tr>
        <w:trPr>
          <w:trHeight w:val="292" w:hRule="atLeast"/>
        </w:trPr>
        <w:tc>
          <w:tcPr>
            <w:tcW w:w="1636"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045" w:type="dxa"/>
            <w:vAlign w:val="top"/>
          </w:tcPr>
          <w:p>
            <w:pPr>
              <w:ind w:left="5"/>
              <w:spacing w:before="71"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50.69</w:t>
            </w:r>
          </w:p>
        </w:tc>
        <w:tc>
          <w:tcPr>
            <w:tcW w:w="1507" w:type="dxa"/>
            <w:vAlign w:val="top"/>
          </w:tcPr>
          <w:p>
            <w:pPr>
              <w:pStyle w:val="TableText"/>
              <w:rPr/>
            </w:pPr>
            <w:r/>
          </w:p>
        </w:tc>
      </w:tr>
      <w:tr>
        <w:trPr>
          <w:trHeight w:val="293" w:hRule="atLeast"/>
        </w:trPr>
        <w:tc>
          <w:tcPr>
            <w:tcW w:w="1636" w:type="dxa"/>
            <w:vAlign w:val="top"/>
          </w:tcPr>
          <w:p>
            <w:pPr>
              <w:ind w:left="8"/>
              <w:spacing w:before="72" w:line="204" w:lineRule="exact"/>
              <w:rPr>
                <w:rFonts w:ascii="SimSun" w:hAnsi="SimSun" w:eastAsia="SimSun" w:cs="SimSun"/>
                <w:sz w:val="15"/>
                <w:szCs w:val="15"/>
              </w:rPr>
            </w:pPr>
            <w:r>
              <w:rPr>
                <w:rFonts w:ascii="SimSun" w:hAnsi="SimSun" w:eastAsia="SimSun" w:cs="SimSun"/>
                <w:sz w:val="15"/>
                <w:szCs w:val="15"/>
                <w:color w:val="212529"/>
                <w:spacing w:val="2"/>
                <w:position w:val="1"/>
              </w:rPr>
              <w:t>224</w:t>
            </w:r>
          </w:p>
        </w:tc>
        <w:tc>
          <w:tcPr>
            <w:tcW w:w="3045" w:type="dxa"/>
            <w:vAlign w:val="top"/>
          </w:tcPr>
          <w:p>
            <w:pPr>
              <w:ind w:left="7"/>
              <w:spacing w:before="72" w:line="229" w:lineRule="auto"/>
              <w:rPr>
                <w:rFonts w:ascii="SimSun" w:hAnsi="SimSun" w:eastAsia="SimSun" w:cs="SimSun"/>
                <w:sz w:val="15"/>
                <w:szCs w:val="15"/>
              </w:rPr>
            </w:pPr>
            <w:r>
              <w:rPr>
                <w:rFonts w:ascii="SimSun" w:hAnsi="SimSun" w:eastAsia="SimSun" w:cs="SimSun"/>
                <w:sz w:val="15"/>
                <w:szCs w:val="15"/>
                <w:color w:val="212529"/>
                <w:spacing w:val="11"/>
              </w:rPr>
              <w:t>灾害防治及应急管理支出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1990.09</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530.32</w:t>
            </w:r>
          </w:p>
        </w:tc>
        <w:tc>
          <w:tcPr>
            <w:tcW w:w="1507"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1459.77</w:t>
            </w:r>
          </w:p>
        </w:tc>
      </w:tr>
      <w:tr>
        <w:trPr>
          <w:trHeight w:val="292" w:hRule="atLeast"/>
        </w:trPr>
        <w:tc>
          <w:tcPr>
            <w:tcW w:w="1636" w:type="dxa"/>
            <w:vAlign w:val="top"/>
          </w:tcPr>
          <w:p>
            <w:pPr>
              <w:ind w:left="8"/>
              <w:spacing w:before="72" w:line="202" w:lineRule="exact"/>
              <w:rPr>
                <w:rFonts w:ascii="SimSun" w:hAnsi="SimSun" w:eastAsia="SimSun" w:cs="SimSun"/>
                <w:sz w:val="15"/>
                <w:szCs w:val="15"/>
              </w:rPr>
            </w:pPr>
            <w:r>
              <w:rPr>
                <w:rFonts w:ascii="SimSun" w:hAnsi="SimSun" w:eastAsia="SimSun" w:cs="SimSun"/>
                <w:sz w:val="15"/>
                <w:szCs w:val="15"/>
                <w:color w:val="212529"/>
                <w:spacing w:val="4"/>
                <w:position w:val="1"/>
              </w:rPr>
              <w:t>22401</w:t>
            </w:r>
          </w:p>
        </w:tc>
        <w:tc>
          <w:tcPr>
            <w:tcW w:w="3045" w:type="dxa"/>
            <w:vAlign w:val="top"/>
          </w:tcPr>
          <w:p>
            <w:pPr>
              <w:ind w:left="4"/>
              <w:spacing w:before="72" w:line="229" w:lineRule="auto"/>
              <w:rPr>
                <w:rFonts w:ascii="SimSun" w:hAnsi="SimSun" w:eastAsia="SimSun" w:cs="SimSun"/>
                <w:sz w:val="15"/>
                <w:szCs w:val="15"/>
              </w:rPr>
            </w:pPr>
            <w:r>
              <w:rPr>
                <w:rFonts w:ascii="SimSun" w:hAnsi="SimSun" w:eastAsia="SimSun" w:cs="SimSun"/>
                <w:sz w:val="15"/>
                <w:szCs w:val="15"/>
                <w:color w:val="212529"/>
                <w:spacing w:val="10"/>
              </w:rPr>
              <w:t>应急管理事务</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1477.69</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530.32</w:t>
            </w:r>
          </w:p>
        </w:tc>
        <w:tc>
          <w:tcPr>
            <w:tcW w:w="1507"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947.37</w:t>
            </w:r>
          </w:p>
        </w:tc>
      </w:tr>
      <w:tr>
        <w:trPr>
          <w:trHeight w:val="293"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2240101</w:t>
            </w:r>
          </w:p>
        </w:tc>
        <w:tc>
          <w:tcPr>
            <w:tcW w:w="3045" w:type="dxa"/>
            <w:vAlign w:val="top"/>
          </w:tcPr>
          <w:p>
            <w:pPr>
              <w:ind w:left="4"/>
              <w:spacing w:before="72" w:line="230" w:lineRule="auto"/>
              <w:rPr>
                <w:rFonts w:ascii="SimSun" w:hAnsi="SimSun" w:eastAsia="SimSun" w:cs="SimSun"/>
                <w:sz w:val="15"/>
                <w:szCs w:val="15"/>
              </w:rPr>
            </w:pPr>
            <w:r>
              <w:rPr>
                <w:rFonts w:ascii="SimSun" w:hAnsi="SimSun" w:eastAsia="SimSun" w:cs="SimSun"/>
                <w:sz w:val="15"/>
                <w:szCs w:val="15"/>
                <w:color w:val="212529"/>
                <w:spacing w:val="9"/>
              </w:rPr>
              <w:t>行政运行</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148.28</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148.28</w:t>
            </w:r>
          </w:p>
        </w:tc>
        <w:tc>
          <w:tcPr>
            <w:tcW w:w="1507" w:type="dxa"/>
            <w:vAlign w:val="top"/>
          </w:tcPr>
          <w:p>
            <w:pPr>
              <w:pStyle w:val="TableText"/>
              <w:rPr/>
            </w:pPr>
            <w:r/>
          </w:p>
        </w:tc>
      </w:tr>
      <w:tr>
        <w:trPr>
          <w:trHeight w:val="293"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2240150</w:t>
            </w:r>
          </w:p>
        </w:tc>
        <w:tc>
          <w:tcPr>
            <w:tcW w:w="3045" w:type="dxa"/>
            <w:vAlign w:val="top"/>
          </w:tcPr>
          <w:p>
            <w:pPr>
              <w:ind w:left="6"/>
              <w:spacing w:before="72" w:line="230" w:lineRule="auto"/>
              <w:rPr>
                <w:rFonts w:ascii="SimSun" w:hAnsi="SimSun" w:eastAsia="SimSun" w:cs="SimSun"/>
                <w:sz w:val="15"/>
                <w:szCs w:val="15"/>
              </w:rPr>
            </w:pPr>
            <w:r>
              <w:rPr>
                <w:rFonts w:ascii="SimSun" w:hAnsi="SimSun" w:eastAsia="SimSun" w:cs="SimSun"/>
                <w:sz w:val="15"/>
                <w:szCs w:val="15"/>
                <w:color w:val="212529"/>
                <w:spacing w:val="9"/>
              </w:rPr>
              <w:t>事业运行</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382.04</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382.04</w:t>
            </w:r>
          </w:p>
        </w:tc>
        <w:tc>
          <w:tcPr>
            <w:tcW w:w="1507" w:type="dxa"/>
            <w:vAlign w:val="top"/>
          </w:tcPr>
          <w:p>
            <w:pPr>
              <w:pStyle w:val="TableText"/>
              <w:rPr/>
            </w:pPr>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2240199</w:t>
            </w:r>
          </w:p>
        </w:tc>
        <w:tc>
          <w:tcPr>
            <w:tcW w:w="3045" w:type="dxa"/>
            <w:vAlign w:val="top"/>
          </w:tcPr>
          <w:p>
            <w:pPr>
              <w:ind w:left="4"/>
              <w:spacing w:before="72" w:line="229" w:lineRule="auto"/>
              <w:rPr>
                <w:rFonts w:ascii="SimSun" w:hAnsi="SimSun" w:eastAsia="SimSun" w:cs="SimSun"/>
                <w:sz w:val="15"/>
                <w:szCs w:val="15"/>
              </w:rPr>
            </w:pPr>
            <w:r>
              <w:rPr>
                <w:rFonts w:ascii="SimSun" w:hAnsi="SimSun" w:eastAsia="SimSun" w:cs="SimSun"/>
                <w:sz w:val="15"/>
                <w:szCs w:val="15"/>
                <w:color w:val="212529"/>
                <w:spacing w:val="11"/>
              </w:rPr>
              <w:t>其他应急管理支出</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947.37</w:t>
            </w:r>
          </w:p>
        </w:tc>
        <w:tc>
          <w:tcPr>
            <w:tcW w:w="1382" w:type="dxa"/>
            <w:vAlign w:val="top"/>
          </w:tcPr>
          <w:p>
            <w:pPr>
              <w:pStyle w:val="TableText"/>
              <w:rPr/>
            </w:pPr>
            <w:r/>
          </w:p>
        </w:tc>
        <w:tc>
          <w:tcPr>
            <w:tcW w:w="1507" w:type="dxa"/>
            <w:vAlign w:val="top"/>
          </w:tcPr>
          <w:p>
            <w:pPr>
              <w:ind w:right="24"/>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947.37</w:t>
            </w:r>
          </w:p>
        </w:tc>
      </w:tr>
      <w:tr>
        <w:trPr>
          <w:trHeight w:val="292"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22402</w:t>
            </w:r>
          </w:p>
        </w:tc>
        <w:tc>
          <w:tcPr>
            <w:tcW w:w="3045" w:type="dxa"/>
            <w:vAlign w:val="top"/>
          </w:tcPr>
          <w:p>
            <w:pPr>
              <w:ind w:left="9"/>
              <w:spacing w:before="73" w:line="229" w:lineRule="auto"/>
              <w:rPr>
                <w:rFonts w:ascii="SimSun" w:hAnsi="SimSun" w:eastAsia="SimSun" w:cs="SimSun"/>
                <w:sz w:val="15"/>
                <w:szCs w:val="15"/>
              </w:rPr>
            </w:pPr>
            <w:r>
              <w:rPr>
                <w:rFonts w:ascii="SimSun" w:hAnsi="SimSun" w:eastAsia="SimSun" w:cs="SimSun"/>
                <w:sz w:val="15"/>
                <w:szCs w:val="15"/>
                <w:color w:val="212529"/>
                <w:spacing w:val="9"/>
              </w:rPr>
              <w:t>消防救援事务</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382" w:type="dxa"/>
            <w:vAlign w:val="top"/>
          </w:tcPr>
          <w:p>
            <w:pPr>
              <w:pStyle w:val="TableText"/>
              <w:rPr/>
            </w:pPr>
            <w:r/>
          </w:p>
        </w:tc>
        <w:tc>
          <w:tcPr>
            <w:tcW w:w="1507"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r>
      <w:tr>
        <w:trPr>
          <w:trHeight w:val="293"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2240204</w:t>
            </w:r>
          </w:p>
        </w:tc>
        <w:tc>
          <w:tcPr>
            <w:tcW w:w="3045" w:type="dxa"/>
            <w:vAlign w:val="top"/>
          </w:tcPr>
          <w:p>
            <w:pPr>
              <w:ind w:left="9"/>
              <w:spacing w:before="74" w:line="229" w:lineRule="auto"/>
              <w:rPr>
                <w:rFonts w:ascii="SimSun" w:hAnsi="SimSun" w:eastAsia="SimSun" w:cs="SimSun"/>
                <w:sz w:val="15"/>
                <w:szCs w:val="15"/>
              </w:rPr>
            </w:pPr>
            <w:r>
              <w:rPr>
                <w:rFonts w:ascii="SimSun" w:hAnsi="SimSun" w:eastAsia="SimSun" w:cs="SimSun"/>
                <w:sz w:val="15"/>
                <w:szCs w:val="15"/>
                <w:color w:val="212529"/>
                <w:spacing w:val="9"/>
              </w:rPr>
              <w:t>消防应急救援</w:t>
            </w:r>
          </w:p>
        </w:tc>
        <w:tc>
          <w:tcPr>
            <w:tcW w:w="1588" w:type="dxa"/>
            <w:vAlign w:val="top"/>
          </w:tcPr>
          <w:p>
            <w:pPr>
              <w:ind w:right="20"/>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382" w:type="dxa"/>
            <w:vAlign w:val="top"/>
          </w:tcPr>
          <w:p>
            <w:pPr>
              <w:pStyle w:val="TableText"/>
              <w:rPr/>
            </w:pPr>
            <w:r/>
          </w:p>
        </w:tc>
        <w:tc>
          <w:tcPr>
            <w:tcW w:w="1507" w:type="dxa"/>
            <w:vAlign w:val="top"/>
          </w:tcPr>
          <w:p>
            <w:pPr>
              <w:ind w:right="24"/>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r>
      <w:tr>
        <w:trPr>
          <w:trHeight w:val="292" w:hRule="atLeast"/>
        </w:trPr>
        <w:tc>
          <w:tcPr>
            <w:tcW w:w="1636" w:type="dxa"/>
            <w:vAlign w:val="top"/>
          </w:tcPr>
          <w:p>
            <w:pPr>
              <w:ind w:left="8"/>
              <w:spacing w:before="73" w:line="203" w:lineRule="exact"/>
              <w:rPr>
                <w:rFonts w:ascii="SimSun" w:hAnsi="SimSun" w:eastAsia="SimSun" w:cs="SimSun"/>
                <w:sz w:val="15"/>
                <w:szCs w:val="15"/>
              </w:rPr>
            </w:pPr>
            <w:r>
              <w:rPr>
                <w:rFonts w:ascii="SimSun" w:hAnsi="SimSun" w:eastAsia="SimSun" w:cs="SimSun"/>
                <w:sz w:val="15"/>
                <w:szCs w:val="15"/>
                <w:color w:val="212529"/>
                <w:spacing w:val="4"/>
                <w:position w:val="1"/>
              </w:rPr>
              <w:t>22405</w:t>
            </w:r>
          </w:p>
        </w:tc>
        <w:tc>
          <w:tcPr>
            <w:tcW w:w="3045" w:type="dxa"/>
            <w:vAlign w:val="top"/>
          </w:tcPr>
          <w:p>
            <w:pPr>
              <w:ind w:left="4"/>
              <w:spacing w:before="73" w:line="229" w:lineRule="auto"/>
              <w:rPr>
                <w:rFonts w:ascii="SimSun" w:hAnsi="SimSun" w:eastAsia="SimSun" w:cs="SimSun"/>
                <w:sz w:val="15"/>
                <w:szCs w:val="15"/>
              </w:rPr>
            </w:pPr>
            <w:r>
              <w:rPr>
                <w:rFonts w:ascii="SimSun" w:hAnsi="SimSun" w:eastAsia="SimSun" w:cs="SimSun"/>
                <w:sz w:val="15"/>
                <w:szCs w:val="15"/>
                <w:color w:val="212529"/>
                <w:spacing w:val="9"/>
              </w:rPr>
              <w:t>地震事务</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77.40</w:t>
            </w:r>
          </w:p>
        </w:tc>
        <w:tc>
          <w:tcPr>
            <w:tcW w:w="1382" w:type="dxa"/>
            <w:vAlign w:val="top"/>
          </w:tcPr>
          <w:p>
            <w:pPr>
              <w:pStyle w:val="TableText"/>
              <w:rPr/>
            </w:pPr>
            <w:r/>
          </w:p>
        </w:tc>
        <w:tc>
          <w:tcPr>
            <w:tcW w:w="1507" w:type="dxa"/>
            <w:vAlign w:val="top"/>
          </w:tcPr>
          <w:p>
            <w:pPr>
              <w:ind w:right="24"/>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77.40</w:t>
            </w:r>
          </w:p>
        </w:tc>
      </w:tr>
      <w:tr>
        <w:trPr>
          <w:trHeight w:val="292"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2240504</w:t>
            </w:r>
          </w:p>
        </w:tc>
        <w:tc>
          <w:tcPr>
            <w:tcW w:w="3045" w:type="dxa"/>
            <w:vAlign w:val="top"/>
          </w:tcPr>
          <w:p>
            <w:pPr>
              <w:ind w:left="4"/>
              <w:spacing w:before="74" w:line="230" w:lineRule="auto"/>
              <w:rPr>
                <w:rFonts w:ascii="SimSun" w:hAnsi="SimSun" w:eastAsia="SimSun" w:cs="SimSun"/>
                <w:sz w:val="15"/>
                <w:szCs w:val="15"/>
              </w:rPr>
            </w:pPr>
            <w:r>
              <w:rPr>
                <w:rFonts w:ascii="SimSun" w:hAnsi="SimSun" w:eastAsia="SimSun" w:cs="SimSun"/>
                <w:sz w:val="15"/>
                <w:szCs w:val="15"/>
                <w:color w:val="212529"/>
                <w:spacing w:val="9"/>
              </w:rPr>
              <w:t>地震监测</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37.40</w:t>
            </w:r>
          </w:p>
        </w:tc>
        <w:tc>
          <w:tcPr>
            <w:tcW w:w="1382" w:type="dxa"/>
            <w:vAlign w:val="top"/>
          </w:tcPr>
          <w:p>
            <w:pPr>
              <w:pStyle w:val="TableText"/>
              <w:rPr/>
            </w:pPr>
            <w:r/>
          </w:p>
        </w:tc>
        <w:tc>
          <w:tcPr>
            <w:tcW w:w="1507"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37.40</w:t>
            </w:r>
          </w:p>
        </w:tc>
      </w:tr>
      <w:tr>
        <w:trPr>
          <w:trHeight w:val="298" w:hRule="atLeast"/>
        </w:trPr>
        <w:tc>
          <w:tcPr>
            <w:tcW w:w="1636"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2240599</w:t>
            </w:r>
          </w:p>
        </w:tc>
        <w:tc>
          <w:tcPr>
            <w:tcW w:w="3045" w:type="dxa"/>
            <w:vAlign w:val="top"/>
          </w:tcPr>
          <w:p>
            <w:pPr>
              <w:ind w:left="4"/>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其他地震事务支出</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382" w:type="dxa"/>
            <w:vAlign w:val="top"/>
          </w:tcPr>
          <w:p>
            <w:pPr>
              <w:pStyle w:val="TableText"/>
              <w:rPr/>
            </w:pPr>
            <w:r/>
          </w:p>
        </w:tc>
        <w:tc>
          <w:tcPr>
            <w:tcW w:w="1507"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r>
    </w:tbl>
    <w:p>
      <w:pPr>
        <w:rPr>
          <w:rFonts w:ascii="Arial"/>
          <w:sz w:val="21"/>
        </w:rPr>
      </w:pPr>
      <w:r/>
    </w:p>
    <w:p>
      <w:pPr>
        <w:sectPr>
          <w:footerReference w:type="default" r:id="rId13"/>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082"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10"/>
        <w:gridCol w:w="2278"/>
        <w:gridCol w:w="1188"/>
        <w:gridCol w:w="1188"/>
        <w:gridCol w:w="1118"/>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345"/>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2" w:id="22"/>
            <w:bookmarkEnd w:id="22"/>
            <w:bookmarkStart w:name="bookmark11" w:id="23"/>
            <w:bookmarkEnd w:id="23"/>
            <w:bookmarkStart w:name="bookmark12" w:id="24"/>
            <w:bookmarkEnd w:id="24"/>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776" w:type="dxa"/>
            <w:vAlign w:val="top"/>
            <w:gridSpan w:val="3"/>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188" w:type="dxa"/>
            <w:vAlign w:val="top"/>
            <w:tcBorders>
              <w:top w:val="single" w:color="FFFFFF" w:sz="4" w:space="0"/>
              <w:left w:val="single" w:color="FFFFFF" w:sz="2" w:space="0"/>
              <w:right w:val="single" w:color="FFFFFF" w:sz="2" w:space="0"/>
            </w:tcBorders>
          </w:tcPr>
          <w:p>
            <w:pPr>
              <w:pStyle w:val="TableText"/>
              <w:rPr/>
            </w:pPr>
            <w:r/>
          </w:p>
        </w:tc>
        <w:tc>
          <w:tcPr>
            <w:tcW w:w="1118" w:type="dxa"/>
            <w:vAlign w:val="top"/>
            <w:tcBorders>
              <w:top w:val="single" w:color="FFFFFF" w:sz="4" w:space="0"/>
              <w:left w:val="single" w:color="FFFFFF" w:sz="2" w:space="0"/>
              <w:right w:val="single" w:color="FFFFFF" w:sz="2" w:space="0"/>
            </w:tcBorders>
          </w:tcPr>
          <w:p>
            <w:pPr>
              <w:ind w:left="447"/>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10" w:type="dxa"/>
            <w:vAlign w:val="top"/>
            <w:vMerge w:val="restart"/>
            <w:tcBorders>
              <w:bottom w:val="nil"/>
            </w:tcBorders>
          </w:tcPr>
          <w:p>
            <w:pPr>
              <w:ind w:left="667"/>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278" w:type="dxa"/>
            <w:vAlign w:val="top"/>
            <w:vMerge w:val="restart"/>
            <w:tcBorders>
              <w:bottom w:val="nil"/>
            </w:tcBorders>
          </w:tcPr>
          <w:p>
            <w:pPr>
              <w:ind w:left="152"/>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494" w:type="dxa"/>
            <w:vAlign w:val="top"/>
            <w:gridSpan w:val="3"/>
          </w:tcPr>
          <w:p>
            <w:pPr>
              <w:ind w:left="1253"/>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10" w:type="dxa"/>
            <w:vAlign w:val="top"/>
            <w:vMerge w:val="continue"/>
            <w:tcBorders>
              <w:top w:val="nil"/>
            </w:tcBorders>
          </w:tcPr>
          <w:p>
            <w:pPr>
              <w:pStyle w:val="TableText"/>
              <w:rPr/>
            </w:pPr>
            <w:r/>
          </w:p>
        </w:tc>
        <w:tc>
          <w:tcPr>
            <w:tcW w:w="2278" w:type="dxa"/>
            <w:vAlign w:val="top"/>
            <w:vMerge w:val="continue"/>
            <w:tcBorders>
              <w:top w:val="nil"/>
            </w:tcBorders>
          </w:tcPr>
          <w:p>
            <w:pPr>
              <w:pStyle w:val="TableText"/>
              <w:rPr/>
            </w:pPr>
            <w:r/>
          </w:p>
        </w:tc>
        <w:tc>
          <w:tcPr>
            <w:tcW w:w="1188" w:type="dxa"/>
            <w:vAlign w:val="top"/>
          </w:tcPr>
          <w:p>
            <w:pPr>
              <w:ind w:left="424"/>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88" w:type="dxa"/>
            <w:vAlign w:val="top"/>
          </w:tcPr>
          <w:p>
            <w:pPr>
              <w:ind w:left="264"/>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118" w:type="dxa"/>
            <w:vAlign w:val="top"/>
          </w:tcPr>
          <w:p>
            <w:pPr>
              <w:ind w:left="233"/>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588" w:type="dxa"/>
            <w:vAlign w:val="top"/>
            <w:gridSpan w:val="2"/>
          </w:tcPr>
          <w:p>
            <w:pPr>
              <w:ind w:left="2634"/>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188" w:type="dxa"/>
            <w:vAlign w:val="top"/>
          </w:tcPr>
          <w:p>
            <w:pPr>
              <w:pStyle w:val="TableText"/>
              <w:ind w:left="681"/>
              <w:spacing w:before="87" w:line="172" w:lineRule="auto"/>
              <w:rPr>
                <w:sz w:val="14"/>
                <w:szCs w:val="14"/>
              </w:rPr>
            </w:pPr>
            <w:r>
              <w:rPr>
                <w:sz w:val="14"/>
                <w:szCs w:val="14"/>
                <w:color w:val="212529"/>
              </w:rPr>
              <w:t>672.</w:t>
            </w:r>
            <w:r>
              <w:rPr>
                <w:sz w:val="14"/>
                <w:szCs w:val="14"/>
                <w:color w:val="212529"/>
                <w:spacing w:val="6"/>
              </w:rPr>
              <w:t xml:space="preserve"> </w:t>
            </w:r>
            <w:r>
              <w:rPr>
                <w:sz w:val="14"/>
                <w:szCs w:val="14"/>
                <w:color w:val="212529"/>
              </w:rPr>
              <w:t>47</w:t>
            </w:r>
          </w:p>
        </w:tc>
        <w:tc>
          <w:tcPr>
            <w:tcW w:w="1188" w:type="dxa"/>
            <w:vAlign w:val="top"/>
          </w:tcPr>
          <w:p>
            <w:pPr>
              <w:pStyle w:val="TableText"/>
              <w:ind w:left="684"/>
              <w:spacing w:before="87" w:line="173" w:lineRule="auto"/>
              <w:rPr>
                <w:sz w:val="14"/>
                <w:szCs w:val="14"/>
              </w:rPr>
            </w:pPr>
            <w:r>
              <w:rPr>
                <w:sz w:val="14"/>
                <w:szCs w:val="14"/>
                <w:color w:val="212529"/>
              </w:rPr>
              <w:t>617.</w:t>
            </w:r>
            <w:r>
              <w:rPr>
                <w:sz w:val="14"/>
                <w:szCs w:val="14"/>
                <w:color w:val="212529"/>
                <w:spacing w:val="6"/>
              </w:rPr>
              <w:t xml:space="preserve"> </w:t>
            </w:r>
            <w:r>
              <w:rPr>
                <w:sz w:val="14"/>
                <w:szCs w:val="14"/>
                <w:color w:val="212529"/>
              </w:rPr>
              <w:t>72</w:t>
            </w:r>
          </w:p>
        </w:tc>
        <w:tc>
          <w:tcPr>
            <w:tcW w:w="1118" w:type="dxa"/>
            <w:vAlign w:val="top"/>
          </w:tcPr>
          <w:p>
            <w:pPr>
              <w:pStyle w:val="TableText"/>
              <w:ind w:left="691"/>
              <w:spacing w:before="87" w:line="186" w:lineRule="auto"/>
              <w:rPr>
                <w:sz w:val="13"/>
                <w:szCs w:val="13"/>
              </w:rPr>
            </w:pPr>
            <w:r>
              <w:rPr>
                <w:sz w:val="13"/>
                <w:szCs w:val="13"/>
                <w:color w:val="212529"/>
                <w:spacing w:val="3"/>
              </w:rPr>
              <w:t>54.</w:t>
            </w:r>
            <w:r>
              <w:rPr>
                <w:sz w:val="13"/>
                <w:szCs w:val="13"/>
                <w:color w:val="212529"/>
                <w:spacing w:val="14"/>
              </w:rPr>
              <w:t xml:space="preserve"> </w:t>
            </w:r>
            <w:r>
              <w:rPr>
                <w:sz w:val="13"/>
                <w:szCs w:val="13"/>
                <w:color w:val="212529"/>
                <w:spacing w:val="3"/>
              </w:rPr>
              <w:t>75</w:t>
            </w:r>
          </w:p>
        </w:tc>
      </w:tr>
      <w:tr>
        <w:trPr>
          <w:trHeight w:val="293" w:hRule="atLeast"/>
        </w:trPr>
        <w:tc>
          <w:tcPr>
            <w:tcW w:w="3310"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613.65</w:t>
            </w:r>
          </w:p>
        </w:tc>
        <w:tc>
          <w:tcPr>
            <w:tcW w:w="1188" w:type="dxa"/>
            <w:vAlign w:val="top"/>
          </w:tcPr>
          <w:p>
            <w:pPr>
              <w:ind w:right="16"/>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613.65</w:t>
            </w:r>
          </w:p>
        </w:tc>
        <w:tc>
          <w:tcPr>
            <w:tcW w:w="1118" w:type="dxa"/>
            <w:vAlign w:val="top"/>
          </w:tcPr>
          <w:p>
            <w:pPr>
              <w:pStyle w:val="TableText"/>
              <w:rPr/>
            </w:pPr>
            <w:r/>
          </w:p>
        </w:tc>
      </w:tr>
      <w:tr>
        <w:trPr>
          <w:trHeight w:val="293" w:hRule="atLeast"/>
        </w:trPr>
        <w:tc>
          <w:tcPr>
            <w:tcW w:w="3310" w:type="dxa"/>
            <w:vAlign w:val="top"/>
          </w:tcPr>
          <w:p>
            <w:pPr>
              <w:ind w:left="330"/>
              <w:spacing w:before="68"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8"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39.46</w:t>
            </w:r>
          </w:p>
        </w:tc>
        <w:tc>
          <w:tcPr>
            <w:tcW w:w="1188" w:type="dxa"/>
            <w:vAlign w:val="top"/>
          </w:tcPr>
          <w:p>
            <w:pPr>
              <w:ind w:right="16"/>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39.46</w:t>
            </w:r>
          </w:p>
        </w:tc>
        <w:tc>
          <w:tcPr>
            <w:tcW w:w="1118" w:type="dxa"/>
            <w:vAlign w:val="top"/>
          </w:tcPr>
          <w:p>
            <w:pPr>
              <w:pStyle w:val="TableText"/>
              <w:rPr/>
            </w:pPr>
            <w:r/>
          </w:p>
        </w:tc>
      </w:tr>
      <w:tr>
        <w:trPr>
          <w:trHeight w:val="293" w:hRule="atLeast"/>
        </w:trPr>
        <w:tc>
          <w:tcPr>
            <w:tcW w:w="3310" w:type="dxa"/>
            <w:vAlign w:val="top"/>
          </w:tcPr>
          <w:p>
            <w:pPr>
              <w:ind w:left="330"/>
              <w:spacing w:before="68"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278" w:type="dxa"/>
            <w:vAlign w:val="top"/>
          </w:tcPr>
          <w:p>
            <w:pPr>
              <w:ind w:left="32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178.50</w:t>
            </w:r>
          </w:p>
        </w:tc>
        <w:tc>
          <w:tcPr>
            <w:tcW w:w="1188" w:type="dxa"/>
            <w:vAlign w:val="top"/>
          </w:tcPr>
          <w:p>
            <w:pPr>
              <w:ind w:right="16"/>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178.50</w:t>
            </w:r>
          </w:p>
        </w:tc>
        <w:tc>
          <w:tcPr>
            <w:tcW w:w="1118" w:type="dxa"/>
            <w:vAlign w:val="top"/>
          </w:tcPr>
          <w:p>
            <w:pPr>
              <w:pStyle w:val="TableText"/>
              <w:rPr/>
            </w:pPr>
            <w:r/>
          </w:p>
        </w:tc>
      </w:tr>
      <w:tr>
        <w:trPr>
          <w:trHeight w:val="293" w:hRule="atLeast"/>
        </w:trPr>
        <w:tc>
          <w:tcPr>
            <w:tcW w:w="3310" w:type="dxa"/>
            <w:vAlign w:val="top"/>
          </w:tcPr>
          <w:p>
            <w:pPr>
              <w:ind w:left="330"/>
              <w:spacing w:before="68"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68"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30.11</w:t>
            </w:r>
          </w:p>
        </w:tc>
        <w:tc>
          <w:tcPr>
            <w:tcW w:w="1188" w:type="dxa"/>
            <w:vAlign w:val="top"/>
          </w:tcPr>
          <w:p>
            <w:pPr>
              <w:ind w:right="16"/>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30.11</w:t>
            </w:r>
          </w:p>
        </w:tc>
        <w:tc>
          <w:tcPr>
            <w:tcW w:w="1118" w:type="dxa"/>
            <w:vAlign w:val="top"/>
          </w:tcPr>
          <w:p>
            <w:pPr>
              <w:pStyle w:val="TableText"/>
              <w:rPr/>
            </w:pPr>
            <w:r/>
          </w:p>
        </w:tc>
      </w:tr>
      <w:tr>
        <w:trPr>
          <w:trHeight w:val="293" w:hRule="atLeast"/>
        </w:trPr>
        <w:tc>
          <w:tcPr>
            <w:tcW w:w="3310" w:type="dxa"/>
            <w:vAlign w:val="top"/>
          </w:tcPr>
          <w:p>
            <w:pPr>
              <w:ind w:left="330"/>
              <w:spacing w:before="67"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278" w:type="dxa"/>
            <w:vAlign w:val="top"/>
          </w:tcPr>
          <w:p>
            <w:pPr>
              <w:ind w:left="328"/>
              <w:spacing w:before="67"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32.82</w:t>
            </w:r>
          </w:p>
        </w:tc>
        <w:tc>
          <w:tcPr>
            <w:tcW w:w="1188" w:type="dxa"/>
            <w:vAlign w:val="top"/>
          </w:tcPr>
          <w:p>
            <w:pPr>
              <w:ind w:right="16"/>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32.82</w:t>
            </w:r>
          </w:p>
        </w:tc>
        <w:tc>
          <w:tcPr>
            <w:tcW w:w="1118" w:type="dxa"/>
            <w:vAlign w:val="top"/>
          </w:tcPr>
          <w:p>
            <w:pPr>
              <w:pStyle w:val="TableText"/>
              <w:rPr/>
            </w:pPr>
            <w:r/>
          </w:p>
        </w:tc>
      </w:tr>
      <w:tr>
        <w:trPr>
          <w:trHeight w:val="292" w:hRule="atLeast"/>
        </w:trPr>
        <w:tc>
          <w:tcPr>
            <w:tcW w:w="3310" w:type="dxa"/>
            <w:vAlign w:val="top"/>
          </w:tcPr>
          <w:p>
            <w:pPr>
              <w:ind w:left="332"/>
              <w:spacing w:before="67"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278" w:type="dxa"/>
            <w:vAlign w:val="top"/>
          </w:tcPr>
          <w:p>
            <w:pPr>
              <w:ind w:left="328"/>
              <w:spacing w:before="67" w:line="229" w:lineRule="auto"/>
              <w:rPr>
                <w:rFonts w:ascii="SimSun" w:hAnsi="SimSun" w:eastAsia="SimSun" w:cs="SimSun"/>
                <w:sz w:val="15"/>
                <w:szCs w:val="15"/>
              </w:rPr>
            </w:pPr>
            <w:r>
              <w:rPr>
                <w:rFonts w:ascii="SimSun" w:hAnsi="SimSun" w:eastAsia="SimSun" w:cs="SimSun"/>
                <w:sz w:val="15"/>
                <w:szCs w:val="15"/>
                <w:color w:val="212529"/>
                <w:spacing w:val="10"/>
              </w:rPr>
              <w:t>工资奖金津补贴</w:t>
            </w:r>
          </w:p>
        </w:tc>
        <w:tc>
          <w:tcPr>
            <w:tcW w:w="1188" w:type="dxa"/>
            <w:vAlign w:val="top"/>
          </w:tcPr>
          <w:p>
            <w:pPr>
              <w:ind w:right="19"/>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6.85</w:t>
            </w:r>
          </w:p>
        </w:tc>
        <w:tc>
          <w:tcPr>
            <w:tcW w:w="1188" w:type="dxa"/>
            <w:vAlign w:val="top"/>
          </w:tcPr>
          <w:p>
            <w:pPr>
              <w:ind w:right="16"/>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6.85</w:t>
            </w:r>
          </w:p>
        </w:tc>
        <w:tc>
          <w:tcPr>
            <w:tcW w:w="1118" w:type="dxa"/>
            <w:vAlign w:val="top"/>
          </w:tcPr>
          <w:p>
            <w:pPr>
              <w:pStyle w:val="TableText"/>
              <w:rPr/>
            </w:pPr>
            <w:r/>
          </w:p>
        </w:tc>
      </w:tr>
      <w:tr>
        <w:trPr>
          <w:trHeight w:val="293" w:hRule="atLeast"/>
        </w:trPr>
        <w:tc>
          <w:tcPr>
            <w:tcW w:w="3310" w:type="dxa"/>
            <w:vAlign w:val="top"/>
          </w:tcPr>
          <w:p>
            <w:pPr>
              <w:ind w:left="333"/>
              <w:spacing w:before="68"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278" w:type="dxa"/>
            <w:vAlign w:val="top"/>
          </w:tcPr>
          <w:p>
            <w:pPr>
              <w:ind w:left="32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126.11</w:t>
            </w:r>
          </w:p>
        </w:tc>
        <w:tc>
          <w:tcPr>
            <w:tcW w:w="1188" w:type="dxa"/>
            <w:vAlign w:val="top"/>
          </w:tcPr>
          <w:p>
            <w:pPr>
              <w:ind w:right="16"/>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126.11</w:t>
            </w:r>
          </w:p>
        </w:tc>
        <w:tc>
          <w:tcPr>
            <w:tcW w:w="1118" w:type="dxa"/>
            <w:vAlign w:val="top"/>
          </w:tcPr>
          <w:p>
            <w:pPr>
              <w:pStyle w:val="TableText"/>
              <w:rPr/>
            </w:pPr>
            <w:r/>
          </w:p>
        </w:tc>
      </w:tr>
      <w:tr>
        <w:trPr>
          <w:trHeight w:val="293" w:hRule="atLeast"/>
        </w:trPr>
        <w:tc>
          <w:tcPr>
            <w:tcW w:w="3310" w:type="dxa"/>
            <w:vAlign w:val="top"/>
          </w:tcPr>
          <w:p>
            <w:pPr>
              <w:ind w:left="330"/>
              <w:spacing w:before="68"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7"/>
              <w:spacing w:before="68"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6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10.75</w:t>
            </w:r>
          </w:p>
        </w:tc>
        <w:tc>
          <w:tcPr>
            <w:tcW w:w="1188" w:type="dxa"/>
            <w:vAlign w:val="top"/>
          </w:tcPr>
          <w:p>
            <w:pPr>
              <w:ind w:right="16"/>
              <w:spacing w:before="68"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10.75</w:t>
            </w:r>
          </w:p>
        </w:tc>
        <w:tc>
          <w:tcPr>
            <w:tcW w:w="1118" w:type="dxa"/>
            <w:vAlign w:val="top"/>
          </w:tcPr>
          <w:p>
            <w:pPr>
              <w:pStyle w:val="TableText"/>
              <w:rPr/>
            </w:pPr>
            <w:r/>
          </w:p>
        </w:tc>
      </w:tr>
      <w:tr>
        <w:trPr>
          <w:trHeight w:val="293" w:hRule="atLeast"/>
        </w:trPr>
        <w:tc>
          <w:tcPr>
            <w:tcW w:w="3310" w:type="dxa"/>
            <w:vAlign w:val="top"/>
          </w:tcPr>
          <w:p>
            <w:pPr>
              <w:ind w:left="330"/>
              <w:spacing w:before="68"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278" w:type="dxa"/>
            <w:vAlign w:val="top"/>
          </w:tcPr>
          <w:p>
            <w:pPr>
              <w:ind w:left="328"/>
              <w:spacing w:before="67"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49.80</w:t>
            </w:r>
          </w:p>
        </w:tc>
        <w:tc>
          <w:tcPr>
            <w:tcW w:w="1188" w:type="dxa"/>
            <w:vAlign w:val="top"/>
          </w:tcPr>
          <w:p>
            <w:pPr>
              <w:ind w:right="16"/>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49.80</w:t>
            </w:r>
          </w:p>
        </w:tc>
        <w:tc>
          <w:tcPr>
            <w:tcW w:w="1118" w:type="dxa"/>
            <w:vAlign w:val="top"/>
          </w:tcPr>
          <w:p>
            <w:pPr>
              <w:pStyle w:val="TableText"/>
              <w:rPr/>
            </w:pPr>
            <w:r/>
          </w:p>
        </w:tc>
      </w:tr>
      <w:tr>
        <w:trPr>
          <w:trHeight w:val="293" w:hRule="atLeast"/>
        </w:trPr>
        <w:tc>
          <w:tcPr>
            <w:tcW w:w="3310" w:type="dxa"/>
            <w:vAlign w:val="top"/>
          </w:tcPr>
          <w:p>
            <w:pPr>
              <w:ind w:left="330"/>
              <w:spacing w:before="67"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7"/>
              <w:spacing w:before="67"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4.37</w:t>
            </w:r>
          </w:p>
        </w:tc>
        <w:tc>
          <w:tcPr>
            <w:tcW w:w="1188" w:type="dxa"/>
            <w:vAlign w:val="top"/>
          </w:tcPr>
          <w:p>
            <w:pPr>
              <w:ind w:right="16"/>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4.37</w:t>
            </w:r>
          </w:p>
        </w:tc>
        <w:tc>
          <w:tcPr>
            <w:tcW w:w="1118" w:type="dxa"/>
            <w:vAlign w:val="top"/>
          </w:tcPr>
          <w:p>
            <w:pPr>
              <w:pStyle w:val="TableText"/>
              <w:rPr/>
            </w:pPr>
            <w:r/>
          </w:p>
        </w:tc>
      </w:tr>
      <w:tr>
        <w:trPr>
          <w:trHeight w:val="293" w:hRule="atLeast"/>
        </w:trPr>
        <w:tc>
          <w:tcPr>
            <w:tcW w:w="3310" w:type="dxa"/>
            <w:vAlign w:val="top"/>
          </w:tcPr>
          <w:p>
            <w:pPr>
              <w:ind w:left="330"/>
              <w:spacing w:before="67"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278" w:type="dxa"/>
            <w:vAlign w:val="top"/>
          </w:tcPr>
          <w:p>
            <w:pPr>
              <w:ind w:left="328"/>
              <w:spacing w:before="67"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20.23</w:t>
            </w:r>
          </w:p>
        </w:tc>
        <w:tc>
          <w:tcPr>
            <w:tcW w:w="1188" w:type="dxa"/>
            <w:vAlign w:val="top"/>
          </w:tcPr>
          <w:p>
            <w:pPr>
              <w:ind w:right="16"/>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20.23</w:t>
            </w:r>
          </w:p>
        </w:tc>
        <w:tc>
          <w:tcPr>
            <w:tcW w:w="1118" w:type="dxa"/>
            <w:vAlign w:val="top"/>
          </w:tcPr>
          <w:p>
            <w:pPr>
              <w:pStyle w:val="TableText"/>
              <w:rPr/>
            </w:pPr>
            <w:r/>
          </w:p>
        </w:tc>
      </w:tr>
      <w:tr>
        <w:trPr>
          <w:trHeight w:val="292" w:hRule="atLeast"/>
        </w:trPr>
        <w:tc>
          <w:tcPr>
            <w:tcW w:w="3310" w:type="dxa"/>
            <w:vAlign w:val="top"/>
          </w:tcPr>
          <w:p>
            <w:pPr>
              <w:ind w:left="336"/>
              <w:spacing w:before="66"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278" w:type="dxa"/>
            <w:vAlign w:val="top"/>
          </w:tcPr>
          <w:p>
            <w:pPr>
              <w:ind w:left="327"/>
              <w:spacing w:before="67"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6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188" w:type="dxa"/>
            <w:vAlign w:val="top"/>
          </w:tcPr>
          <w:p>
            <w:pPr>
              <w:ind w:right="16"/>
              <w:spacing w:before="6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2.02</w:t>
            </w:r>
          </w:p>
        </w:tc>
        <w:tc>
          <w:tcPr>
            <w:tcW w:w="1118" w:type="dxa"/>
            <w:vAlign w:val="top"/>
          </w:tcPr>
          <w:p>
            <w:pPr>
              <w:pStyle w:val="TableText"/>
              <w:rPr/>
            </w:pPr>
            <w:r/>
          </w:p>
        </w:tc>
      </w:tr>
      <w:tr>
        <w:trPr>
          <w:trHeight w:val="293" w:hRule="atLeast"/>
        </w:trPr>
        <w:tc>
          <w:tcPr>
            <w:tcW w:w="3310" w:type="dxa"/>
            <w:vAlign w:val="top"/>
          </w:tcPr>
          <w:p>
            <w:pPr>
              <w:ind w:left="330"/>
              <w:spacing w:before="67"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7"/>
              <w:spacing w:before="67" w:line="228" w:lineRule="auto"/>
              <w:rPr>
                <w:rFonts w:ascii="SimSun" w:hAnsi="SimSun" w:eastAsia="SimSun" w:cs="SimSun"/>
                <w:sz w:val="15"/>
                <w:szCs w:val="15"/>
              </w:rPr>
            </w:pPr>
            <w:r>
              <w:rPr>
                <w:rFonts w:ascii="SimSun" w:hAnsi="SimSun" w:eastAsia="SimSun" w:cs="SimSun"/>
                <w:sz w:val="15"/>
                <w:szCs w:val="15"/>
                <w:color w:val="212529"/>
                <w:spacing w:val="10"/>
              </w:rPr>
              <w:t>社会保障缴费</w:t>
            </w:r>
          </w:p>
        </w:tc>
        <w:tc>
          <w:tcPr>
            <w:tcW w:w="1188" w:type="dxa"/>
            <w:vAlign w:val="top"/>
          </w:tcPr>
          <w:p>
            <w:pPr>
              <w:ind w:right="19"/>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0.21</w:t>
            </w:r>
          </w:p>
        </w:tc>
        <w:tc>
          <w:tcPr>
            <w:tcW w:w="1188" w:type="dxa"/>
            <w:vAlign w:val="top"/>
          </w:tcPr>
          <w:p>
            <w:pPr>
              <w:ind w:right="16"/>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0.21</w:t>
            </w:r>
          </w:p>
        </w:tc>
        <w:tc>
          <w:tcPr>
            <w:tcW w:w="1118" w:type="dxa"/>
            <w:vAlign w:val="top"/>
          </w:tcPr>
          <w:p>
            <w:pPr>
              <w:pStyle w:val="TableText"/>
              <w:rPr/>
            </w:pPr>
            <w:r/>
          </w:p>
        </w:tc>
      </w:tr>
      <w:tr>
        <w:trPr>
          <w:trHeight w:val="292" w:hRule="atLeast"/>
        </w:trPr>
        <w:tc>
          <w:tcPr>
            <w:tcW w:w="3310" w:type="dxa"/>
            <w:vAlign w:val="top"/>
          </w:tcPr>
          <w:p>
            <w:pPr>
              <w:ind w:left="330"/>
              <w:spacing w:before="67"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278" w:type="dxa"/>
            <w:vAlign w:val="top"/>
          </w:tcPr>
          <w:p>
            <w:pPr>
              <w:ind w:left="328"/>
              <w:spacing w:before="67"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1.15</w:t>
            </w:r>
          </w:p>
        </w:tc>
        <w:tc>
          <w:tcPr>
            <w:tcW w:w="1188" w:type="dxa"/>
            <w:vAlign w:val="top"/>
          </w:tcPr>
          <w:p>
            <w:pPr>
              <w:ind w:right="16"/>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1.15</w:t>
            </w:r>
          </w:p>
        </w:tc>
        <w:tc>
          <w:tcPr>
            <w:tcW w:w="1118" w:type="dxa"/>
            <w:vAlign w:val="top"/>
          </w:tcPr>
          <w:p>
            <w:pPr>
              <w:pStyle w:val="TableText"/>
              <w:rPr/>
            </w:pPr>
            <w:r/>
          </w:p>
        </w:tc>
      </w:tr>
      <w:tr>
        <w:trPr>
          <w:trHeight w:val="293" w:hRule="atLeast"/>
        </w:trPr>
        <w:tc>
          <w:tcPr>
            <w:tcW w:w="3310" w:type="dxa"/>
            <w:vAlign w:val="top"/>
          </w:tcPr>
          <w:p>
            <w:pPr>
              <w:ind w:left="331"/>
              <w:spacing w:before="67"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6"/>
              <w:spacing w:before="67"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188" w:type="dxa"/>
            <w:vAlign w:val="top"/>
          </w:tcPr>
          <w:p>
            <w:pPr>
              <w:ind w:right="19"/>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188" w:type="dxa"/>
            <w:vAlign w:val="top"/>
          </w:tcPr>
          <w:p>
            <w:pPr>
              <w:ind w:right="16"/>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32.88</w:t>
            </w:r>
          </w:p>
        </w:tc>
        <w:tc>
          <w:tcPr>
            <w:tcW w:w="1118" w:type="dxa"/>
            <w:vAlign w:val="top"/>
          </w:tcPr>
          <w:p>
            <w:pPr>
              <w:pStyle w:val="TableText"/>
              <w:rPr/>
            </w:pPr>
            <w:r/>
          </w:p>
        </w:tc>
      </w:tr>
      <w:tr>
        <w:trPr>
          <w:trHeight w:val="293" w:hRule="atLeast"/>
        </w:trPr>
        <w:tc>
          <w:tcPr>
            <w:tcW w:w="3310" w:type="dxa"/>
            <w:vAlign w:val="top"/>
          </w:tcPr>
          <w:p>
            <w:pPr>
              <w:ind w:left="331"/>
              <w:spacing w:before="67"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278" w:type="dxa"/>
            <w:vAlign w:val="top"/>
          </w:tcPr>
          <w:p>
            <w:pPr>
              <w:ind w:left="328"/>
              <w:spacing w:before="67"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188" w:type="dxa"/>
            <w:vAlign w:val="top"/>
          </w:tcPr>
          <w:p>
            <w:pPr>
              <w:ind w:right="16"/>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17.82</w:t>
            </w:r>
          </w:p>
        </w:tc>
        <w:tc>
          <w:tcPr>
            <w:tcW w:w="1118" w:type="dxa"/>
            <w:vAlign w:val="top"/>
          </w:tcPr>
          <w:p>
            <w:pPr>
              <w:pStyle w:val="TableText"/>
              <w:rPr/>
            </w:pPr>
            <w:r/>
          </w:p>
        </w:tc>
      </w:tr>
      <w:tr>
        <w:trPr>
          <w:trHeight w:val="292" w:hRule="atLeast"/>
        </w:trPr>
        <w:tc>
          <w:tcPr>
            <w:tcW w:w="3310" w:type="dxa"/>
            <w:vAlign w:val="top"/>
          </w:tcPr>
          <w:p>
            <w:pPr>
              <w:ind w:left="330"/>
              <w:spacing w:before="67"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5"/>
              <w:spacing w:before="67"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1188" w:type="dxa"/>
            <w:vAlign w:val="top"/>
          </w:tcPr>
          <w:p>
            <w:pPr>
              <w:ind w:right="19"/>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39.27</w:t>
            </w:r>
          </w:p>
        </w:tc>
        <w:tc>
          <w:tcPr>
            <w:tcW w:w="1188" w:type="dxa"/>
            <w:vAlign w:val="top"/>
          </w:tcPr>
          <w:p>
            <w:pPr>
              <w:ind w:right="16"/>
              <w:spacing w:before="6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39.27</w:t>
            </w:r>
          </w:p>
        </w:tc>
        <w:tc>
          <w:tcPr>
            <w:tcW w:w="1118" w:type="dxa"/>
            <w:vAlign w:val="top"/>
          </w:tcPr>
          <w:p>
            <w:pPr>
              <w:pStyle w:val="TableText"/>
              <w:rPr/>
            </w:pPr>
            <w:r/>
          </w:p>
        </w:tc>
      </w:tr>
      <w:tr>
        <w:trPr>
          <w:trHeight w:val="292" w:hRule="atLeast"/>
        </w:trPr>
        <w:tc>
          <w:tcPr>
            <w:tcW w:w="3310" w:type="dxa"/>
            <w:vAlign w:val="top"/>
          </w:tcPr>
          <w:p>
            <w:pPr>
              <w:ind w:left="330"/>
              <w:spacing w:before="68"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278" w:type="dxa"/>
            <w:vAlign w:val="top"/>
          </w:tcPr>
          <w:p>
            <w:pPr>
              <w:ind w:left="32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188" w:type="dxa"/>
            <w:vAlign w:val="top"/>
          </w:tcPr>
          <w:p>
            <w:pPr>
              <w:ind w:right="19"/>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21.30</w:t>
            </w:r>
          </w:p>
        </w:tc>
        <w:tc>
          <w:tcPr>
            <w:tcW w:w="1188" w:type="dxa"/>
            <w:vAlign w:val="top"/>
          </w:tcPr>
          <w:p>
            <w:pPr>
              <w:ind w:right="16"/>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21.30</w:t>
            </w:r>
          </w:p>
        </w:tc>
        <w:tc>
          <w:tcPr>
            <w:tcW w:w="1118" w:type="dxa"/>
            <w:vAlign w:val="top"/>
          </w:tcPr>
          <w:p>
            <w:pPr>
              <w:pStyle w:val="TableText"/>
              <w:rPr/>
            </w:pPr>
            <w:r/>
          </w:p>
        </w:tc>
      </w:tr>
      <w:tr>
        <w:trPr>
          <w:trHeight w:val="293" w:hRule="atLeast"/>
        </w:trPr>
        <w:tc>
          <w:tcPr>
            <w:tcW w:w="3310" w:type="dxa"/>
            <w:vAlign w:val="top"/>
          </w:tcPr>
          <w:p>
            <w:pPr>
              <w:ind w:left="9"/>
              <w:spacing w:before="69"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278" w:type="dxa"/>
            <w:vAlign w:val="top"/>
          </w:tcPr>
          <w:p>
            <w:pPr>
              <w:pStyle w:val="TableText"/>
              <w:rPr/>
            </w:pPr>
            <w:r/>
          </w:p>
        </w:tc>
        <w:tc>
          <w:tcPr>
            <w:tcW w:w="1188" w:type="dxa"/>
            <w:vAlign w:val="top"/>
          </w:tcPr>
          <w:p>
            <w:pPr>
              <w:ind w:right="19"/>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54.75</w:t>
            </w:r>
          </w:p>
        </w:tc>
        <w:tc>
          <w:tcPr>
            <w:tcW w:w="1188" w:type="dxa"/>
            <w:vAlign w:val="top"/>
          </w:tcPr>
          <w:p>
            <w:pPr>
              <w:pStyle w:val="TableText"/>
              <w:rPr/>
            </w:pPr>
            <w:r/>
          </w:p>
        </w:tc>
        <w:tc>
          <w:tcPr>
            <w:tcW w:w="1118" w:type="dxa"/>
            <w:vAlign w:val="top"/>
          </w:tcPr>
          <w:p>
            <w:pPr>
              <w:ind w:right="22"/>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54.75</w:t>
            </w:r>
          </w:p>
        </w:tc>
      </w:tr>
      <w:tr>
        <w:trPr>
          <w:trHeight w:val="292" w:hRule="atLeast"/>
        </w:trPr>
        <w:tc>
          <w:tcPr>
            <w:tcW w:w="3310" w:type="dxa"/>
            <w:vAlign w:val="top"/>
          </w:tcPr>
          <w:p>
            <w:pPr>
              <w:ind w:left="334"/>
              <w:spacing w:before="68"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9"/>
              <w:spacing w:before="68"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18" w:type="dxa"/>
            <w:vAlign w:val="top"/>
          </w:tcPr>
          <w:p>
            <w:pPr>
              <w:ind w:right="22"/>
              <w:spacing w:before="6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3310" w:type="dxa"/>
            <w:vAlign w:val="top"/>
          </w:tcPr>
          <w:p>
            <w:pPr>
              <w:ind w:left="334"/>
              <w:spacing w:before="69"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278" w:type="dxa"/>
            <w:vAlign w:val="top"/>
          </w:tcPr>
          <w:p>
            <w:pPr>
              <w:ind w:left="328"/>
              <w:spacing w:before="69"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18" w:type="dxa"/>
            <w:vAlign w:val="top"/>
          </w:tcPr>
          <w:p>
            <w:pPr>
              <w:ind w:right="22"/>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3" w:hRule="atLeast"/>
        </w:trPr>
        <w:tc>
          <w:tcPr>
            <w:tcW w:w="3310" w:type="dxa"/>
            <w:vAlign w:val="top"/>
          </w:tcPr>
          <w:p>
            <w:pPr>
              <w:ind w:left="344"/>
              <w:spacing w:before="70" w:line="229" w:lineRule="auto"/>
              <w:rPr>
                <w:rFonts w:ascii="SimSun" w:hAnsi="SimSun" w:eastAsia="SimSun" w:cs="SimSun"/>
                <w:sz w:val="15"/>
                <w:szCs w:val="15"/>
              </w:rPr>
            </w:pPr>
            <w:r>
              <w:rPr>
                <w:rFonts w:ascii="SimSun" w:hAnsi="SimSun" w:eastAsia="SimSun" w:cs="SimSun"/>
                <w:sz w:val="15"/>
                <w:szCs w:val="15"/>
                <w:color w:val="212529"/>
                <w:spacing w:val="4"/>
              </w:rPr>
              <w:t>印刷费</w:t>
            </w:r>
          </w:p>
        </w:tc>
        <w:tc>
          <w:tcPr>
            <w:tcW w:w="2278" w:type="dxa"/>
            <w:vAlign w:val="top"/>
          </w:tcPr>
          <w:p>
            <w:pPr>
              <w:ind w:left="329"/>
              <w:spacing w:before="70"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c>
          <w:tcPr>
            <w:tcW w:w="1188" w:type="dxa"/>
            <w:vAlign w:val="top"/>
          </w:tcPr>
          <w:p>
            <w:pPr>
              <w:pStyle w:val="TableText"/>
              <w:rPr/>
            </w:pPr>
            <w:r/>
          </w:p>
        </w:tc>
        <w:tc>
          <w:tcPr>
            <w:tcW w:w="1118"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2.00</w:t>
            </w:r>
          </w:p>
        </w:tc>
      </w:tr>
      <w:tr>
        <w:trPr>
          <w:trHeight w:val="292" w:hRule="atLeast"/>
        </w:trPr>
        <w:tc>
          <w:tcPr>
            <w:tcW w:w="3310" w:type="dxa"/>
            <w:vAlign w:val="top"/>
          </w:tcPr>
          <w:p>
            <w:pPr>
              <w:ind w:left="332"/>
              <w:spacing w:before="69" w:line="229" w:lineRule="auto"/>
              <w:rPr>
                <w:rFonts w:ascii="SimSun" w:hAnsi="SimSun" w:eastAsia="SimSun" w:cs="SimSun"/>
                <w:sz w:val="15"/>
                <w:szCs w:val="15"/>
              </w:rPr>
            </w:pPr>
            <w:r>
              <w:rPr>
                <w:rFonts w:ascii="SimSun" w:hAnsi="SimSun" w:eastAsia="SimSun" w:cs="SimSun"/>
                <w:sz w:val="15"/>
                <w:szCs w:val="15"/>
                <w:color w:val="212529"/>
                <w:spacing w:val="6"/>
              </w:rPr>
              <w:t>水费</w:t>
            </w:r>
          </w:p>
        </w:tc>
        <w:tc>
          <w:tcPr>
            <w:tcW w:w="2278" w:type="dxa"/>
            <w:vAlign w:val="top"/>
          </w:tcPr>
          <w:p>
            <w:pPr>
              <w:ind w:left="329"/>
              <w:spacing w:before="69"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0.20</w:t>
            </w:r>
          </w:p>
        </w:tc>
        <w:tc>
          <w:tcPr>
            <w:tcW w:w="1188" w:type="dxa"/>
            <w:vAlign w:val="top"/>
          </w:tcPr>
          <w:p>
            <w:pPr>
              <w:pStyle w:val="TableText"/>
              <w:rPr/>
            </w:pPr>
            <w:r/>
          </w:p>
        </w:tc>
        <w:tc>
          <w:tcPr>
            <w:tcW w:w="1118" w:type="dxa"/>
            <w:vAlign w:val="top"/>
          </w:tcPr>
          <w:p>
            <w:pPr>
              <w:ind w:right="22"/>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0.20</w:t>
            </w:r>
          </w:p>
        </w:tc>
      </w:tr>
      <w:tr>
        <w:trPr>
          <w:trHeight w:val="292" w:hRule="atLeast"/>
        </w:trPr>
        <w:tc>
          <w:tcPr>
            <w:tcW w:w="3310" w:type="dxa"/>
            <w:vAlign w:val="top"/>
          </w:tcPr>
          <w:p>
            <w:pPr>
              <w:ind w:left="349"/>
              <w:spacing w:before="70" w:line="230" w:lineRule="auto"/>
              <w:rPr>
                <w:rFonts w:ascii="SimSun" w:hAnsi="SimSun" w:eastAsia="SimSun" w:cs="SimSun"/>
                <w:sz w:val="15"/>
                <w:szCs w:val="15"/>
              </w:rPr>
            </w:pPr>
            <w:r>
              <w:rPr>
                <w:rFonts w:ascii="SimSun" w:hAnsi="SimSun" w:eastAsia="SimSun" w:cs="SimSun"/>
                <w:sz w:val="15"/>
                <w:szCs w:val="15"/>
                <w:color w:val="212529"/>
                <w:spacing w:val="-2"/>
              </w:rPr>
              <w:t>电费</w:t>
            </w:r>
          </w:p>
        </w:tc>
        <w:tc>
          <w:tcPr>
            <w:tcW w:w="2278" w:type="dxa"/>
            <w:vAlign w:val="top"/>
          </w:tcPr>
          <w:p>
            <w:pPr>
              <w:ind w:left="329"/>
              <w:spacing w:before="70"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c>
          <w:tcPr>
            <w:tcW w:w="1188" w:type="dxa"/>
            <w:vAlign w:val="top"/>
          </w:tcPr>
          <w:p>
            <w:pPr>
              <w:pStyle w:val="TableText"/>
              <w:rPr/>
            </w:pPr>
            <w:r/>
          </w:p>
        </w:tc>
        <w:tc>
          <w:tcPr>
            <w:tcW w:w="1118" w:type="dxa"/>
            <w:vAlign w:val="top"/>
          </w:tcPr>
          <w:p>
            <w:pPr>
              <w:ind w:right="22"/>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0.30</w:t>
            </w:r>
          </w:p>
        </w:tc>
      </w:tr>
      <w:tr>
        <w:trPr>
          <w:trHeight w:val="293" w:hRule="atLeast"/>
        </w:trPr>
        <w:tc>
          <w:tcPr>
            <w:tcW w:w="3310" w:type="dxa"/>
            <w:vAlign w:val="top"/>
          </w:tcPr>
          <w:p>
            <w:pPr>
              <w:ind w:left="343"/>
              <w:spacing w:before="71" w:line="230" w:lineRule="auto"/>
              <w:rPr>
                <w:rFonts w:ascii="SimSun" w:hAnsi="SimSun" w:eastAsia="SimSun" w:cs="SimSun"/>
                <w:sz w:val="15"/>
                <w:szCs w:val="15"/>
              </w:rPr>
            </w:pPr>
            <w:r>
              <w:rPr>
                <w:rFonts w:ascii="SimSun" w:hAnsi="SimSun" w:eastAsia="SimSun" w:cs="SimSun"/>
                <w:sz w:val="15"/>
                <w:szCs w:val="15"/>
                <w:color w:val="212529"/>
                <w:spacing w:val="4"/>
              </w:rPr>
              <w:t>邮电费</w:t>
            </w:r>
          </w:p>
        </w:tc>
        <w:tc>
          <w:tcPr>
            <w:tcW w:w="2278" w:type="dxa"/>
            <w:vAlign w:val="top"/>
          </w:tcPr>
          <w:p>
            <w:pPr>
              <w:ind w:left="329"/>
              <w:spacing w:before="71"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1.30</w:t>
            </w:r>
          </w:p>
        </w:tc>
        <w:tc>
          <w:tcPr>
            <w:tcW w:w="1188" w:type="dxa"/>
            <w:vAlign w:val="top"/>
          </w:tcPr>
          <w:p>
            <w:pPr>
              <w:pStyle w:val="TableText"/>
              <w:rPr/>
            </w:pPr>
            <w:r/>
          </w:p>
        </w:tc>
        <w:tc>
          <w:tcPr>
            <w:tcW w:w="1118"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1.30</w:t>
            </w:r>
          </w:p>
        </w:tc>
      </w:tr>
      <w:tr>
        <w:trPr>
          <w:trHeight w:val="292" w:hRule="atLeast"/>
        </w:trPr>
        <w:tc>
          <w:tcPr>
            <w:tcW w:w="3310" w:type="dxa"/>
            <w:vAlign w:val="top"/>
          </w:tcPr>
          <w:p>
            <w:pPr>
              <w:ind w:left="331"/>
              <w:spacing w:before="70" w:line="230" w:lineRule="auto"/>
              <w:rPr>
                <w:rFonts w:ascii="SimSun" w:hAnsi="SimSun" w:eastAsia="SimSun" w:cs="SimSun"/>
                <w:sz w:val="15"/>
                <w:szCs w:val="15"/>
              </w:rPr>
            </w:pPr>
            <w:r>
              <w:rPr>
                <w:rFonts w:ascii="SimSun" w:hAnsi="SimSun" w:eastAsia="SimSun" w:cs="SimSun"/>
                <w:sz w:val="15"/>
                <w:szCs w:val="15"/>
                <w:color w:val="212529"/>
                <w:spacing w:val="8"/>
              </w:rPr>
              <w:t>取暖费</w:t>
            </w:r>
          </w:p>
        </w:tc>
        <w:tc>
          <w:tcPr>
            <w:tcW w:w="2278" w:type="dxa"/>
            <w:vAlign w:val="top"/>
          </w:tcPr>
          <w:p>
            <w:pPr>
              <w:ind w:left="329"/>
              <w:spacing w:before="71"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4.21</w:t>
            </w:r>
          </w:p>
        </w:tc>
        <w:tc>
          <w:tcPr>
            <w:tcW w:w="1188" w:type="dxa"/>
            <w:vAlign w:val="top"/>
          </w:tcPr>
          <w:p>
            <w:pPr>
              <w:pStyle w:val="TableText"/>
              <w:rPr/>
            </w:pPr>
            <w:r/>
          </w:p>
        </w:tc>
        <w:tc>
          <w:tcPr>
            <w:tcW w:w="1118" w:type="dxa"/>
            <w:vAlign w:val="top"/>
          </w:tcPr>
          <w:p>
            <w:pPr>
              <w:ind w:right="22"/>
              <w:spacing w:before="7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4.21</w:t>
            </w:r>
          </w:p>
        </w:tc>
      </w:tr>
      <w:tr>
        <w:trPr>
          <w:trHeight w:val="292" w:hRule="atLeast"/>
        </w:trPr>
        <w:tc>
          <w:tcPr>
            <w:tcW w:w="3310" w:type="dxa"/>
            <w:vAlign w:val="top"/>
          </w:tcPr>
          <w:p>
            <w:pPr>
              <w:ind w:left="331"/>
              <w:spacing w:before="71" w:line="229" w:lineRule="auto"/>
              <w:rPr>
                <w:rFonts w:ascii="SimSun" w:hAnsi="SimSun" w:eastAsia="SimSun" w:cs="SimSun"/>
                <w:sz w:val="15"/>
                <w:szCs w:val="15"/>
              </w:rPr>
            </w:pPr>
            <w:r>
              <w:rPr>
                <w:rFonts w:ascii="SimSun" w:hAnsi="SimSun" w:eastAsia="SimSun" w:cs="SimSun"/>
                <w:sz w:val="15"/>
                <w:szCs w:val="15"/>
                <w:color w:val="212529"/>
                <w:spacing w:val="10"/>
              </w:rPr>
              <w:t>物业管理费</w:t>
            </w:r>
          </w:p>
        </w:tc>
        <w:tc>
          <w:tcPr>
            <w:tcW w:w="2278" w:type="dxa"/>
            <w:vAlign w:val="top"/>
          </w:tcPr>
          <w:p>
            <w:pPr>
              <w:ind w:left="329"/>
              <w:spacing w:before="71"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2.31</w:t>
            </w:r>
          </w:p>
        </w:tc>
        <w:tc>
          <w:tcPr>
            <w:tcW w:w="1188" w:type="dxa"/>
            <w:vAlign w:val="top"/>
          </w:tcPr>
          <w:p>
            <w:pPr>
              <w:pStyle w:val="TableText"/>
              <w:rPr/>
            </w:pPr>
            <w:r/>
          </w:p>
        </w:tc>
        <w:tc>
          <w:tcPr>
            <w:tcW w:w="1118" w:type="dxa"/>
            <w:vAlign w:val="top"/>
          </w:tcPr>
          <w:p>
            <w:pPr>
              <w:ind w:right="22"/>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2.31</w:t>
            </w:r>
          </w:p>
        </w:tc>
      </w:tr>
      <w:tr>
        <w:trPr>
          <w:trHeight w:val="293" w:hRule="atLeast"/>
        </w:trPr>
        <w:tc>
          <w:tcPr>
            <w:tcW w:w="3310" w:type="dxa"/>
            <w:vAlign w:val="top"/>
          </w:tcPr>
          <w:p>
            <w:pPr>
              <w:ind w:left="333"/>
              <w:spacing w:before="72" w:line="230" w:lineRule="auto"/>
              <w:rPr>
                <w:rFonts w:ascii="SimSun" w:hAnsi="SimSun" w:eastAsia="SimSun" w:cs="SimSun"/>
                <w:sz w:val="15"/>
                <w:szCs w:val="15"/>
              </w:rPr>
            </w:pPr>
            <w:r>
              <w:rPr>
                <w:rFonts w:ascii="SimSun" w:hAnsi="SimSun" w:eastAsia="SimSun" w:cs="SimSun"/>
                <w:sz w:val="15"/>
                <w:szCs w:val="15"/>
                <w:color w:val="212529"/>
                <w:spacing w:val="8"/>
              </w:rPr>
              <w:t>差旅费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2" w:hRule="atLeast"/>
        </w:trPr>
        <w:tc>
          <w:tcPr>
            <w:tcW w:w="3310" w:type="dxa"/>
            <w:vAlign w:val="top"/>
          </w:tcPr>
          <w:p>
            <w:pPr>
              <w:ind w:left="333"/>
              <w:spacing w:before="72"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4.85</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4.85</w:t>
            </w:r>
          </w:p>
        </w:tc>
      </w:tr>
      <w:tr>
        <w:trPr>
          <w:trHeight w:val="293" w:hRule="atLeast"/>
        </w:trPr>
        <w:tc>
          <w:tcPr>
            <w:tcW w:w="3310" w:type="dxa"/>
            <w:vAlign w:val="top"/>
          </w:tcPr>
          <w:p>
            <w:pPr>
              <w:ind w:left="333"/>
              <w:spacing w:before="73"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278" w:type="dxa"/>
            <w:vAlign w:val="top"/>
          </w:tcPr>
          <w:p>
            <w:pPr>
              <w:ind w:left="328"/>
              <w:spacing w:before="72"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2.72</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2.72</w:t>
            </w:r>
          </w:p>
        </w:tc>
      </w:tr>
      <w:tr>
        <w:trPr>
          <w:trHeight w:val="292" w:hRule="atLeast"/>
        </w:trPr>
        <w:tc>
          <w:tcPr>
            <w:tcW w:w="3310" w:type="dxa"/>
            <w:vAlign w:val="top"/>
          </w:tcPr>
          <w:p>
            <w:pPr>
              <w:ind w:left="330"/>
              <w:spacing w:before="72"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9"/>
              <w:spacing w:before="72"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8.48</w:t>
            </w:r>
          </w:p>
        </w:tc>
        <w:tc>
          <w:tcPr>
            <w:tcW w:w="1188" w:type="dxa"/>
            <w:vAlign w:val="top"/>
          </w:tcPr>
          <w:p>
            <w:pPr>
              <w:pStyle w:val="TableText"/>
              <w:rPr/>
            </w:pPr>
            <w:r/>
          </w:p>
        </w:tc>
        <w:tc>
          <w:tcPr>
            <w:tcW w:w="1118" w:type="dxa"/>
            <w:vAlign w:val="top"/>
          </w:tcPr>
          <w:p>
            <w:pPr>
              <w:ind w:right="22"/>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8.48</w:t>
            </w:r>
          </w:p>
        </w:tc>
      </w:tr>
      <w:tr>
        <w:trPr>
          <w:trHeight w:val="292"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278" w:type="dxa"/>
            <w:vAlign w:val="top"/>
          </w:tcPr>
          <w:p>
            <w:pPr>
              <w:ind w:left="328"/>
              <w:spacing w:before="73"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4.76</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4.76</w:t>
            </w:r>
          </w:p>
        </w:tc>
      </w:tr>
      <w:tr>
        <w:trPr>
          <w:trHeight w:val="293" w:hRule="atLeast"/>
        </w:trPr>
        <w:tc>
          <w:tcPr>
            <w:tcW w:w="3310" w:type="dxa"/>
            <w:vAlign w:val="top"/>
          </w:tcPr>
          <w:p>
            <w:pPr>
              <w:ind w:left="336"/>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2278" w:type="dxa"/>
            <w:vAlign w:val="top"/>
          </w:tcPr>
          <w:p>
            <w:pPr>
              <w:ind w:left="331"/>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公务用车运行维护费</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r>
      <w:tr>
        <w:trPr>
          <w:trHeight w:val="292" w:hRule="atLeast"/>
        </w:trPr>
        <w:tc>
          <w:tcPr>
            <w:tcW w:w="3310"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278" w:type="dxa"/>
            <w:vAlign w:val="top"/>
          </w:tcPr>
          <w:p>
            <w:pPr>
              <w:ind w:left="329"/>
              <w:spacing w:before="73" w:line="229" w:lineRule="auto"/>
              <w:rPr>
                <w:rFonts w:ascii="SimSun" w:hAnsi="SimSun" w:eastAsia="SimSun" w:cs="SimSun"/>
                <w:sz w:val="15"/>
                <w:szCs w:val="15"/>
              </w:rPr>
            </w:pPr>
            <w:r>
              <w:rPr>
                <w:rFonts w:ascii="SimSun" w:hAnsi="SimSun" w:eastAsia="SimSun" w:cs="SimSun"/>
                <w:sz w:val="15"/>
                <w:szCs w:val="15"/>
                <w:color w:val="212529"/>
                <w:spacing w:val="8"/>
              </w:rPr>
              <w:t>办公经费</w:t>
            </w:r>
          </w:p>
        </w:tc>
        <w:tc>
          <w:tcPr>
            <w:tcW w:w="1188" w:type="dxa"/>
            <w:vAlign w:val="top"/>
          </w:tcPr>
          <w:p>
            <w:pPr>
              <w:ind w:right="19"/>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5.82</w:t>
            </w:r>
          </w:p>
        </w:tc>
        <w:tc>
          <w:tcPr>
            <w:tcW w:w="1188" w:type="dxa"/>
            <w:vAlign w:val="top"/>
          </w:tcPr>
          <w:p>
            <w:pPr>
              <w:pStyle w:val="TableText"/>
              <w:rPr/>
            </w:pPr>
            <w:r/>
          </w:p>
        </w:tc>
        <w:tc>
          <w:tcPr>
            <w:tcW w:w="1118" w:type="dxa"/>
            <w:vAlign w:val="top"/>
          </w:tcPr>
          <w:p>
            <w:pPr>
              <w:ind w:right="22"/>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5.82</w:t>
            </w:r>
          </w:p>
        </w:tc>
      </w:tr>
      <w:tr>
        <w:trPr>
          <w:trHeight w:val="292" w:hRule="atLeast"/>
        </w:trPr>
        <w:tc>
          <w:tcPr>
            <w:tcW w:w="3310" w:type="dxa"/>
            <w:vAlign w:val="top"/>
          </w:tcPr>
          <w:p>
            <w:pPr>
              <w:ind w:left="330"/>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2278" w:type="dxa"/>
            <w:vAlign w:val="top"/>
          </w:tcPr>
          <w:p>
            <w:pPr>
              <w:ind w:left="325"/>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1188" w:type="dxa"/>
            <w:vAlign w:val="top"/>
          </w:tcPr>
          <w:p>
            <w:pPr>
              <w:ind w:right="19"/>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3.53</w:t>
            </w:r>
          </w:p>
        </w:tc>
        <w:tc>
          <w:tcPr>
            <w:tcW w:w="1188" w:type="dxa"/>
            <w:vAlign w:val="top"/>
          </w:tcPr>
          <w:p>
            <w:pPr>
              <w:pStyle w:val="TableText"/>
              <w:rPr/>
            </w:pPr>
            <w:r/>
          </w:p>
        </w:tc>
        <w:tc>
          <w:tcPr>
            <w:tcW w:w="1118"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3.53</w:t>
            </w:r>
          </w:p>
        </w:tc>
      </w:tr>
      <w:tr>
        <w:trPr>
          <w:trHeight w:val="293" w:hRule="atLeast"/>
        </w:trPr>
        <w:tc>
          <w:tcPr>
            <w:tcW w:w="3310"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3.26</w:t>
            </w:r>
          </w:p>
        </w:tc>
        <w:tc>
          <w:tcPr>
            <w:tcW w:w="1188" w:type="dxa"/>
            <w:vAlign w:val="top"/>
          </w:tcPr>
          <w:p>
            <w:pPr>
              <w:pStyle w:val="TableText"/>
              <w:rPr/>
            </w:pPr>
            <w:r/>
          </w:p>
        </w:tc>
        <w:tc>
          <w:tcPr>
            <w:tcW w:w="1118"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3.26</w:t>
            </w:r>
          </w:p>
        </w:tc>
      </w:tr>
      <w:tr>
        <w:trPr>
          <w:trHeight w:val="292" w:hRule="atLeast"/>
        </w:trPr>
        <w:tc>
          <w:tcPr>
            <w:tcW w:w="3310" w:type="dxa"/>
            <w:vAlign w:val="top"/>
          </w:tcPr>
          <w:p>
            <w:pPr>
              <w:ind w:left="6"/>
              <w:spacing w:before="75" w:line="229" w:lineRule="auto"/>
              <w:rPr>
                <w:rFonts w:ascii="SimSun" w:hAnsi="SimSun" w:eastAsia="SimSun" w:cs="SimSun"/>
                <w:sz w:val="15"/>
                <w:szCs w:val="15"/>
              </w:rPr>
            </w:pPr>
            <w:r>
              <w:rPr>
                <w:rFonts w:ascii="SimSun" w:hAnsi="SimSun" w:eastAsia="SimSun" w:cs="SimSun"/>
                <w:sz w:val="15"/>
                <w:szCs w:val="15"/>
                <w:color w:val="212529"/>
                <w:spacing w:val="11"/>
              </w:rPr>
              <w:t>对个人和家庭的补助</w:t>
            </w:r>
          </w:p>
        </w:tc>
        <w:tc>
          <w:tcPr>
            <w:tcW w:w="2278" w:type="dxa"/>
            <w:vAlign w:val="top"/>
          </w:tcPr>
          <w:p>
            <w:pPr>
              <w:pStyle w:val="TableText"/>
              <w:rPr/>
            </w:pPr>
            <w:r/>
          </w:p>
        </w:tc>
        <w:tc>
          <w:tcPr>
            <w:tcW w:w="1188" w:type="dxa"/>
            <w:vAlign w:val="top"/>
          </w:tcPr>
          <w:p>
            <w:pPr>
              <w:ind w:right="19"/>
              <w:spacing w:before="7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188" w:type="dxa"/>
            <w:vAlign w:val="top"/>
          </w:tcPr>
          <w:p>
            <w:pPr>
              <w:ind w:right="16"/>
              <w:spacing w:before="7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118" w:type="dxa"/>
            <w:vAlign w:val="top"/>
          </w:tcPr>
          <w:p>
            <w:pPr>
              <w:pStyle w:val="TableText"/>
              <w:rPr/>
            </w:pPr>
            <w:r/>
          </w:p>
        </w:tc>
      </w:tr>
      <w:tr>
        <w:trPr>
          <w:trHeight w:val="298" w:hRule="atLeast"/>
        </w:trPr>
        <w:tc>
          <w:tcPr>
            <w:tcW w:w="3310" w:type="dxa"/>
            <w:vAlign w:val="top"/>
          </w:tcPr>
          <w:p>
            <w:pPr>
              <w:ind w:left="331"/>
              <w:spacing w:before="75" w:line="229" w:lineRule="auto"/>
              <w:rPr>
                <w:rFonts w:ascii="SimSun" w:hAnsi="SimSun" w:eastAsia="SimSun" w:cs="SimSun"/>
                <w:sz w:val="15"/>
                <w:szCs w:val="15"/>
              </w:rPr>
            </w:pPr>
            <w:r>
              <w:rPr>
                <w:rFonts w:ascii="SimSun" w:hAnsi="SimSun" w:eastAsia="SimSun" w:cs="SimSun"/>
                <w:sz w:val="15"/>
                <w:szCs w:val="15"/>
                <w:color w:val="212529"/>
                <w:spacing w:val="8"/>
              </w:rPr>
              <w:t>退休费</w:t>
            </w:r>
          </w:p>
        </w:tc>
        <w:tc>
          <w:tcPr>
            <w:tcW w:w="2278" w:type="dxa"/>
            <w:vAlign w:val="top"/>
          </w:tcPr>
          <w:p>
            <w:pPr>
              <w:ind w:left="328"/>
              <w:spacing w:before="75" w:line="229" w:lineRule="auto"/>
              <w:rPr>
                <w:rFonts w:ascii="SimSun" w:hAnsi="SimSun" w:eastAsia="SimSun" w:cs="SimSun"/>
                <w:sz w:val="15"/>
                <w:szCs w:val="15"/>
              </w:rPr>
            </w:pPr>
            <w:r>
              <w:rPr>
                <w:rFonts w:ascii="SimSun" w:hAnsi="SimSun" w:eastAsia="SimSun" w:cs="SimSun"/>
                <w:sz w:val="15"/>
                <w:szCs w:val="15"/>
                <w:color w:val="212529"/>
                <w:spacing w:val="9"/>
              </w:rPr>
              <w:t>离退休费</w:t>
            </w:r>
          </w:p>
        </w:tc>
        <w:tc>
          <w:tcPr>
            <w:tcW w:w="1188" w:type="dxa"/>
            <w:vAlign w:val="top"/>
          </w:tcPr>
          <w:p>
            <w:pPr>
              <w:ind w:right="19"/>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188" w:type="dxa"/>
            <w:vAlign w:val="top"/>
          </w:tcPr>
          <w:p>
            <w:pPr>
              <w:ind w:right="16"/>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4.06</w:t>
            </w:r>
          </w:p>
        </w:tc>
        <w:tc>
          <w:tcPr>
            <w:tcW w:w="1118" w:type="dxa"/>
            <w:vAlign w:val="top"/>
          </w:tcPr>
          <w:p>
            <w:pPr>
              <w:pStyle w:val="TableText"/>
              <w:rPr/>
            </w:pPr>
            <w:r/>
          </w:p>
        </w:tc>
      </w:tr>
    </w:tbl>
    <w:p>
      <w:pPr>
        <w:rPr>
          <w:rFonts w:ascii="Arial"/>
          <w:sz w:val="21"/>
        </w:rPr>
      </w:pPr>
      <w:r/>
    </w:p>
    <w:p>
      <w:pPr>
        <w:sectPr>
          <w:footerReference w:type="default" r:id="rId14"/>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468"/>
        <w:gridCol w:w="4795"/>
        <w:gridCol w:w="1895"/>
      </w:tblGrid>
      <w:tr>
        <w:trPr>
          <w:trHeight w:val="383" w:hRule="atLeast"/>
        </w:trPr>
        <w:tc>
          <w:tcPr>
            <w:tcW w:w="246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79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95" w:type="dxa"/>
            <w:vAlign w:val="top"/>
            <w:tcBorders>
              <w:bottom w:val="single" w:color="FFFFFF" w:sz="4" w:space="0"/>
              <w:top w:val="single" w:color="FFFFFF" w:sz="4" w:space="0"/>
              <w:left w:val="single" w:color="FFFFFF" w:sz="2" w:space="0"/>
              <w:right w:val="single" w:color="FFFFFF" w:sz="2" w:space="0"/>
            </w:tcBorders>
          </w:tcPr>
          <w:p>
            <w:pPr>
              <w:ind w:left="1157"/>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5"/>
            <w:bookmarkEnd w:id="25"/>
            <w:bookmarkStart w:name="bookmark13" w:id="26"/>
            <w:bookmarkEnd w:id="26"/>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263"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895" w:type="dxa"/>
            <w:vAlign w:val="top"/>
            <w:tcBorders>
              <w:top w:val="single" w:color="FFFFFF" w:sz="4" w:space="0"/>
              <w:left w:val="single" w:color="FFFFFF" w:sz="2" w:space="0"/>
              <w:right w:val="single" w:color="FFFFFF" w:sz="2" w:space="0"/>
            </w:tcBorders>
          </w:tcPr>
          <w:p>
            <w:pPr>
              <w:ind w:left="1287"/>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263" w:type="dxa"/>
            <w:vAlign w:val="top"/>
            <w:gridSpan w:val="2"/>
          </w:tcPr>
          <w:p>
            <w:pPr>
              <w:ind w:left="345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895" w:type="dxa"/>
            <w:vAlign w:val="top"/>
            <w:vMerge w:val="restart"/>
            <w:tcBorders>
              <w:bottom w:val="nil"/>
            </w:tcBorders>
          </w:tcPr>
          <w:p>
            <w:pPr>
              <w:ind w:left="20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468" w:type="dxa"/>
            <w:vAlign w:val="top"/>
          </w:tcPr>
          <w:p>
            <w:pPr>
              <w:ind w:left="742"/>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795" w:type="dxa"/>
            <w:vAlign w:val="top"/>
          </w:tcPr>
          <w:p>
            <w:pPr>
              <w:ind w:left="206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895" w:type="dxa"/>
            <w:vAlign w:val="top"/>
            <w:vMerge w:val="continue"/>
            <w:tcBorders>
              <w:top w:val="nil"/>
            </w:tcBorders>
          </w:tcPr>
          <w:p>
            <w:pPr>
              <w:pStyle w:val="TableText"/>
              <w:rPr/>
            </w:pPr>
            <w:r/>
          </w:p>
        </w:tc>
      </w:tr>
      <w:tr>
        <w:trPr>
          <w:trHeight w:val="378" w:hRule="atLeast"/>
        </w:trPr>
        <w:tc>
          <w:tcPr>
            <w:tcW w:w="7263" w:type="dxa"/>
            <w:vAlign w:val="top"/>
            <w:gridSpan w:val="2"/>
          </w:tcPr>
          <w:p>
            <w:pPr>
              <w:ind w:left="346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895" w:type="dxa"/>
            <w:vAlign w:val="top"/>
          </w:tcPr>
          <w:p>
            <w:pPr>
              <w:pStyle w:val="TableText"/>
              <w:rPr/>
            </w:pPr>
            <w:r/>
          </w:p>
        </w:tc>
      </w:tr>
      <w:tr>
        <w:trPr>
          <w:trHeight w:val="378" w:hRule="atLeast"/>
        </w:trPr>
        <w:tc>
          <w:tcPr>
            <w:tcW w:w="2468" w:type="dxa"/>
            <w:vAlign w:val="top"/>
          </w:tcPr>
          <w:p>
            <w:pPr>
              <w:pStyle w:val="TableText"/>
              <w:rPr/>
            </w:pPr>
            <w:r/>
          </w:p>
        </w:tc>
        <w:tc>
          <w:tcPr>
            <w:tcW w:w="4795" w:type="dxa"/>
            <w:vAlign w:val="top"/>
          </w:tcPr>
          <w:p>
            <w:pPr>
              <w:pStyle w:val="TableText"/>
              <w:rPr/>
            </w:pPr>
            <w:r/>
          </w:p>
        </w:tc>
        <w:tc>
          <w:tcPr>
            <w:tcW w:w="1895"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rPr>
          <w:rFonts w:ascii="Arial"/>
          <w:sz w:val="21"/>
        </w:rPr>
      </w:pPr>
      <w:r/>
    </w:p>
    <w:p>
      <w:pPr>
        <w:sectPr>
          <w:footerReference w:type="default" r:id="rId15"/>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208"/>
        <w:gridCol w:w="3521"/>
        <w:gridCol w:w="1134"/>
        <w:gridCol w:w="1145"/>
        <w:gridCol w:w="1150"/>
      </w:tblGrid>
      <w:tr>
        <w:trPr>
          <w:trHeight w:val="383" w:hRule="atLeast"/>
        </w:trPr>
        <w:tc>
          <w:tcPr>
            <w:tcW w:w="220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0" w:type="dxa"/>
            <w:vAlign w:val="top"/>
            <w:tcBorders>
              <w:bottom w:val="single" w:color="FFFFFF" w:sz="4" w:space="0"/>
              <w:top w:val="single" w:color="FFFFFF" w:sz="4" w:space="0"/>
              <w:left w:val="single" w:color="FFFFFF" w:sz="2" w:space="0"/>
              <w:right w:val="single" w:color="FFFFFF" w:sz="2" w:space="0"/>
            </w:tcBorders>
          </w:tcPr>
          <w:p>
            <w:pPr>
              <w:ind w:left="411"/>
              <w:spacing w:before="127" w:line="234" w:lineRule="auto"/>
              <w:rPr>
                <w:rFonts w:ascii="SimSun" w:hAnsi="SimSun" w:eastAsia="SimSun" w:cs="SimSun"/>
                <w:sz w:val="12"/>
                <w:szCs w:val="12"/>
              </w:rPr>
            </w:pPr>
            <w:r>
              <w:rPr>
                <w:rFonts w:ascii="SimSun" w:hAnsi="SimSun" w:eastAsia="SimSun" w:cs="SimSun"/>
                <w:sz w:val="12"/>
                <w:szCs w:val="12"/>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4" w:id="27"/>
            <w:bookmarkEnd w:id="27"/>
            <w:bookmarkStart w:name="bookmark14" w:id="28"/>
            <w:bookmarkEnd w:id="28"/>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729"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134" w:type="dxa"/>
            <w:vAlign w:val="top"/>
            <w:tcBorders>
              <w:top w:val="single" w:color="FFFFFF" w:sz="4" w:space="0"/>
              <w:left w:val="single" w:color="FFFFFF" w:sz="2" w:space="0"/>
              <w:right w:val="single" w:color="FFFFFF" w:sz="2" w:space="0"/>
            </w:tcBorders>
          </w:tcPr>
          <w:p>
            <w:pPr>
              <w:pStyle w:val="TableText"/>
              <w:rPr/>
            </w:pPr>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0" w:type="dxa"/>
            <w:vAlign w:val="top"/>
            <w:tcBorders>
              <w:top w:val="single" w:color="FFFFFF" w:sz="4" w:space="0"/>
              <w:left w:val="single" w:color="FFFFFF" w:sz="2" w:space="0"/>
              <w:right w:val="single" w:color="FFFFFF" w:sz="2" w:space="0"/>
            </w:tcBorders>
          </w:tcPr>
          <w:p>
            <w:pPr>
              <w:ind w:left="542"/>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208" w:type="dxa"/>
            <w:vAlign w:val="top"/>
          </w:tcPr>
          <w:p>
            <w:pPr>
              <w:ind w:left="76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21" w:type="dxa"/>
            <w:vAlign w:val="top"/>
          </w:tcPr>
          <w:p>
            <w:pPr>
              <w:ind w:left="1422"/>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34" w:type="dxa"/>
            <w:vAlign w:val="top"/>
          </w:tcPr>
          <w:p>
            <w:pPr>
              <w:ind w:left="398"/>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40"/>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50" w:type="dxa"/>
            <w:vAlign w:val="top"/>
          </w:tcPr>
          <w:p>
            <w:pPr>
              <w:ind w:left="24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729" w:type="dxa"/>
            <w:vAlign w:val="top"/>
            <w:gridSpan w:val="2"/>
          </w:tcPr>
          <w:p>
            <w:pPr>
              <w:ind w:left="2692"/>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78" w:hRule="atLeast"/>
        </w:trPr>
        <w:tc>
          <w:tcPr>
            <w:tcW w:w="2208" w:type="dxa"/>
            <w:vAlign w:val="top"/>
          </w:tcPr>
          <w:p>
            <w:pPr>
              <w:pStyle w:val="TableText"/>
              <w:rPr/>
            </w:pPr>
            <w:r/>
          </w:p>
        </w:tc>
        <w:tc>
          <w:tcPr>
            <w:tcW w:w="3521" w:type="dxa"/>
            <w:vAlign w:val="top"/>
          </w:tcPr>
          <w:p>
            <w:pPr>
              <w:pStyle w:val="TableText"/>
              <w:rPr/>
            </w:pPr>
            <w:r/>
          </w:p>
        </w:tc>
        <w:tc>
          <w:tcPr>
            <w:tcW w:w="1134" w:type="dxa"/>
            <w:vAlign w:val="top"/>
          </w:tcPr>
          <w:p>
            <w:pPr>
              <w:pStyle w:val="TableText"/>
              <w:rPr/>
            </w:pPr>
            <w:r/>
          </w:p>
        </w:tc>
        <w:tc>
          <w:tcPr>
            <w:tcW w:w="1145" w:type="dxa"/>
            <w:vAlign w:val="top"/>
          </w:tcPr>
          <w:p>
            <w:pPr>
              <w:pStyle w:val="TableText"/>
              <w:rPr/>
            </w:pPr>
            <w:r/>
          </w:p>
        </w:tc>
        <w:tc>
          <w:tcPr>
            <w:tcW w:w="1150"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rPr>
          <w:rFonts w:ascii="Arial"/>
          <w:sz w:val="21"/>
        </w:rPr>
      </w:pPr>
      <w:r/>
    </w:p>
    <w:p>
      <w:pPr>
        <w:sectPr>
          <w:footerReference w:type="default" r:id="rId16"/>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50"/>
        <w:gridCol w:w="1717"/>
        <w:gridCol w:w="983"/>
        <w:gridCol w:w="972"/>
        <w:gridCol w:w="1436"/>
        <w:gridCol w:w="1005"/>
        <w:gridCol w:w="961"/>
        <w:gridCol w:w="934"/>
      </w:tblGrid>
      <w:tr>
        <w:trPr>
          <w:trHeight w:val="383" w:hRule="atLeast"/>
        </w:trPr>
        <w:tc>
          <w:tcPr>
            <w:tcW w:w="11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7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34" w:type="dxa"/>
            <w:vAlign w:val="top"/>
            <w:tcBorders>
              <w:bottom w:val="single" w:color="FFFFFF" w:sz="4" w:space="0"/>
              <w:top w:val="single" w:color="FFFFFF" w:sz="4" w:space="0"/>
              <w:left w:val="single" w:color="FFFFFF" w:sz="2" w:space="0"/>
              <w:right w:val="single" w:color="FFFFFF" w:sz="2" w:space="0"/>
            </w:tcBorders>
          </w:tcPr>
          <w:p>
            <w:pPr>
              <w:ind w:left="197"/>
              <w:spacing w:before="235" w:line="211" w:lineRule="auto"/>
              <w:rPr>
                <w:rFonts w:ascii="SimSun" w:hAnsi="SimSun" w:eastAsia="SimSun" w:cs="SimSun"/>
                <w:sz w:val="12"/>
                <w:szCs w:val="12"/>
              </w:rPr>
            </w:pPr>
            <w:r>
              <w:rPr>
                <w:rFonts w:ascii="SimSun" w:hAnsi="SimSun" w:eastAsia="SimSun" w:cs="SimSun"/>
                <w:sz w:val="12"/>
                <w:szCs w:val="12"/>
                <w:color w:val="212529"/>
                <w:spacing w:val="7"/>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bookmarkStart w:name="bookmark45" w:id="29"/>
            <w:bookmarkEnd w:id="29"/>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224"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934" w:type="dxa"/>
            <w:vAlign w:val="top"/>
            <w:tcBorders>
              <w:top w:val="single" w:color="FFFFFF" w:sz="4" w:space="0"/>
              <w:left w:val="single" w:color="FFFFFF" w:sz="2" w:space="0"/>
              <w:right w:val="single" w:color="FFFFFF" w:sz="2" w:space="0"/>
            </w:tcBorders>
          </w:tcPr>
          <w:p>
            <w:pPr>
              <w:ind w:left="2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18"/>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7"/>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67" w:type="dxa"/>
            <w:vAlign w:val="top"/>
            <w:gridSpan w:val="2"/>
          </w:tcPr>
          <w:p>
            <w:pPr>
              <w:ind w:left="1259"/>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83" w:type="dxa"/>
            <w:vAlign w:val="top"/>
            <w:vMerge w:val="restart"/>
            <w:tcBorders>
              <w:bottom w:val="nil"/>
            </w:tcBorders>
          </w:tcPr>
          <w:p>
            <w:pPr>
              <w:ind w:left="75" w:right="93" w:firstLine="14"/>
              <w:spacing w:before="218" w:line="160"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w:t>
            </w:r>
            <w:r>
              <w:rPr>
                <w:rFonts w:ascii="Microsoft YaHei" w:hAnsi="Microsoft YaHei" w:eastAsia="Microsoft YaHei" w:cs="Microsoft YaHei"/>
                <w:sz w:val="15"/>
                <w:szCs w:val="15"/>
                <w:color w:val="212529"/>
                <w:spacing w:val="10"/>
              </w:rPr>
              <w:t>营收入预算</w:t>
            </w:r>
          </w:p>
        </w:tc>
        <w:tc>
          <w:tcPr>
            <w:tcW w:w="972" w:type="dxa"/>
            <w:vAlign w:val="top"/>
            <w:vMerge w:val="restart"/>
            <w:tcBorders>
              <w:bottom w:val="nil"/>
            </w:tcBorders>
          </w:tcPr>
          <w:p>
            <w:pPr>
              <w:pStyle w:val="TableText"/>
              <w:rPr/>
            </w:pPr>
            <w:r/>
          </w:p>
          <w:p>
            <w:pPr>
              <w:ind w:left="14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005" w:type="dxa"/>
            <w:vAlign w:val="top"/>
            <w:vMerge w:val="restart"/>
            <w:tcBorders>
              <w:bottom w:val="nil"/>
            </w:tcBorders>
          </w:tcPr>
          <w:p>
            <w:pPr>
              <w:pStyle w:val="TableText"/>
              <w:spacing w:line="241" w:lineRule="auto"/>
              <w:rPr/>
            </w:pPr>
            <w:r/>
          </w:p>
          <w:p>
            <w:pPr>
              <w:ind w:left="331"/>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61" w:type="dxa"/>
            <w:vAlign w:val="top"/>
            <w:vMerge w:val="restart"/>
            <w:tcBorders>
              <w:bottom w:val="nil"/>
            </w:tcBorders>
          </w:tcPr>
          <w:p>
            <w:pPr>
              <w:ind w:left="142"/>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34" w:type="dxa"/>
            <w:vAlign w:val="top"/>
            <w:vMerge w:val="restart"/>
            <w:tcBorders>
              <w:bottom w:val="nil"/>
            </w:tcBorders>
          </w:tcPr>
          <w:p>
            <w:pPr>
              <w:pStyle w:val="TableText"/>
              <w:rPr/>
            </w:pPr>
            <w:r/>
          </w:p>
          <w:p>
            <w:pPr>
              <w:ind w:left="130"/>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50" w:type="dxa"/>
            <w:vAlign w:val="top"/>
          </w:tcPr>
          <w:p>
            <w:pPr>
              <w:ind w:left="78"/>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17" w:type="dxa"/>
            <w:vAlign w:val="top"/>
          </w:tcPr>
          <w:p>
            <w:pPr>
              <w:ind w:left="517"/>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continue"/>
            <w:tcBorders>
              <w:top w:val="nil"/>
            </w:tcBorders>
          </w:tcPr>
          <w:p>
            <w:pPr>
              <w:pStyle w:val="TableText"/>
              <w:rPr/>
            </w:pPr>
            <w:r/>
          </w:p>
        </w:tc>
        <w:tc>
          <w:tcPr>
            <w:tcW w:w="972"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1005"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934" w:type="dxa"/>
            <w:vAlign w:val="top"/>
            <w:vMerge w:val="continue"/>
            <w:tcBorders>
              <w:top w:val="nil"/>
            </w:tcBorders>
          </w:tcPr>
          <w:p>
            <w:pPr>
              <w:pStyle w:val="TableText"/>
              <w:rPr/>
            </w:pPr>
            <w:r/>
          </w:p>
        </w:tc>
      </w:tr>
      <w:tr>
        <w:trPr>
          <w:trHeight w:val="378" w:hRule="atLeast"/>
        </w:trPr>
        <w:tc>
          <w:tcPr>
            <w:tcW w:w="2867" w:type="dxa"/>
            <w:vAlign w:val="top"/>
            <w:gridSpan w:val="2"/>
          </w:tcPr>
          <w:p>
            <w:pPr>
              <w:ind w:left="1262"/>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78" w:hRule="atLeast"/>
        </w:trPr>
        <w:tc>
          <w:tcPr>
            <w:tcW w:w="1150" w:type="dxa"/>
            <w:vAlign w:val="top"/>
          </w:tcPr>
          <w:p>
            <w:pPr>
              <w:pStyle w:val="TableText"/>
              <w:rPr/>
            </w:pPr>
            <w:r/>
          </w:p>
        </w:tc>
        <w:tc>
          <w:tcPr>
            <w:tcW w:w="1717" w:type="dxa"/>
            <w:vAlign w:val="top"/>
          </w:tcPr>
          <w:p>
            <w:pPr>
              <w:pStyle w:val="TableText"/>
              <w:rPr/>
            </w:pPr>
            <w:r/>
          </w:p>
        </w:tc>
        <w:tc>
          <w:tcPr>
            <w:tcW w:w="983" w:type="dxa"/>
            <w:vAlign w:val="top"/>
          </w:tcPr>
          <w:p>
            <w:pPr>
              <w:pStyle w:val="TableText"/>
              <w:rPr/>
            </w:pPr>
            <w:r/>
          </w:p>
        </w:tc>
        <w:tc>
          <w:tcPr>
            <w:tcW w:w="972" w:type="dxa"/>
            <w:vAlign w:val="top"/>
          </w:tcPr>
          <w:p>
            <w:pPr>
              <w:pStyle w:val="TableText"/>
              <w:rPr/>
            </w:pPr>
            <w:r/>
          </w:p>
        </w:tc>
        <w:tc>
          <w:tcPr>
            <w:tcW w:w="1436" w:type="dxa"/>
            <w:vAlign w:val="top"/>
          </w:tcPr>
          <w:p>
            <w:pPr>
              <w:pStyle w:val="TableText"/>
              <w:rPr/>
            </w:pPr>
            <w:r/>
          </w:p>
        </w:tc>
        <w:tc>
          <w:tcPr>
            <w:tcW w:w="1005" w:type="dxa"/>
            <w:vAlign w:val="top"/>
          </w:tcPr>
          <w:p>
            <w:pPr>
              <w:pStyle w:val="TableText"/>
              <w:rPr/>
            </w:pPr>
            <w:r/>
          </w:p>
        </w:tc>
        <w:tc>
          <w:tcPr>
            <w:tcW w:w="961" w:type="dxa"/>
            <w:vAlign w:val="top"/>
          </w:tcPr>
          <w:p>
            <w:pPr>
              <w:pStyle w:val="TableText"/>
              <w:rPr/>
            </w:pPr>
            <w:r/>
          </w:p>
        </w:tc>
        <w:tc>
          <w:tcPr>
            <w:tcW w:w="934"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05"/>
        <w:gridCol w:w="1458"/>
        <w:gridCol w:w="1393"/>
        <w:gridCol w:w="1382"/>
        <w:gridCol w:w="1420"/>
      </w:tblGrid>
      <w:tr>
        <w:trPr>
          <w:trHeight w:val="384" w:hRule="atLeast"/>
        </w:trPr>
        <w:tc>
          <w:tcPr>
            <w:tcW w:w="350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5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9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0" w:type="dxa"/>
            <w:vAlign w:val="top"/>
            <w:tcBorders>
              <w:bottom w:val="single" w:color="FFFFFF" w:sz="4" w:space="0"/>
              <w:top w:val="single" w:color="FFFFFF" w:sz="4" w:space="0"/>
              <w:left w:val="single" w:color="FFFFFF" w:sz="2" w:space="0"/>
              <w:right w:val="single" w:color="FFFFFF" w:sz="2" w:space="0"/>
            </w:tcBorders>
          </w:tcPr>
          <w:p>
            <w:pPr>
              <w:ind w:left="616"/>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56" w:type="dxa"/>
            <w:vAlign w:val="top"/>
            <w:gridSpan w:val="3"/>
            <w:tcBorders>
              <w:top w:val="single" w:color="FFFFFF" w:sz="4" w:space="0"/>
              <w:left w:val="single" w:color="FFFFFF" w:sz="2" w:space="0"/>
              <w:right w:val="single" w:color="FFFFFF" w:sz="2"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420" w:type="dxa"/>
            <w:vAlign w:val="top"/>
            <w:tcBorders>
              <w:top w:val="single" w:color="FFFFFF" w:sz="4" w:space="0"/>
              <w:left w:val="single" w:color="FFFFFF" w:sz="2" w:space="0"/>
              <w:right w:val="single" w:color="FFFFFF" w:sz="2" w:space="0"/>
            </w:tcBorders>
          </w:tcPr>
          <w:p>
            <w:pPr>
              <w:ind w:left="812"/>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505" w:type="dxa"/>
            <w:vAlign w:val="top"/>
            <w:vMerge w:val="restart"/>
            <w:tcBorders>
              <w:bottom w:val="nil"/>
            </w:tcBorders>
          </w:tcPr>
          <w:p>
            <w:pPr>
              <w:pStyle w:val="TableText"/>
              <w:rPr/>
            </w:pPr>
            <w:r/>
          </w:p>
          <w:p>
            <w:pPr>
              <w:ind w:left="157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653" w:type="dxa"/>
            <w:vAlign w:val="top"/>
            <w:gridSpan w:val="4"/>
          </w:tcPr>
          <w:p>
            <w:pPr>
              <w:ind w:left="2329"/>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505" w:type="dxa"/>
            <w:vAlign w:val="top"/>
            <w:vMerge w:val="continue"/>
            <w:tcBorders>
              <w:top w:val="nil"/>
            </w:tcBorders>
          </w:tcPr>
          <w:p>
            <w:pPr>
              <w:pStyle w:val="TableText"/>
              <w:rPr/>
            </w:pPr>
            <w:r/>
          </w:p>
        </w:tc>
        <w:tc>
          <w:tcPr>
            <w:tcW w:w="1458" w:type="dxa"/>
            <w:vAlign w:val="top"/>
          </w:tcPr>
          <w:p>
            <w:pPr>
              <w:ind w:left="556"/>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82" w:type="dxa"/>
            <w:vAlign w:val="top"/>
          </w:tcPr>
          <w:p>
            <w:pPr>
              <w:ind w:left="111"/>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20" w:type="dxa"/>
            <w:vAlign w:val="top"/>
          </w:tcPr>
          <w:p>
            <w:pPr>
              <w:ind w:left="68"/>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505" w:type="dxa"/>
            <w:vAlign w:val="top"/>
          </w:tcPr>
          <w:p>
            <w:pPr>
              <w:ind w:left="1104"/>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339"/>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934"/>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458" w:type="dxa"/>
            <w:vAlign w:val="top"/>
          </w:tcPr>
          <w:p>
            <w:pPr>
              <w:ind w:right="19"/>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93" w:type="dxa"/>
            <w:vAlign w:val="top"/>
          </w:tcPr>
          <w:p>
            <w:pPr>
              <w:ind w:right="27"/>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82" w:type="dxa"/>
            <w:vAlign w:val="top"/>
          </w:tcPr>
          <w:p>
            <w:pPr>
              <w:pStyle w:val="TableText"/>
              <w:rPr/>
            </w:pPr>
            <w:r/>
          </w:p>
        </w:tc>
        <w:tc>
          <w:tcPr>
            <w:tcW w:w="1420" w:type="dxa"/>
            <w:vAlign w:val="top"/>
          </w:tcPr>
          <w:p>
            <w:pPr>
              <w:pStyle w:val="TableText"/>
              <w:rPr/>
            </w:pPr>
            <w:r/>
          </w:p>
        </w:tc>
      </w:tr>
      <w:tr>
        <w:trPr>
          <w:trHeight w:val="378" w:hRule="atLeast"/>
        </w:trPr>
        <w:tc>
          <w:tcPr>
            <w:tcW w:w="3505" w:type="dxa"/>
            <w:vAlign w:val="top"/>
          </w:tcPr>
          <w:p>
            <w:pPr>
              <w:ind w:left="1131"/>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458" w:type="dxa"/>
            <w:vAlign w:val="top"/>
          </w:tcPr>
          <w:p>
            <w:pPr>
              <w:pStyle w:val="TableText"/>
              <w:rPr/>
            </w:pPr>
            <w:r/>
          </w:p>
        </w:tc>
        <w:tc>
          <w:tcPr>
            <w:tcW w:w="1393" w:type="dxa"/>
            <w:vAlign w:val="top"/>
          </w:tcPr>
          <w:p>
            <w:pPr>
              <w:pStyle w:val="TableText"/>
              <w:rPr/>
            </w:pPr>
            <w:r/>
          </w:p>
        </w:tc>
        <w:tc>
          <w:tcPr>
            <w:tcW w:w="1382" w:type="dxa"/>
            <w:vAlign w:val="top"/>
          </w:tcPr>
          <w:p>
            <w:pPr>
              <w:pStyle w:val="TableText"/>
              <w:rPr/>
            </w:pPr>
            <w:r/>
          </w:p>
        </w:tc>
        <w:tc>
          <w:tcPr>
            <w:tcW w:w="1420" w:type="dxa"/>
            <w:vAlign w:val="top"/>
          </w:tcPr>
          <w:p>
            <w:pPr>
              <w:pStyle w:val="TableText"/>
              <w:rPr/>
            </w:pPr>
            <w:r/>
          </w:p>
        </w:tc>
      </w:tr>
      <w:tr>
        <w:trPr>
          <w:trHeight w:val="379" w:hRule="atLeast"/>
        </w:trPr>
        <w:tc>
          <w:tcPr>
            <w:tcW w:w="3505" w:type="dxa"/>
            <w:vAlign w:val="top"/>
          </w:tcPr>
          <w:p>
            <w:pPr>
              <w:ind w:left="968"/>
              <w:spacing w:before="117"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458"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93" w:type="dxa"/>
            <w:vAlign w:val="top"/>
          </w:tcPr>
          <w:p>
            <w:pPr>
              <w:ind w:right="27"/>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82" w:type="dxa"/>
            <w:vAlign w:val="top"/>
          </w:tcPr>
          <w:p>
            <w:pPr>
              <w:pStyle w:val="TableText"/>
              <w:rPr/>
            </w:pPr>
            <w:r/>
          </w:p>
        </w:tc>
        <w:tc>
          <w:tcPr>
            <w:tcW w:w="1420" w:type="dxa"/>
            <w:vAlign w:val="top"/>
          </w:tcPr>
          <w:p>
            <w:pPr>
              <w:pStyle w:val="TableText"/>
              <w:rPr/>
            </w:pPr>
            <w:r/>
          </w:p>
        </w:tc>
      </w:tr>
      <w:tr>
        <w:trPr>
          <w:trHeight w:val="384" w:hRule="atLeast"/>
        </w:trPr>
        <w:tc>
          <w:tcPr>
            <w:tcW w:w="3505" w:type="dxa"/>
            <w:vAlign w:val="top"/>
          </w:tcPr>
          <w:p>
            <w:pPr>
              <w:ind w:left="1578"/>
              <w:spacing w:before="11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58" w:type="dxa"/>
            <w:vAlign w:val="top"/>
          </w:tcPr>
          <w:p>
            <w:pPr>
              <w:ind w:right="19"/>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93" w:type="dxa"/>
            <w:vAlign w:val="top"/>
          </w:tcPr>
          <w:p>
            <w:pPr>
              <w:ind w:right="27"/>
              <w:spacing w:before="118"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382" w:type="dxa"/>
            <w:vAlign w:val="top"/>
          </w:tcPr>
          <w:p>
            <w:pPr>
              <w:pStyle w:val="TableText"/>
              <w:rPr/>
            </w:pPr>
            <w:r/>
          </w:p>
        </w:tc>
        <w:tc>
          <w:tcPr>
            <w:tcW w:w="1420" w:type="dxa"/>
            <w:vAlign w:val="top"/>
          </w:tcPr>
          <w:p>
            <w:pPr>
              <w:pStyle w:val="TableText"/>
              <w:rPr/>
            </w:pPr>
            <w:r/>
          </w:p>
        </w:tc>
      </w:tr>
    </w:tbl>
    <w:p>
      <w:pPr>
        <w:rPr>
          <w:rFonts w:ascii="Arial"/>
          <w:sz w:val="21"/>
        </w:rPr>
      </w:pPr>
      <w:r/>
    </w:p>
    <w:p>
      <w:pPr>
        <w:sectPr>
          <w:footerReference w:type="default" r:id="rId17"/>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83"/>
        <w:gridCol w:w="1415"/>
        <w:gridCol w:w="1512"/>
        <w:gridCol w:w="1587"/>
        <w:gridCol w:w="1561"/>
      </w:tblGrid>
      <w:tr>
        <w:trPr>
          <w:trHeight w:val="383" w:hRule="atLeast"/>
        </w:trPr>
        <w:tc>
          <w:tcPr>
            <w:tcW w:w="308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15" w:type="dxa"/>
            <w:vAlign w:val="top"/>
            <w:tcBorders>
              <w:left w:val="single" w:color="FFFFFF" w:sz="2" w:space="0"/>
              <w:right w:val="single" w:color="FFFFFF" w:sz="2" w:space="0"/>
              <w:bottom w:val="single" w:color="FFFFFF" w:sz="4" w:space="0"/>
              <w:top w:val="nil"/>
            </w:tcBorders>
          </w:tcPr>
          <w:p>
            <w:pPr>
              <w:pStyle w:val="TableText"/>
              <w:rPr/>
            </w:pPr>
            <w:r/>
          </w:p>
        </w:tc>
        <w:tc>
          <w:tcPr>
            <w:tcW w:w="151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8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61" w:type="dxa"/>
            <w:vAlign w:val="top"/>
            <w:tcBorders>
              <w:left w:val="single" w:color="FFFFFF" w:sz="2" w:space="0"/>
              <w:right w:val="single" w:color="FFFFFF" w:sz="2" w:space="0"/>
              <w:bottom w:val="single" w:color="FFFFFF" w:sz="4" w:space="0"/>
              <w:top w:val="single" w:color="FFFFFF" w:sz="4" w:space="0"/>
            </w:tcBorders>
          </w:tcPr>
          <w:p>
            <w:pPr>
              <w:ind w:left="758"/>
              <w:spacing w:before="8" w:line="234" w:lineRule="auto"/>
              <w:rPr>
                <w:rFonts w:ascii="SimSun" w:hAnsi="SimSun" w:eastAsia="SimSun" w:cs="SimSun"/>
                <w:sz w:val="12"/>
                <w:szCs w:val="12"/>
              </w:rPr>
            </w:pPr>
            <w:r>
              <w:rPr>
                <w:rFonts w:ascii="SimSun" w:hAnsi="SimSun" w:eastAsia="SimSun" w:cs="SimSun"/>
                <w:sz w:val="12"/>
                <w:szCs w:val="12"/>
                <w:color w:val="212529"/>
                <w:spacing w:val="7"/>
              </w:rPr>
              <w:t>预算公开表11</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6" w:id="30"/>
            <w:bookmarkEnd w:id="30"/>
            <w:bookmarkStart w:name="bookmark16" w:id="31"/>
            <w:bookmarkEnd w:id="31"/>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083" w:type="dxa"/>
            <w:vAlign w:val="top"/>
            <w:tcBorders>
              <w:left w:val="single" w:color="FFFFFF" w:sz="2" w:space="0"/>
              <w:right w:val="single" w:color="FFFFFF" w:sz="2" w:space="0"/>
              <w:top w:val="single" w:color="FFFFFF" w:sz="4"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415" w:type="dxa"/>
            <w:vAlign w:val="top"/>
            <w:tcBorders>
              <w:left w:val="single" w:color="FFFFFF" w:sz="2" w:space="0"/>
              <w:right w:val="single" w:color="FFFFFF" w:sz="2" w:space="0"/>
              <w:top w:val="single" w:color="FFFFFF" w:sz="4" w:space="0"/>
            </w:tcBorders>
          </w:tcPr>
          <w:p>
            <w:pPr>
              <w:pStyle w:val="TableText"/>
              <w:rPr/>
            </w:pPr>
            <w:r/>
          </w:p>
        </w:tc>
        <w:tc>
          <w:tcPr>
            <w:tcW w:w="1512" w:type="dxa"/>
            <w:vAlign w:val="top"/>
            <w:tcBorders>
              <w:left w:val="single" w:color="FFFFFF" w:sz="2" w:space="0"/>
              <w:right w:val="single" w:color="FFFFFF" w:sz="2" w:space="0"/>
              <w:top w:val="single" w:color="FFFFFF" w:sz="4" w:space="0"/>
            </w:tcBorders>
          </w:tcPr>
          <w:p>
            <w:pPr>
              <w:pStyle w:val="TableText"/>
              <w:rPr/>
            </w:pPr>
            <w:r/>
          </w:p>
        </w:tc>
        <w:tc>
          <w:tcPr>
            <w:tcW w:w="1587" w:type="dxa"/>
            <w:vAlign w:val="top"/>
            <w:tcBorders>
              <w:left w:val="single" w:color="FFFFFF" w:sz="2" w:space="0"/>
              <w:right w:val="single" w:color="FFFFFF" w:sz="2" w:space="0"/>
              <w:top w:val="single" w:color="FFFFFF" w:sz="4" w:space="0"/>
            </w:tcBorders>
          </w:tcPr>
          <w:p>
            <w:pPr>
              <w:pStyle w:val="TableText"/>
              <w:rPr/>
            </w:pPr>
            <w:r/>
          </w:p>
        </w:tc>
        <w:tc>
          <w:tcPr>
            <w:tcW w:w="1561" w:type="dxa"/>
            <w:vAlign w:val="top"/>
            <w:tcBorders>
              <w:left w:val="single" w:color="FFFFFF" w:sz="2" w:space="0"/>
              <w:right w:val="single" w:color="FFFFFF" w:sz="2" w:space="0"/>
              <w:top w:val="single" w:color="FFFFFF" w:sz="4" w:space="0"/>
            </w:tcBorders>
          </w:tcPr>
          <w:p>
            <w:pPr>
              <w:ind w:left="953"/>
              <w:spacing w:before="126"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083" w:type="dxa"/>
            <w:vAlign w:val="top"/>
            <w:vMerge w:val="restart"/>
            <w:tcBorders>
              <w:bottom w:val="nil"/>
            </w:tcBorders>
          </w:tcPr>
          <w:p>
            <w:pPr>
              <w:ind w:left="1204"/>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6075" w:type="dxa"/>
            <w:vAlign w:val="top"/>
            <w:gridSpan w:val="4"/>
          </w:tcPr>
          <w:p>
            <w:pPr>
              <w:ind w:left="2624"/>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083" w:type="dxa"/>
            <w:vAlign w:val="top"/>
            <w:vMerge w:val="continue"/>
            <w:tcBorders>
              <w:top w:val="nil"/>
            </w:tcBorders>
          </w:tcPr>
          <w:p>
            <w:pPr>
              <w:pStyle w:val="TableText"/>
              <w:rPr/>
            </w:pPr>
            <w:r/>
          </w:p>
        </w:tc>
        <w:tc>
          <w:tcPr>
            <w:tcW w:w="1415" w:type="dxa"/>
            <w:vAlign w:val="top"/>
          </w:tcPr>
          <w:p>
            <w:pPr>
              <w:ind w:left="53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12" w:type="dxa"/>
            <w:vAlign w:val="top"/>
          </w:tcPr>
          <w:p>
            <w:pPr>
              <w:ind w:left="257"/>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587" w:type="dxa"/>
            <w:vAlign w:val="top"/>
          </w:tcPr>
          <w:p>
            <w:pPr>
              <w:ind w:left="214"/>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561" w:type="dxa"/>
            <w:vAlign w:val="top"/>
          </w:tcPr>
          <w:p>
            <w:pPr>
              <w:ind w:left="136"/>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083" w:type="dxa"/>
            <w:vAlign w:val="top"/>
          </w:tcPr>
          <w:p>
            <w:pPr>
              <w:ind w:left="1205"/>
              <w:spacing w:before="11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415" w:type="dxa"/>
            <w:vAlign w:val="top"/>
          </w:tcPr>
          <w:p>
            <w:pPr>
              <w:ind w:right="23"/>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c>
          <w:tcPr>
            <w:tcW w:w="1512" w:type="dxa"/>
            <w:vAlign w:val="top"/>
          </w:tcPr>
          <w:p>
            <w:pPr>
              <w:ind w:right="22"/>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c>
          <w:tcPr>
            <w:tcW w:w="1587" w:type="dxa"/>
            <w:vAlign w:val="top"/>
          </w:tcPr>
          <w:p>
            <w:pPr>
              <w:pStyle w:val="TableText"/>
              <w:rPr/>
            </w:pPr>
            <w:r/>
          </w:p>
        </w:tc>
        <w:tc>
          <w:tcPr>
            <w:tcW w:w="1561" w:type="dxa"/>
            <w:vAlign w:val="top"/>
          </w:tcPr>
          <w:p>
            <w:pPr>
              <w:pStyle w:val="TableText"/>
              <w:rPr/>
            </w:pPr>
            <w:r/>
          </w:p>
        </w:tc>
      </w:tr>
      <w:tr>
        <w:trPr>
          <w:trHeight w:val="383" w:hRule="atLeast"/>
        </w:trPr>
        <w:tc>
          <w:tcPr>
            <w:tcW w:w="3083" w:type="dxa"/>
            <w:vAlign w:val="top"/>
          </w:tcPr>
          <w:p>
            <w:pPr>
              <w:ind w:left="10"/>
              <w:spacing w:before="117" w:line="229" w:lineRule="auto"/>
              <w:rPr>
                <w:rFonts w:ascii="SimSun" w:hAnsi="SimSun" w:eastAsia="SimSun" w:cs="SimSun"/>
                <w:sz w:val="15"/>
                <w:szCs w:val="15"/>
              </w:rPr>
            </w:pPr>
            <w:r>
              <w:rPr>
                <w:rFonts w:ascii="SimSun" w:hAnsi="SimSun" w:eastAsia="SimSun" w:cs="SimSun"/>
                <w:sz w:val="15"/>
                <w:szCs w:val="15"/>
                <w:color w:val="212529"/>
                <w:spacing w:val="10"/>
              </w:rPr>
              <w:t>兴县应急管理局</w:t>
            </w:r>
          </w:p>
        </w:tc>
        <w:tc>
          <w:tcPr>
            <w:tcW w:w="1415" w:type="dxa"/>
            <w:vAlign w:val="top"/>
          </w:tcPr>
          <w:p>
            <w:pPr>
              <w:ind w:right="23"/>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c>
          <w:tcPr>
            <w:tcW w:w="1512"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42.00</w:t>
            </w:r>
          </w:p>
        </w:tc>
        <w:tc>
          <w:tcPr>
            <w:tcW w:w="1587" w:type="dxa"/>
            <w:vAlign w:val="top"/>
          </w:tcPr>
          <w:p>
            <w:pPr>
              <w:pStyle w:val="TableText"/>
              <w:rPr/>
            </w:pPr>
            <w:r/>
          </w:p>
        </w:tc>
        <w:tc>
          <w:tcPr>
            <w:tcW w:w="1561" w:type="dxa"/>
            <w:vAlign w:val="top"/>
          </w:tcPr>
          <w:p>
            <w:pPr>
              <w:pStyle w:val="TableText"/>
              <w:rPr/>
            </w:pPr>
            <w:r/>
          </w:p>
        </w:tc>
      </w:tr>
    </w:tbl>
    <w:p>
      <w:pPr>
        <w:rPr>
          <w:rFonts w:ascii="Arial"/>
          <w:sz w:val="21"/>
        </w:rPr>
      </w:pPr>
      <w:r/>
    </w:p>
    <w:p>
      <w:pPr>
        <w:sectPr>
          <w:footerReference w:type="default" r:id="rId18"/>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749"/>
        <w:gridCol w:w="1231"/>
        <w:gridCol w:w="1220"/>
        <w:gridCol w:w="821"/>
        <w:gridCol w:w="1231"/>
        <w:gridCol w:w="1069"/>
        <w:gridCol w:w="837"/>
      </w:tblGrid>
      <w:tr>
        <w:trPr>
          <w:trHeight w:val="384" w:hRule="atLeast"/>
        </w:trPr>
        <w:tc>
          <w:tcPr>
            <w:tcW w:w="274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3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2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82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3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06" w:type="dxa"/>
            <w:vAlign w:val="top"/>
            <w:gridSpan w:val="2"/>
            <w:tcBorders>
              <w:bottom w:val="single" w:color="FFFFFF" w:sz="4" w:space="0"/>
              <w:top w:val="single" w:color="FFFFFF" w:sz="4" w:space="0"/>
              <w:left w:val="single" w:color="FFFFFF" w:sz="2" w:space="0"/>
              <w:right w:val="single" w:color="FFFFFF" w:sz="2" w:space="0"/>
            </w:tcBorders>
          </w:tcPr>
          <w:p>
            <w:pPr>
              <w:ind w:left="1103"/>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预算公开表12</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7" w:id="32"/>
            <w:bookmarkEnd w:id="32"/>
            <w:bookmarkStart w:name="bookmark17" w:id="33"/>
            <w:bookmarkEnd w:id="33"/>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9" w:hRule="atLeast"/>
        </w:trPr>
        <w:tc>
          <w:tcPr>
            <w:tcW w:w="7252" w:type="dxa"/>
            <w:vAlign w:val="top"/>
            <w:gridSpan w:val="5"/>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906" w:type="dxa"/>
            <w:vAlign w:val="top"/>
            <w:gridSpan w:val="2"/>
            <w:tcBorders>
              <w:top w:val="single" w:color="FFFFFF" w:sz="4" w:space="0"/>
              <w:left w:val="single" w:color="FFFFFF" w:sz="2" w:space="0"/>
              <w:right w:val="single" w:color="FFFFFF" w:sz="2" w:space="0"/>
            </w:tcBorders>
          </w:tcPr>
          <w:p>
            <w:pPr>
              <w:ind w:left="1233"/>
              <w:spacing w:before="122"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749" w:type="dxa"/>
            <w:vAlign w:val="top"/>
            <w:vMerge w:val="restart"/>
            <w:tcBorders>
              <w:bottom w:val="nil"/>
            </w:tcBorders>
          </w:tcPr>
          <w:p>
            <w:pPr>
              <w:ind w:left="1036"/>
              <w:spacing w:before="302"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31" w:type="dxa"/>
            <w:vAlign w:val="top"/>
            <w:vMerge w:val="restart"/>
            <w:tcBorders>
              <w:bottom w:val="nil"/>
            </w:tcBorders>
          </w:tcPr>
          <w:p>
            <w:pPr>
              <w:ind w:left="438"/>
              <w:spacing w:before="30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272" w:type="dxa"/>
            <w:vAlign w:val="top"/>
            <w:gridSpan w:val="3"/>
          </w:tcPr>
          <w:p>
            <w:pPr>
              <w:ind w:left="1060"/>
              <w:spacing w:before="10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069" w:type="dxa"/>
            <w:vAlign w:val="top"/>
            <w:vMerge w:val="restart"/>
            <w:tcBorders>
              <w:bottom w:val="nil"/>
            </w:tcBorders>
          </w:tcPr>
          <w:p>
            <w:pPr>
              <w:ind w:left="370" w:right="48" w:hanging="329"/>
              <w:spacing w:before="21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财政专户管理</w:t>
            </w:r>
            <w:r>
              <w:rPr>
                <w:rFonts w:ascii="Microsoft YaHei" w:hAnsi="Microsoft YaHei" w:eastAsia="Microsoft YaHei" w:cs="Microsoft YaHei"/>
                <w:sz w:val="15"/>
                <w:szCs w:val="15"/>
                <w:color w:val="212529"/>
                <w:spacing w:val="5"/>
              </w:rPr>
              <w:t>资金</w:t>
            </w:r>
          </w:p>
        </w:tc>
        <w:tc>
          <w:tcPr>
            <w:tcW w:w="837" w:type="dxa"/>
            <w:vAlign w:val="top"/>
            <w:vMerge w:val="restart"/>
            <w:tcBorders>
              <w:bottom w:val="nil"/>
            </w:tcBorders>
          </w:tcPr>
          <w:p>
            <w:pPr>
              <w:ind w:left="81"/>
              <w:spacing w:before="30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379" w:hRule="atLeast"/>
        </w:trPr>
        <w:tc>
          <w:tcPr>
            <w:tcW w:w="2749" w:type="dxa"/>
            <w:vAlign w:val="top"/>
            <w:vMerge w:val="continue"/>
            <w:tcBorders>
              <w:top w:val="nil"/>
            </w:tcBorders>
          </w:tcPr>
          <w:p>
            <w:pPr>
              <w:pStyle w:val="TableText"/>
              <w:rPr/>
            </w:pPr>
            <w:r/>
          </w:p>
        </w:tc>
        <w:tc>
          <w:tcPr>
            <w:tcW w:w="1231" w:type="dxa"/>
            <w:vAlign w:val="top"/>
            <w:vMerge w:val="continue"/>
            <w:tcBorders>
              <w:top w:val="nil"/>
            </w:tcBorders>
          </w:tcPr>
          <w:p>
            <w:pPr>
              <w:pStyle w:val="TableText"/>
              <w:rPr/>
            </w:pPr>
            <w:r/>
          </w:p>
        </w:tc>
        <w:tc>
          <w:tcPr>
            <w:tcW w:w="1220" w:type="dxa"/>
            <w:vAlign w:val="top"/>
          </w:tcPr>
          <w:p>
            <w:pPr>
              <w:ind w:left="110"/>
              <w:spacing w:before="10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821" w:type="dxa"/>
            <w:vAlign w:val="top"/>
          </w:tcPr>
          <w:p>
            <w:pPr>
              <w:ind w:left="158" w:right="88" w:hanging="79"/>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w:t>
            </w:r>
            <w:r>
              <w:rPr>
                <w:rFonts w:ascii="Microsoft YaHei" w:hAnsi="Microsoft YaHei" w:eastAsia="Microsoft YaHei" w:cs="Microsoft YaHei"/>
                <w:sz w:val="15"/>
                <w:szCs w:val="15"/>
                <w:color w:val="212529"/>
                <w:spacing w:val="11"/>
              </w:rPr>
              <w:t>金预算</w:t>
            </w:r>
          </w:p>
        </w:tc>
        <w:tc>
          <w:tcPr>
            <w:tcW w:w="1231" w:type="dxa"/>
            <w:vAlign w:val="top"/>
          </w:tcPr>
          <w:p>
            <w:pPr>
              <w:ind w:left="524" w:right="48" w:hanging="466"/>
              <w:spacing w:before="20"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rPr>
              <w:t>国有资本经营预</w:t>
            </w:r>
            <w:r>
              <w:rPr>
                <w:rFonts w:ascii="Microsoft YaHei" w:hAnsi="Microsoft YaHei" w:eastAsia="Microsoft YaHei" w:cs="Microsoft YaHei"/>
                <w:sz w:val="15"/>
                <w:szCs w:val="15"/>
                <w:color w:val="212529"/>
                <w:spacing w:val="10"/>
              </w:rPr>
              <w:t>算</w:t>
            </w:r>
          </w:p>
        </w:tc>
        <w:tc>
          <w:tcPr>
            <w:tcW w:w="1069" w:type="dxa"/>
            <w:vAlign w:val="top"/>
            <w:vMerge w:val="continue"/>
            <w:tcBorders>
              <w:top w:val="nil"/>
            </w:tcBorders>
          </w:tcPr>
          <w:p>
            <w:pPr>
              <w:pStyle w:val="TableText"/>
              <w:rPr/>
            </w:pPr>
            <w:r/>
          </w:p>
        </w:tc>
        <w:tc>
          <w:tcPr>
            <w:tcW w:w="837" w:type="dxa"/>
            <w:vAlign w:val="top"/>
            <w:vMerge w:val="continue"/>
            <w:tcBorders>
              <w:top w:val="nil"/>
            </w:tcBorders>
          </w:tcPr>
          <w:p>
            <w:pPr>
              <w:pStyle w:val="TableText"/>
              <w:rPr/>
            </w:pPr>
            <w:r/>
          </w:p>
        </w:tc>
      </w:tr>
      <w:tr>
        <w:trPr>
          <w:trHeight w:val="379" w:hRule="atLeast"/>
        </w:trPr>
        <w:tc>
          <w:tcPr>
            <w:tcW w:w="2749" w:type="dxa"/>
            <w:vAlign w:val="top"/>
          </w:tcPr>
          <w:p>
            <w:pPr>
              <w:ind w:left="1334"/>
              <w:spacing w:before="110"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31" w:type="dxa"/>
            <w:vAlign w:val="top"/>
          </w:tcPr>
          <w:p>
            <w:pPr>
              <w:ind w:left="562"/>
              <w:spacing w:before="110"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20" w:type="dxa"/>
            <w:vAlign w:val="top"/>
          </w:tcPr>
          <w:p>
            <w:pPr>
              <w:ind w:left="562"/>
              <w:spacing w:before="110"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821" w:type="dxa"/>
            <w:vAlign w:val="top"/>
          </w:tcPr>
          <w:p>
            <w:pPr>
              <w:ind w:left="363"/>
              <w:spacing w:before="110"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231" w:type="dxa"/>
            <w:vAlign w:val="top"/>
          </w:tcPr>
          <w:p>
            <w:pPr>
              <w:ind w:left="573"/>
              <w:spacing w:before="110"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069" w:type="dxa"/>
            <w:vAlign w:val="top"/>
          </w:tcPr>
          <w:p>
            <w:pPr>
              <w:ind w:left="488"/>
              <w:spacing w:before="110"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37" w:type="dxa"/>
            <w:vAlign w:val="top"/>
          </w:tcPr>
          <w:p>
            <w:pPr>
              <w:ind w:left="372"/>
              <w:spacing w:before="110"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2749" w:type="dxa"/>
            <w:vAlign w:val="top"/>
          </w:tcPr>
          <w:p>
            <w:pPr>
              <w:ind w:left="10"/>
              <w:spacing w:before="110" w:line="229" w:lineRule="auto"/>
              <w:rPr>
                <w:rFonts w:ascii="SimSun" w:hAnsi="SimSun" w:eastAsia="SimSun" w:cs="SimSun"/>
                <w:sz w:val="15"/>
                <w:szCs w:val="15"/>
              </w:rPr>
            </w:pPr>
            <w:r>
              <w:rPr>
                <w:rFonts w:ascii="SimSun" w:hAnsi="SimSun" w:eastAsia="SimSun" w:cs="SimSun"/>
                <w:sz w:val="15"/>
                <w:szCs w:val="15"/>
                <w:color w:val="212529"/>
                <w:spacing w:val="10"/>
              </w:rPr>
              <w:t>兴县应急管理局</w:t>
            </w:r>
          </w:p>
        </w:tc>
        <w:tc>
          <w:tcPr>
            <w:tcW w:w="1231" w:type="dxa"/>
            <w:vAlign w:val="top"/>
          </w:tcPr>
          <w:p>
            <w:pPr>
              <w:ind w:right="2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1459.77</w:t>
            </w:r>
          </w:p>
        </w:tc>
        <w:tc>
          <w:tcPr>
            <w:tcW w:w="1220"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1459.77</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91"/>
              <w:spacing w:before="110" w:line="229" w:lineRule="auto"/>
              <w:rPr>
                <w:rFonts w:ascii="SimSun" w:hAnsi="SimSun" w:eastAsia="SimSun" w:cs="SimSun"/>
                <w:sz w:val="15"/>
                <w:szCs w:val="15"/>
              </w:rPr>
            </w:pPr>
            <w:r>
              <w:rPr>
                <w:rFonts w:ascii="SimSun" w:hAnsi="SimSun" w:eastAsia="SimSun" w:cs="SimSun"/>
                <w:sz w:val="15"/>
                <w:szCs w:val="15"/>
                <w:color w:val="212529"/>
                <w:spacing w:val="10"/>
              </w:rPr>
              <w:t>兴县应急管理局</w:t>
            </w:r>
          </w:p>
        </w:tc>
        <w:tc>
          <w:tcPr>
            <w:tcW w:w="1231" w:type="dxa"/>
            <w:vAlign w:val="top"/>
          </w:tcPr>
          <w:p>
            <w:pPr>
              <w:ind w:right="2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1341.37</w:t>
            </w:r>
          </w:p>
        </w:tc>
        <w:tc>
          <w:tcPr>
            <w:tcW w:w="1220"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1341.37</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69"/>
              <w:spacing w:before="110" w:line="229" w:lineRule="auto"/>
              <w:rPr>
                <w:rFonts w:ascii="SimSun" w:hAnsi="SimSun" w:eastAsia="SimSun" w:cs="SimSun"/>
                <w:sz w:val="15"/>
                <w:szCs w:val="15"/>
              </w:rPr>
            </w:pPr>
            <w:r>
              <w:rPr>
                <w:rFonts w:ascii="SimSun" w:hAnsi="SimSun" w:eastAsia="SimSun" w:cs="SimSun"/>
                <w:sz w:val="15"/>
                <w:szCs w:val="15"/>
                <w:color w:val="212529"/>
                <w:spacing w:val="10"/>
              </w:rPr>
              <w:t>森林防灾物资储备</w:t>
            </w:r>
          </w:p>
        </w:tc>
        <w:tc>
          <w:tcPr>
            <w:tcW w:w="1231" w:type="dxa"/>
            <w:vAlign w:val="top"/>
          </w:tcPr>
          <w:p>
            <w:pPr>
              <w:ind w:right="2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220"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69"/>
              <w:spacing w:before="110" w:line="229" w:lineRule="auto"/>
              <w:rPr>
                <w:rFonts w:ascii="SimSun" w:hAnsi="SimSun" w:eastAsia="SimSun" w:cs="SimSun"/>
                <w:sz w:val="15"/>
                <w:szCs w:val="15"/>
              </w:rPr>
            </w:pPr>
            <w:r>
              <w:rPr>
                <w:rFonts w:ascii="SimSun" w:hAnsi="SimSun" w:eastAsia="SimSun" w:cs="SimSun"/>
                <w:sz w:val="15"/>
                <w:szCs w:val="15"/>
                <w:color w:val="212529"/>
                <w:spacing w:val="11"/>
              </w:rPr>
              <w:t>第一次全国自然灾害综合风险普查</w:t>
            </w:r>
          </w:p>
        </w:tc>
        <w:tc>
          <w:tcPr>
            <w:tcW w:w="1231" w:type="dxa"/>
            <w:vAlign w:val="top"/>
          </w:tcPr>
          <w:p>
            <w:pPr>
              <w:ind w:right="2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233.87</w:t>
            </w:r>
          </w:p>
        </w:tc>
        <w:tc>
          <w:tcPr>
            <w:tcW w:w="1220" w:type="dxa"/>
            <w:vAlign w:val="top"/>
          </w:tcPr>
          <w:p>
            <w:pPr>
              <w:ind w:right="19"/>
              <w:spacing w:before="110"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233.87</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1" w:right="147" w:firstLine="155"/>
              <w:spacing w:before="24" w:line="212" w:lineRule="auto"/>
              <w:rPr>
                <w:rFonts w:ascii="SimSun" w:hAnsi="SimSun" w:eastAsia="SimSun" w:cs="SimSun"/>
                <w:sz w:val="15"/>
                <w:szCs w:val="15"/>
              </w:rPr>
            </w:pPr>
            <w:r>
              <w:rPr>
                <w:rFonts w:ascii="SimSun" w:hAnsi="SimSun" w:eastAsia="SimSun" w:cs="SimSun"/>
                <w:sz w:val="15"/>
                <w:szCs w:val="15"/>
                <w:color w:val="212529"/>
                <w:spacing w:val="11"/>
              </w:rPr>
              <w:t>购买公共安全隐患排查治理及安全</w:t>
            </w:r>
            <w:r>
              <w:rPr>
                <w:rFonts w:ascii="SimSun" w:hAnsi="SimSun" w:eastAsia="SimSun" w:cs="SimSun"/>
                <w:sz w:val="15"/>
                <w:szCs w:val="15"/>
                <w:color w:val="212529"/>
                <w:spacing w:val="10"/>
              </w:rPr>
              <w:t>生产应急救援服务</w:t>
            </w:r>
          </w:p>
        </w:tc>
        <w:tc>
          <w:tcPr>
            <w:tcW w:w="1231" w:type="dxa"/>
            <w:vAlign w:val="top"/>
          </w:tcPr>
          <w:p>
            <w:pPr>
              <w:ind w:right="29"/>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473.00</w:t>
            </w:r>
          </w:p>
        </w:tc>
        <w:tc>
          <w:tcPr>
            <w:tcW w:w="1220" w:type="dxa"/>
            <w:vAlign w:val="top"/>
          </w:tcPr>
          <w:p>
            <w:pPr>
              <w:ind w:right="19"/>
              <w:spacing w:before="111"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473.00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69"/>
              <w:spacing w:before="111" w:line="229" w:lineRule="auto"/>
              <w:rPr>
                <w:rFonts w:ascii="SimSun" w:hAnsi="SimSun" w:eastAsia="SimSun" w:cs="SimSun"/>
                <w:sz w:val="15"/>
                <w:szCs w:val="15"/>
              </w:rPr>
            </w:pPr>
            <w:r>
              <w:rPr>
                <w:rFonts w:ascii="SimSun" w:hAnsi="SimSun" w:eastAsia="SimSun" w:cs="SimSun"/>
                <w:sz w:val="15"/>
                <w:szCs w:val="15"/>
                <w:color w:val="212529"/>
                <w:spacing w:val="10"/>
              </w:rPr>
              <w:t>退役人员生活补助</w:t>
            </w:r>
          </w:p>
        </w:tc>
        <w:tc>
          <w:tcPr>
            <w:tcW w:w="1231" w:type="dxa"/>
            <w:vAlign w:val="top"/>
          </w:tcPr>
          <w:p>
            <w:pPr>
              <w:ind w:right="29"/>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90.00</w:t>
            </w:r>
          </w:p>
        </w:tc>
        <w:tc>
          <w:tcPr>
            <w:tcW w:w="1220" w:type="dxa"/>
            <w:vAlign w:val="top"/>
          </w:tcPr>
          <w:p>
            <w:pPr>
              <w:ind w:right="19"/>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90.00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8" w:hRule="atLeast"/>
        </w:trPr>
        <w:tc>
          <w:tcPr>
            <w:tcW w:w="2749" w:type="dxa"/>
            <w:vAlign w:val="top"/>
          </w:tcPr>
          <w:p>
            <w:pPr>
              <w:ind w:left="172"/>
              <w:spacing w:before="111" w:line="229" w:lineRule="auto"/>
              <w:rPr>
                <w:rFonts w:ascii="SimSun" w:hAnsi="SimSun" w:eastAsia="SimSun" w:cs="SimSun"/>
                <w:sz w:val="15"/>
                <w:szCs w:val="15"/>
              </w:rPr>
            </w:pPr>
            <w:r>
              <w:rPr>
                <w:rFonts w:ascii="SimSun" w:hAnsi="SimSun" w:eastAsia="SimSun" w:cs="SimSun"/>
                <w:sz w:val="15"/>
                <w:szCs w:val="15"/>
                <w:color w:val="212529"/>
                <w:spacing w:val="10"/>
              </w:rPr>
              <w:t>安全生产执法经费</w:t>
            </w:r>
          </w:p>
        </w:tc>
        <w:tc>
          <w:tcPr>
            <w:tcW w:w="1231" w:type="dxa"/>
            <w:vAlign w:val="top"/>
          </w:tcPr>
          <w:p>
            <w:pPr>
              <w:ind w:right="29"/>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220" w:type="dxa"/>
            <w:vAlign w:val="top"/>
          </w:tcPr>
          <w:p>
            <w:pPr>
              <w:ind w:right="19"/>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8" w:right="147" w:firstLine="164"/>
              <w:spacing w:before="26" w:line="211" w:lineRule="auto"/>
              <w:rPr>
                <w:rFonts w:ascii="SimSun" w:hAnsi="SimSun" w:eastAsia="SimSun" w:cs="SimSun"/>
                <w:sz w:val="15"/>
                <w:szCs w:val="15"/>
              </w:rPr>
            </w:pPr>
            <w:r>
              <w:rPr>
                <w:rFonts w:ascii="SimSun" w:hAnsi="SimSun" w:eastAsia="SimSun" w:cs="SimSun"/>
                <w:sz w:val="15"/>
                <w:szCs w:val="15"/>
                <w:color w:val="212529"/>
                <w:spacing w:val="9"/>
              </w:rPr>
              <w:t>安全警示教育片“五进</w:t>
            </w:r>
            <w:r>
              <w:rPr>
                <w:rFonts w:ascii="SimSun" w:hAnsi="SimSun" w:eastAsia="SimSun" w:cs="SimSun"/>
                <w:sz w:val="15"/>
                <w:szCs w:val="15"/>
                <w:color w:val="212529"/>
                <w:spacing w:val="-42"/>
              </w:rPr>
              <w:t xml:space="preserve"> </w:t>
            </w:r>
            <w:r>
              <w:rPr>
                <w:rFonts w:ascii="SimSun" w:hAnsi="SimSun" w:eastAsia="SimSun" w:cs="SimSun"/>
                <w:sz w:val="15"/>
                <w:szCs w:val="15"/>
                <w:color w:val="212529"/>
                <w:spacing w:val="9"/>
              </w:rPr>
              <w:t>”活动宣传</w:t>
            </w:r>
            <w:r>
              <w:rPr>
                <w:rFonts w:ascii="SimSun" w:hAnsi="SimSun" w:eastAsia="SimSun" w:cs="SimSun"/>
                <w:sz w:val="15"/>
                <w:szCs w:val="15"/>
                <w:color w:val="212529"/>
                <w:spacing w:val="6"/>
              </w:rPr>
              <w:t>经费</w:t>
            </w:r>
          </w:p>
        </w:tc>
        <w:tc>
          <w:tcPr>
            <w:tcW w:w="1231" w:type="dxa"/>
            <w:vAlign w:val="top"/>
          </w:tcPr>
          <w:p>
            <w:pPr>
              <w:ind w:right="2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1220" w:type="dxa"/>
            <w:vAlign w:val="top"/>
          </w:tcPr>
          <w:p>
            <w:pPr>
              <w:ind w:right="1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79"/>
              <w:spacing w:before="112" w:line="229" w:lineRule="auto"/>
              <w:rPr>
                <w:rFonts w:ascii="SimSun" w:hAnsi="SimSun" w:eastAsia="SimSun" w:cs="SimSun"/>
                <w:sz w:val="15"/>
                <w:szCs w:val="15"/>
              </w:rPr>
            </w:pPr>
            <w:r>
              <w:rPr>
                <w:rFonts w:ascii="SimSun" w:hAnsi="SimSun" w:eastAsia="SimSun" w:cs="SimSun"/>
                <w:sz w:val="15"/>
                <w:szCs w:val="15"/>
                <w:color w:val="212529"/>
                <w:spacing w:val="9"/>
              </w:rPr>
              <w:t>防汛抗旱物资储备</w:t>
            </w:r>
          </w:p>
        </w:tc>
        <w:tc>
          <w:tcPr>
            <w:tcW w:w="1231" w:type="dxa"/>
            <w:vAlign w:val="top"/>
          </w:tcPr>
          <w:p>
            <w:pPr>
              <w:ind w:right="2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1220" w:type="dxa"/>
            <w:vAlign w:val="top"/>
          </w:tcPr>
          <w:p>
            <w:pPr>
              <w:ind w:right="1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74"/>
              <w:spacing w:before="113" w:line="228" w:lineRule="auto"/>
              <w:rPr>
                <w:rFonts w:ascii="SimSun" w:hAnsi="SimSun" w:eastAsia="SimSun" w:cs="SimSun"/>
                <w:sz w:val="15"/>
                <w:szCs w:val="15"/>
              </w:rPr>
            </w:pPr>
            <w:r>
              <w:rPr>
                <w:rFonts w:ascii="SimSun" w:hAnsi="SimSun" w:eastAsia="SimSun" w:cs="SimSun"/>
                <w:sz w:val="15"/>
                <w:szCs w:val="15"/>
                <w:color w:val="212529"/>
                <w:spacing w:val="10"/>
              </w:rPr>
              <w:t>消防特种装备采购</w:t>
            </w:r>
          </w:p>
        </w:tc>
        <w:tc>
          <w:tcPr>
            <w:tcW w:w="1231" w:type="dxa"/>
            <w:vAlign w:val="top"/>
          </w:tcPr>
          <w:p>
            <w:pPr>
              <w:ind w:right="2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1220"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435.00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8" w:hRule="atLeast"/>
        </w:trPr>
        <w:tc>
          <w:tcPr>
            <w:tcW w:w="2749" w:type="dxa"/>
            <w:vAlign w:val="top"/>
          </w:tcPr>
          <w:p>
            <w:pPr>
              <w:ind w:left="8" w:right="147" w:firstLine="160"/>
              <w:spacing w:before="26" w:line="210" w:lineRule="auto"/>
              <w:rPr>
                <w:rFonts w:ascii="SimSun" w:hAnsi="SimSun" w:eastAsia="SimSun" w:cs="SimSun"/>
                <w:sz w:val="15"/>
                <w:szCs w:val="15"/>
              </w:rPr>
            </w:pPr>
            <w:r>
              <w:rPr>
                <w:rFonts w:ascii="SimSun" w:hAnsi="SimSun" w:eastAsia="SimSun" w:cs="SimSun"/>
                <w:sz w:val="15"/>
                <w:szCs w:val="15"/>
                <w:color w:val="212529"/>
                <w:spacing w:val="9"/>
              </w:rPr>
              <w:t>党建引领+安全专家+安全管家</w:t>
            </w:r>
            <w:r>
              <w:rPr>
                <w:rFonts w:ascii="SimSun" w:hAnsi="SimSun" w:eastAsia="SimSun" w:cs="SimSun"/>
                <w:sz w:val="15"/>
                <w:szCs w:val="15"/>
                <w:color w:val="212529"/>
                <w:spacing w:val="-48"/>
              </w:rPr>
              <w:t xml:space="preserve"> </w:t>
            </w:r>
            <w:r>
              <w:rPr>
                <w:rFonts w:ascii="SimSun" w:hAnsi="SimSun" w:eastAsia="SimSun" w:cs="SimSun"/>
                <w:sz w:val="15"/>
                <w:szCs w:val="15"/>
                <w:color w:val="212529"/>
                <w:spacing w:val="9"/>
              </w:rPr>
              <w:t>”工</w:t>
            </w:r>
            <w:r>
              <w:rPr>
                <w:rFonts w:ascii="SimSun" w:hAnsi="SimSun" w:eastAsia="SimSun" w:cs="SimSun"/>
                <w:sz w:val="15"/>
                <w:szCs w:val="15"/>
                <w:color w:val="212529"/>
                <w:spacing w:val="8"/>
              </w:rPr>
              <w:t>作经费</w:t>
            </w:r>
          </w:p>
        </w:tc>
        <w:tc>
          <w:tcPr>
            <w:tcW w:w="1231" w:type="dxa"/>
            <w:vAlign w:val="top"/>
          </w:tcPr>
          <w:p>
            <w:pPr>
              <w:ind w:right="2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32.50</w:t>
            </w:r>
          </w:p>
        </w:tc>
        <w:tc>
          <w:tcPr>
            <w:tcW w:w="1220"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32.50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72"/>
              <w:spacing w:before="114" w:line="229" w:lineRule="auto"/>
              <w:rPr>
                <w:rFonts w:ascii="SimSun" w:hAnsi="SimSun" w:eastAsia="SimSun" w:cs="SimSun"/>
                <w:sz w:val="15"/>
                <w:szCs w:val="15"/>
              </w:rPr>
            </w:pPr>
            <w:r>
              <w:rPr>
                <w:rFonts w:ascii="SimSun" w:hAnsi="SimSun" w:eastAsia="SimSun" w:cs="SimSun"/>
                <w:sz w:val="15"/>
                <w:szCs w:val="15"/>
                <w:color w:val="212529"/>
                <w:spacing w:val="10"/>
              </w:rPr>
              <w:t>安全生产培训费</w:t>
            </w:r>
          </w:p>
        </w:tc>
        <w:tc>
          <w:tcPr>
            <w:tcW w:w="1231" w:type="dxa"/>
            <w:vAlign w:val="top"/>
          </w:tcPr>
          <w:p>
            <w:pPr>
              <w:ind w:right="29"/>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20" w:type="dxa"/>
            <w:vAlign w:val="top"/>
          </w:tcPr>
          <w:p>
            <w:pPr>
              <w:ind w:right="19"/>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91"/>
              <w:spacing w:before="114" w:line="230" w:lineRule="auto"/>
              <w:rPr>
                <w:rFonts w:ascii="SimSun" w:hAnsi="SimSun" w:eastAsia="SimSun" w:cs="SimSun"/>
                <w:sz w:val="15"/>
                <w:szCs w:val="15"/>
              </w:rPr>
            </w:pPr>
            <w:r>
              <w:rPr>
                <w:rFonts w:ascii="SimSun" w:hAnsi="SimSun" w:eastAsia="SimSun" w:cs="SimSun"/>
                <w:sz w:val="15"/>
                <w:szCs w:val="15"/>
                <w:color w:val="212529"/>
                <w:spacing w:val="10"/>
              </w:rPr>
              <w:t>兴县应急减灾中心</w:t>
            </w:r>
          </w:p>
        </w:tc>
        <w:tc>
          <w:tcPr>
            <w:tcW w:w="1231" w:type="dxa"/>
            <w:vAlign w:val="top"/>
          </w:tcPr>
          <w:p>
            <w:pPr>
              <w:ind w:right="29"/>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118.40</w:t>
            </w:r>
          </w:p>
        </w:tc>
        <w:tc>
          <w:tcPr>
            <w:tcW w:w="1220" w:type="dxa"/>
            <w:vAlign w:val="top"/>
          </w:tcPr>
          <w:p>
            <w:pPr>
              <w:ind w:right="19"/>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118.40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8" w:hRule="atLeast"/>
        </w:trPr>
        <w:tc>
          <w:tcPr>
            <w:tcW w:w="2749" w:type="dxa"/>
            <w:vAlign w:val="top"/>
          </w:tcPr>
          <w:p>
            <w:pPr>
              <w:ind w:left="169"/>
              <w:spacing w:before="114" w:line="228" w:lineRule="auto"/>
              <w:rPr>
                <w:rFonts w:ascii="SimSun" w:hAnsi="SimSun" w:eastAsia="SimSun" w:cs="SimSun"/>
                <w:sz w:val="15"/>
                <w:szCs w:val="15"/>
              </w:rPr>
            </w:pPr>
            <w:r>
              <w:rPr>
                <w:rFonts w:ascii="SimSun" w:hAnsi="SimSun" w:eastAsia="SimSun" w:cs="SimSun"/>
                <w:sz w:val="15"/>
                <w:szCs w:val="15"/>
                <w:color w:val="212529"/>
                <w:spacing w:val="11"/>
              </w:rPr>
              <w:t>地震灾后损失预评估</w:t>
            </w:r>
          </w:p>
        </w:tc>
        <w:tc>
          <w:tcPr>
            <w:tcW w:w="1231" w:type="dxa"/>
            <w:vAlign w:val="top"/>
          </w:tcPr>
          <w:p>
            <w:pPr>
              <w:ind w:right="29"/>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1220" w:type="dxa"/>
            <w:vAlign w:val="top"/>
          </w:tcPr>
          <w:p>
            <w:pPr>
              <w:ind w:right="19"/>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40.00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96"/>
              <w:spacing w:before="116" w:line="230" w:lineRule="auto"/>
              <w:rPr>
                <w:rFonts w:ascii="SimSun" w:hAnsi="SimSun" w:eastAsia="SimSun" w:cs="SimSun"/>
                <w:sz w:val="15"/>
                <w:szCs w:val="15"/>
              </w:rPr>
            </w:pPr>
            <w:r>
              <w:rPr>
                <w:rFonts w:ascii="SimSun" w:hAnsi="SimSun" w:eastAsia="SimSun" w:cs="SimSun"/>
                <w:sz w:val="15"/>
                <w:szCs w:val="15"/>
                <w:color w:val="212529"/>
                <w:spacing w:val="5"/>
              </w:rPr>
              <w:t>日常工作经费</w:t>
            </w:r>
          </w:p>
        </w:tc>
        <w:tc>
          <w:tcPr>
            <w:tcW w:w="1231" w:type="dxa"/>
            <w:vAlign w:val="top"/>
          </w:tcPr>
          <w:p>
            <w:pPr>
              <w:ind w:right="2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69"/>
              <w:spacing w:before="116" w:line="229" w:lineRule="auto"/>
              <w:rPr>
                <w:rFonts w:ascii="SimSun" w:hAnsi="SimSun" w:eastAsia="SimSun" w:cs="SimSun"/>
                <w:sz w:val="15"/>
                <w:szCs w:val="15"/>
              </w:rPr>
            </w:pPr>
            <w:r>
              <w:rPr>
                <w:rFonts w:ascii="SimSun" w:hAnsi="SimSun" w:eastAsia="SimSun" w:cs="SimSun"/>
                <w:sz w:val="15"/>
                <w:szCs w:val="15"/>
                <w:color w:val="212529"/>
                <w:spacing w:val="11"/>
              </w:rPr>
              <w:t>应急救援设备维修维护费</w:t>
            </w:r>
          </w:p>
        </w:tc>
        <w:tc>
          <w:tcPr>
            <w:tcW w:w="1231" w:type="dxa"/>
            <w:vAlign w:val="top"/>
          </w:tcPr>
          <w:p>
            <w:pPr>
              <w:ind w:right="2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71"/>
              <w:spacing w:before="116" w:line="229" w:lineRule="auto"/>
              <w:rPr>
                <w:rFonts w:ascii="SimSun" w:hAnsi="SimSun" w:eastAsia="SimSun" w:cs="SimSun"/>
                <w:sz w:val="15"/>
                <w:szCs w:val="15"/>
              </w:rPr>
            </w:pPr>
            <w:r>
              <w:rPr>
                <w:rFonts w:ascii="SimSun" w:hAnsi="SimSun" w:eastAsia="SimSun" w:cs="SimSun"/>
                <w:sz w:val="15"/>
                <w:szCs w:val="15"/>
                <w:color w:val="212529"/>
                <w:spacing w:val="9"/>
              </w:rPr>
              <w:t>2024年应急救援物资库租赁费</w:t>
            </w:r>
          </w:p>
        </w:tc>
        <w:tc>
          <w:tcPr>
            <w:tcW w:w="1231" w:type="dxa"/>
            <w:vAlign w:val="top"/>
          </w:tcPr>
          <w:p>
            <w:pPr>
              <w:ind w:right="2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71"/>
              <w:spacing w:before="116" w:line="229" w:lineRule="auto"/>
              <w:rPr>
                <w:rFonts w:ascii="SimSun" w:hAnsi="SimSun" w:eastAsia="SimSun" w:cs="SimSun"/>
                <w:sz w:val="15"/>
                <w:szCs w:val="15"/>
              </w:rPr>
            </w:pPr>
            <w:r>
              <w:rPr>
                <w:rFonts w:ascii="SimSun" w:hAnsi="SimSun" w:eastAsia="SimSun" w:cs="SimSun"/>
                <w:sz w:val="15"/>
                <w:szCs w:val="15"/>
                <w:color w:val="212529"/>
                <w:spacing w:val="10"/>
              </w:rPr>
              <w:t>2024年地震监测专项业务工作经费</w:t>
            </w:r>
          </w:p>
        </w:tc>
        <w:tc>
          <w:tcPr>
            <w:tcW w:w="1231" w:type="dxa"/>
            <w:vAlign w:val="top"/>
          </w:tcPr>
          <w:p>
            <w:pPr>
              <w:ind w:right="2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4.90</w:t>
            </w:r>
          </w:p>
        </w:tc>
        <w:tc>
          <w:tcPr>
            <w:tcW w:w="1220"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4.90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69"/>
              <w:spacing w:before="117" w:line="229" w:lineRule="auto"/>
              <w:rPr>
                <w:rFonts w:ascii="SimSun" w:hAnsi="SimSun" w:eastAsia="SimSun" w:cs="SimSun"/>
                <w:sz w:val="15"/>
                <w:szCs w:val="15"/>
              </w:rPr>
            </w:pPr>
            <w:r>
              <w:rPr>
                <w:rFonts w:ascii="SimSun" w:hAnsi="SimSun" w:eastAsia="SimSun" w:cs="SimSun"/>
                <w:sz w:val="15"/>
                <w:szCs w:val="15"/>
                <w:color w:val="212529"/>
                <w:spacing w:val="11"/>
              </w:rPr>
              <w:t>磁扰动地震监测预报系统购置</w:t>
            </w:r>
          </w:p>
        </w:tc>
        <w:tc>
          <w:tcPr>
            <w:tcW w:w="1231" w:type="dxa"/>
            <w:vAlign w:val="top"/>
          </w:tcPr>
          <w:p>
            <w:pPr>
              <w:ind w:right="29"/>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32.50</w:t>
            </w:r>
          </w:p>
        </w:tc>
        <w:tc>
          <w:tcPr>
            <w:tcW w:w="1220" w:type="dxa"/>
            <w:vAlign w:val="top"/>
          </w:tcPr>
          <w:p>
            <w:pPr>
              <w:ind w:right="19"/>
              <w:spacing w:before="117"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32.50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8" w:hRule="atLeast"/>
        </w:trPr>
        <w:tc>
          <w:tcPr>
            <w:tcW w:w="2749" w:type="dxa"/>
            <w:vAlign w:val="top"/>
          </w:tcPr>
          <w:p>
            <w:pPr>
              <w:ind w:left="171"/>
              <w:spacing w:before="117" w:line="229" w:lineRule="auto"/>
              <w:rPr>
                <w:rFonts w:ascii="SimSun" w:hAnsi="SimSun" w:eastAsia="SimSun" w:cs="SimSun"/>
                <w:sz w:val="15"/>
                <w:szCs w:val="15"/>
              </w:rPr>
            </w:pPr>
            <w:r>
              <w:rPr>
                <w:rFonts w:ascii="SimSun" w:hAnsi="SimSun" w:eastAsia="SimSun" w:cs="SimSun"/>
                <w:sz w:val="15"/>
                <w:szCs w:val="15"/>
                <w:color w:val="212529"/>
                <w:spacing w:val="9"/>
              </w:rPr>
              <w:t>2025年应急救援物资库租赁费</w:t>
            </w:r>
          </w:p>
        </w:tc>
        <w:tc>
          <w:tcPr>
            <w:tcW w:w="1231" w:type="dxa"/>
            <w:vAlign w:val="top"/>
          </w:tcPr>
          <w:p>
            <w:pPr>
              <w:ind w:right="2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220" w:type="dxa"/>
            <w:vAlign w:val="top"/>
          </w:tcPr>
          <w:p>
            <w:pPr>
              <w:ind w:right="19"/>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79" w:hRule="atLeast"/>
        </w:trPr>
        <w:tc>
          <w:tcPr>
            <w:tcW w:w="2749" w:type="dxa"/>
            <w:vAlign w:val="top"/>
          </w:tcPr>
          <w:p>
            <w:pPr>
              <w:ind w:left="169"/>
              <w:spacing w:before="118" w:line="229" w:lineRule="auto"/>
              <w:rPr>
                <w:rFonts w:ascii="SimSun" w:hAnsi="SimSun" w:eastAsia="SimSun" w:cs="SimSun"/>
                <w:sz w:val="15"/>
                <w:szCs w:val="15"/>
              </w:rPr>
            </w:pPr>
            <w:r>
              <w:rPr>
                <w:rFonts w:ascii="SimSun" w:hAnsi="SimSun" w:eastAsia="SimSun" w:cs="SimSun"/>
                <w:sz w:val="15"/>
                <w:szCs w:val="15"/>
                <w:color w:val="212529"/>
                <w:spacing w:val="11"/>
              </w:rPr>
              <w:t>应急救援设备维修维护费</w:t>
            </w:r>
          </w:p>
        </w:tc>
        <w:tc>
          <w:tcPr>
            <w:tcW w:w="1231" w:type="dxa"/>
            <w:vAlign w:val="top"/>
          </w:tcPr>
          <w:p>
            <w:pPr>
              <w:ind w:right="2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1220"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r>
        <w:trPr>
          <w:trHeight w:val="384" w:hRule="atLeast"/>
        </w:trPr>
        <w:tc>
          <w:tcPr>
            <w:tcW w:w="2749" w:type="dxa"/>
            <w:vAlign w:val="top"/>
          </w:tcPr>
          <w:p>
            <w:pPr>
              <w:ind w:left="196"/>
              <w:spacing w:before="118" w:line="230" w:lineRule="auto"/>
              <w:rPr>
                <w:rFonts w:ascii="SimSun" w:hAnsi="SimSun" w:eastAsia="SimSun" w:cs="SimSun"/>
                <w:sz w:val="15"/>
                <w:szCs w:val="15"/>
              </w:rPr>
            </w:pPr>
            <w:r>
              <w:rPr>
                <w:rFonts w:ascii="SimSun" w:hAnsi="SimSun" w:eastAsia="SimSun" w:cs="SimSun"/>
                <w:sz w:val="15"/>
                <w:szCs w:val="15"/>
                <w:color w:val="212529"/>
                <w:spacing w:val="5"/>
              </w:rPr>
              <w:t>日常工作经费</w:t>
            </w:r>
          </w:p>
        </w:tc>
        <w:tc>
          <w:tcPr>
            <w:tcW w:w="1231" w:type="dxa"/>
            <w:vAlign w:val="top"/>
          </w:tcPr>
          <w:p>
            <w:pPr>
              <w:ind w:right="2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1220" w:type="dxa"/>
            <w:vAlign w:val="top"/>
          </w:tcPr>
          <w:p>
            <w:pPr>
              <w:ind w:right="19"/>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7.00</w:t>
            </w:r>
          </w:p>
        </w:tc>
        <w:tc>
          <w:tcPr>
            <w:tcW w:w="821" w:type="dxa"/>
            <w:vAlign w:val="top"/>
          </w:tcPr>
          <w:p>
            <w:pPr>
              <w:pStyle w:val="TableText"/>
              <w:rPr/>
            </w:pPr>
            <w:r/>
          </w:p>
        </w:tc>
        <w:tc>
          <w:tcPr>
            <w:tcW w:w="1231" w:type="dxa"/>
            <w:vAlign w:val="top"/>
          </w:tcPr>
          <w:p>
            <w:pPr>
              <w:pStyle w:val="TableText"/>
              <w:rPr/>
            </w:pPr>
            <w:r/>
          </w:p>
        </w:tc>
        <w:tc>
          <w:tcPr>
            <w:tcW w:w="1069" w:type="dxa"/>
            <w:vAlign w:val="top"/>
          </w:tcPr>
          <w:p>
            <w:pPr>
              <w:pStyle w:val="TableText"/>
              <w:rPr/>
            </w:pPr>
            <w:r/>
          </w:p>
        </w:tc>
        <w:tc>
          <w:tcPr>
            <w:tcW w:w="837" w:type="dxa"/>
            <w:vAlign w:val="top"/>
          </w:tcPr>
          <w:p>
            <w:pPr>
              <w:pStyle w:val="TableText"/>
              <w:rPr/>
            </w:pPr>
            <w:r/>
          </w:p>
        </w:tc>
      </w:tr>
    </w:tbl>
    <w:p>
      <w:pPr>
        <w:rPr>
          <w:rFonts w:ascii="Arial"/>
          <w:sz w:val="21"/>
        </w:rPr>
      </w:pPr>
      <w:r/>
    </w:p>
    <w:p>
      <w:pPr>
        <w:sectPr>
          <w:footerReference w:type="default" r:id="rId19"/>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980"/>
        <w:gridCol w:w="1317"/>
        <w:gridCol w:w="1415"/>
        <w:gridCol w:w="1285"/>
        <w:gridCol w:w="1161"/>
      </w:tblGrid>
      <w:tr>
        <w:trPr>
          <w:trHeight w:val="383" w:hRule="atLeast"/>
        </w:trPr>
        <w:tc>
          <w:tcPr>
            <w:tcW w:w="398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1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1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8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61" w:type="dxa"/>
            <w:vAlign w:val="top"/>
            <w:tcBorders>
              <w:bottom w:val="single" w:color="FFFFFF" w:sz="4" w:space="0"/>
              <w:top w:val="single" w:color="FFFFFF" w:sz="4" w:space="0"/>
              <w:left w:val="single" w:color="FFFFFF" w:sz="2" w:space="0"/>
              <w:right w:val="single" w:color="FFFFFF" w:sz="2" w:space="0"/>
            </w:tcBorders>
          </w:tcPr>
          <w:p>
            <w:pPr>
              <w:ind w:left="358"/>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80" w:line="201" w:lineRule="exact"/>
              <w:outlineLvl w:val="1"/>
              <w:rPr>
                <w:rFonts w:ascii="Microsoft YaHei" w:hAnsi="Microsoft YaHei" w:eastAsia="Microsoft YaHei" w:cs="Microsoft YaHei"/>
                <w:sz w:val="20"/>
                <w:szCs w:val="20"/>
              </w:rPr>
            </w:pPr>
            <w:bookmarkStart w:name="bookmark48" w:id="34"/>
            <w:bookmarkEnd w:id="34"/>
            <w:bookmarkStart w:name="bookmark18" w:id="35"/>
            <w:bookmarkEnd w:id="35"/>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997" w:type="dxa"/>
            <w:vAlign w:val="top"/>
            <w:gridSpan w:val="4"/>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部门名称：兴县应急管理局</w:t>
            </w:r>
          </w:p>
        </w:tc>
        <w:tc>
          <w:tcPr>
            <w:tcW w:w="1161" w:type="dxa"/>
            <w:vAlign w:val="top"/>
            <w:tcBorders>
              <w:top w:val="single" w:color="FFFFFF" w:sz="4" w:space="0"/>
              <w:left w:val="single" w:color="FFFFFF" w:sz="2" w:space="0"/>
              <w:right w:val="single" w:color="FFFFFF" w:sz="2" w:space="0"/>
            </w:tcBorders>
          </w:tcPr>
          <w:p>
            <w:pPr>
              <w:ind w:left="488"/>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980" w:type="dxa"/>
            <w:vAlign w:val="top"/>
            <w:vMerge w:val="restart"/>
            <w:tcBorders>
              <w:bottom w:val="nil"/>
            </w:tcBorders>
          </w:tcPr>
          <w:p>
            <w:pPr>
              <w:ind w:left="1655"/>
              <w:spacing w:before="30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317" w:type="dxa"/>
            <w:vAlign w:val="top"/>
            <w:vMerge w:val="restart"/>
            <w:tcBorders>
              <w:bottom w:val="nil"/>
            </w:tcBorders>
          </w:tcPr>
          <w:p>
            <w:pPr>
              <w:ind w:left="488"/>
              <w:spacing w:before="30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861" w:type="dxa"/>
            <w:vAlign w:val="top"/>
            <w:gridSpan w:val="3"/>
          </w:tcPr>
          <w:p>
            <w:pPr>
              <w:ind w:left="1354"/>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8" w:hRule="atLeast"/>
        </w:trPr>
        <w:tc>
          <w:tcPr>
            <w:tcW w:w="3980" w:type="dxa"/>
            <w:vAlign w:val="top"/>
            <w:vMerge w:val="continue"/>
            <w:tcBorders>
              <w:top w:val="nil"/>
            </w:tcBorders>
          </w:tcPr>
          <w:p>
            <w:pPr>
              <w:pStyle w:val="TableText"/>
              <w:rPr/>
            </w:pPr>
            <w:r/>
          </w:p>
        </w:tc>
        <w:tc>
          <w:tcPr>
            <w:tcW w:w="1317" w:type="dxa"/>
            <w:vAlign w:val="top"/>
            <w:vMerge w:val="continue"/>
            <w:tcBorders>
              <w:top w:val="nil"/>
            </w:tcBorders>
          </w:tcPr>
          <w:p>
            <w:pPr>
              <w:pStyle w:val="TableText"/>
              <w:rPr/>
            </w:pPr>
            <w:r/>
          </w:p>
        </w:tc>
        <w:tc>
          <w:tcPr>
            <w:tcW w:w="1415" w:type="dxa"/>
            <w:vAlign w:val="top"/>
          </w:tcPr>
          <w:p>
            <w:pPr>
              <w:ind w:left="208"/>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285" w:type="dxa"/>
            <w:vAlign w:val="top"/>
          </w:tcPr>
          <w:p>
            <w:pPr>
              <w:ind w:left="467" w:right="242" w:hanging="240"/>
              <w:spacing w:before="2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政府性基金</w:t>
            </w:r>
            <w:r>
              <w:rPr>
                <w:rFonts w:ascii="Microsoft YaHei" w:hAnsi="Microsoft YaHei" w:eastAsia="Microsoft YaHei" w:cs="Microsoft YaHei"/>
                <w:sz w:val="15"/>
                <w:szCs w:val="15"/>
                <w:color w:val="212529"/>
                <w:spacing w:val="11"/>
              </w:rPr>
              <w:t>预算</w:t>
            </w:r>
          </w:p>
        </w:tc>
        <w:tc>
          <w:tcPr>
            <w:tcW w:w="1161" w:type="dxa"/>
            <w:vAlign w:val="top"/>
          </w:tcPr>
          <w:p>
            <w:pPr>
              <w:ind w:left="262"/>
              <w:spacing w:before="2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246"/>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8" w:hRule="atLeast"/>
        </w:trPr>
        <w:tc>
          <w:tcPr>
            <w:tcW w:w="3980" w:type="dxa"/>
            <w:vAlign w:val="top"/>
          </w:tcPr>
          <w:p>
            <w:pPr>
              <w:ind w:left="1953"/>
              <w:spacing w:before="115"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317" w:type="dxa"/>
            <w:vAlign w:val="top"/>
          </w:tcPr>
          <w:p>
            <w:pPr>
              <w:ind w:left="611"/>
              <w:spacing w:before="115"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415" w:type="dxa"/>
            <w:vAlign w:val="top"/>
          </w:tcPr>
          <w:p>
            <w:pPr>
              <w:ind w:left="660"/>
              <w:spacing w:before="115"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285" w:type="dxa"/>
            <w:vAlign w:val="top"/>
          </w:tcPr>
          <w:p>
            <w:pPr>
              <w:ind w:left="593"/>
              <w:spacing w:before="115"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161" w:type="dxa"/>
            <w:vAlign w:val="top"/>
          </w:tcPr>
          <w:p>
            <w:pPr>
              <w:ind w:left="534"/>
              <w:spacing w:before="115"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8" w:hRule="atLeast"/>
        </w:trPr>
        <w:tc>
          <w:tcPr>
            <w:tcW w:w="3980" w:type="dxa"/>
            <w:vAlign w:val="top"/>
          </w:tcPr>
          <w:p>
            <w:pPr>
              <w:ind w:left="10"/>
              <w:spacing w:before="116" w:line="229" w:lineRule="auto"/>
              <w:rPr>
                <w:rFonts w:ascii="SimSun" w:hAnsi="SimSun" w:eastAsia="SimSun" w:cs="SimSun"/>
                <w:sz w:val="15"/>
                <w:szCs w:val="15"/>
              </w:rPr>
            </w:pPr>
            <w:r>
              <w:rPr>
                <w:rFonts w:ascii="SimSun" w:hAnsi="SimSun" w:eastAsia="SimSun" w:cs="SimSun"/>
                <w:sz w:val="15"/>
                <w:szCs w:val="15"/>
                <w:color w:val="212529"/>
                <w:spacing w:val="10"/>
              </w:rPr>
              <w:t>兴县应急管理局</w:t>
            </w:r>
          </w:p>
        </w:tc>
        <w:tc>
          <w:tcPr>
            <w:tcW w:w="1317" w:type="dxa"/>
            <w:vAlign w:val="top"/>
          </w:tcPr>
          <w:p>
            <w:pPr>
              <w:ind w:right="24"/>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415" w:type="dxa"/>
            <w:vAlign w:val="top"/>
          </w:tcPr>
          <w:p>
            <w:pPr>
              <w:ind w:right="22"/>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285" w:type="dxa"/>
            <w:vAlign w:val="top"/>
          </w:tcPr>
          <w:p>
            <w:pPr>
              <w:pStyle w:val="TableText"/>
              <w:rPr/>
            </w:pPr>
            <w:r/>
          </w:p>
        </w:tc>
        <w:tc>
          <w:tcPr>
            <w:tcW w:w="1161" w:type="dxa"/>
            <w:vAlign w:val="top"/>
          </w:tcPr>
          <w:p>
            <w:pPr>
              <w:pStyle w:val="TableText"/>
              <w:rPr/>
            </w:pPr>
            <w:r/>
          </w:p>
        </w:tc>
      </w:tr>
      <w:tr>
        <w:trPr>
          <w:trHeight w:val="378" w:hRule="atLeast"/>
        </w:trPr>
        <w:tc>
          <w:tcPr>
            <w:tcW w:w="3980" w:type="dxa"/>
            <w:vAlign w:val="top"/>
          </w:tcPr>
          <w:p>
            <w:pPr>
              <w:ind w:left="91"/>
              <w:spacing w:before="117" w:line="229" w:lineRule="auto"/>
              <w:rPr>
                <w:rFonts w:ascii="SimSun" w:hAnsi="SimSun" w:eastAsia="SimSun" w:cs="SimSun"/>
                <w:sz w:val="15"/>
                <w:szCs w:val="15"/>
              </w:rPr>
            </w:pPr>
            <w:r>
              <w:rPr>
                <w:rFonts w:ascii="SimSun" w:hAnsi="SimSun" w:eastAsia="SimSun" w:cs="SimSun"/>
                <w:sz w:val="15"/>
                <w:szCs w:val="15"/>
                <w:color w:val="212529"/>
                <w:spacing w:val="10"/>
              </w:rPr>
              <w:t>兴县应急管理局</w:t>
            </w:r>
          </w:p>
        </w:tc>
        <w:tc>
          <w:tcPr>
            <w:tcW w:w="1317" w:type="dxa"/>
            <w:vAlign w:val="top"/>
          </w:tcPr>
          <w:p>
            <w:pPr>
              <w:ind w:right="24"/>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415" w:type="dxa"/>
            <w:vAlign w:val="top"/>
          </w:tcPr>
          <w:p>
            <w:pPr>
              <w:ind w:right="22"/>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285" w:type="dxa"/>
            <w:vAlign w:val="top"/>
          </w:tcPr>
          <w:p>
            <w:pPr>
              <w:pStyle w:val="TableText"/>
              <w:rPr/>
            </w:pPr>
            <w:r/>
          </w:p>
        </w:tc>
        <w:tc>
          <w:tcPr>
            <w:tcW w:w="1161" w:type="dxa"/>
            <w:vAlign w:val="top"/>
          </w:tcPr>
          <w:p>
            <w:pPr>
              <w:pStyle w:val="TableText"/>
              <w:rPr/>
            </w:pPr>
            <w:r/>
          </w:p>
        </w:tc>
      </w:tr>
      <w:tr>
        <w:trPr>
          <w:trHeight w:val="384" w:hRule="atLeast"/>
        </w:trPr>
        <w:tc>
          <w:tcPr>
            <w:tcW w:w="3980" w:type="dxa"/>
            <w:vAlign w:val="top"/>
          </w:tcPr>
          <w:p>
            <w:pPr>
              <w:ind w:left="6" w:right="80" w:firstLine="164"/>
              <w:spacing w:before="32" w:line="210" w:lineRule="auto"/>
              <w:rPr>
                <w:rFonts w:ascii="SimSun" w:hAnsi="SimSun" w:eastAsia="SimSun" w:cs="SimSun"/>
                <w:sz w:val="15"/>
                <w:szCs w:val="15"/>
              </w:rPr>
            </w:pPr>
            <w:r>
              <w:rPr>
                <w:rFonts w:ascii="SimSun" w:hAnsi="SimSun" w:eastAsia="SimSun" w:cs="SimSun"/>
                <w:sz w:val="15"/>
                <w:szCs w:val="15"/>
                <w:color w:val="212529"/>
                <w:spacing w:val="10"/>
              </w:rPr>
              <w:t>2024年中央自然灾害救灾资金（冬舂临时生活困难救</w:t>
            </w:r>
            <w:r>
              <w:rPr>
                <w:rFonts w:ascii="SimSun" w:hAnsi="SimSun" w:eastAsia="SimSun" w:cs="SimSun"/>
                <w:sz w:val="15"/>
                <w:szCs w:val="15"/>
                <w:color w:val="212529"/>
                <w:spacing w:val="8"/>
              </w:rPr>
              <w:t>助资金）兴财建[2024]1152号</w:t>
            </w:r>
          </w:p>
        </w:tc>
        <w:tc>
          <w:tcPr>
            <w:tcW w:w="1317" w:type="dxa"/>
            <w:vAlign w:val="top"/>
          </w:tcPr>
          <w:p>
            <w:pPr>
              <w:ind w:right="24"/>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415" w:type="dxa"/>
            <w:vAlign w:val="top"/>
          </w:tcPr>
          <w:p>
            <w:pPr>
              <w:ind w:right="22"/>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105.00</w:t>
            </w:r>
          </w:p>
        </w:tc>
        <w:tc>
          <w:tcPr>
            <w:tcW w:w="1285" w:type="dxa"/>
            <w:vAlign w:val="top"/>
          </w:tcPr>
          <w:p>
            <w:pPr>
              <w:pStyle w:val="TableText"/>
              <w:rPr/>
            </w:pPr>
            <w:r/>
          </w:p>
        </w:tc>
        <w:tc>
          <w:tcPr>
            <w:tcW w:w="1161" w:type="dxa"/>
            <w:vAlign w:val="top"/>
          </w:tcPr>
          <w:p>
            <w:pPr>
              <w:pStyle w:val="TableText"/>
              <w:rPr/>
            </w:pPr>
            <w:r/>
          </w:p>
        </w:tc>
      </w:tr>
    </w:tbl>
    <w:p>
      <w:pPr>
        <w:rPr>
          <w:rFonts w:ascii="Arial"/>
          <w:sz w:val="21"/>
        </w:rPr>
      </w:pPr>
      <w:r/>
    </w:p>
    <w:p>
      <w:pPr>
        <w:sectPr>
          <w:footerReference w:type="default" r:id="rId20"/>
          <w:pgSz w:w="11900" w:h="16840"/>
          <w:pgMar w:top="642" w:right="600" w:bottom="340" w:left="600" w:header="326" w:footer="111" w:gutter="0"/>
        </w:sectPr>
        <w:rPr>
          <w:rFonts w:ascii="Arial" w:hAnsi="Arial" w:eastAsia="Arial" w:cs="Arial"/>
          <w:sz w:val="21"/>
          <w:szCs w:val="21"/>
        </w:rPr>
      </w:pPr>
    </w:p>
    <w:p>
      <w:pPr>
        <w:spacing w:line="332" w:lineRule="auto"/>
        <w:rPr>
          <w:rFonts w:ascii="Arial"/>
          <w:sz w:val="21"/>
        </w:rPr>
      </w:pPr>
      <w:r/>
    </w:p>
    <w:p>
      <w:pPr>
        <w:spacing w:line="332" w:lineRule="auto"/>
        <w:rPr>
          <w:rFonts w:ascii="Arial"/>
          <w:sz w:val="21"/>
        </w:rPr>
      </w:pPr>
      <w:r/>
    </w:p>
    <w:p>
      <w:pPr>
        <w:ind w:left="3464"/>
        <w:spacing w:before="99" w:line="230" w:lineRule="exact"/>
        <w:outlineLvl w:val="0"/>
        <w:rPr>
          <w:rFonts w:ascii="Microsoft YaHei" w:hAnsi="Microsoft YaHei" w:eastAsia="Microsoft YaHei" w:cs="Microsoft YaHei"/>
          <w:sz w:val="23"/>
          <w:szCs w:val="23"/>
        </w:rPr>
      </w:pPr>
      <w:bookmarkStart w:name="bookmark19" w:id="36"/>
      <w:bookmarkEnd w:id="36"/>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2025年度部门预算情况说明</w:t>
      </w:r>
    </w:p>
    <w:p>
      <w:pPr>
        <w:ind w:left="661"/>
        <w:spacing w:before="299" w:line="229" w:lineRule="exact"/>
        <w:outlineLvl w:val="1"/>
        <w:rPr>
          <w:rFonts w:ascii="Microsoft YaHei" w:hAnsi="Microsoft YaHei" w:eastAsia="Microsoft YaHei" w:cs="Microsoft YaHei"/>
          <w:sz w:val="22"/>
          <w:szCs w:val="22"/>
        </w:rPr>
      </w:pPr>
      <w:bookmarkStart w:name="bookmark20" w:id="37"/>
      <w:bookmarkEnd w:id="37"/>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658" w:right="623" w:firstLine="462"/>
        <w:spacing w:before="184" w:line="323" w:lineRule="auto"/>
        <w:jc w:val="both"/>
        <w:rPr>
          <w:rFonts w:ascii="FangSong" w:hAnsi="FangSong" w:eastAsia="FangSong" w:cs="FangSong"/>
          <w:sz w:val="23"/>
          <w:szCs w:val="23"/>
        </w:rPr>
      </w:pPr>
      <w:r>
        <w:rPr>
          <w:rFonts w:ascii="FangSong" w:hAnsi="FangSong" w:eastAsia="FangSong" w:cs="FangSong"/>
          <w:sz w:val="23"/>
          <w:szCs w:val="23"/>
          <w:spacing w:val="5"/>
        </w:rPr>
        <w:t>2025年度兴县应急管理局预算收入总计2,2</w:t>
      </w:r>
      <w:r>
        <w:rPr>
          <w:rFonts w:ascii="FangSong" w:hAnsi="FangSong" w:eastAsia="FangSong" w:cs="FangSong"/>
          <w:sz w:val="23"/>
          <w:szCs w:val="23"/>
          <w:spacing w:val="4"/>
        </w:rPr>
        <w:t>37.24万元，其中：本年收入2,132.24万元，</w:t>
      </w:r>
      <w:r>
        <w:rPr>
          <w:rFonts w:ascii="FangSong" w:hAnsi="FangSong" w:eastAsia="FangSong" w:cs="FangSong"/>
          <w:sz w:val="23"/>
          <w:szCs w:val="23"/>
          <w:spacing w:val="2"/>
        </w:rPr>
        <w:t>上年结转105.00万元，比上年减少253.99万元，下降10.20%，主要原因是1、本年退休公务员</w:t>
      </w:r>
      <w:r>
        <w:rPr>
          <w:rFonts w:ascii="FangSong" w:hAnsi="FangSong" w:eastAsia="FangSong" w:cs="FangSong"/>
          <w:sz w:val="23"/>
          <w:szCs w:val="23"/>
          <w:spacing w:val="2"/>
        </w:rPr>
        <w:t>3人，调出4人，所以基本支出减少69.24万元；2、根据政府过“</w:t>
      </w:r>
      <w:r>
        <w:rPr>
          <w:rFonts w:ascii="FangSong" w:hAnsi="FangSong" w:eastAsia="FangSong" w:cs="FangSong"/>
          <w:sz w:val="23"/>
          <w:szCs w:val="23"/>
          <w:spacing w:val="-88"/>
        </w:rPr>
        <w:t xml:space="preserve"> </w:t>
      </w:r>
      <w:r>
        <w:rPr>
          <w:rFonts w:ascii="FangSong" w:hAnsi="FangSong" w:eastAsia="FangSong" w:cs="FangSong"/>
          <w:sz w:val="23"/>
          <w:szCs w:val="23"/>
          <w:spacing w:val="2"/>
        </w:rPr>
        <w:t>紧</w:t>
      </w:r>
      <w:r>
        <w:rPr>
          <w:rFonts w:ascii="FangSong" w:hAnsi="FangSong" w:eastAsia="FangSong" w:cs="FangSong"/>
          <w:sz w:val="23"/>
          <w:szCs w:val="23"/>
          <w:spacing w:val="-46"/>
        </w:rPr>
        <w:t xml:space="preserve"> </w:t>
      </w:r>
      <w:r>
        <w:rPr>
          <w:rFonts w:ascii="FangSong" w:hAnsi="FangSong" w:eastAsia="FangSong" w:cs="FangSong"/>
          <w:sz w:val="23"/>
          <w:szCs w:val="23"/>
          <w:spacing w:val="2"/>
        </w:rPr>
        <w:t>日子</w:t>
      </w:r>
      <w:r>
        <w:rPr>
          <w:rFonts w:ascii="FangSong" w:hAnsi="FangSong" w:eastAsia="FangSong" w:cs="FangSong"/>
          <w:sz w:val="23"/>
          <w:szCs w:val="23"/>
          <w:spacing w:val="-79"/>
        </w:rPr>
        <w:t xml:space="preserve"> </w:t>
      </w:r>
      <w:r>
        <w:rPr>
          <w:rFonts w:ascii="FangSong" w:hAnsi="FangSong" w:eastAsia="FangSong" w:cs="FangSong"/>
          <w:sz w:val="23"/>
          <w:szCs w:val="23"/>
          <w:spacing w:val="2"/>
        </w:rPr>
        <w:t>”，压减非</w:t>
      </w:r>
      <w:r>
        <w:rPr>
          <w:rFonts w:ascii="FangSong" w:hAnsi="FangSong" w:eastAsia="FangSong" w:cs="FangSong"/>
          <w:sz w:val="23"/>
          <w:szCs w:val="23"/>
          <w:spacing w:val="1"/>
        </w:rPr>
        <w:t>重点、非</w:t>
      </w:r>
      <w:r>
        <w:rPr>
          <w:rFonts w:ascii="FangSong" w:hAnsi="FangSong" w:eastAsia="FangSong" w:cs="FangSong"/>
          <w:sz w:val="23"/>
          <w:szCs w:val="23"/>
          <w:spacing w:val="7"/>
        </w:rPr>
        <w:t>刚性类支出</w:t>
      </w:r>
      <w:r>
        <w:rPr>
          <w:rFonts w:ascii="FangSong" w:hAnsi="FangSong" w:eastAsia="FangSong" w:cs="FangSong"/>
          <w:sz w:val="23"/>
          <w:szCs w:val="23"/>
          <w:spacing w:val="49"/>
        </w:rPr>
        <w:t xml:space="preserve"> </w:t>
      </w:r>
      <w:r>
        <w:rPr>
          <w:rFonts w:ascii="FangSong" w:hAnsi="FangSong" w:eastAsia="FangSong" w:cs="FangSong"/>
          <w:sz w:val="23"/>
          <w:szCs w:val="23"/>
          <w:spacing w:val="7"/>
        </w:rPr>
        <w:t>，项目支出减少182.75万元；3、上</w:t>
      </w:r>
      <w:r>
        <w:rPr>
          <w:rFonts w:ascii="FangSong" w:hAnsi="FangSong" w:eastAsia="FangSong" w:cs="FangSong"/>
          <w:sz w:val="23"/>
          <w:szCs w:val="23"/>
          <w:spacing w:val="6"/>
        </w:rPr>
        <w:t>年结转减少2万元；本年部门预算支出总计</w:t>
      </w:r>
      <w:r>
        <w:rPr>
          <w:rFonts w:ascii="FangSong" w:hAnsi="FangSong" w:eastAsia="FangSong" w:cs="FangSong"/>
          <w:sz w:val="23"/>
          <w:szCs w:val="23"/>
          <w:spacing w:val="7"/>
        </w:rPr>
        <w:t>2,237.24万元</w:t>
      </w:r>
      <w:r>
        <w:rPr>
          <w:rFonts w:ascii="FangSong" w:hAnsi="FangSong" w:eastAsia="FangSong" w:cs="FangSong"/>
          <w:sz w:val="23"/>
          <w:szCs w:val="23"/>
          <w:spacing w:val="-61"/>
        </w:rPr>
        <w:t xml:space="preserve"> </w:t>
      </w:r>
      <w:r>
        <w:rPr>
          <w:rFonts w:ascii="FangSong" w:hAnsi="FangSong" w:eastAsia="FangSong" w:cs="FangSong"/>
          <w:sz w:val="23"/>
          <w:szCs w:val="23"/>
          <w:spacing w:val="7"/>
        </w:rPr>
        <w:t>，其</w:t>
      </w:r>
      <w:r>
        <w:rPr>
          <w:rFonts w:ascii="FangSong" w:hAnsi="FangSong" w:eastAsia="FangSong" w:cs="FangSong"/>
          <w:sz w:val="23"/>
          <w:szCs w:val="23"/>
          <w:spacing w:val="-47"/>
        </w:rPr>
        <w:t xml:space="preserve"> </w:t>
      </w:r>
      <w:r>
        <w:rPr>
          <w:rFonts w:ascii="FangSong" w:hAnsi="FangSong" w:eastAsia="FangSong" w:cs="FangSong"/>
          <w:sz w:val="23"/>
          <w:szCs w:val="23"/>
          <w:spacing w:val="7"/>
        </w:rPr>
        <w:t>中</w:t>
      </w:r>
      <w:r>
        <w:rPr>
          <w:rFonts w:ascii="FangSong" w:hAnsi="FangSong" w:eastAsia="FangSong" w:cs="FangSong"/>
          <w:sz w:val="23"/>
          <w:szCs w:val="23"/>
          <w:spacing w:val="-60"/>
        </w:rPr>
        <w:t xml:space="preserve"> </w:t>
      </w:r>
      <w:r>
        <w:rPr>
          <w:rFonts w:ascii="FangSong" w:hAnsi="FangSong" w:eastAsia="FangSong" w:cs="FangSong"/>
          <w:sz w:val="23"/>
          <w:szCs w:val="23"/>
          <w:spacing w:val="7"/>
        </w:rPr>
        <w:t>：本年预算安排2,132.24万元</w:t>
      </w:r>
      <w:r>
        <w:rPr>
          <w:rFonts w:ascii="FangSong" w:hAnsi="FangSong" w:eastAsia="FangSong" w:cs="FangSong"/>
          <w:sz w:val="23"/>
          <w:szCs w:val="23"/>
          <w:spacing w:val="-60"/>
        </w:rPr>
        <w:t xml:space="preserve"> </w:t>
      </w:r>
      <w:r>
        <w:rPr>
          <w:rFonts w:ascii="FangSong" w:hAnsi="FangSong" w:eastAsia="FangSong" w:cs="FangSong"/>
          <w:sz w:val="23"/>
          <w:szCs w:val="23"/>
          <w:spacing w:val="7"/>
        </w:rPr>
        <w:t>，</w:t>
      </w:r>
      <w:r>
        <w:rPr>
          <w:rFonts w:ascii="FangSong" w:hAnsi="FangSong" w:eastAsia="FangSong" w:cs="FangSong"/>
          <w:sz w:val="23"/>
          <w:szCs w:val="23"/>
          <w:spacing w:val="6"/>
        </w:rPr>
        <w:t>上年结转105.00万元</w:t>
      </w:r>
      <w:r>
        <w:rPr>
          <w:rFonts w:ascii="FangSong" w:hAnsi="FangSong" w:eastAsia="FangSong" w:cs="FangSong"/>
          <w:sz w:val="23"/>
          <w:szCs w:val="23"/>
          <w:spacing w:val="-60"/>
        </w:rPr>
        <w:t xml:space="preserve"> </w:t>
      </w:r>
      <w:r>
        <w:rPr>
          <w:rFonts w:ascii="FangSong" w:hAnsi="FangSong" w:eastAsia="FangSong" w:cs="FangSong"/>
          <w:sz w:val="23"/>
          <w:szCs w:val="23"/>
          <w:spacing w:val="6"/>
        </w:rPr>
        <w:t>，</w:t>
      </w:r>
      <w:r>
        <w:rPr>
          <w:rFonts w:ascii="FangSong" w:hAnsi="FangSong" w:eastAsia="FangSong" w:cs="FangSong"/>
          <w:sz w:val="23"/>
          <w:szCs w:val="23"/>
          <w:spacing w:val="-50"/>
        </w:rPr>
        <w:t xml:space="preserve"> </w:t>
      </w:r>
      <w:r>
        <w:rPr>
          <w:rFonts w:ascii="FangSong" w:hAnsi="FangSong" w:eastAsia="FangSong" w:cs="FangSong"/>
          <w:sz w:val="23"/>
          <w:szCs w:val="23"/>
          <w:spacing w:val="6"/>
        </w:rPr>
        <w:t>比上年减少</w:t>
      </w:r>
      <w:r>
        <w:rPr>
          <w:rFonts w:ascii="FangSong" w:hAnsi="FangSong" w:eastAsia="FangSong" w:cs="FangSong"/>
          <w:sz w:val="23"/>
          <w:szCs w:val="23"/>
          <w:spacing w:val="2"/>
        </w:rPr>
        <w:t>253.99万元，下降10.20%，主要原因是1、本年退休公务员3人，调出4人，所以基本支出减少</w:t>
      </w:r>
      <w:r>
        <w:rPr>
          <w:rFonts w:ascii="FangSong" w:hAnsi="FangSong" w:eastAsia="FangSong" w:cs="FangSong"/>
          <w:sz w:val="23"/>
          <w:szCs w:val="23"/>
          <w:spacing w:val="-1"/>
        </w:rPr>
        <w:t>69.24万元；2、根据政府过“紧</w:t>
      </w:r>
      <w:r>
        <w:rPr>
          <w:rFonts w:ascii="FangSong" w:hAnsi="FangSong" w:eastAsia="FangSong" w:cs="FangSong"/>
          <w:sz w:val="23"/>
          <w:szCs w:val="23"/>
          <w:spacing w:val="-38"/>
        </w:rPr>
        <w:t xml:space="preserve"> </w:t>
      </w:r>
      <w:r>
        <w:rPr>
          <w:rFonts w:ascii="FangSong" w:hAnsi="FangSong" w:eastAsia="FangSong" w:cs="FangSong"/>
          <w:sz w:val="23"/>
          <w:szCs w:val="23"/>
          <w:spacing w:val="-1"/>
        </w:rPr>
        <w:t>日子</w:t>
      </w:r>
      <w:r>
        <w:rPr>
          <w:rFonts w:ascii="FangSong" w:hAnsi="FangSong" w:eastAsia="FangSong" w:cs="FangSong"/>
          <w:sz w:val="23"/>
          <w:szCs w:val="23"/>
          <w:spacing w:val="-82"/>
        </w:rPr>
        <w:t xml:space="preserve"> </w:t>
      </w:r>
      <w:r>
        <w:rPr>
          <w:rFonts w:ascii="FangSong" w:hAnsi="FangSong" w:eastAsia="FangSong" w:cs="FangSong"/>
          <w:sz w:val="23"/>
          <w:szCs w:val="23"/>
          <w:spacing w:val="-1"/>
        </w:rPr>
        <w:t>”，压减非重点、非刚性类支出</w:t>
      </w:r>
      <w:r>
        <w:rPr>
          <w:rFonts w:ascii="FangSong" w:hAnsi="FangSong" w:eastAsia="FangSong" w:cs="FangSong"/>
          <w:sz w:val="23"/>
          <w:szCs w:val="23"/>
          <w:spacing w:val="37"/>
        </w:rPr>
        <w:t xml:space="preserve"> </w:t>
      </w:r>
      <w:r>
        <w:rPr>
          <w:rFonts w:ascii="FangSong" w:hAnsi="FangSong" w:eastAsia="FangSong" w:cs="FangSong"/>
          <w:sz w:val="23"/>
          <w:szCs w:val="23"/>
          <w:spacing w:val="-1"/>
        </w:rPr>
        <w:t>，项目支出减少182.75</w:t>
      </w:r>
      <w:r>
        <w:rPr>
          <w:rFonts w:ascii="FangSong" w:hAnsi="FangSong" w:eastAsia="FangSong" w:cs="FangSong"/>
          <w:sz w:val="23"/>
          <w:szCs w:val="23"/>
          <w:spacing w:val="-1"/>
        </w:rPr>
        <w:t>万元；3、上年结转减少2万元</w:t>
      </w:r>
    </w:p>
    <w:p>
      <w:pPr>
        <w:ind w:left="661"/>
        <w:spacing w:line="229" w:lineRule="exact"/>
        <w:outlineLvl w:val="1"/>
        <w:rPr>
          <w:rFonts w:ascii="Microsoft YaHei" w:hAnsi="Microsoft YaHei" w:eastAsia="Microsoft YaHei" w:cs="Microsoft YaHei"/>
          <w:sz w:val="22"/>
          <w:szCs w:val="22"/>
        </w:rPr>
      </w:pPr>
      <w:bookmarkStart w:name="bookmark21" w:id="38"/>
      <w:bookmarkEnd w:id="38"/>
      <w:r>
        <w:rPr>
          <w:rFonts w:ascii="Microsoft YaHei" w:hAnsi="Microsoft YaHei" w:eastAsia="Microsoft YaHei" w:cs="Microsoft YaHei"/>
          <w:sz w:val="22"/>
          <w:szCs w:val="22"/>
          <w:spacing w:val="8"/>
          <w:position w:val="-1"/>
        </w:rPr>
        <w:t>二、收入预算情况说明</w:t>
      </w:r>
    </w:p>
    <w:p>
      <w:pPr>
        <w:ind w:left="659" w:right="623" w:firstLine="461"/>
        <w:spacing w:before="187" w:line="325" w:lineRule="auto"/>
        <w:jc w:val="both"/>
        <w:rPr>
          <w:rFonts w:ascii="FangSong" w:hAnsi="FangSong" w:eastAsia="FangSong" w:cs="FangSong"/>
          <w:sz w:val="23"/>
          <w:szCs w:val="23"/>
        </w:rPr>
      </w:pPr>
      <w:r>
        <w:rPr>
          <w:rFonts w:ascii="FangSong" w:hAnsi="FangSong" w:eastAsia="FangSong" w:cs="FangSong"/>
          <w:sz w:val="23"/>
          <w:szCs w:val="23"/>
          <w:spacing w:val="15"/>
        </w:rPr>
        <w:t>2025年度兴县应急管理局预算收入2,237.24万元</w:t>
      </w:r>
      <w:r>
        <w:rPr>
          <w:rFonts w:ascii="FangSong" w:hAnsi="FangSong" w:eastAsia="FangSong" w:cs="FangSong"/>
          <w:sz w:val="23"/>
          <w:szCs w:val="23"/>
          <w:spacing w:val="-62"/>
        </w:rPr>
        <w:t xml:space="preserve"> </w:t>
      </w:r>
      <w:r>
        <w:rPr>
          <w:rFonts w:ascii="FangSong" w:hAnsi="FangSong" w:eastAsia="FangSong" w:cs="FangSong"/>
          <w:sz w:val="23"/>
          <w:szCs w:val="23"/>
          <w:spacing w:val="15"/>
        </w:rPr>
        <w:t>，主要包括一</w:t>
      </w:r>
      <w:r>
        <w:rPr>
          <w:rFonts w:ascii="FangSong" w:hAnsi="FangSong" w:eastAsia="FangSong" w:cs="FangSong"/>
          <w:sz w:val="23"/>
          <w:szCs w:val="23"/>
          <w:spacing w:val="14"/>
        </w:rPr>
        <w:t>般公共预算拨款收入</w:t>
      </w:r>
      <w:r>
        <w:rPr>
          <w:rFonts w:ascii="FangSong" w:hAnsi="FangSong" w:eastAsia="FangSong" w:cs="FangSong"/>
          <w:sz w:val="23"/>
          <w:szCs w:val="23"/>
        </w:rPr>
        <w:t>2,132.24万元，</w:t>
      </w:r>
      <w:r>
        <w:rPr>
          <w:rFonts w:ascii="FangSong" w:hAnsi="FangSong" w:eastAsia="FangSong" w:cs="FangSong"/>
          <w:sz w:val="23"/>
          <w:szCs w:val="23"/>
          <w:spacing w:val="-57"/>
        </w:rPr>
        <w:t xml:space="preserve"> </w:t>
      </w:r>
      <w:r>
        <w:rPr>
          <w:rFonts w:ascii="FangSong" w:hAnsi="FangSong" w:eastAsia="FangSong" w:cs="FangSong"/>
          <w:sz w:val="23"/>
          <w:szCs w:val="23"/>
        </w:rPr>
        <w:t>占95.31%；政府性基金预算拨款收入0万元</w:t>
      </w:r>
      <w:r>
        <w:rPr>
          <w:rFonts w:ascii="FangSong" w:hAnsi="FangSong" w:eastAsia="FangSong" w:cs="FangSong"/>
          <w:sz w:val="23"/>
          <w:szCs w:val="23"/>
          <w:spacing w:val="-1"/>
        </w:rPr>
        <w:t>，</w:t>
      </w:r>
      <w:r>
        <w:rPr>
          <w:rFonts w:ascii="FangSong" w:hAnsi="FangSong" w:eastAsia="FangSong" w:cs="FangSong"/>
          <w:sz w:val="23"/>
          <w:szCs w:val="23"/>
          <w:spacing w:val="-57"/>
        </w:rPr>
        <w:t xml:space="preserve"> </w:t>
      </w:r>
      <w:r>
        <w:rPr>
          <w:rFonts w:ascii="FangSong" w:hAnsi="FangSong" w:eastAsia="FangSong" w:cs="FangSong"/>
          <w:sz w:val="23"/>
          <w:szCs w:val="23"/>
          <w:spacing w:val="-1"/>
        </w:rPr>
        <w:t>占0%；国有资本经营预算拨款收</w:t>
      </w:r>
      <w:r>
        <w:rPr>
          <w:rFonts w:ascii="FangSong" w:hAnsi="FangSong" w:eastAsia="FangSong" w:cs="FangSong"/>
          <w:sz w:val="23"/>
          <w:szCs w:val="23"/>
          <w:spacing w:val="5"/>
        </w:rPr>
        <w:t>入0万元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5"/>
        </w:rPr>
        <w:t xml:space="preserve"> </w:t>
      </w:r>
      <w:r>
        <w:rPr>
          <w:rFonts w:ascii="FangSong" w:hAnsi="FangSong" w:eastAsia="FangSong" w:cs="FangSong"/>
          <w:sz w:val="23"/>
          <w:szCs w:val="23"/>
          <w:spacing w:val="5"/>
        </w:rPr>
        <w:t>占0%；财政专户管理资金收入0万元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4"/>
        </w:rPr>
        <w:t xml:space="preserve"> </w:t>
      </w:r>
      <w:r>
        <w:rPr>
          <w:rFonts w:ascii="FangSong" w:hAnsi="FangSong" w:eastAsia="FangSong" w:cs="FangSong"/>
          <w:sz w:val="23"/>
          <w:szCs w:val="23"/>
          <w:spacing w:val="5"/>
        </w:rPr>
        <w:t>占0%；单位资金0万元</w:t>
      </w:r>
      <w:r>
        <w:rPr>
          <w:rFonts w:ascii="FangSong" w:hAnsi="FangSong" w:eastAsia="FangSong" w:cs="FangSong"/>
          <w:sz w:val="23"/>
          <w:szCs w:val="23"/>
          <w:spacing w:val="-68"/>
        </w:rPr>
        <w:t xml:space="preserve"> </w:t>
      </w:r>
      <w:r>
        <w:rPr>
          <w:rFonts w:ascii="FangSong" w:hAnsi="FangSong" w:eastAsia="FangSong" w:cs="FangSong"/>
          <w:sz w:val="23"/>
          <w:szCs w:val="23"/>
          <w:spacing w:val="5"/>
        </w:rPr>
        <w:t>，</w:t>
      </w:r>
      <w:r>
        <w:rPr>
          <w:rFonts w:ascii="FangSong" w:hAnsi="FangSong" w:eastAsia="FangSong" w:cs="FangSong"/>
          <w:sz w:val="23"/>
          <w:szCs w:val="23"/>
          <w:spacing w:val="-45"/>
        </w:rPr>
        <w:t xml:space="preserve"> </w:t>
      </w:r>
      <w:r>
        <w:rPr>
          <w:rFonts w:ascii="FangSong" w:hAnsi="FangSong" w:eastAsia="FangSong" w:cs="FangSong"/>
          <w:sz w:val="23"/>
          <w:szCs w:val="23"/>
          <w:spacing w:val="5"/>
        </w:rPr>
        <w:t>占</w:t>
      </w:r>
      <w:r>
        <w:rPr>
          <w:rFonts w:ascii="FangSong" w:hAnsi="FangSong" w:eastAsia="FangSong" w:cs="FangSong"/>
          <w:sz w:val="23"/>
          <w:szCs w:val="23"/>
          <w:spacing w:val="4"/>
        </w:rPr>
        <w:t>0%；上年结转</w:t>
      </w:r>
      <w:r>
        <w:rPr>
          <w:rFonts w:ascii="FangSong" w:hAnsi="FangSong" w:eastAsia="FangSong" w:cs="FangSong"/>
          <w:sz w:val="23"/>
          <w:szCs w:val="23"/>
          <w:spacing w:val="-4"/>
        </w:rPr>
        <w:t>105.00万元，</w:t>
      </w:r>
      <w:r>
        <w:rPr>
          <w:rFonts w:ascii="FangSong" w:hAnsi="FangSong" w:eastAsia="FangSong" w:cs="FangSong"/>
          <w:sz w:val="23"/>
          <w:szCs w:val="23"/>
          <w:spacing w:val="-58"/>
        </w:rPr>
        <w:t xml:space="preserve"> </w:t>
      </w:r>
      <w:r>
        <w:rPr>
          <w:rFonts w:ascii="FangSong" w:hAnsi="FangSong" w:eastAsia="FangSong" w:cs="FangSong"/>
          <w:sz w:val="23"/>
          <w:szCs w:val="23"/>
          <w:spacing w:val="-4"/>
        </w:rPr>
        <w:t>占4.69%。</w:t>
      </w:r>
    </w:p>
    <w:p>
      <w:pPr>
        <w:spacing w:line="355" w:lineRule="auto"/>
        <w:rPr>
          <w:rFonts w:ascii="Arial"/>
          <w:sz w:val="21"/>
        </w:rPr>
      </w:pPr>
      <w:r/>
    </w:p>
    <w:p>
      <w:pPr>
        <w:ind w:firstLine="2865"/>
        <w:spacing w:before="1" w:line="2850" w:lineRule="exact"/>
        <w:rPr/>
      </w:pPr>
      <w:r>
        <w:rPr>
          <w:position w:val="-57"/>
        </w:rPr>
        <w:drawing>
          <wp:inline distT="0" distB="0" distL="0" distR="0">
            <wp:extent cx="2587402" cy="1810078"/>
            <wp:effectExtent l="0" t="0" r="0" b="0"/>
            <wp:docPr id="4" name="IM 4"/>
            <wp:cNvGraphicFramePr/>
            <a:graphic>
              <a:graphicData uri="http://schemas.openxmlformats.org/drawingml/2006/picture">
                <pic:pic>
                  <pic:nvPicPr>
                    <pic:cNvPr id="4" name="IM 4"/>
                    <pic:cNvPicPr/>
                  </pic:nvPicPr>
                  <pic:blipFill>
                    <a:blip r:embed="rId22"/>
                    <a:stretch>
                      <a:fillRect/>
                    </a:stretch>
                  </pic:blipFill>
                  <pic:spPr>
                    <a:xfrm rot="0">
                      <a:off x="0" y="0"/>
                      <a:ext cx="2587402" cy="1810078"/>
                    </a:xfrm>
                    <a:prstGeom prst="rect">
                      <a:avLst/>
                    </a:prstGeom>
                  </pic:spPr>
                </pic:pic>
              </a:graphicData>
            </a:graphic>
          </wp:inline>
        </w:drawing>
      </w:r>
    </w:p>
    <w:p>
      <w:pPr>
        <w:spacing w:line="285" w:lineRule="auto"/>
        <w:rPr>
          <w:rFonts w:ascii="Arial"/>
          <w:sz w:val="21"/>
        </w:rPr>
      </w:pPr>
      <w:r/>
    </w:p>
    <w:p>
      <w:pPr>
        <w:spacing w:line="286" w:lineRule="auto"/>
        <w:rPr>
          <w:rFonts w:ascii="Arial"/>
          <w:sz w:val="21"/>
        </w:rPr>
      </w:pPr>
      <w:r/>
    </w:p>
    <w:p>
      <w:pPr>
        <w:ind w:left="662"/>
        <w:spacing w:before="95" w:line="230" w:lineRule="exact"/>
        <w:outlineLvl w:val="1"/>
        <w:rPr>
          <w:rFonts w:ascii="Microsoft YaHei" w:hAnsi="Microsoft YaHei" w:eastAsia="Microsoft YaHei" w:cs="Microsoft YaHei"/>
          <w:sz w:val="22"/>
          <w:szCs w:val="22"/>
        </w:rPr>
      </w:pPr>
      <w:bookmarkStart w:name="bookmark22" w:id="39"/>
      <w:bookmarkEnd w:id="39"/>
      <w:r>
        <w:rPr>
          <w:rFonts w:ascii="Microsoft YaHei" w:hAnsi="Microsoft YaHei" w:eastAsia="Microsoft YaHei" w:cs="Microsoft YaHei"/>
          <w:sz w:val="22"/>
          <w:szCs w:val="22"/>
          <w:spacing w:val="7"/>
          <w:position w:val="-1"/>
        </w:rPr>
        <w:t>三、支出预算情况说明</w:t>
      </w:r>
    </w:p>
    <w:p>
      <w:pPr>
        <w:ind w:left="661" w:right="623" w:firstLine="459"/>
        <w:spacing w:before="174" w:line="324" w:lineRule="auto"/>
        <w:rPr>
          <w:rFonts w:ascii="FangSong" w:hAnsi="FangSong" w:eastAsia="FangSong" w:cs="FangSong"/>
          <w:sz w:val="23"/>
          <w:szCs w:val="23"/>
        </w:rPr>
      </w:pPr>
      <w:r>
        <w:rPr>
          <w:rFonts w:ascii="FangSong" w:hAnsi="FangSong" w:eastAsia="FangSong" w:cs="FangSong"/>
          <w:sz w:val="23"/>
          <w:szCs w:val="23"/>
          <w:spacing w:val="3"/>
        </w:rPr>
        <w:t>2025</w:t>
      </w:r>
      <w:r>
        <w:rPr>
          <w:rFonts w:ascii="FangSong" w:hAnsi="FangSong" w:eastAsia="FangSong" w:cs="FangSong"/>
          <w:sz w:val="23"/>
          <w:szCs w:val="23"/>
          <w:spacing w:val="-69"/>
        </w:rPr>
        <w:t xml:space="preserve"> </w:t>
      </w:r>
      <w:r>
        <w:rPr>
          <w:rFonts w:ascii="FangSong" w:hAnsi="FangSong" w:eastAsia="FangSong" w:cs="FangSong"/>
          <w:sz w:val="23"/>
          <w:szCs w:val="23"/>
          <w:spacing w:val="3"/>
        </w:rPr>
        <w:t>年度</w:t>
      </w:r>
      <w:r>
        <w:rPr>
          <w:rFonts w:ascii="FangSong" w:hAnsi="FangSong" w:eastAsia="FangSong" w:cs="FangSong"/>
          <w:sz w:val="23"/>
          <w:szCs w:val="23"/>
          <w:spacing w:val="-67"/>
        </w:rPr>
        <w:t xml:space="preserve"> </w:t>
      </w:r>
      <w:r>
        <w:rPr>
          <w:rFonts w:ascii="FangSong" w:hAnsi="FangSong" w:eastAsia="FangSong" w:cs="FangSong"/>
          <w:sz w:val="23"/>
          <w:szCs w:val="23"/>
          <w:spacing w:val="3"/>
        </w:rPr>
        <w:t>兴县应</w:t>
      </w:r>
      <w:r>
        <w:rPr>
          <w:rFonts w:ascii="FangSong" w:hAnsi="FangSong" w:eastAsia="FangSong" w:cs="FangSong"/>
          <w:sz w:val="23"/>
          <w:szCs w:val="23"/>
          <w:spacing w:val="-60"/>
        </w:rPr>
        <w:t xml:space="preserve"> </w:t>
      </w:r>
      <w:r>
        <w:rPr>
          <w:rFonts w:ascii="FangSong" w:hAnsi="FangSong" w:eastAsia="FangSong" w:cs="FangSong"/>
          <w:sz w:val="23"/>
          <w:szCs w:val="23"/>
          <w:spacing w:val="3"/>
        </w:rPr>
        <w:t>急</w:t>
      </w:r>
      <w:r>
        <w:rPr>
          <w:rFonts w:ascii="FangSong" w:hAnsi="FangSong" w:eastAsia="FangSong" w:cs="FangSong"/>
          <w:sz w:val="23"/>
          <w:szCs w:val="23"/>
          <w:spacing w:val="-61"/>
        </w:rPr>
        <w:t xml:space="preserve"> </w:t>
      </w:r>
      <w:r>
        <w:rPr>
          <w:rFonts w:ascii="FangSong" w:hAnsi="FangSong" w:eastAsia="FangSong" w:cs="FangSong"/>
          <w:sz w:val="23"/>
          <w:szCs w:val="23"/>
          <w:spacing w:val="3"/>
        </w:rPr>
        <w:t>管理局支</w:t>
      </w:r>
      <w:r>
        <w:rPr>
          <w:rFonts w:ascii="FangSong" w:hAnsi="FangSong" w:eastAsia="FangSong" w:cs="FangSong"/>
          <w:sz w:val="23"/>
          <w:szCs w:val="23"/>
          <w:spacing w:val="-49"/>
        </w:rPr>
        <w:t xml:space="preserve"> </w:t>
      </w:r>
      <w:r>
        <w:rPr>
          <w:rFonts w:ascii="FangSong" w:hAnsi="FangSong" w:eastAsia="FangSong" w:cs="FangSong"/>
          <w:sz w:val="23"/>
          <w:szCs w:val="23"/>
          <w:spacing w:val="3"/>
        </w:rPr>
        <w:t>出预算2237.24万元</w:t>
      </w:r>
      <w:r>
        <w:rPr>
          <w:rFonts w:ascii="FangSong" w:hAnsi="FangSong" w:eastAsia="FangSong" w:cs="FangSong"/>
          <w:sz w:val="23"/>
          <w:szCs w:val="23"/>
          <w:spacing w:val="-56"/>
        </w:rPr>
        <w:t xml:space="preserve"> </w:t>
      </w:r>
      <w:r>
        <w:rPr>
          <w:rFonts w:ascii="FangSong" w:hAnsi="FangSong" w:eastAsia="FangSong" w:cs="FangSong"/>
          <w:sz w:val="23"/>
          <w:szCs w:val="23"/>
          <w:spacing w:val="3"/>
        </w:rPr>
        <w:t>，其</w:t>
      </w:r>
      <w:r>
        <w:rPr>
          <w:rFonts w:ascii="FangSong" w:hAnsi="FangSong" w:eastAsia="FangSong" w:cs="FangSong"/>
          <w:sz w:val="23"/>
          <w:szCs w:val="23"/>
          <w:spacing w:val="-44"/>
        </w:rPr>
        <w:t xml:space="preserve"> </w:t>
      </w:r>
      <w:r>
        <w:rPr>
          <w:rFonts w:ascii="FangSong" w:hAnsi="FangSong" w:eastAsia="FangSong" w:cs="FangSong"/>
          <w:sz w:val="23"/>
          <w:szCs w:val="23"/>
          <w:spacing w:val="3"/>
        </w:rPr>
        <w:t>中</w:t>
      </w:r>
      <w:r>
        <w:rPr>
          <w:rFonts w:ascii="FangSong" w:hAnsi="FangSong" w:eastAsia="FangSong" w:cs="FangSong"/>
          <w:sz w:val="23"/>
          <w:szCs w:val="23"/>
          <w:spacing w:val="-55"/>
        </w:rPr>
        <w:t xml:space="preserve"> </w:t>
      </w:r>
      <w:r>
        <w:rPr>
          <w:rFonts w:ascii="FangSong" w:hAnsi="FangSong" w:eastAsia="FangSong" w:cs="FangSong"/>
          <w:sz w:val="23"/>
          <w:szCs w:val="23"/>
          <w:spacing w:val="3"/>
        </w:rPr>
        <w:t>：基本支</w:t>
      </w:r>
      <w:r>
        <w:rPr>
          <w:rFonts w:ascii="FangSong" w:hAnsi="FangSong" w:eastAsia="FangSong" w:cs="FangSong"/>
          <w:sz w:val="23"/>
          <w:szCs w:val="23"/>
          <w:spacing w:val="-49"/>
        </w:rPr>
        <w:t xml:space="preserve"> </w:t>
      </w:r>
      <w:r>
        <w:rPr>
          <w:rFonts w:ascii="FangSong" w:hAnsi="FangSong" w:eastAsia="FangSong" w:cs="FangSong"/>
          <w:sz w:val="23"/>
          <w:szCs w:val="23"/>
          <w:spacing w:val="3"/>
        </w:rPr>
        <w:t>出67</w:t>
      </w:r>
      <w:r>
        <w:rPr>
          <w:rFonts w:ascii="FangSong" w:hAnsi="FangSong" w:eastAsia="FangSong" w:cs="FangSong"/>
          <w:sz w:val="23"/>
          <w:szCs w:val="23"/>
          <w:spacing w:val="2"/>
        </w:rPr>
        <w:t>2.47万元</w:t>
      </w:r>
      <w:r>
        <w:rPr>
          <w:rFonts w:ascii="FangSong" w:hAnsi="FangSong" w:eastAsia="FangSong" w:cs="FangSong"/>
          <w:sz w:val="23"/>
          <w:szCs w:val="23"/>
          <w:spacing w:val="-57"/>
        </w:rPr>
        <w:t xml:space="preserve"> </w:t>
      </w:r>
      <w:r>
        <w:rPr>
          <w:rFonts w:ascii="FangSong" w:hAnsi="FangSong" w:eastAsia="FangSong" w:cs="FangSong"/>
          <w:sz w:val="23"/>
          <w:szCs w:val="23"/>
          <w:spacing w:val="2"/>
        </w:rPr>
        <w:t>，</w:t>
      </w:r>
      <w:r>
        <w:rPr>
          <w:rFonts w:ascii="FangSong" w:hAnsi="FangSong" w:eastAsia="FangSong" w:cs="FangSong"/>
          <w:sz w:val="23"/>
          <w:szCs w:val="23"/>
          <w:spacing w:val="-33"/>
        </w:rPr>
        <w:t xml:space="preserve"> </w:t>
      </w:r>
      <w:r>
        <w:rPr>
          <w:rFonts w:ascii="FangSong" w:hAnsi="FangSong" w:eastAsia="FangSong" w:cs="FangSong"/>
          <w:sz w:val="23"/>
          <w:szCs w:val="23"/>
          <w:spacing w:val="2"/>
        </w:rPr>
        <w:t>占</w:t>
      </w:r>
      <w:r>
        <w:rPr>
          <w:rFonts w:ascii="FangSong" w:hAnsi="FangSong" w:eastAsia="FangSong" w:cs="FangSong"/>
          <w:sz w:val="23"/>
          <w:szCs w:val="23"/>
          <w:spacing w:val="-2"/>
        </w:rPr>
        <w:t>30.06%；项目支出1564.77万元，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占69.94%。</w:t>
      </w:r>
    </w:p>
    <w:p>
      <w:pPr>
        <w:ind w:left="671"/>
        <w:spacing w:line="230" w:lineRule="exact"/>
        <w:outlineLvl w:val="1"/>
        <w:rPr>
          <w:rFonts w:ascii="Microsoft YaHei" w:hAnsi="Microsoft YaHei" w:eastAsia="Microsoft YaHei" w:cs="Microsoft YaHei"/>
          <w:sz w:val="22"/>
          <w:szCs w:val="22"/>
        </w:rPr>
      </w:pPr>
      <w:bookmarkStart w:name="bookmark23" w:id="40"/>
      <w:bookmarkEnd w:id="40"/>
      <w:r>
        <w:rPr>
          <w:rFonts w:ascii="Microsoft YaHei" w:hAnsi="Microsoft YaHei" w:eastAsia="Microsoft YaHei" w:cs="Microsoft YaHei"/>
          <w:sz w:val="22"/>
          <w:szCs w:val="22"/>
          <w:spacing w:val="8"/>
          <w:position w:val="-1"/>
        </w:rPr>
        <w:t>四、财政拨款收支预算总体情况说明</w:t>
      </w:r>
    </w:p>
    <w:p>
      <w:pPr>
        <w:ind w:left="659" w:right="623" w:firstLine="461"/>
        <w:spacing w:before="173" w:line="324" w:lineRule="auto"/>
        <w:rPr>
          <w:rFonts w:ascii="FangSong" w:hAnsi="FangSong" w:eastAsia="FangSong" w:cs="FangSong"/>
          <w:sz w:val="23"/>
          <w:szCs w:val="23"/>
        </w:rPr>
      </w:pPr>
      <w:r>
        <w:rPr>
          <w:rFonts w:ascii="FangSong" w:hAnsi="FangSong" w:eastAsia="FangSong" w:cs="FangSong"/>
          <w:sz w:val="23"/>
          <w:szCs w:val="23"/>
          <w:spacing w:val="5"/>
        </w:rPr>
        <w:t>2025年度兴县应急管理局财政拨款收支总预算2,237.24万元。其中：一般</w:t>
      </w:r>
      <w:r>
        <w:rPr>
          <w:rFonts w:ascii="FangSong" w:hAnsi="FangSong" w:eastAsia="FangSong" w:cs="FangSong"/>
          <w:sz w:val="23"/>
          <w:szCs w:val="23"/>
          <w:spacing w:val="4"/>
        </w:rPr>
        <w:t>公共预算拨款</w:t>
      </w:r>
      <w:r>
        <w:rPr>
          <w:rFonts w:ascii="FangSong" w:hAnsi="FangSong" w:eastAsia="FangSong" w:cs="FangSong"/>
          <w:sz w:val="23"/>
          <w:szCs w:val="23"/>
          <w:spacing w:val="3"/>
        </w:rPr>
        <w:t>2,237.24万元，政府性基金预算拨款0万元，</w:t>
      </w:r>
      <w:r>
        <w:rPr>
          <w:rFonts w:ascii="FangSong" w:hAnsi="FangSong" w:eastAsia="FangSong" w:cs="FangSong"/>
          <w:sz w:val="23"/>
          <w:szCs w:val="23"/>
          <w:spacing w:val="-68"/>
        </w:rPr>
        <w:t xml:space="preserve"> </w:t>
      </w:r>
      <w:r>
        <w:rPr>
          <w:rFonts w:ascii="FangSong" w:hAnsi="FangSong" w:eastAsia="FangSong" w:cs="FangSong"/>
          <w:sz w:val="23"/>
          <w:szCs w:val="23"/>
          <w:spacing w:val="3"/>
        </w:rPr>
        <w:t>国有资</w:t>
      </w:r>
      <w:r>
        <w:rPr>
          <w:rFonts w:ascii="FangSong" w:hAnsi="FangSong" w:eastAsia="FangSong" w:cs="FangSong"/>
          <w:sz w:val="23"/>
          <w:szCs w:val="23"/>
          <w:spacing w:val="2"/>
        </w:rPr>
        <w:t>本经营预算拨款0万元。其中：</w:t>
      </w:r>
      <w:r>
        <w:rPr>
          <w:rFonts w:ascii="FangSong" w:hAnsi="FangSong" w:eastAsia="FangSong" w:cs="FangSong"/>
          <w:sz w:val="23"/>
          <w:szCs w:val="23"/>
          <w:spacing w:val="-64"/>
        </w:rPr>
        <w:t xml:space="preserve"> </w:t>
      </w:r>
      <w:r>
        <w:rPr>
          <w:rFonts w:ascii="FangSong" w:hAnsi="FangSong" w:eastAsia="FangSong" w:cs="FangSong"/>
          <w:sz w:val="23"/>
          <w:szCs w:val="23"/>
          <w:spacing w:val="2"/>
        </w:rPr>
        <w:t>当年拨款</w:t>
      </w:r>
      <w:r>
        <w:rPr>
          <w:rFonts w:ascii="FangSong" w:hAnsi="FangSong" w:eastAsia="FangSong" w:cs="FangSong"/>
          <w:sz w:val="23"/>
          <w:szCs w:val="23"/>
          <w:spacing w:val="2"/>
        </w:rPr>
        <w:t>收入2,132.24万元，上年结转收入105.00万元。支出包括：社会保障和就业支出64.61万元、</w:t>
      </w:r>
      <w:r>
        <w:rPr>
          <w:rFonts w:ascii="FangSong" w:hAnsi="FangSong" w:eastAsia="FangSong" w:cs="FangSong"/>
          <w:sz w:val="23"/>
          <w:szCs w:val="23"/>
          <w:spacing w:val="5"/>
        </w:rPr>
        <w:t>卫生健康支出26.84万元、住房保障支</w:t>
      </w:r>
      <w:r>
        <w:rPr>
          <w:rFonts w:ascii="FangSong" w:hAnsi="FangSong" w:eastAsia="FangSong" w:cs="FangSong"/>
          <w:sz w:val="23"/>
          <w:szCs w:val="23"/>
          <w:spacing w:val="4"/>
        </w:rPr>
        <w:t>出50.69万元、灾害防治及应急管理支出2,095.09万元</w:t>
      </w:r>
      <w:r>
        <w:rPr>
          <w:rFonts w:ascii="FangSong" w:hAnsi="FangSong" w:eastAsia="FangSong" w:cs="FangSong"/>
          <w:sz w:val="23"/>
          <w:szCs w:val="23"/>
          <w:spacing w:val="-6"/>
        </w:rPr>
        <w:t>等。</w:t>
      </w:r>
    </w:p>
    <w:p>
      <w:pPr>
        <w:ind w:left="664"/>
        <w:spacing w:line="230" w:lineRule="exact"/>
        <w:outlineLvl w:val="1"/>
        <w:rPr>
          <w:rFonts w:ascii="Microsoft YaHei" w:hAnsi="Microsoft YaHei" w:eastAsia="Microsoft YaHei" w:cs="Microsoft YaHei"/>
          <w:sz w:val="22"/>
          <w:szCs w:val="22"/>
        </w:rPr>
      </w:pPr>
      <w:bookmarkStart w:name="bookmark24" w:id="41"/>
      <w:bookmarkEnd w:id="41"/>
      <w:r>
        <w:rPr>
          <w:rFonts w:ascii="Microsoft YaHei" w:hAnsi="Microsoft YaHei" w:eastAsia="Microsoft YaHei" w:cs="Microsoft YaHei"/>
          <w:sz w:val="22"/>
          <w:szCs w:val="22"/>
          <w:spacing w:val="8"/>
          <w:position w:val="-1"/>
        </w:rPr>
        <w:t>五、一般公共预算支出情况说明</w:t>
      </w:r>
    </w:p>
    <w:p>
      <w:pPr>
        <w:ind w:left="1125"/>
        <w:spacing w:before="174"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spacing w:line="222" w:lineRule="auto"/>
        <w:sectPr>
          <w:footerReference w:type="default" r:id="rId21"/>
          <w:pgSz w:w="11900" w:h="16840"/>
          <w:pgMar w:top="642" w:right="600" w:bottom="340" w:left="600" w:header="326" w:footer="111" w:gutter="0"/>
        </w:sectPr>
        <w:rPr>
          <w:rFonts w:ascii="FangSong" w:hAnsi="FangSong" w:eastAsia="FangSong" w:cs="FangSong"/>
          <w:sz w:val="23"/>
          <w:szCs w:val="23"/>
        </w:rPr>
      </w:pPr>
    </w:p>
    <w:p>
      <w:pPr>
        <w:spacing w:line="282" w:lineRule="auto"/>
        <w:rPr>
          <w:rFonts w:ascii="Arial"/>
          <w:sz w:val="21"/>
        </w:rPr>
      </w:pPr>
      <w:r/>
    </w:p>
    <w:p>
      <w:pPr>
        <w:spacing w:line="282" w:lineRule="auto"/>
        <w:rPr>
          <w:rFonts w:ascii="Arial"/>
          <w:sz w:val="21"/>
        </w:rPr>
      </w:pPr>
      <w:r/>
    </w:p>
    <w:p>
      <w:pPr>
        <w:ind w:left="668" w:right="671" w:firstLine="452"/>
        <w:spacing w:before="74" w:line="322" w:lineRule="auto"/>
        <w:rPr>
          <w:rFonts w:ascii="FangSong" w:hAnsi="FangSong" w:eastAsia="FangSong" w:cs="FangSong"/>
          <w:sz w:val="23"/>
          <w:szCs w:val="23"/>
        </w:rPr>
      </w:pPr>
      <w:r>
        <w:rPr>
          <w:rFonts w:ascii="FangSong" w:hAnsi="FangSong" w:eastAsia="FangSong" w:cs="FangSong"/>
          <w:sz w:val="23"/>
          <w:szCs w:val="23"/>
          <w:spacing w:val="1"/>
        </w:rPr>
        <w:t>2025年度兴县应急管理局一般公共预算当年支出2,132.24万元,比上年减少251.99万元，</w:t>
      </w:r>
      <w:r>
        <w:rPr>
          <w:rFonts w:ascii="FangSong" w:hAnsi="FangSong" w:eastAsia="FangSong" w:cs="FangSong"/>
          <w:sz w:val="23"/>
          <w:szCs w:val="23"/>
          <w:spacing w:val="-2"/>
        </w:rPr>
        <w:t>下降10.57%。</w:t>
      </w:r>
    </w:p>
    <w:p>
      <w:pPr>
        <w:ind w:left="1125"/>
        <w:spacing w:before="8"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ind w:left="661" w:right="623" w:firstLine="459"/>
        <w:spacing w:before="123" w:line="326" w:lineRule="auto"/>
        <w:jc w:val="both"/>
        <w:rPr>
          <w:rFonts w:ascii="FangSong" w:hAnsi="FangSong" w:eastAsia="FangSong" w:cs="FangSong"/>
          <w:sz w:val="23"/>
          <w:szCs w:val="23"/>
        </w:rPr>
      </w:pPr>
      <w:r>
        <w:rPr>
          <w:rFonts w:ascii="FangSong" w:hAnsi="FangSong" w:eastAsia="FangSong" w:cs="FangSong"/>
          <w:sz w:val="23"/>
          <w:szCs w:val="23"/>
          <w:spacing w:val="2"/>
        </w:rPr>
        <w:t>2025年度兴县应急管理局一般公共预算当年支出2,132.24万元,主要用于以下方面：社会</w:t>
      </w:r>
      <w:r>
        <w:rPr>
          <w:rFonts w:ascii="FangSong" w:hAnsi="FangSong" w:eastAsia="FangSong" w:cs="FangSong"/>
          <w:sz w:val="23"/>
          <w:szCs w:val="23"/>
          <w:spacing w:val="4"/>
        </w:rPr>
        <w:t>保障和就业支出64.61万元</w:t>
      </w:r>
      <w:r>
        <w:rPr>
          <w:rFonts w:ascii="FangSong" w:hAnsi="FangSong" w:eastAsia="FangSong" w:cs="FangSong"/>
          <w:sz w:val="23"/>
          <w:szCs w:val="23"/>
          <w:spacing w:val="-53"/>
        </w:rPr>
        <w:t xml:space="preserve"> </w:t>
      </w:r>
      <w:r>
        <w:rPr>
          <w:rFonts w:ascii="FangSong" w:hAnsi="FangSong" w:eastAsia="FangSong" w:cs="FangSong"/>
          <w:sz w:val="23"/>
          <w:szCs w:val="23"/>
          <w:spacing w:val="4"/>
        </w:rPr>
        <w:t>，</w:t>
      </w:r>
      <w:r>
        <w:rPr>
          <w:rFonts w:ascii="FangSong" w:hAnsi="FangSong" w:eastAsia="FangSong" w:cs="FangSong"/>
          <w:sz w:val="23"/>
          <w:szCs w:val="23"/>
          <w:spacing w:val="-46"/>
        </w:rPr>
        <w:t xml:space="preserve"> </w:t>
      </w:r>
      <w:r>
        <w:rPr>
          <w:rFonts w:ascii="FangSong" w:hAnsi="FangSong" w:eastAsia="FangSong" w:cs="FangSong"/>
          <w:sz w:val="23"/>
          <w:szCs w:val="23"/>
          <w:spacing w:val="4"/>
        </w:rPr>
        <w:t>占3.03%；卫生健康支出26.84万元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w:t>
      </w:r>
      <w:r>
        <w:rPr>
          <w:rFonts w:ascii="FangSong" w:hAnsi="FangSong" w:eastAsia="FangSong" w:cs="FangSong"/>
          <w:sz w:val="23"/>
          <w:szCs w:val="23"/>
          <w:spacing w:val="-46"/>
        </w:rPr>
        <w:t xml:space="preserve"> </w:t>
      </w:r>
      <w:r>
        <w:rPr>
          <w:rFonts w:ascii="FangSong" w:hAnsi="FangSong" w:eastAsia="FangSong" w:cs="FangSong"/>
          <w:sz w:val="23"/>
          <w:szCs w:val="23"/>
          <w:spacing w:val="4"/>
        </w:rPr>
        <w:t>占1.26%；住房保障支出</w:t>
      </w:r>
      <w:r>
        <w:rPr>
          <w:rFonts w:ascii="FangSong" w:hAnsi="FangSong" w:eastAsia="FangSong" w:cs="FangSong"/>
          <w:sz w:val="23"/>
          <w:szCs w:val="23"/>
          <w:spacing w:val="-2"/>
        </w:rPr>
        <w:t>50.69万元，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占2.38%；灾害防治及应急管理支出1,990.0</w:t>
      </w:r>
      <w:r>
        <w:rPr>
          <w:rFonts w:ascii="FangSong" w:hAnsi="FangSong" w:eastAsia="FangSong" w:cs="FangSong"/>
          <w:sz w:val="23"/>
          <w:szCs w:val="23"/>
          <w:spacing w:val="-3"/>
        </w:rPr>
        <w:t>9万元，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占93.33%等。</w:t>
      </w:r>
    </w:p>
    <w:p>
      <w:pPr>
        <w:ind w:firstLine="3425"/>
        <w:spacing w:before="140" w:line="2443" w:lineRule="exact"/>
        <w:rPr/>
      </w:pPr>
      <w:r>
        <w:rPr>
          <w:position w:val="-48"/>
        </w:rPr>
        <w:drawing>
          <wp:inline distT="0" distB="0" distL="0" distR="0">
            <wp:extent cx="2333735" cy="1551643"/>
            <wp:effectExtent l="0" t="0" r="0" b="0"/>
            <wp:docPr id="6" name="IM 6"/>
            <wp:cNvGraphicFramePr/>
            <a:graphic>
              <a:graphicData uri="http://schemas.openxmlformats.org/drawingml/2006/picture">
                <pic:pic>
                  <pic:nvPicPr>
                    <pic:cNvPr id="6" name="IM 6"/>
                    <pic:cNvPicPr/>
                  </pic:nvPicPr>
                  <pic:blipFill>
                    <a:blip r:embed="rId24"/>
                    <a:stretch>
                      <a:fillRect/>
                    </a:stretch>
                  </pic:blipFill>
                  <pic:spPr>
                    <a:xfrm rot="0">
                      <a:off x="0" y="0"/>
                      <a:ext cx="2333735" cy="1551643"/>
                    </a:xfrm>
                    <a:prstGeom prst="rect">
                      <a:avLst/>
                    </a:prstGeom>
                  </pic:spPr>
                </pic:pic>
              </a:graphicData>
            </a:graphic>
          </wp:inline>
        </w:drawing>
      </w:r>
    </w:p>
    <w:p>
      <w:pPr>
        <w:spacing w:line="274" w:lineRule="auto"/>
        <w:rPr>
          <w:rFonts w:ascii="Arial"/>
          <w:sz w:val="21"/>
        </w:rPr>
      </w:pPr>
      <w:r/>
    </w:p>
    <w:p>
      <w:pPr>
        <w:spacing w:line="275" w:lineRule="auto"/>
        <w:rPr>
          <w:rFonts w:ascii="Arial"/>
          <w:sz w:val="21"/>
        </w:rPr>
      </w:pPr>
      <w:r/>
    </w:p>
    <w:p>
      <w:pPr>
        <w:ind w:left="662"/>
        <w:spacing w:before="96" w:line="230" w:lineRule="exact"/>
        <w:outlineLvl w:val="1"/>
        <w:rPr>
          <w:rFonts w:ascii="Microsoft YaHei" w:hAnsi="Microsoft YaHei" w:eastAsia="Microsoft YaHei" w:cs="Microsoft YaHei"/>
          <w:sz w:val="22"/>
          <w:szCs w:val="22"/>
        </w:rPr>
      </w:pPr>
      <w:bookmarkStart w:name="bookmark25" w:id="42"/>
      <w:bookmarkEnd w:id="42"/>
      <w:r>
        <w:rPr>
          <w:rFonts w:ascii="Microsoft YaHei" w:hAnsi="Microsoft YaHei" w:eastAsia="Microsoft YaHei" w:cs="Microsoft YaHei"/>
          <w:sz w:val="22"/>
          <w:szCs w:val="22"/>
          <w:spacing w:val="8"/>
          <w:position w:val="-1"/>
        </w:rPr>
        <w:t>六、一般公共预算基本支出情况说明</w:t>
      </w:r>
    </w:p>
    <w:p>
      <w:pPr>
        <w:ind w:left="1120"/>
        <w:spacing w:before="174" w:line="222" w:lineRule="auto"/>
        <w:rPr>
          <w:rFonts w:ascii="FangSong" w:hAnsi="FangSong" w:eastAsia="FangSong" w:cs="FangSong"/>
          <w:sz w:val="23"/>
          <w:szCs w:val="23"/>
        </w:rPr>
      </w:pPr>
      <w:r>
        <w:rPr>
          <w:rFonts w:ascii="FangSong" w:hAnsi="FangSong" w:eastAsia="FangSong" w:cs="FangSong"/>
          <w:sz w:val="23"/>
          <w:szCs w:val="23"/>
        </w:rPr>
        <w:t>2025年度兴县应急管理局一般公共预算安排基本支出672.47万元，其中：</w:t>
      </w:r>
    </w:p>
    <w:p>
      <w:pPr>
        <w:ind w:left="664" w:right="623" w:firstLine="463"/>
        <w:spacing w:before="135" w:line="321" w:lineRule="auto"/>
        <w:rPr>
          <w:rFonts w:ascii="FangSong" w:hAnsi="FangSong" w:eastAsia="FangSong" w:cs="FangSong"/>
          <w:sz w:val="23"/>
          <w:szCs w:val="23"/>
        </w:rPr>
      </w:pPr>
      <w:r>
        <w:rPr>
          <w:rFonts w:ascii="FangSong" w:hAnsi="FangSong" w:eastAsia="FangSong" w:cs="FangSong"/>
          <w:sz w:val="23"/>
          <w:szCs w:val="23"/>
          <w:spacing w:val="5"/>
        </w:rPr>
        <w:t>人员经费617.72万元，主要包括：其他工资福利支出、公务员医疗补助缴费、其他社会</w:t>
      </w:r>
      <w:r>
        <w:rPr>
          <w:rFonts w:ascii="FangSong" w:hAnsi="FangSong" w:eastAsia="FangSong" w:cs="FangSong"/>
          <w:sz w:val="23"/>
          <w:szCs w:val="23"/>
          <w:spacing w:val="5"/>
        </w:rPr>
        <w:t>保障缴费、绩效工资、基本工资、机关事业单位基本养老保险缴费、奖金、退休费、住房公</w:t>
      </w:r>
      <w:r>
        <w:rPr>
          <w:rFonts w:ascii="FangSong" w:hAnsi="FangSong" w:eastAsia="FangSong" w:cs="FangSong"/>
          <w:sz w:val="23"/>
          <w:szCs w:val="23"/>
          <w:spacing w:val="-1"/>
        </w:rPr>
        <w:t>积金、职工基本医疗保险缴费、津贴补贴等；</w:t>
      </w:r>
    </w:p>
    <w:p>
      <w:pPr>
        <w:ind w:left="671" w:right="623" w:firstLine="458"/>
        <w:spacing w:before="10" w:line="322" w:lineRule="auto"/>
        <w:jc w:val="both"/>
        <w:rPr>
          <w:rFonts w:ascii="FangSong" w:hAnsi="FangSong" w:eastAsia="FangSong" w:cs="FangSong"/>
          <w:sz w:val="23"/>
          <w:szCs w:val="23"/>
        </w:rPr>
      </w:pPr>
      <w:r>
        <w:rPr>
          <w:rFonts w:ascii="FangSong" w:hAnsi="FangSong" w:eastAsia="FangSong" w:cs="FangSong"/>
          <w:sz w:val="23"/>
          <w:szCs w:val="23"/>
          <w:spacing w:val="7"/>
        </w:rPr>
        <w:t>公用经费54.75万元，主要包括：办公费、印刷费、邮电费、公</w:t>
      </w:r>
      <w:r>
        <w:rPr>
          <w:rFonts w:ascii="FangSong" w:hAnsi="FangSong" w:eastAsia="FangSong" w:cs="FangSong"/>
          <w:sz w:val="23"/>
          <w:szCs w:val="23"/>
          <w:spacing w:val="6"/>
        </w:rPr>
        <w:t>务用车运行维护费、</w:t>
      </w:r>
      <w:r>
        <w:rPr>
          <w:rFonts w:ascii="FangSong" w:hAnsi="FangSong" w:eastAsia="FangSong" w:cs="FangSong"/>
          <w:sz w:val="23"/>
          <w:szCs w:val="23"/>
          <w:spacing w:val="-65"/>
        </w:rPr>
        <w:t xml:space="preserve"> </w:t>
      </w:r>
      <w:r>
        <w:rPr>
          <w:rFonts w:ascii="FangSong" w:hAnsi="FangSong" w:eastAsia="FangSong" w:cs="FangSong"/>
          <w:sz w:val="23"/>
          <w:szCs w:val="23"/>
          <w:spacing w:val="6"/>
        </w:rPr>
        <w:t>电</w:t>
      </w:r>
      <w:r>
        <w:rPr>
          <w:rFonts w:ascii="FangSong" w:hAnsi="FangSong" w:eastAsia="FangSong" w:cs="FangSong"/>
          <w:sz w:val="23"/>
          <w:szCs w:val="23"/>
          <w:spacing w:val="5"/>
        </w:rPr>
        <w:t>费、物业管理费、福利费、其他交通费用、其他商品和服务支出、工会经费、差旅费、取暖</w:t>
      </w:r>
      <w:r>
        <w:rPr>
          <w:rFonts w:ascii="FangSong" w:hAnsi="FangSong" w:eastAsia="FangSong" w:cs="FangSong"/>
          <w:sz w:val="23"/>
          <w:szCs w:val="23"/>
          <w:spacing w:val="-4"/>
        </w:rPr>
        <w:t>费、水费等。</w:t>
      </w:r>
    </w:p>
    <w:p>
      <w:pPr>
        <w:ind w:left="655"/>
        <w:spacing w:before="5" w:line="228" w:lineRule="exact"/>
        <w:outlineLvl w:val="1"/>
        <w:rPr>
          <w:rFonts w:ascii="Microsoft YaHei" w:hAnsi="Microsoft YaHei" w:eastAsia="Microsoft YaHei" w:cs="Microsoft YaHei"/>
          <w:sz w:val="22"/>
          <w:szCs w:val="22"/>
        </w:rPr>
      </w:pPr>
      <w:bookmarkStart w:name="bookmark26" w:id="43"/>
      <w:bookmarkEnd w:id="43"/>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665" w:right="623" w:firstLine="454"/>
        <w:spacing w:before="173" w:line="324" w:lineRule="auto"/>
        <w:jc w:val="both"/>
        <w:rPr>
          <w:rFonts w:ascii="FangSong" w:hAnsi="FangSong" w:eastAsia="FangSong" w:cs="FangSong"/>
          <w:sz w:val="23"/>
          <w:szCs w:val="23"/>
        </w:rPr>
      </w:pPr>
      <w:r>
        <w:rPr>
          <w:rFonts w:ascii="FangSong" w:hAnsi="FangSong" w:eastAsia="FangSong" w:cs="FangSong"/>
          <w:sz w:val="23"/>
          <w:szCs w:val="23"/>
          <w:spacing w:val="9"/>
        </w:rPr>
        <w:t>2025年兴县应急管理局财政拨款安排的“</w:t>
      </w:r>
      <w:r>
        <w:rPr>
          <w:rFonts w:ascii="FangSong" w:hAnsi="FangSong" w:eastAsia="FangSong" w:cs="FangSong"/>
          <w:sz w:val="23"/>
          <w:szCs w:val="23"/>
          <w:spacing w:val="-81"/>
        </w:rPr>
        <w:t xml:space="preserve"> </w:t>
      </w:r>
      <w:r>
        <w:rPr>
          <w:rFonts w:ascii="FangSong" w:hAnsi="FangSong" w:eastAsia="FangSong" w:cs="FangSong"/>
          <w:sz w:val="23"/>
          <w:szCs w:val="23"/>
          <w:spacing w:val="9"/>
        </w:rPr>
        <w:t>三公</w:t>
      </w:r>
      <w:r>
        <w:rPr>
          <w:rFonts w:ascii="FangSong" w:hAnsi="FangSong" w:eastAsia="FangSong" w:cs="FangSong"/>
          <w:sz w:val="23"/>
          <w:szCs w:val="23"/>
          <w:spacing w:val="-71"/>
        </w:rPr>
        <w:t xml:space="preserve"> </w:t>
      </w:r>
      <w:r>
        <w:rPr>
          <w:rFonts w:ascii="FangSong" w:hAnsi="FangSong" w:eastAsia="FangSong" w:cs="FangSong"/>
          <w:sz w:val="23"/>
          <w:szCs w:val="23"/>
          <w:spacing w:val="8"/>
        </w:rPr>
        <w:t>”经费预算6.00万元与2024年预算数相</w:t>
      </w:r>
      <w:r>
        <w:rPr>
          <w:rFonts w:ascii="FangSong" w:hAnsi="FangSong" w:eastAsia="FangSong" w:cs="FangSong"/>
          <w:sz w:val="23"/>
          <w:szCs w:val="23"/>
          <w:spacing w:val="4"/>
        </w:rPr>
        <w:t>同。其中：</w:t>
      </w:r>
      <w:r>
        <w:rPr>
          <w:rFonts w:ascii="FangSong" w:hAnsi="FangSong" w:eastAsia="FangSong" w:cs="FangSong"/>
          <w:sz w:val="23"/>
          <w:szCs w:val="23"/>
          <w:spacing w:val="-66"/>
        </w:rPr>
        <w:t xml:space="preserve"> </w:t>
      </w:r>
      <w:r>
        <w:rPr>
          <w:rFonts w:ascii="FangSong" w:hAnsi="FangSong" w:eastAsia="FangSong" w:cs="FangSong"/>
          <w:sz w:val="23"/>
          <w:szCs w:val="23"/>
          <w:spacing w:val="4"/>
        </w:rPr>
        <w:t>因公出国（境）费0万元，与上年预算数相同；公务接待费0万元，与上</w:t>
      </w:r>
      <w:r>
        <w:rPr>
          <w:rFonts w:ascii="FangSong" w:hAnsi="FangSong" w:eastAsia="FangSong" w:cs="FangSong"/>
          <w:sz w:val="23"/>
          <w:szCs w:val="23"/>
          <w:spacing w:val="3"/>
        </w:rPr>
        <w:t>年预算数</w:t>
      </w:r>
      <w:r>
        <w:rPr>
          <w:rFonts w:ascii="FangSong" w:hAnsi="FangSong" w:eastAsia="FangSong" w:cs="FangSong"/>
          <w:sz w:val="23"/>
          <w:szCs w:val="23"/>
          <w:spacing w:val="10"/>
        </w:rPr>
        <w:t>相同；公务用车购置及运行费6.00万元，与上年预算数相同。公务用车运行维护费6.00万</w:t>
      </w:r>
      <w:r>
        <w:rPr>
          <w:rFonts w:ascii="FangSong" w:hAnsi="FangSong" w:eastAsia="FangSong" w:cs="FangSong"/>
          <w:sz w:val="23"/>
          <w:szCs w:val="23"/>
        </w:rPr>
        <w:t>元，与上年预算数相同；公务用车购置费0万元，与上年预算数相同。</w:t>
      </w:r>
    </w:p>
    <w:p>
      <w:pPr>
        <w:spacing w:line="264" w:lineRule="auto"/>
        <w:rPr>
          <w:rFonts w:ascii="Arial"/>
          <w:sz w:val="21"/>
        </w:rPr>
      </w:pPr>
      <w:r/>
    </w:p>
    <w:p>
      <w:pPr>
        <w:ind w:firstLine="1827"/>
        <w:spacing w:before="1" w:line="2551" w:lineRule="exact"/>
        <w:rPr/>
      </w:pPr>
      <w:r>
        <w:rPr>
          <w:position w:val="-51"/>
        </w:rPr>
        <w:drawing>
          <wp:inline distT="0" distB="0" distL="0" distR="0">
            <wp:extent cx="4401121" cy="1619879"/>
            <wp:effectExtent l="0" t="0" r="0" b="0"/>
            <wp:docPr id="8" name="IM 8"/>
            <wp:cNvGraphicFramePr/>
            <a:graphic>
              <a:graphicData uri="http://schemas.openxmlformats.org/drawingml/2006/picture">
                <pic:pic>
                  <pic:nvPicPr>
                    <pic:cNvPr id="8" name="IM 8"/>
                    <pic:cNvPicPr/>
                  </pic:nvPicPr>
                  <pic:blipFill>
                    <a:blip r:embed="rId25"/>
                    <a:stretch>
                      <a:fillRect/>
                    </a:stretch>
                  </pic:blipFill>
                  <pic:spPr>
                    <a:xfrm rot="0">
                      <a:off x="0" y="0"/>
                      <a:ext cx="4401121" cy="1619879"/>
                    </a:xfrm>
                    <a:prstGeom prst="rect">
                      <a:avLst/>
                    </a:prstGeom>
                  </pic:spPr>
                </pic:pic>
              </a:graphicData>
            </a:graphic>
          </wp:inline>
        </w:drawing>
      </w:r>
    </w:p>
    <w:p>
      <w:pPr>
        <w:spacing w:line="447" w:lineRule="auto"/>
        <w:rPr>
          <w:rFonts w:ascii="Arial"/>
          <w:sz w:val="21"/>
        </w:rPr>
      </w:pPr>
      <w:r/>
    </w:p>
    <w:p>
      <w:pPr>
        <w:ind w:left="653"/>
        <w:spacing w:before="99" w:line="231" w:lineRule="exact"/>
        <w:outlineLvl w:val="1"/>
        <w:rPr>
          <w:rFonts w:ascii="Microsoft YaHei" w:hAnsi="Microsoft YaHei" w:eastAsia="Microsoft YaHei" w:cs="Microsoft YaHei"/>
          <w:sz w:val="23"/>
          <w:szCs w:val="23"/>
        </w:rPr>
      </w:pPr>
      <w:bookmarkStart w:name="bookmark27" w:id="44"/>
      <w:bookmarkEnd w:id="44"/>
      <w:r>
        <w:rPr>
          <w:rFonts w:ascii="Microsoft YaHei" w:hAnsi="Microsoft YaHei" w:eastAsia="Microsoft YaHei" w:cs="Microsoft YaHei"/>
          <w:sz w:val="23"/>
          <w:szCs w:val="23"/>
          <w:spacing w:val="-1"/>
          <w:position w:val="-1"/>
        </w:rPr>
        <w:t>八、机关运行经费增减变动原因说明</w:t>
      </w:r>
    </w:p>
    <w:p>
      <w:pPr>
        <w:spacing w:line="231" w:lineRule="exact"/>
        <w:sectPr>
          <w:footerReference w:type="default" r:id="rId23"/>
          <w:pgSz w:w="11900" w:h="16840"/>
          <w:pgMar w:top="642" w:right="600" w:bottom="340" w:left="600" w:header="326" w:footer="111" w:gutter="0"/>
        </w:sectPr>
        <w:rPr>
          <w:rFonts w:ascii="Microsoft YaHei" w:hAnsi="Microsoft YaHei" w:eastAsia="Microsoft YaHei" w:cs="Microsoft YaHei"/>
          <w:sz w:val="23"/>
          <w:szCs w:val="23"/>
        </w:rPr>
      </w:pPr>
    </w:p>
    <w:p>
      <w:pPr>
        <w:spacing w:line="282" w:lineRule="auto"/>
        <w:rPr>
          <w:rFonts w:ascii="Arial"/>
          <w:sz w:val="21"/>
        </w:rPr>
      </w:pPr>
      <w:r/>
    </w:p>
    <w:p>
      <w:pPr>
        <w:spacing w:line="283" w:lineRule="auto"/>
        <w:rPr>
          <w:rFonts w:ascii="Arial"/>
          <w:sz w:val="21"/>
        </w:rPr>
      </w:pPr>
      <w:r/>
    </w:p>
    <w:p>
      <w:pPr>
        <w:ind w:left="668" w:right="671" w:firstLine="457"/>
        <w:spacing w:before="74" w:line="322" w:lineRule="auto"/>
        <w:rPr>
          <w:rFonts w:ascii="FangSong" w:hAnsi="FangSong" w:eastAsia="FangSong" w:cs="FangSong"/>
          <w:sz w:val="23"/>
          <w:szCs w:val="23"/>
        </w:rPr>
      </w:pPr>
      <w:r>
        <w:rPr>
          <w:rFonts w:ascii="FangSong" w:hAnsi="FangSong" w:eastAsia="FangSong" w:cs="FangSong"/>
          <w:sz w:val="23"/>
          <w:szCs w:val="23"/>
          <w:spacing w:val="3"/>
        </w:rPr>
        <w:t>本部门机关运行经费财政拨款预算42万元，</w:t>
      </w:r>
      <w:r>
        <w:rPr>
          <w:rFonts w:ascii="FangSong" w:hAnsi="FangSong" w:eastAsia="FangSong" w:cs="FangSong"/>
          <w:sz w:val="23"/>
          <w:szCs w:val="23"/>
          <w:spacing w:val="-67"/>
        </w:rPr>
        <w:t xml:space="preserve"> </w:t>
      </w:r>
      <w:r>
        <w:rPr>
          <w:rFonts w:ascii="FangSong" w:hAnsi="FangSong" w:eastAsia="FangSong" w:cs="FangSong"/>
          <w:sz w:val="23"/>
          <w:szCs w:val="23"/>
          <w:spacing w:val="3"/>
        </w:rPr>
        <w:t>比</w:t>
      </w:r>
      <w:r>
        <w:rPr>
          <w:rFonts w:ascii="FangSong" w:hAnsi="FangSong" w:eastAsia="FangSong" w:cs="FangSong"/>
          <w:sz w:val="23"/>
          <w:szCs w:val="23"/>
          <w:spacing w:val="2"/>
        </w:rPr>
        <w:t>2024年预算减少9.21万元，下降21.93%，</w:t>
      </w:r>
      <w:r>
        <w:rPr>
          <w:rFonts w:ascii="FangSong" w:hAnsi="FangSong" w:eastAsia="FangSong" w:cs="FangSong"/>
          <w:sz w:val="23"/>
          <w:szCs w:val="23"/>
          <w:spacing w:val="-2"/>
        </w:rPr>
        <w:t>原因是人员减少。</w:t>
      </w:r>
    </w:p>
    <w:p>
      <w:pPr>
        <w:ind w:left="658"/>
        <w:spacing w:before="5" w:line="225" w:lineRule="exact"/>
        <w:outlineLvl w:val="1"/>
        <w:rPr>
          <w:rFonts w:ascii="Microsoft YaHei" w:hAnsi="Microsoft YaHei" w:eastAsia="Microsoft YaHei" w:cs="Microsoft YaHei"/>
          <w:sz w:val="22"/>
          <w:szCs w:val="22"/>
        </w:rPr>
      </w:pPr>
      <w:bookmarkStart w:name="bookmark29" w:id="45"/>
      <w:bookmarkEnd w:id="45"/>
      <w:r>
        <w:rPr>
          <w:rFonts w:ascii="Microsoft YaHei" w:hAnsi="Microsoft YaHei" w:eastAsia="Microsoft YaHei" w:cs="Microsoft YaHei"/>
          <w:sz w:val="22"/>
          <w:szCs w:val="22"/>
          <w:spacing w:val="9"/>
          <w:position w:val="-1"/>
        </w:rPr>
        <w:t>九、政府采购情况</w:t>
      </w:r>
    </w:p>
    <w:p>
      <w:pPr>
        <w:ind w:left="665" w:right="623" w:firstLine="454"/>
        <w:spacing w:before="176" w:line="322" w:lineRule="auto"/>
        <w:rPr>
          <w:rFonts w:ascii="FangSong" w:hAnsi="FangSong" w:eastAsia="FangSong" w:cs="FangSong"/>
          <w:sz w:val="23"/>
          <w:szCs w:val="23"/>
        </w:rPr>
      </w:pPr>
      <w:r>
        <w:rPr>
          <w:rFonts w:ascii="FangSong" w:hAnsi="FangSong" w:eastAsia="FangSong" w:cs="FangSong"/>
          <w:sz w:val="23"/>
          <w:szCs w:val="23"/>
          <w:spacing w:val="5"/>
        </w:rPr>
        <w:t>2025年兴县应急管理局政府采购预算总额435.00万元。其</w:t>
      </w:r>
      <w:r>
        <w:rPr>
          <w:rFonts w:ascii="FangSong" w:hAnsi="FangSong" w:eastAsia="FangSong" w:cs="FangSong"/>
          <w:sz w:val="23"/>
          <w:szCs w:val="23"/>
          <w:spacing w:val="4"/>
        </w:rPr>
        <w:t>中：政府采购货物预算435.00</w:t>
      </w:r>
      <w:r>
        <w:rPr>
          <w:rFonts w:ascii="FangSong" w:hAnsi="FangSong" w:eastAsia="FangSong" w:cs="FangSong"/>
          <w:sz w:val="23"/>
          <w:szCs w:val="23"/>
        </w:rPr>
        <w:t>万元、政府采购工程预算0万元、政府采购服务预算</w:t>
      </w:r>
      <w:r>
        <w:rPr>
          <w:rFonts w:ascii="FangSong" w:hAnsi="FangSong" w:eastAsia="FangSong" w:cs="FangSong"/>
          <w:sz w:val="23"/>
          <w:szCs w:val="23"/>
          <w:spacing w:val="-1"/>
        </w:rPr>
        <w:t>0万元。</w:t>
      </w:r>
    </w:p>
    <w:p>
      <w:pPr>
        <w:ind w:left="660"/>
        <w:spacing w:before="4" w:line="230" w:lineRule="exact"/>
        <w:outlineLvl w:val="1"/>
        <w:rPr>
          <w:rFonts w:ascii="Microsoft YaHei" w:hAnsi="Microsoft YaHei" w:eastAsia="Microsoft YaHei" w:cs="Microsoft YaHei"/>
          <w:sz w:val="22"/>
          <w:szCs w:val="22"/>
        </w:rPr>
      </w:pPr>
      <w:bookmarkStart w:name="bookmark30" w:id="46"/>
      <w:bookmarkEnd w:id="46"/>
      <w:r>
        <w:rPr>
          <w:rFonts w:ascii="Microsoft YaHei" w:hAnsi="Microsoft YaHei" w:eastAsia="Microsoft YaHei" w:cs="Microsoft YaHei"/>
          <w:sz w:val="22"/>
          <w:szCs w:val="22"/>
          <w:spacing w:val="9"/>
          <w:position w:val="-1"/>
        </w:rPr>
        <w:t>十、绩效管理情况</w:t>
      </w:r>
    </w:p>
    <w:p>
      <w:pPr>
        <w:ind w:left="11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663" w:right="623" w:hanging="4"/>
        <w:spacing w:before="123" w:line="324" w:lineRule="auto"/>
        <w:jc w:val="both"/>
        <w:rPr>
          <w:rFonts w:ascii="FangSong" w:hAnsi="FangSong" w:eastAsia="FangSong" w:cs="FangSong"/>
          <w:sz w:val="23"/>
          <w:szCs w:val="23"/>
        </w:rPr>
      </w:pPr>
      <w:r>
        <w:rPr>
          <w:rFonts w:ascii="FangSong" w:hAnsi="FangSong" w:eastAsia="FangSong" w:cs="FangSong"/>
          <w:sz w:val="23"/>
          <w:szCs w:val="23"/>
          <w:spacing w:val="2"/>
        </w:rPr>
        <w:t>2025年编报部门整体支出绩效目标，涉及部门预算资金2237.24万元，其中基本支出672.47万</w:t>
      </w:r>
      <w:r>
        <w:rPr>
          <w:rFonts w:ascii="FangSong" w:hAnsi="FangSong" w:eastAsia="FangSong" w:cs="FangSong"/>
          <w:sz w:val="23"/>
          <w:szCs w:val="23"/>
          <w:spacing w:val="2"/>
        </w:rPr>
        <w:t>元，项目支出1459.77万元；机关及下属预算单位1个，其中1个单位（包括机关）编报了单位</w:t>
      </w:r>
      <w:r>
        <w:rPr>
          <w:rFonts w:ascii="FangSong" w:hAnsi="FangSong" w:eastAsia="FangSong" w:cs="FangSong"/>
          <w:sz w:val="23"/>
          <w:szCs w:val="23"/>
          <w:spacing w:val="-1"/>
        </w:rPr>
        <w:t>整体绩效目标，涉及资金2237.24万元。</w:t>
      </w:r>
    </w:p>
    <w:p>
      <w:pPr>
        <w:ind w:left="664"/>
        <w:spacing w:line="222" w:lineRule="auto"/>
        <w:rPr>
          <w:rFonts w:ascii="FangSong" w:hAnsi="FangSong" w:eastAsia="FangSong" w:cs="FangSong"/>
          <w:sz w:val="23"/>
          <w:szCs w:val="23"/>
        </w:rPr>
      </w:pPr>
      <w:r>
        <w:rPr>
          <w:rFonts w:ascii="FangSong" w:hAnsi="FangSong" w:eastAsia="FangSong" w:cs="FangSong"/>
          <w:sz w:val="23"/>
          <w:szCs w:val="23"/>
          <w:spacing w:val="-1"/>
        </w:rPr>
        <w:t>（部门整体目标表公开情况见附件）</w:t>
      </w:r>
    </w:p>
    <w:p>
      <w:pPr>
        <w:ind w:left="1120"/>
        <w:spacing w:before="134"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667" w:right="623" w:firstLine="453"/>
        <w:spacing w:before="121" w:line="324" w:lineRule="auto"/>
        <w:rPr>
          <w:rFonts w:ascii="FangSong" w:hAnsi="FangSong" w:eastAsia="FangSong" w:cs="FangSong"/>
          <w:sz w:val="23"/>
          <w:szCs w:val="23"/>
        </w:rPr>
      </w:pPr>
      <w:r>
        <w:rPr>
          <w:rFonts w:ascii="FangSong" w:hAnsi="FangSong" w:eastAsia="FangSong" w:cs="FangSong"/>
          <w:sz w:val="23"/>
          <w:szCs w:val="23"/>
          <w:spacing w:val="5"/>
        </w:rPr>
        <w:t>2025年兴县应急管理局纳入绩效目标管理的二级项目19个，共计金额1</w:t>
      </w:r>
      <w:r>
        <w:rPr>
          <w:rFonts w:ascii="FangSong" w:hAnsi="FangSong" w:eastAsia="FangSong" w:cs="FangSong"/>
          <w:sz w:val="23"/>
          <w:szCs w:val="23"/>
          <w:spacing w:val="4"/>
        </w:rPr>
        <w:t>,459.77万元。其</w:t>
      </w:r>
      <w:r>
        <w:rPr>
          <w:rFonts w:ascii="FangSong" w:hAnsi="FangSong" w:eastAsia="FangSong" w:cs="FangSong"/>
          <w:sz w:val="23"/>
          <w:szCs w:val="23"/>
          <w:spacing w:val="2"/>
        </w:rPr>
        <w:t>中：其他运转类项目11个，涉及金额203.40万元；特定目标类项目8个，涉及金额1,2</w:t>
      </w:r>
      <w:r>
        <w:rPr>
          <w:rFonts w:ascii="FangSong" w:hAnsi="FangSong" w:eastAsia="FangSong" w:cs="FangSong"/>
          <w:sz w:val="23"/>
          <w:szCs w:val="23"/>
          <w:spacing w:val="1"/>
        </w:rPr>
        <w:t>56.37万</w:t>
      </w:r>
      <w:r>
        <w:rPr>
          <w:rFonts w:ascii="FangSong" w:hAnsi="FangSong" w:eastAsia="FangSong" w:cs="FangSong"/>
          <w:sz w:val="23"/>
          <w:szCs w:val="23"/>
          <w:spacing w:val="3"/>
        </w:rPr>
        <w:t>元。公开项目绩效目标19个，涉及项目金额1,459.77万元，</w:t>
      </w:r>
      <w:r>
        <w:rPr>
          <w:rFonts w:ascii="FangSong" w:hAnsi="FangSong" w:eastAsia="FangSong" w:cs="FangSong"/>
          <w:sz w:val="23"/>
          <w:szCs w:val="23"/>
          <w:spacing w:val="-43"/>
        </w:rPr>
        <w:t xml:space="preserve"> </w:t>
      </w:r>
      <w:r>
        <w:rPr>
          <w:rFonts w:ascii="FangSong" w:hAnsi="FangSong" w:eastAsia="FangSong" w:cs="FangSong"/>
          <w:sz w:val="23"/>
          <w:szCs w:val="23"/>
          <w:spacing w:val="3"/>
        </w:rPr>
        <w:t>占部门（单位）项目支出总额的</w:t>
      </w:r>
      <w:r>
        <w:rPr>
          <w:rFonts w:ascii="FangSong" w:hAnsi="FangSong" w:eastAsia="FangSong" w:cs="FangSong"/>
          <w:sz w:val="23"/>
          <w:szCs w:val="23"/>
          <w:spacing w:val="2"/>
        </w:rPr>
        <w:t>100%。其中：其他运转类项目11个，涉及项目金额203.40万元；特定目标类项目8个，涉</w:t>
      </w:r>
      <w:r>
        <w:rPr>
          <w:rFonts w:ascii="FangSong" w:hAnsi="FangSong" w:eastAsia="FangSong" w:cs="FangSong"/>
          <w:sz w:val="23"/>
          <w:szCs w:val="23"/>
          <w:spacing w:val="1"/>
        </w:rPr>
        <w:t>及项</w:t>
      </w:r>
      <w:r>
        <w:rPr>
          <w:rFonts w:ascii="FangSong" w:hAnsi="FangSong" w:eastAsia="FangSong" w:cs="FangSong"/>
          <w:sz w:val="23"/>
          <w:szCs w:val="23"/>
          <w:spacing w:val="-1"/>
        </w:rPr>
        <w:t>目金额1,256.37万元。</w:t>
      </w:r>
    </w:p>
    <w:p>
      <w:pPr>
        <w:ind w:left="664"/>
        <w:spacing w:before="4" w:line="223"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3" w:lineRule="auto"/>
        <w:sectPr>
          <w:footerReference w:type="default" r:id="rId26"/>
          <w:pgSz w:w="11900" w:h="16840"/>
          <w:pgMar w:top="642" w:right="600" w:bottom="340" w:left="600" w:header="326" w:footer="111" w:gutter="0"/>
        </w:sectPr>
        <w:rPr>
          <w:rFonts w:ascii="FangSong" w:hAnsi="FangSong" w:eastAsia="FangSong" w:cs="FangSong"/>
          <w:sz w:val="23"/>
          <w:szCs w:val="23"/>
        </w:rPr>
      </w:pPr>
    </w:p>
    <w:p>
      <w:pPr>
        <w:spacing w:line="277" w:lineRule="auto"/>
        <w:rPr>
          <w:rFonts w:ascii="Arial"/>
          <w:sz w:val="21"/>
        </w:rPr>
      </w:pPr>
      <w:r/>
    </w:p>
    <w:p>
      <w:pPr>
        <w:spacing w:line="278" w:lineRule="auto"/>
        <w:rPr>
          <w:rFonts w:ascii="Arial"/>
          <w:sz w:val="21"/>
        </w:rPr>
      </w:pPr>
      <w:r/>
    </w:p>
    <w:p>
      <w:pPr>
        <w:ind w:firstLine="1373"/>
        <w:spacing w:line="10617" w:lineRule="exact"/>
        <w:rPr/>
      </w:pPr>
      <w:r>
        <w:rPr>
          <w:position w:val="-212"/>
        </w:rPr>
        <w:drawing>
          <wp:inline distT="0" distB="0" distL="0" distR="0">
            <wp:extent cx="5066588" cy="6741721"/>
            <wp:effectExtent l="0" t="0" r="0" b="0"/>
            <wp:docPr id="10" name="IM 10"/>
            <wp:cNvGraphicFramePr/>
            <a:graphic>
              <a:graphicData uri="http://schemas.openxmlformats.org/drawingml/2006/picture">
                <pic:pic>
                  <pic:nvPicPr>
                    <pic:cNvPr id="10" name="IM 10"/>
                    <pic:cNvPicPr/>
                  </pic:nvPicPr>
                  <pic:blipFill>
                    <a:blip r:embed="rId28"/>
                    <a:stretch>
                      <a:fillRect/>
                    </a:stretch>
                  </pic:blipFill>
                  <pic:spPr>
                    <a:xfrm rot="0">
                      <a:off x="0" y="0"/>
                      <a:ext cx="5066588" cy="6741721"/>
                    </a:xfrm>
                    <a:prstGeom prst="rect">
                      <a:avLst/>
                    </a:prstGeom>
                  </pic:spPr>
                </pic:pic>
              </a:graphicData>
            </a:graphic>
          </wp:inline>
        </w:drawing>
      </w:r>
    </w:p>
    <w:p>
      <w:pPr>
        <w:spacing w:line="10617" w:lineRule="exact"/>
        <w:sectPr>
          <w:footerReference w:type="default" r:id="rId27"/>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73"/>
        <w:spacing w:line="10228" w:lineRule="exact"/>
        <w:rPr/>
      </w:pPr>
      <w:r>
        <w:rPr>
          <w:position w:val="-204"/>
        </w:rPr>
        <w:drawing>
          <wp:inline distT="0" distB="0" distL="0" distR="0">
            <wp:extent cx="5066588" cy="6494571"/>
            <wp:effectExtent l="0" t="0" r="0" b="0"/>
            <wp:docPr id="12" name="IM 12"/>
            <wp:cNvGraphicFramePr/>
            <a:graphic>
              <a:graphicData uri="http://schemas.openxmlformats.org/drawingml/2006/picture">
                <pic:pic>
                  <pic:nvPicPr>
                    <pic:cNvPr id="12" name="IM 12"/>
                    <pic:cNvPicPr/>
                  </pic:nvPicPr>
                  <pic:blipFill>
                    <a:blip r:embed="rId30"/>
                    <a:stretch>
                      <a:fillRect/>
                    </a:stretch>
                  </pic:blipFill>
                  <pic:spPr>
                    <a:xfrm rot="0">
                      <a:off x="0" y="0"/>
                      <a:ext cx="5066588" cy="6494571"/>
                    </a:xfrm>
                    <a:prstGeom prst="rect">
                      <a:avLst/>
                    </a:prstGeom>
                  </pic:spPr>
                </pic:pic>
              </a:graphicData>
            </a:graphic>
          </wp:inline>
        </w:drawing>
      </w:r>
    </w:p>
    <w:p>
      <w:pPr>
        <w:spacing w:line="10228" w:lineRule="exact"/>
        <w:sectPr>
          <w:footerReference w:type="default" r:id="rId29"/>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51"/>
        <w:spacing w:line="10131" w:lineRule="exact"/>
        <w:rPr/>
      </w:pPr>
      <w:r>
        <w:rPr>
          <w:position w:val="-202"/>
        </w:rPr>
        <w:drawing>
          <wp:inline distT="0" distB="0" distL="0" distR="0">
            <wp:extent cx="5094050" cy="6432783"/>
            <wp:effectExtent l="0" t="0" r="0" b="0"/>
            <wp:docPr id="14" name="IM 14"/>
            <wp:cNvGraphicFramePr/>
            <a:graphic>
              <a:graphicData uri="http://schemas.openxmlformats.org/drawingml/2006/picture">
                <pic:pic>
                  <pic:nvPicPr>
                    <pic:cNvPr id="14" name="IM 14"/>
                    <pic:cNvPicPr/>
                  </pic:nvPicPr>
                  <pic:blipFill>
                    <a:blip r:embed="rId32"/>
                    <a:stretch>
                      <a:fillRect/>
                    </a:stretch>
                  </pic:blipFill>
                  <pic:spPr>
                    <a:xfrm rot="0">
                      <a:off x="0" y="0"/>
                      <a:ext cx="5094050" cy="6432783"/>
                    </a:xfrm>
                    <a:prstGeom prst="rect">
                      <a:avLst/>
                    </a:prstGeom>
                  </pic:spPr>
                </pic:pic>
              </a:graphicData>
            </a:graphic>
          </wp:inline>
        </w:drawing>
      </w:r>
    </w:p>
    <w:p>
      <w:pPr>
        <w:spacing w:line="10131" w:lineRule="exact"/>
        <w:sectPr>
          <w:footerReference w:type="default" r:id="rId3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62"/>
        <w:spacing w:line="10996" w:lineRule="exact"/>
        <w:rPr/>
      </w:pPr>
      <w:r>
        <w:rPr>
          <w:position w:val="-219"/>
        </w:rPr>
        <w:drawing>
          <wp:inline distT="0" distB="0" distL="0" distR="0">
            <wp:extent cx="5080319" cy="6982007"/>
            <wp:effectExtent l="0" t="0" r="0" b="0"/>
            <wp:docPr id="16" name="IM 16"/>
            <wp:cNvGraphicFramePr/>
            <a:graphic>
              <a:graphicData uri="http://schemas.openxmlformats.org/drawingml/2006/picture">
                <pic:pic>
                  <pic:nvPicPr>
                    <pic:cNvPr id="16" name="IM 16"/>
                    <pic:cNvPicPr/>
                  </pic:nvPicPr>
                  <pic:blipFill>
                    <a:blip r:embed="rId34"/>
                    <a:stretch>
                      <a:fillRect/>
                    </a:stretch>
                  </pic:blipFill>
                  <pic:spPr>
                    <a:xfrm rot="0">
                      <a:off x="0" y="0"/>
                      <a:ext cx="5080319" cy="6982007"/>
                    </a:xfrm>
                    <a:prstGeom prst="rect">
                      <a:avLst/>
                    </a:prstGeom>
                  </pic:spPr>
                </pic:pic>
              </a:graphicData>
            </a:graphic>
          </wp:inline>
        </w:drawing>
      </w:r>
    </w:p>
    <w:p>
      <w:pPr>
        <w:spacing w:line="10996" w:lineRule="exact"/>
        <w:sectPr>
          <w:footerReference w:type="default" r:id="rId33"/>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51"/>
        <w:spacing w:line="10942" w:lineRule="exact"/>
        <w:rPr/>
      </w:pPr>
      <w:r>
        <w:rPr>
          <w:position w:val="-218"/>
        </w:rPr>
        <w:drawing>
          <wp:inline distT="0" distB="0" distL="0" distR="0">
            <wp:extent cx="5094050" cy="6947680"/>
            <wp:effectExtent l="0" t="0" r="0" b="0"/>
            <wp:docPr id="18" name="IM 18"/>
            <wp:cNvGraphicFramePr/>
            <a:graphic>
              <a:graphicData uri="http://schemas.openxmlformats.org/drawingml/2006/picture">
                <pic:pic>
                  <pic:nvPicPr>
                    <pic:cNvPr id="18" name="IM 18"/>
                    <pic:cNvPicPr/>
                  </pic:nvPicPr>
                  <pic:blipFill>
                    <a:blip r:embed="rId36"/>
                    <a:stretch>
                      <a:fillRect/>
                    </a:stretch>
                  </pic:blipFill>
                  <pic:spPr>
                    <a:xfrm rot="0">
                      <a:off x="0" y="0"/>
                      <a:ext cx="5094050" cy="6947680"/>
                    </a:xfrm>
                    <a:prstGeom prst="rect">
                      <a:avLst/>
                    </a:prstGeom>
                  </pic:spPr>
                </pic:pic>
              </a:graphicData>
            </a:graphic>
          </wp:inline>
        </w:drawing>
      </w:r>
    </w:p>
    <w:p>
      <w:pPr>
        <w:spacing w:line="10942" w:lineRule="exact"/>
        <w:sectPr>
          <w:footerReference w:type="default" r:id="rId3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390" w:lineRule="exact"/>
        <w:rPr/>
      </w:pPr>
      <w:r>
        <w:rPr>
          <w:position w:val="-207"/>
        </w:rPr>
        <w:drawing>
          <wp:inline distT="0" distB="0" distL="0" distR="0">
            <wp:extent cx="5045993" cy="6597550"/>
            <wp:effectExtent l="0" t="0" r="0" b="0"/>
            <wp:docPr id="20" name="IM 20"/>
            <wp:cNvGraphicFramePr/>
            <a:graphic>
              <a:graphicData uri="http://schemas.openxmlformats.org/drawingml/2006/picture">
                <pic:pic>
                  <pic:nvPicPr>
                    <pic:cNvPr id="20" name="IM 20"/>
                    <pic:cNvPicPr/>
                  </pic:nvPicPr>
                  <pic:blipFill>
                    <a:blip r:embed="rId38"/>
                    <a:stretch>
                      <a:fillRect/>
                    </a:stretch>
                  </pic:blipFill>
                  <pic:spPr>
                    <a:xfrm rot="0">
                      <a:off x="0" y="0"/>
                      <a:ext cx="5045993" cy="6597550"/>
                    </a:xfrm>
                    <a:prstGeom prst="rect">
                      <a:avLst/>
                    </a:prstGeom>
                  </pic:spPr>
                </pic:pic>
              </a:graphicData>
            </a:graphic>
          </wp:inline>
        </w:drawing>
      </w:r>
    </w:p>
    <w:p>
      <w:pPr>
        <w:spacing w:line="10390" w:lineRule="exact"/>
        <w:sectPr>
          <w:footerReference w:type="default" r:id="rId3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585" w:lineRule="exact"/>
        <w:rPr/>
      </w:pPr>
      <w:r>
        <w:rPr>
          <w:position w:val="-211"/>
        </w:rPr>
        <w:drawing>
          <wp:inline distT="0" distB="0" distL="0" distR="0">
            <wp:extent cx="5045993" cy="6721126"/>
            <wp:effectExtent l="0" t="0" r="0" b="0"/>
            <wp:docPr id="22" name="IM 22"/>
            <wp:cNvGraphicFramePr/>
            <a:graphic>
              <a:graphicData uri="http://schemas.openxmlformats.org/drawingml/2006/picture">
                <pic:pic>
                  <pic:nvPicPr>
                    <pic:cNvPr id="22" name="IM 22"/>
                    <pic:cNvPicPr/>
                  </pic:nvPicPr>
                  <pic:blipFill>
                    <a:blip r:embed="rId40"/>
                    <a:stretch>
                      <a:fillRect/>
                    </a:stretch>
                  </pic:blipFill>
                  <pic:spPr>
                    <a:xfrm rot="0">
                      <a:off x="0" y="0"/>
                      <a:ext cx="5045993" cy="6721126"/>
                    </a:xfrm>
                    <a:prstGeom prst="rect">
                      <a:avLst/>
                    </a:prstGeom>
                  </pic:spPr>
                </pic:pic>
              </a:graphicData>
            </a:graphic>
          </wp:inline>
        </w:drawing>
      </w:r>
    </w:p>
    <w:p>
      <w:pPr>
        <w:spacing w:line="10585" w:lineRule="exact"/>
        <w:sectPr>
          <w:footerReference w:type="default" r:id="rId3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736" w:lineRule="exact"/>
        <w:rPr/>
      </w:pPr>
      <w:r>
        <w:rPr>
          <w:position w:val="-214"/>
        </w:rPr>
        <w:drawing>
          <wp:inline distT="0" distB="0" distL="0" distR="0">
            <wp:extent cx="5045993" cy="6817241"/>
            <wp:effectExtent l="0" t="0" r="0" b="0"/>
            <wp:docPr id="24" name="IM 24"/>
            <wp:cNvGraphicFramePr/>
            <a:graphic>
              <a:graphicData uri="http://schemas.openxmlformats.org/drawingml/2006/picture">
                <pic:pic>
                  <pic:nvPicPr>
                    <pic:cNvPr id="24" name="IM 24"/>
                    <pic:cNvPicPr/>
                  </pic:nvPicPr>
                  <pic:blipFill>
                    <a:blip r:embed="rId42"/>
                    <a:stretch>
                      <a:fillRect/>
                    </a:stretch>
                  </pic:blipFill>
                  <pic:spPr>
                    <a:xfrm rot="0">
                      <a:off x="0" y="0"/>
                      <a:ext cx="5045993" cy="6817241"/>
                    </a:xfrm>
                    <a:prstGeom prst="rect">
                      <a:avLst/>
                    </a:prstGeom>
                  </pic:spPr>
                </pic:pic>
              </a:graphicData>
            </a:graphic>
          </wp:inline>
        </w:drawing>
      </w:r>
    </w:p>
    <w:p>
      <w:pPr>
        <w:spacing w:line="10736" w:lineRule="exact"/>
        <w:sectPr>
          <w:footerReference w:type="default" r:id="rId4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509" w:lineRule="exact"/>
        <w:rPr/>
      </w:pPr>
      <w:r>
        <w:rPr>
          <w:position w:val="-210"/>
        </w:rPr>
        <w:drawing>
          <wp:inline distT="0" distB="0" distL="0" distR="0">
            <wp:extent cx="5045993" cy="6673068"/>
            <wp:effectExtent l="0" t="0" r="0" b="0"/>
            <wp:docPr id="26" name="IM 26"/>
            <wp:cNvGraphicFramePr/>
            <a:graphic>
              <a:graphicData uri="http://schemas.openxmlformats.org/drawingml/2006/picture">
                <pic:pic>
                  <pic:nvPicPr>
                    <pic:cNvPr id="26" name="IM 26"/>
                    <pic:cNvPicPr/>
                  </pic:nvPicPr>
                  <pic:blipFill>
                    <a:blip r:embed="rId44"/>
                    <a:stretch>
                      <a:fillRect/>
                    </a:stretch>
                  </pic:blipFill>
                  <pic:spPr>
                    <a:xfrm rot="0">
                      <a:off x="0" y="0"/>
                      <a:ext cx="5045993" cy="6673068"/>
                    </a:xfrm>
                    <a:prstGeom prst="rect">
                      <a:avLst/>
                    </a:prstGeom>
                  </pic:spPr>
                </pic:pic>
              </a:graphicData>
            </a:graphic>
          </wp:inline>
        </w:drawing>
      </w:r>
    </w:p>
    <w:p>
      <w:pPr>
        <w:spacing w:line="10509" w:lineRule="exact"/>
        <w:sectPr>
          <w:footerReference w:type="default" r:id="rId4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1882" w:lineRule="exact"/>
        <w:rPr/>
      </w:pPr>
      <w:r>
        <w:rPr>
          <w:position w:val="-237"/>
        </w:rPr>
        <w:drawing>
          <wp:inline distT="0" distB="0" distL="0" distR="0">
            <wp:extent cx="5045993" cy="7544961"/>
            <wp:effectExtent l="0" t="0" r="0" b="0"/>
            <wp:docPr id="28" name="IM 28"/>
            <wp:cNvGraphicFramePr/>
            <a:graphic>
              <a:graphicData uri="http://schemas.openxmlformats.org/drawingml/2006/picture">
                <pic:pic>
                  <pic:nvPicPr>
                    <pic:cNvPr id="28" name="IM 28"/>
                    <pic:cNvPicPr/>
                  </pic:nvPicPr>
                  <pic:blipFill>
                    <a:blip r:embed="rId46"/>
                    <a:stretch>
                      <a:fillRect/>
                    </a:stretch>
                  </pic:blipFill>
                  <pic:spPr>
                    <a:xfrm rot="0">
                      <a:off x="0" y="0"/>
                      <a:ext cx="5045993" cy="7544961"/>
                    </a:xfrm>
                    <a:prstGeom prst="rect">
                      <a:avLst/>
                    </a:prstGeom>
                  </pic:spPr>
                </pic:pic>
              </a:graphicData>
            </a:graphic>
          </wp:inline>
        </w:drawing>
      </w:r>
    </w:p>
    <w:p>
      <w:pPr>
        <w:spacing w:line="11882" w:lineRule="exact"/>
        <w:sectPr>
          <w:footerReference w:type="default" r:id="rId4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2661" w:lineRule="exact"/>
        <w:rPr/>
      </w:pPr>
      <w:r>
        <w:rPr>
          <w:position w:val="-253"/>
        </w:rPr>
        <w:drawing>
          <wp:inline distT="0" distB="0" distL="0" distR="0">
            <wp:extent cx="5045993" cy="8039263"/>
            <wp:effectExtent l="0" t="0" r="0" b="0"/>
            <wp:docPr id="30" name="IM 30"/>
            <wp:cNvGraphicFramePr/>
            <a:graphic>
              <a:graphicData uri="http://schemas.openxmlformats.org/drawingml/2006/picture">
                <pic:pic>
                  <pic:nvPicPr>
                    <pic:cNvPr id="30" name="IM 30"/>
                    <pic:cNvPicPr/>
                  </pic:nvPicPr>
                  <pic:blipFill>
                    <a:blip r:embed="rId48"/>
                    <a:stretch>
                      <a:fillRect/>
                    </a:stretch>
                  </pic:blipFill>
                  <pic:spPr>
                    <a:xfrm rot="0">
                      <a:off x="0" y="0"/>
                      <a:ext cx="5045993" cy="8039263"/>
                    </a:xfrm>
                    <a:prstGeom prst="rect">
                      <a:avLst/>
                    </a:prstGeom>
                  </pic:spPr>
                </pic:pic>
              </a:graphicData>
            </a:graphic>
          </wp:inline>
        </w:drawing>
      </w:r>
    </w:p>
    <w:p>
      <w:pPr>
        <w:spacing w:line="12661" w:lineRule="exact"/>
        <w:sectPr>
          <w:footerReference w:type="default" r:id="rId4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83"/>
        <w:spacing w:line="11298" w:lineRule="exact"/>
        <w:rPr/>
      </w:pPr>
      <w:r>
        <w:rPr>
          <w:position w:val="-225"/>
        </w:rPr>
        <w:drawing>
          <wp:inline distT="0" distB="0" distL="0" distR="0">
            <wp:extent cx="5052859" cy="7174235"/>
            <wp:effectExtent l="0" t="0" r="0" b="0"/>
            <wp:docPr id="32" name="IM 32"/>
            <wp:cNvGraphicFramePr/>
            <a:graphic>
              <a:graphicData uri="http://schemas.openxmlformats.org/drawingml/2006/picture">
                <pic:pic>
                  <pic:nvPicPr>
                    <pic:cNvPr id="32" name="IM 32"/>
                    <pic:cNvPicPr/>
                  </pic:nvPicPr>
                  <pic:blipFill>
                    <a:blip r:embed="rId50"/>
                    <a:stretch>
                      <a:fillRect/>
                    </a:stretch>
                  </pic:blipFill>
                  <pic:spPr>
                    <a:xfrm rot="0">
                      <a:off x="0" y="0"/>
                      <a:ext cx="5052859" cy="7174235"/>
                    </a:xfrm>
                    <a:prstGeom prst="rect">
                      <a:avLst/>
                    </a:prstGeom>
                  </pic:spPr>
                </pic:pic>
              </a:graphicData>
            </a:graphic>
          </wp:inline>
        </w:drawing>
      </w:r>
    </w:p>
    <w:p>
      <w:pPr>
        <w:spacing w:line="11298" w:lineRule="exact"/>
        <w:sectPr>
          <w:footerReference w:type="default" r:id="rId4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1709" w:lineRule="exact"/>
        <w:rPr/>
      </w:pPr>
      <w:r>
        <w:rPr>
          <w:position w:val="-234"/>
        </w:rPr>
        <w:drawing>
          <wp:inline distT="0" distB="0" distL="0" distR="0">
            <wp:extent cx="5045993" cy="7435117"/>
            <wp:effectExtent l="0" t="0" r="0" b="0"/>
            <wp:docPr id="34" name="IM 34"/>
            <wp:cNvGraphicFramePr/>
            <a:graphic>
              <a:graphicData uri="http://schemas.openxmlformats.org/drawingml/2006/picture">
                <pic:pic>
                  <pic:nvPicPr>
                    <pic:cNvPr id="34" name="IM 34"/>
                    <pic:cNvPicPr/>
                  </pic:nvPicPr>
                  <pic:blipFill>
                    <a:blip r:embed="rId52"/>
                    <a:stretch>
                      <a:fillRect/>
                    </a:stretch>
                  </pic:blipFill>
                  <pic:spPr>
                    <a:xfrm rot="0">
                      <a:off x="0" y="0"/>
                      <a:ext cx="5045993" cy="7435117"/>
                    </a:xfrm>
                    <a:prstGeom prst="rect">
                      <a:avLst/>
                    </a:prstGeom>
                  </pic:spPr>
                </pic:pic>
              </a:graphicData>
            </a:graphic>
          </wp:inline>
        </w:drawing>
      </w:r>
    </w:p>
    <w:p>
      <w:pPr>
        <w:spacing w:line="11709" w:lineRule="exact"/>
        <w:sectPr>
          <w:footerReference w:type="default" r:id="rId5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9893" w:lineRule="exact"/>
        <w:rPr/>
      </w:pPr>
      <w:r>
        <w:rPr>
          <w:position w:val="-197"/>
        </w:rPr>
        <w:drawing>
          <wp:inline distT="0" distB="0" distL="0" distR="0">
            <wp:extent cx="5045993" cy="6281747"/>
            <wp:effectExtent l="0" t="0" r="0" b="0"/>
            <wp:docPr id="36" name="IM 36"/>
            <wp:cNvGraphicFramePr/>
            <a:graphic>
              <a:graphicData uri="http://schemas.openxmlformats.org/drawingml/2006/picture">
                <pic:pic>
                  <pic:nvPicPr>
                    <pic:cNvPr id="36" name="IM 36"/>
                    <pic:cNvPicPr/>
                  </pic:nvPicPr>
                  <pic:blipFill>
                    <a:blip r:embed="rId54"/>
                    <a:stretch>
                      <a:fillRect/>
                    </a:stretch>
                  </pic:blipFill>
                  <pic:spPr>
                    <a:xfrm rot="0">
                      <a:off x="0" y="0"/>
                      <a:ext cx="5045993" cy="6281747"/>
                    </a:xfrm>
                    <a:prstGeom prst="rect">
                      <a:avLst/>
                    </a:prstGeom>
                  </pic:spPr>
                </pic:pic>
              </a:graphicData>
            </a:graphic>
          </wp:inline>
        </w:drawing>
      </w:r>
    </w:p>
    <w:p>
      <w:pPr>
        <w:spacing w:line="9893" w:lineRule="exact"/>
        <w:sectPr>
          <w:footerReference w:type="default" r:id="rId5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29"/>
        <w:spacing w:line="11925" w:lineRule="exact"/>
        <w:rPr/>
      </w:pPr>
      <w:r>
        <w:rPr>
          <w:position w:val="-238"/>
        </w:rPr>
        <w:drawing>
          <wp:inline distT="0" distB="0" distL="0" distR="0">
            <wp:extent cx="5121512" cy="7572423"/>
            <wp:effectExtent l="0" t="0" r="0" b="0"/>
            <wp:docPr id="38" name="IM 38"/>
            <wp:cNvGraphicFramePr/>
            <a:graphic>
              <a:graphicData uri="http://schemas.openxmlformats.org/drawingml/2006/picture">
                <pic:pic>
                  <pic:nvPicPr>
                    <pic:cNvPr id="38" name="IM 38"/>
                    <pic:cNvPicPr/>
                  </pic:nvPicPr>
                  <pic:blipFill>
                    <a:blip r:embed="rId56"/>
                    <a:stretch>
                      <a:fillRect/>
                    </a:stretch>
                  </pic:blipFill>
                  <pic:spPr>
                    <a:xfrm rot="0">
                      <a:off x="0" y="0"/>
                      <a:ext cx="5121512" cy="7572423"/>
                    </a:xfrm>
                    <a:prstGeom prst="rect">
                      <a:avLst/>
                    </a:prstGeom>
                  </pic:spPr>
                </pic:pic>
              </a:graphicData>
            </a:graphic>
          </wp:inline>
        </w:drawing>
      </w:r>
    </w:p>
    <w:p>
      <w:pPr>
        <w:spacing w:line="11925" w:lineRule="exact"/>
        <w:sectPr>
          <w:footerReference w:type="default" r:id="rId5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19"/>
        <w:spacing w:line="12758" w:lineRule="exact"/>
        <w:rPr/>
      </w:pPr>
      <w:r>
        <w:rPr>
          <w:position w:val="-255"/>
        </w:rPr>
        <w:drawing>
          <wp:inline distT="0" distB="0" distL="0" distR="0">
            <wp:extent cx="5135242" cy="8101051"/>
            <wp:effectExtent l="0" t="0" r="0" b="0"/>
            <wp:docPr id="40" name="IM 40"/>
            <wp:cNvGraphicFramePr/>
            <a:graphic>
              <a:graphicData uri="http://schemas.openxmlformats.org/drawingml/2006/picture">
                <pic:pic>
                  <pic:nvPicPr>
                    <pic:cNvPr id="40" name="IM 40"/>
                    <pic:cNvPicPr/>
                  </pic:nvPicPr>
                  <pic:blipFill>
                    <a:blip r:embed="rId58"/>
                    <a:stretch>
                      <a:fillRect/>
                    </a:stretch>
                  </pic:blipFill>
                  <pic:spPr>
                    <a:xfrm rot="0">
                      <a:off x="0" y="0"/>
                      <a:ext cx="5135242" cy="8101051"/>
                    </a:xfrm>
                    <a:prstGeom prst="rect">
                      <a:avLst/>
                    </a:prstGeom>
                  </pic:spPr>
                </pic:pic>
              </a:graphicData>
            </a:graphic>
          </wp:inline>
        </w:drawing>
      </w:r>
    </w:p>
    <w:p>
      <w:pPr>
        <w:spacing w:line="12758" w:lineRule="exact"/>
        <w:sectPr>
          <w:footerReference w:type="default" r:id="rId5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73"/>
        <w:spacing w:line="12758" w:lineRule="exact"/>
        <w:rPr/>
      </w:pPr>
      <w:r>
        <w:rPr>
          <w:position w:val="-255"/>
        </w:rPr>
        <w:drawing>
          <wp:inline distT="0" distB="0" distL="0" distR="0">
            <wp:extent cx="5066588" cy="8101051"/>
            <wp:effectExtent l="0" t="0" r="0" b="0"/>
            <wp:docPr id="42" name="IM 42"/>
            <wp:cNvGraphicFramePr/>
            <a:graphic>
              <a:graphicData uri="http://schemas.openxmlformats.org/drawingml/2006/picture">
                <pic:pic>
                  <pic:nvPicPr>
                    <pic:cNvPr id="42" name="IM 42"/>
                    <pic:cNvPicPr/>
                  </pic:nvPicPr>
                  <pic:blipFill>
                    <a:blip r:embed="rId60"/>
                    <a:stretch>
                      <a:fillRect/>
                    </a:stretch>
                  </pic:blipFill>
                  <pic:spPr>
                    <a:xfrm rot="0">
                      <a:off x="0" y="0"/>
                      <a:ext cx="5066588" cy="8101051"/>
                    </a:xfrm>
                    <a:prstGeom prst="rect">
                      <a:avLst/>
                    </a:prstGeom>
                  </pic:spPr>
                </pic:pic>
              </a:graphicData>
            </a:graphic>
          </wp:inline>
        </w:drawing>
      </w:r>
    </w:p>
    <w:p>
      <w:pPr>
        <w:spacing w:line="12758" w:lineRule="exact"/>
        <w:sectPr>
          <w:footerReference w:type="default" r:id="rId5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40"/>
        <w:spacing w:line="12693" w:lineRule="exact"/>
        <w:rPr/>
      </w:pPr>
      <w:r>
        <w:rPr>
          <w:position w:val="-253"/>
        </w:rPr>
        <w:drawing>
          <wp:inline distT="0" distB="0" distL="0" distR="0">
            <wp:extent cx="5107781" cy="8059859"/>
            <wp:effectExtent l="0" t="0" r="0" b="0"/>
            <wp:docPr id="44" name="IM 44"/>
            <wp:cNvGraphicFramePr/>
            <a:graphic>
              <a:graphicData uri="http://schemas.openxmlformats.org/drawingml/2006/picture">
                <pic:pic>
                  <pic:nvPicPr>
                    <pic:cNvPr id="44" name="IM 44"/>
                    <pic:cNvPicPr/>
                  </pic:nvPicPr>
                  <pic:blipFill>
                    <a:blip r:embed="rId62"/>
                    <a:stretch>
                      <a:fillRect/>
                    </a:stretch>
                  </pic:blipFill>
                  <pic:spPr>
                    <a:xfrm rot="0">
                      <a:off x="0" y="0"/>
                      <a:ext cx="5107781" cy="8059859"/>
                    </a:xfrm>
                    <a:prstGeom prst="rect">
                      <a:avLst/>
                    </a:prstGeom>
                  </pic:spPr>
                </pic:pic>
              </a:graphicData>
            </a:graphic>
          </wp:inline>
        </w:drawing>
      </w:r>
    </w:p>
    <w:p>
      <w:pPr>
        <w:spacing w:line="12693" w:lineRule="exact"/>
        <w:sectPr>
          <w:footerReference w:type="default" r:id="rId6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83"/>
        <w:spacing w:line="10812" w:lineRule="exact"/>
        <w:rPr/>
      </w:pPr>
      <w:r>
        <w:rPr>
          <w:position w:val="-216"/>
        </w:rPr>
        <w:drawing>
          <wp:inline distT="0" distB="0" distL="0" distR="0">
            <wp:extent cx="5052859" cy="6865297"/>
            <wp:effectExtent l="0" t="0" r="0" b="0"/>
            <wp:docPr id="46" name="IM 46"/>
            <wp:cNvGraphicFramePr/>
            <a:graphic>
              <a:graphicData uri="http://schemas.openxmlformats.org/drawingml/2006/picture">
                <pic:pic>
                  <pic:nvPicPr>
                    <pic:cNvPr id="46" name="IM 46"/>
                    <pic:cNvPicPr/>
                  </pic:nvPicPr>
                  <pic:blipFill>
                    <a:blip r:embed="rId64"/>
                    <a:stretch>
                      <a:fillRect/>
                    </a:stretch>
                  </pic:blipFill>
                  <pic:spPr>
                    <a:xfrm rot="0">
                      <a:off x="0" y="0"/>
                      <a:ext cx="5052859" cy="6865297"/>
                    </a:xfrm>
                    <a:prstGeom prst="rect">
                      <a:avLst/>
                    </a:prstGeom>
                  </pic:spPr>
                </pic:pic>
              </a:graphicData>
            </a:graphic>
          </wp:inline>
        </w:drawing>
      </w:r>
    </w:p>
    <w:p>
      <w:pPr>
        <w:spacing w:line="10812" w:lineRule="exact"/>
        <w:sectPr>
          <w:footerReference w:type="default" r:id="rId6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2206" w:lineRule="exact"/>
        <w:rPr/>
      </w:pPr>
      <w:r>
        <w:rPr>
          <w:position w:val="-244"/>
        </w:rPr>
        <w:drawing>
          <wp:inline distT="0" distB="0" distL="0" distR="0">
            <wp:extent cx="5045993" cy="7750919"/>
            <wp:effectExtent l="0" t="0" r="0" b="0"/>
            <wp:docPr id="48" name="IM 48"/>
            <wp:cNvGraphicFramePr/>
            <a:graphic>
              <a:graphicData uri="http://schemas.openxmlformats.org/drawingml/2006/picture">
                <pic:pic>
                  <pic:nvPicPr>
                    <pic:cNvPr id="48" name="IM 48"/>
                    <pic:cNvPicPr/>
                  </pic:nvPicPr>
                  <pic:blipFill>
                    <a:blip r:embed="rId66"/>
                    <a:stretch>
                      <a:fillRect/>
                    </a:stretch>
                  </pic:blipFill>
                  <pic:spPr>
                    <a:xfrm rot="0">
                      <a:off x="0" y="0"/>
                      <a:ext cx="5045993" cy="7750919"/>
                    </a:xfrm>
                    <a:prstGeom prst="rect">
                      <a:avLst/>
                    </a:prstGeom>
                  </pic:spPr>
                </pic:pic>
              </a:graphicData>
            </a:graphic>
          </wp:inline>
        </w:drawing>
      </w:r>
    </w:p>
    <w:p>
      <w:pPr>
        <w:spacing w:line="12206" w:lineRule="exact"/>
        <w:sectPr>
          <w:footerReference w:type="default" r:id="rId6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19"/>
        <w:spacing w:line="10423" w:lineRule="exact"/>
        <w:rPr/>
      </w:pPr>
      <w:r>
        <w:rPr>
          <w:position w:val="-208"/>
        </w:rPr>
        <w:drawing>
          <wp:inline distT="0" distB="0" distL="0" distR="0">
            <wp:extent cx="5135242" cy="6618146"/>
            <wp:effectExtent l="0" t="0" r="0" b="0"/>
            <wp:docPr id="50" name="IM 50"/>
            <wp:cNvGraphicFramePr/>
            <a:graphic>
              <a:graphicData uri="http://schemas.openxmlformats.org/drawingml/2006/picture">
                <pic:pic>
                  <pic:nvPicPr>
                    <pic:cNvPr id="50" name="IM 50"/>
                    <pic:cNvPicPr/>
                  </pic:nvPicPr>
                  <pic:blipFill>
                    <a:blip r:embed="rId68"/>
                    <a:stretch>
                      <a:fillRect/>
                    </a:stretch>
                  </pic:blipFill>
                  <pic:spPr>
                    <a:xfrm rot="0">
                      <a:off x="0" y="0"/>
                      <a:ext cx="5135242" cy="6618146"/>
                    </a:xfrm>
                    <a:prstGeom prst="rect">
                      <a:avLst/>
                    </a:prstGeom>
                  </pic:spPr>
                </pic:pic>
              </a:graphicData>
            </a:graphic>
          </wp:inline>
        </w:drawing>
      </w:r>
    </w:p>
    <w:p>
      <w:pPr>
        <w:spacing w:line="10423" w:lineRule="exact"/>
        <w:sectPr>
          <w:footerReference w:type="default" r:id="rId67"/>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62"/>
        <w:spacing w:line="12488" w:lineRule="exact"/>
        <w:rPr/>
      </w:pPr>
      <w:r>
        <w:rPr>
          <w:position w:val="-249"/>
        </w:rPr>
        <w:drawing>
          <wp:inline distT="0" distB="0" distL="0" distR="0">
            <wp:extent cx="5080319" cy="7929418"/>
            <wp:effectExtent l="0" t="0" r="0" b="0"/>
            <wp:docPr id="52" name="IM 52"/>
            <wp:cNvGraphicFramePr/>
            <a:graphic>
              <a:graphicData uri="http://schemas.openxmlformats.org/drawingml/2006/picture">
                <pic:pic>
                  <pic:nvPicPr>
                    <pic:cNvPr id="52" name="IM 52"/>
                    <pic:cNvPicPr/>
                  </pic:nvPicPr>
                  <pic:blipFill>
                    <a:blip r:embed="rId70"/>
                    <a:stretch>
                      <a:fillRect/>
                    </a:stretch>
                  </pic:blipFill>
                  <pic:spPr>
                    <a:xfrm rot="0">
                      <a:off x="0" y="0"/>
                      <a:ext cx="5080319" cy="7929418"/>
                    </a:xfrm>
                    <a:prstGeom prst="rect">
                      <a:avLst/>
                    </a:prstGeom>
                  </pic:spPr>
                </pic:pic>
              </a:graphicData>
            </a:graphic>
          </wp:inline>
        </w:drawing>
      </w:r>
    </w:p>
    <w:p>
      <w:pPr>
        <w:spacing w:line="12488" w:lineRule="exact"/>
        <w:sectPr>
          <w:footerReference w:type="default" r:id="rId69"/>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51"/>
        <w:spacing w:line="12336" w:lineRule="exact"/>
        <w:rPr/>
      </w:pPr>
      <w:r>
        <w:rPr>
          <w:position w:val="-246"/>
        </w:rPr>
        <w:drawing>
          <wp:inline distT="0" distB="0" distL="0" distR="0">
            <wp:extent cx="5094050" cy="7833304"/>
            <wp:effectExtent l="0" t="0" r="0" b="0"/>
            <wp:docPr id="54" name="IM 54"/>
            <wp:cNvGraphicFramePr/>
            <a:graphic>
              <a:graphicData uri="http://schemas.openxmlformats.org/drawingml/2006/picture">
                <pic:pic>
                  <pic:nvPicPr>
                    <pic:cNvPr id="54" name="IM 54"/>
                    <pic:cNvPicPr/>
                  </pic:nvPicPr>
                  <pic:blipFill>
                    <a:blip r:embed="rId72"/>
                    <a:stretch>
                      <a:fillRect/>
                    </a:stretch>
                  </pic:blipFill>
                  <pic:spPr>
                    <a:xfrm rot="0">
                      <a:off x="0" y="0"/>
                      <a:ext cx="5094050" cy="7833304"/>
                    </a:xfrm>
                    <a:prstGeom prst="rect">
                      <a:avLst/>
                    </a:prstGeom>
                  </pic:spPr>
                </pic:pic>
              </a:graphicData>
            </a:graphic>
          </wp:inline>
        </w:drawing>
      </w:r>
    </w:p>
    <w:p>
      <w:pPr>
        <w:spacing w:line="12336" w:lineRule="exact"/>
        <w:sectPr>
          <w:footerReference w:type="default" r:id="rId7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996" w:lineRule="exact"/>
        <w:rPr/>
      </w:pPr>
      <w:r>
        <w:rPr>
          <w:position w:val="-219"/>
        </w:rPr>
        <w:drawing>
          <wp:inline distT="0" distB="0" distL="0" distR="0">
            <wp:extent cx="5045993" cy="6982007"/>
            <wp:effectExtent l="0" t="0" r="0" b="0"/>
            <wp:docPr id="56" name="IM 56"/>
            <wp:cNvGraphicFramePr/>
            <a:graphic>
              <a:graphicData uri="http://schemas.openxmlformats.org/drawingml/2006/picture">
                <pic:pic>
                  <pic:nvPicPr>
                    <pic:cNvPr id="56" name="IM 56"/>
                    <pic:cNvPicPr/>
                  </pic:nvPicPr>
                  <pic:blipFill>
                    <a:blip r:embed="rId74"/>
                    <a:stretch>
                      <a:fillRect/>
                    </a:stretch>
                  </pic:blipFill>
                  <pic:spPr>
                    <a:xfrm rot="0">
                      <a:off x="0" y="0"/>
                      <a:ext cx="5045993" cy="6982007"/>
                    </a:xfrm>
                    <a:prstGeom prst="rect">
                      <a:avLst/>
                    </a:prstGeom>
                  </pic:spPr>
                </pic:pic>
              </a:graphicData>
            </a:graphic>
          </wp:inline>
        </w:drawing>
      </w:r>
    </w:p>
    <w:p>
      <w:pPr>
        <w:spacing w:line="10996" w:lineRule="exact"/>
        <w:sectPr>
          <w:footerReference w:type="default" r:id="rId73"/>
          <w:pgSz w:w="11900" w:h="16840"/>
          <w:pgMar w:top="642" w:right="600" w:bottom="340" w:left="600" w:header="326" w:footer="110" w:gutter="0"/>
        </w:sectPr>
        <w:rPr/>
      </w:pPr>
    </w:p>
    <w:p>
      <w:pPr>
        <w:spacing w:line="271" w:lineRule="auto"/>
        <w:rPr>
          <w:rFonts w:ascii="Arial"/>
          <w:sz w:val="21"/>
        </w:rPr>
      </w:pPr>
      <w:r/>
    </w:p>
    <w:p>
      <w:pPr>
        <w:spacing w:line="271" w:lineRule="auto"/>
        <w:rPr>
          <w:rFonts w:ascii="Arial"/>
          <w:sz w:val="21"/>
        </w:rPr>
      </w:pPr>
      <w:r/>
    </w:p>
    <w:p>
      <w:pPr>
        <w:ind w:left="660"/>
        <w:spacing w:before="94" w:line="227" w:lineRule="exact"/>
        <w:outlineLvl w:val="1"/>
        <w:rPr>
          <w:rFonts w:ascii="Microsoft YaHei" w:hAnsi="Microsoft YaHei" w:eastAsia="Microsoft YaHei" w:cs="Microsoft YaHei"/>
          <w:sz w:val="22"/>
          <w:szCs w:val="22"/>
        </w:rPr>
      </w:pPr>
      <w:bookmarkStart w:name="bookmark31" w:id="48"/>
      <w:bookmarkEnd w:id="48"/>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1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658" w:right="623" w:firstLine="466"/>
        <w:spacing w:before="135" w:line="321" w:lineRule="auto"/>
        <w:rPr>
          <w:rFonts w:ascii="FangSong" w:hAnsi="FangSong" w:eastAsia="FangSong" w:cs="FangSong"/>
          <w:sz w:val="23"/>
          <w:szCs w:val="23"/>
        </w:rPr>
      </w:pPr>
      <w:r>
        <w:rPr>
          <w:rFonts w:ascii="FangSong" w:hAnsi="FangSong" w:eastAsia="FangSong" w:cs="FangSong"/>
          <w:sz w:val="23"/>
          <w:szCs w:val="23"/>
          <w:spacing w:val="2"/>
        </w:rPr>
        <w:t>截至2025年4月30日，兴县应急管理局共有公务用车编制3辆，实有4辆，其中：领导用车</w:t>
      </w:r>
      <w:r>
        <w:rPr>
          <w:rFonts w:ascii="FangSong" w:hAnsi="FangSong" w:eastAsia="FangSong" w:cs="FangSong"/>
          <w:sz w:val="23"/>
          <w:szCs w:val="23"/>
          <w:spacing w:val="2"/>
        </w:rPr>
        <w:t>0辆，机要通信用车0辆，应急保障用车4辆，执法执勤用车0辆，特种专业技术用车0辆，事业</w:t>
      </w:r>
      <w:r>
        <w:rPr>
          <w:rFonts w:ascii="FangSong" w:hAnsi="FangSong" w:eastAsia="FangSong" w:cs="FangSong"/>
          <w:sz w:val="23"/>
          <w:szCs w:val="23"/>
          <w:spacing w:val="-1"/>
        </w:rPr>
        <w:t>单位业务用车0辆，其他公务用车0辆。</w:t>
      </w:r>
    </w:p>
    <w:p>
      <w:pPr>
        <w:ind w:left="11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125"/>
        <w:spacing w:before="122" w:line="223" w:lineRule="auto"/>
        <w:rPr>
          <w:rFonts w:ascii="FangSong" w:hAnsi="FangSong" w:eastAsia="FangSong" w:cs="FangSong"/>
          <w:sz w:val="23"/>
          <w:szCs w:val="23"/>
        </w:rPr>
      </w:pPr>
      <w:r>
        <w:rPr>
          <w:rFonts w:ascii="FangSong" w:hAnsi="FangSong" w:eastAsia="FangSong" w:cs="FangSong"/>
          <w:sz w:val="23"/>
          <w:szCs w:val="23"/>
        </w:rPr>
        <w:t>截至2025年4月30日，兴县应急管理局使用的办公用房建筑总面积920平方米。</w:t>
      </w:r>
    </w:p>
    <w:p>
      <w:pPr>
        <w:ind w:left="1122"/>
        <w:spacing w:before="123"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664" w:right="623" w:firstLine="460"/>
        <w:spacing w:before="135" w:line="320" w:lineRule="auto"/>
        <w:rPr>
          <w:rFonts w:ascii="FangSong" w:hAnsi="FangSong" w:eastAsia="FangSong" w:cs="FangSong"/>
          <w:sz w:val="23"/>
          <w:szCs w:val="23"/>
        </w:rPr>
      </w:pPr>
      <w:r>
        <w:rPr>
          <w:rFonts w:ascii="FangSong" w:hAnsi="FangSong" w:eastAsia="FangSong" w:cs="FangSong"/>
          <w:sz w:val="23"/>
          <w:szCs w:val="23"/>
          <w:spacing w:val="2"/>
        </w:rPr>
        <w:t>截至2025年4月30</w:t>
      </w:r>
      <w:r>
        <w:rPr>
          <w:rFonts w:ascii="FangSong" w:hAnsi="FangSong" w:eastAsia="FangSong" w:cs="FangSong"/>
          <w:sz w:val="23"/>
          <w:szCs w:val="23"/>
          <w:spacing w:val="-41"/>
        </w:rPr>
        <w:t xml:space="preserve"> </w:t>
      </w:r>
      <w:r>
        <w:rPr>
          <w:rFonts w:ascii="FangSong" w:hAnsi="FangSong" w:eastAsia="FangSong" w:cs="FangSong"/>
          <w:sz w:val="23"/>
          <w:szCs w:val="23"/>
          <w:spacing w:val="2"/>
        </w:rPr>
        <w:t>日，兴县应急管理局占有使用价值50万元（原值）</w:t>
      </w:r>
      <w:r>
        <w:rPr>
          <w:rFonts w:ascii="FangSong" w:hAnsi="FangSong" w:eastAsia="FangSong" w:cs="FangSong"/>
          <w:sz w:val="23"/>
          <w:szCs w:val="23"/>
          <w:spacing w:val="-65"/>
        </w:rPr>
        <w:t xml:space="preserve"> </w:t>
      </w:r>
      <w:r>
        <w:rPr>
          <w:rFonts w:ascii="FangSong" w:hAnsi="FangSong" w:eastAsia="FangSong" w:cs="FangSong"/>
          <w:sz w:val="23"/>
          <w:szCs w:val="23"/>
          <w:spacing w:val="2"/>
        </w:rPr>
        <w:t>以上的通用设备1台</w:t>
      </w:r>
      <w:r>
        <w:rPr>
          <w:rFonts w:ascii="FangSong" w:hAnsi="FangSong" w:eastAsia="FangSong" w:cs="FangSong"/>
          <w:sz w:val="23"/>
          <w:szCs w:val="23"/>
        </w:rPr>
        <w:t>（套</w:t>
      </w:r>
      <w:r>
        <w:rPr>
          <w:rFonts w:ascii="FangSong" w:hAnsi="FangSong" w:eastAsia="FangSong" w:cs="FangSong"/>
          <w:sz w:val="23"/>
          <w:szCs w:val="23"/>
          <w:spacing w:val="11"/>
        </w:rPr>
        <w:t>）；</w:t>
      </w:r>
      <w:r>
        <w:rPr>
          <w:rFonts w:ascii="FangSong" w:hAnsi="FangSong" w:eastAsia="FangSong" w:cs="FangSong"/>
          <w:sz w:val="23"/>
          <w:szCs w:val="23"/>
        </w:rPr>
        <w:t>兴县应急管理局占有使用价值100万</w:t>
      </w:r>
      <w:r>
        <w:rPr>
          <w:rFonts w:ascii="FangSong" w:hAnsi="FangSong" w:eastAsia="FangSong" w:cs="FangSong"/>
          <w:sz w:val="23"/>
          <w:szCs w:val="23"/>
          <w:spacing w:val="-1"/>
        </w:rPr>
        <w:t>元（原值）以上的通用设备1台（套）。</w:t>
      </w:r>
    </w:p>
    <w:p>
      <w:pPr>
        <w:ind w:left="660"/>
        <w:spacing w:line="227" w:lineRule="exact"/>
        <w:outlineLvl w:val="1"/>
        <w:rPr>
          <w:rFonts w:ascii="Microsoft YaHei" w:hAnsi="Microsoft YaHei" w:eastAsia="Microsoft YaHei" w:cs="Microsoft YaHei"/>
          <w:sz w:val="22"/>
          <w:szCs w:val="22"/>
        </w:rPr>
      </w:pPr>
      <w:bookmarkStart w:name="bookmark32" w:id="49"/>
      <w:bookmarkEnd w:id="49"/>
      <w:r>
        <w:rPr>
          <w:rFonts w:ascii="Microsoft YaHei" w:hAnsi="Microsoft YaHei" w:eastAsia="Microsoft YaHei" w:cs="Microsoft YaHei"/>
          <w:sz w:val="22"/>
          <w:szCs w:val="22"/>
          <w:spacing w:val="7"/>
          <w:position w:val="-1"/>
        </w:rPr>
        <w:t>十二、其他说明</w:t>
      </w:r>
    </w:p>
    <w:p>
      <w:pPr>
        <w:ind w:left="1125"/>
        <w:spacing w:before="185" w:line="221" w:lineRule="auto"/>
        <w:outlineLvl w:val="2"/>
        <w:rPr>
          <w:rFonts w:ascii="FangSong" w:hAnsi="FangSong" w:eastAsia="FangSong" w:cs="FangSong"/>
          <w:sz w:val="23"/>
          <w:szCs w:val="23"/>
        </w:rPr>
      </w:pPr>
      <w:bookmarkStart w:name="bookmark33" w:id="50"/>
      <w:bookmarkEnd w:id="50"/>
      <w:r>
        <w:rPr>
          <w:rFonts w:ascii="FangSong" w:hAnsi="FangSong" w:eastAsia="FangSong" w:cs="FangSong"/>
          <w:sz w:val="23"/>
          <w:szCs w:val="23"/>
          <w:spacing w:val="-1"/>
        </w:rPr>
        <w:t>（一）政府购买服务指导性目录</w:t>
      </w:r>
    </w:p>
    <w:p>
      <w:pPr>
        <w:ind w:left="1126"/>
        <w:spacing w:before="255" w:line="223" w:lineRule="auto"/>
        <w:rPr>
          <w:rFonts w:ascii="FangSong" w:hAnsi="FangSong" w:eastAsia="FangSong" w:cs="FangSong"/>
          <w:sz w:val="23"/>
          <w:szCs w:val="23"/>
        </w:rPr>
      </w:pPr>
      <w:r>
        <w:rPr>
          <w:rFonts w:ascii="FangSong" w:hAnsi="FangSong" w:eastAsia="FangSong" w:cs="FangSong"/>
          <w:sz w:val="23"/>
          <w:szCs w:val="23"/>
          <w:spacing w:val="-6"/>
        </w:rPr>
        <w:t>见附件</w:t>
      </w:r>
    </w:p>
    <w:p>
      <w:pPr>
        <w:ind w:left="1125"/>
        <w:spacing w:before="252" w:line="222" w:lineRule="auto"/>
        <w:outlineLvl w:val="2"/>
        <w:rPr>
          <w:rFonts w:ascii="FangSong" w:hAnsi="FangSong" w:eastAsia="FangSong" w:cs="FangSong"/>
          <w:sz w:val="23"/>
          <w:szCs w:val="23"/>
        </w:rPr>
      </w:pPr>
      <w:bookmarkStart w:name="bookmark34" w:id="51"/>
      <w:bookmarkEnd w:id="51"/>
      <w:r>
        <w:rPr>
          <w:rFonts w:ascii="FangSong" w:hAnsi="FangSong" w:eastAsia="FangSong" w:cs="FangSong"/>
          <w:sz w:val="23"/>
          <w:szCs w:val="23"/>
          <w:spacing w:val="-3"/>
        </w:rPr>
        <w:t>（二）其他</w:t>
      </w:r>
    </w:p>
    <w:p>
      <w:pPr>
        <w:ind w:left="1127"/>
        <w:spacing w:before="264" w:line="222" w:lineRule="auto"/>
        <w:rPr>
          <w:rFonts w:ascii="FangSong" w:hAnsi="FangSong" w:eastAsia="FangSong" w:cs="FangSong"/>
          <w:sz w:val="23"/>
          <w:szCs w:val="23"/>
        </w:rPr>
      </w:pPr>
      <w:r>
        <w:rPr>
          <w:rFonts w:ascii="FangSong" w:hAnsi="FangSong" w:eastAsia="FangSong" w:cs="FangSong"/>
          <w:sz w:val="23"/>
          <w:szCs w:val="23"/>
          <w:spacing w:val="-4"/>
        </w:rPr>
        <w:t>无其他说明</w:t>
      </w:r>
    </w:p>
    <w:p>
      <w:pPr>
        <w:spacing w:line="222" w:lineRule="auto"/>
        <w:sectPr>
          <w:footerReference w:type="default" r:id="rId75"/>
          <w:pgSz w:w="11900" w:h="16840"/>
          <w:pgMar w:top="642" w:right="600" w:bottom="340" w:left="600" w:header="326" w:footer="111" w:gutter="0"/>
        </w:sectPr>
        <w:rPr>
          <w:rFonts w:ascii="FangSong" w:hAnsi="FangSong" w:eastAsia="FangSong" w:cs="FangSong"/>
          <w:sz w:val="23"/>
          <w:szCs w:val="23"/>
        </w:rPr>
      </w:pPr>
    </w:p>
    <w:p>
      <w:pPr>
        <w:spacing w:line="277" w:lineRule="auto"/>
        <w:rPr>
          <w:rFonts w:ascii="Arial"/>
          <w:sz w:val="21"/>
        </w:rPr>
      </w:pPr>
      <w:r/>
    </w:p>
    <w:p>
      <w:pPr>
        <w:spacing w:line="278" w:lineRule="auto"/>
        <w:rPr>
          <w:rFonts w:ascii="Arial"/>
          <w:sz w:val="21"/>
        </w:rPr>
      </w:pPr>
      <w:r/>
    </w:p>
    <w:p>
      <w:pPr>
        <w:ind w:firstLine="1719"/>
        <w:spacing w:line="12639" w:lineRule="exact"/>
        <w:rPr/>
      </w:pPr>
      <w:r>
        <w:rPr>
          <w:position w:val="-252"/>
        </w:rPr>
        <w:drawing>
          <wp:inline distT="0" distB="0" distL="0" distR="0">
            <wp:extent cx="4627211" cy="8025532"/>
            <wp:effectExtent l="0" t="0" r="0" b="0"/>
            <wp:docPr id="58" name="IM 58"/>
            <wp:cNvGraphicFramePr/>
            <a:graphic>
              <a:graphicData uri="http://schemas.openxmlformats.org/drawingml/2006/picture">
                <pic:pic>
                  <pic:nvPicPr>
                    <pic:cNvPr id="58" name="IM 58"/>
                    <pic:cNvPicPr/>
                  </pic:nvPicPr>
                  <pic:blipFill>
                    <a:blip r:embed="rId77"/>
                    <a:stretch>
                      <a:fillRect/>
                    </a:stretch>
                  </pic:blipFill>
                  <pic:spPr>
                    <a:xfrm rot="0">
                      <a:off x="0" y="0"/>
                      <a:ext cx="4627211" cy="8025532"/>
                    </a:xfrm>
                    <a:prstGeom prst="rect">
                      <a:avLst/>
                    </a:prstGeom>
                  </pic:spPr>
                </pic:pic>
              </a:graphicData>
            </a:graphic>
          </wp:inline>
        </w:drawing>
      </w:r>
    </w:p>
    <w:p>
      <w:pPr>
        <w:spacing w:line="12639" w:lineRule="exact"/>
        <w:sectPr>
          <w:footerReference w:type="default" r:id="rId7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29"/>
        <w:spacing w:line="12639" w:lineRule="exact"/>
        <w:rPr/>
      </w:pPr>
      <w:r>
        <w:rPr>
          <w:position w:val="-252"/>
        </w:rPr>
        <w:drawing>
          <wp:inline distT="0" distB="0" distL="0" distR="0">
            <wp:extent cx="4613480" cy="8025532"/>
            <wp:effectExtent l="0" t="0" r="0" b="0"/>
            <wp:docPr id="60" name="IM 60"/>
            <wp:cNvGraphicFramePr/>
            <a:graphic>
              <a:graphicData uri="http://schemas.openxmlformats.org/drawingml/2006/picture">
                <pic:pic>
                  <pic:nvPicPr>
                    <pic:cNvPr id="60" name="IM 60"/>
                    <pic:cNvPicPr/>
                  </pic:nvPicPr>
                  <pic:blipFill>
                    <a:blip r:embed="rId79"/>
                    <a:stretch>
                      <a:fillRect/>
                    </a:stretch>
                  </pic:blipFill>
                  <pic:spPr>
                    <a:xfrm rot="0">
                      <a:off x="0" y="0"/>
                      <a:ext cx="4613480" cy="8025532"/>
                    </a:xfrm>
                    <a:prstGeom prst="rect">
                      <a:avLst/>
                    </a:prstGeom>
                  </pic:spPr>
                </pic:pic>
              </a:graphicData>
            </a:graphic>
          </wp:inline>
        </w:drawing>
      </w:r>
    </w:p>
    <w:p>
      <w:pPr>
        <w:spacing w:line="12639" w:lineRule="exact"/>
        <w:sectPr>
          <w:footerReference w:type="default" r:id="rId7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2" name="IM 62"/>
            <wp:cNvGraphicFramePr/>
            <a:graphic>
              <a:graphicData uri="http://schemas.openxmlformats.org/drawingml/2006/picture">
                <pic:pic>
                  <pic:nvPicPr>
                    <pic:cNvPr id="62" name="IM 62"/>
                    <pic:cNvPicPr/>
                  </pic:nvPicPr>
                  <pic:blipFill>
                    <a:blip r:embed="rId8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4" name="IM 64"/>
            <wp:cNvGraphicFramePr/>
            <a:graphic>
              <a:graphicData uri="http://schemas.openxmlformats.org/drawingml/2006/picture">
                <pic:pic>
                  <pic:nvPicPr>
                    <pic:cNvPr id="64" name="IM 64"/>
                    <pic:cNvPicPr/>
                  </pic:nvPicPr>
                  <pic:blipFill>
                    <a:blip r:embed="rId8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6" name="IM 66"/>
            <wp:cNvGraphicFramePr/>
            <a:graphic>
              <a:graphicData uri="http://schemas.openxmlformats.org/drawingml/2006/picture">
                <pic:pic>
                  <pic:nvPicPr>
                    <pic:cNvPr id="66" name="IM 66"/>
                    <pic:cNvPicPr/>
                  </pic:nvPicPr>
                  <pic:blipFill>
                    <a:blip r:embed="rId8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68" name="IM 68"/>
            <wp:cNvGraphicFramePr/>
            <a:graphic>
              <a:graphicData uri="http://schemas.openxmlformats.org/drawingml/2006/picture">
                <pic:pic>
                  <pic:nvPicPr>
                    <pic:cNvPr id="68" name="IM 68"/>
                    <pic:cNvPicPr/>
                  </pic:nvPicPr>
                  <pic:blipFill>
                    <a:blip r:embed="rId8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0" name="IM 70"/>
            <wp:cNvGraphicFramePr/>
            <a:graphic>
              <a:graphicData uri="http://schemas.openxmlformats.org/drawingml/2006/picture">
                <pic:pic>
                  <pic:nvPicPr>
                    <pic:cNvPr id="70" name="IM 70"/>
                    <pic:cNvPicPr/>
                  </pic:nvPicPr>
                  <pic:blipFill>
                    <a:blip r:embed="rId8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8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2" name="IM 72"/>
            <wp:cNvGraphicFramePr/>
            <a:graphic>
              <a:graphicData uri="http://schemas.openxmlformats.org/drawingml/2006/picture">
                <pic:pic>
                  <pic:nvPicPr>
                    <pic:cNvPr id="72" name="IM 72"/>
                    <pic:cNvPicPr/>
                  </pic:nvPicPr>
                  <pic:blipFill>
                    <a:blip r:embed="rId9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4" name="IM 74"/>
            <wp:cNvGraphicFramePr/>
            <a:graphic>
              <a:graphicData uri="http://schemas.openxmlformats.org/drawingml/2006/picture">
                <pic:pic>
                  <pic:nvPicPr>
                    <pic:cNvPr id="74" name="IM 74"/>
                    <pic:cNvPicPr/>
                  </pic:nvPicPr>
                  <pic:blipFill>
                    <a:blip r:embed="rId9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6" name="IM 76"/>
            <wp:cNvGraphicFramePr/>
            <a:graphic>
              <a:graphicData uri="http://schemas.openxmlformats.org/drawingml/2006/picture">
                <pic:pic>
                  <pic:nvPicPr>
                    <pic:cNvPr id="76" name="IM 76"/>
                    <pic:cNvPicPr/>
                  </pic:nvPicPr>
                  <pic:blipFill>
                    <a:blip r:embed="rId9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8" name="IM 78"/>
            <wp:cNvGraphicFramePr/>
            <a:graphic>
              <a:graphicData uri="http://schemas.openxmlformats.org/drawingml/2006/picture">
                <pic:pic>
                  <pic:nvPicPr>
                    <pic:cNvPr id="78" name="IM 78"/>
                    <pic:cNvPicPr/>
                  </pic:nvPicPr>
                  <pic:blipFill>
                    <a:blip r:embed="rId9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0" name="IM 80"/>
            <wp:cNvGraphicFramePr/>
            <a:graphic>
              <a:graphicData uri="http://schemas.openxmlformats.org/drawingml/2006/picture">
                <pic:pic>
                  <pic:nvPicPr>
                    <pic:cNvPr id="80" name="IM 80"/>
                    <pic:cNvPicPr/>
                  </pic:nvPicPr>
                  <pic:blipFill>
                    <a:blip r:embed="rId9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2" name="IM 82"/>
            <wp:cNvGraphicFramePr/>
            <a:graphic>
              <a:graphicData uri="http://schemas.openxmlformats.org/drawingml/2006/picture">
                <pic:pic>
                  <pic:nvPicPr>
                    <pic:cNvPr id="82" name="IM 82"/>
                    <pic:cNvPicPr/>
                  </pic:nvPicPr>
                  <pic:blipFill>
                    <a:blip r:embed="rId10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4" name="IM 84"/>
            <wp:cNvGraphicFramePr/>
            <a:graphic>
              <a:graphicData uri="http://schemas.openxmlformats.org/drawingml/2006/picture">
                <pic:pic>
                  <pic:nvPicPr>
                    <pic:cNvPr id="84" name="IM 84"/>
                    <pic:cNvPicPr/>
                  </pic:nvPicPr>
                  <pic:blipFill>
                    <a:blip r:embed="rId10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6" name="IM 86"/>
            <wp:cNvGraphicFramePr/>
            <a:graphic>
              <a:graphicData uri="http://schemas.openxmlformats.org/drawingml/2006/picture">
                <pic:pic>
                  <pic:nvPicPr>
                    <pic:cNvPr id="86" name="IM 86"/>
                    <pic:cNvPicPr/>
                  </pic:nvPicPr>
                  <pic:blipFill>
                    <a:blip r:embed="rId10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8" name="IM 88"/>
            <wp:cNvGraphicFramePr/>
            <a:graphic>
              <a:graphicData uri="http://schemas.openxmlformats.org/drawingml/2006/picture">
                <pic:pic>
                  <pic:nvPicPr>
                    <pic:cNvPr id="88" name="IM 88"/>
                    <pic:cNvPicPr/>
                  </pic:nvPicPr>
                  <pic:blipFill>
                    <a:blip r:embed="rId10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0" name="IM 90"/>
            <wp:cNvGraphicFramePr/>
            <a:graphic>
              <a:graphicData uri="http://schemas.openxmlformats.org/drawingml/2006/picture">
                <pic:pic>
                  <pic:nvPicPr>
                    <pic:cNvPr id="90" name="IM 90"/>
                    <pic:cNvPicPr/>
                  </pic:nvPicPr>
                  <pic:blipFill>
                    <a:blip r:embed="rId10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2" name="IM 92"/>
            <wp:cNvGraphicFramePr/>
            <a:graphic>
              <a:graphicData uri="http://schemas.openxmlformats.org/drawingml/2006/picture">
                <pic:pic>
                  <pic:nvPicPr>
                    <pic:cNvPr id="92" name="IM 92"/>
                    <pic:cNvPicPr/>
                  </pic:nvPicPr>
                  <pic:blipFill>
                    <a:blip r:embed="rId11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4" name="IM 94"/>
            <wp:cNvGraphicFramePr/>
            <a:graphic>
              <a:graphicData uri="http://schemas.openxmlformats.org/drawingml/2006/picture">
                <pic:pic>
                  <pic:nvPicPr>
                    <pic:cNvPr id="94" name="IM 94"/>
                    <pic:cNvPicPr/>
                  </pic:nvPicPr>
                  <pic:blipFill>
                    <a:blip r:embed="rId11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6" name="IM 96"/>
            <wp:cNvGraphicFramePr/>
            <a:graphic>
              <a:graphicData uri="http://schemas.openxmlformats.org/drawingml/2006/picture">
                <pic:pic>
                  <pic:nvPicPr>
                    <pic:cNvPr id="96" name="IM 96"/>
                    <pic:cNvPicPr/>
                  </pic:nvPicPr>
                  <pic:blipFill>
                    <a:blip r:embed="rId11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8" name="IM 98"/>
            <wp:cNvGraphicFramePr/>
            <a:graphic>
              <a:graphicData uri="http://schemas.openxmlformats.org/drawingml/2006/picture">
                <pic:pic>
                  <pic:nvPicPr>
                    <pic:cNvPr id="98" name="IM 98"/>
                    <pic:cNvPicPr/>
                  </pic:nvPicPr>
                  <pic:blipFill>
                    <a:blip r:embed="rId11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0" name="IM 100"/>
            <wp:cNvGraphicFramePr/>
            <a:graphic>
              <a:graphicData uri="http://schemas.openxmlformats.org/drawingml/2006/picture">
                <pic:pic>
                  <pic:nvPicPr>
                    <pic:cNvPr id="100" name="IM 100"/>
                    <pic:cNvPicPr/>
                  </pic:nvPicPr>
                  <pic:blipFill>
                    <a:blip r:embed="rId11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2" name="IM 102"/>
            <wp:cNvGraphicFramePr/>
            <a:graphic>
              <a:graphicData uri="http://schemas.openxmlformats.org/drawingml/2006/picture">
                <pic:pic>
                  <pic:nvPicPr>
                    <pic:cNvPr id="102" name="IM 102"/>
                    <pic:cNvPicPr/>
                  </pic:nvPicPr>
                  <pic:blipFill>
                    <a:blip r:embed="rId12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4" name="IM 104"/>
            <wp:cNvGraphicFramePr/>
            <a:graphic>
              <a:graphicData uri="http://schemas.openxmlformats.org/drawingml/2006/picture">
                <pic:pic>
                  <pic:nvPicPr>
                    <pic:cNvPr id="104" name="IM 104"/>
                    <pic:cNvPicPr/>
                  </pic:nvPicPr>
                  <pic:blipFill>
                    <a:blip r:embed="rId12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6" name="IM 106"/>
            <wp:cNvGraphicFramePr/>
            <a:graphic>
              <a:graphicData uri="http://schemas.openxmlformats.org/drawingml/2006/picture">
                <pic:pic>
                  <pic:nvPicPr>
                    <pic:cNvPr id="106" name="IM 106"/>
                    <pic:cNvPicPr/>
                  </pic:nvPicPr>
                  <pic:blipFill>
                    <a:blip r:embed="rId12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8" name="IM 108"/>
            <wp:cNvGraphicFramePr/>
            <a:graphic>
              <a:graphicData uri="http://schemas.openxmlformats.org/drawingml/2006/picture">
                <pic:pic>
                  <pic:nvPicPr>
                    <pic:cNvPr id="108" name="IM 108"/>
                    <pic:cNvPicPr/>
                  </pic:nvPicPr>
                  <pic:blipFill>
                    <a:blip r:embed="rId12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0" name="IM 110"/>
            <wp:cNvGraphicFramePr/>
            <a:graphic>
              <a:graphicData uri="http://schemas.openxmlformats.org/drawingml/2006/picture">
                <pic:pic>
                  <pic:nvPicPr>
                    <pic:cNvPr id="110" name="IM 110"/>
                    <pic:cNvPicPr/>
                  </pic:nvPicPr>
                  <pic:blipFill>
                    <a:blip r:embed="rId12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2" name="IM 112"/>
            <wp:cNvGraphicFramePr/>
            <a:graphic>
              <a:graphicData uri="http://schemas.openxmlformats.org/drawingml/2006/picture">
                <pic:pic>
                  <pic:nvPicPr>
                    <pic:cNvPr id="112" name="IM 112"/>
                    <pic:cNvPicPr/>
                  </pic:nvPicPr>
                  <pic:blipFill>
                    <a:blip r:embed="rId13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4" name="IM 114"/>
            <wp:cNvGraphicFramePr/>
            <a:graphic>
              <a:graphicData uri="http://schemas.openxmlformats.org/drawingml/2006/picture">
                <pic:pic>
                  <pic:nvPicPr>
                    <pic:cNvPr id="114" name="IM 114"/>
                    <pic:cNvPicPr/>
                  </pic:nvPicPr>
                  <pic:blipFill>
                    <a:blip r:embed="rId13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6" name="IM 116"/>
            <wp:cNvGraphicFramePr/>
            <a:graphic>
              <a:graphicData uri="http://schemas.openxmlformats.org/drawingml/2006/picture">
                <pic:pic>
                  <pic:nvPicPr>
                    <pic:cNvPr id="116" name="IM 116"/>
                    <pic:cNvPicPr/>
                  </pic:nvPicPr>
                  <pic:blipFill>
                    <a:blip r:embed="rId13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8" name="IM 118"/>
            <wp:cNvGraphicFramePr/>
            <a:graphic>
              <a:graphicData uri="http://schemas.openxmlformats.org/drawingml/2006/picture">
                <pic:pic>
                  <pic:nvPicPr>
                    <pic:cNvPr id="118" name="IM 118"/>
                    <pic:cNvPicPr/>
                  </pic:nvPicPr>
                  <pic:blipFill>
                    <a:blip r:embed="rId13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0" name="IM 120"/>
            <wp:cNvGraphicFramePr/>
            <a:graphic>
              <a:graphicData uri="http://schemas.openxmlformats.org/drawingml/2006/picture">
                <pic:pic>
                  <pic:nvPicPr>
                    <pic:cNvPr id="120" name="IM 120"/>
                    <pic:cNvPicPr/>
                  </pic:nvPicPr>
                  <pic:blipFill>
                    <a:blip r:embed="rId13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2" name="IM 122"/>
            <wp:cNvGraphicFramePr/>
            <a:graphic>
              <a:graphicData uri="http://schemas.openxmlformats.org/drawingml/2006/picture">
                <pic:pic>
                  <pic:nvPicPr>
                    <pic:cNvPr id="122" name="IM 122"/>
                    <pic:cNvPicPr/>
                  </pic:nvPicPr>
                  <pic:blipFill>
                    <a:blip r:embed="rId14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4" name="IM 124"/>
            <wp:cNvGraphicFramePr/>
            <a:graphic>
              <a:graphicData uri="http://schemas.openxmlformats.org/drawingml/2006/picture">
                <pic:pic>
                  <pic:nvPicPr>
                    <pic:cNvPr id="124" name="IM 124"/>
                    <pic:cNvPicPr/>
                  </pic:nvPicPr>
                  <pic:blipFill>
                    <a:blip r:embed="rId14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6" name="IM 126"/>
            <wp:cNvGraphicFramePr/>
            <a:graphic>
              <a:graphicData uri="http://schemas.openxmlformats.org/drawingml/2006/picture">
                <pic:pic>
                  <pic:nvPicPr>
                    <pic:cNvPr id="126" name="IM 126"/>
                    <pic:cNvPicPr/>
                  </pic:nvPicPr>
                  <pic:blipFill>
                    <a:blip r:embed="rId14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8" name="IM 128"/>
            <wp:cNvGraphicFramePr/>
            <a:graphic>
              <a:graphicData uri="http://schemas.openxmlformats.org/drawingml/2006/picture">
                <pic:pic>
                  <pic:nvPicPr>
                    <pic:cNvPr id="128" name="IM 128"/>
                    <pic:cNvPicPr/>
                  </pic:nvPicPr>
                  <pic:blipFill>
                    <a:blip r:embed="rId14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0" name="IM 130"/>
            <wp:cNvGraphicFramePr/>
            <a:graphic>
              <a:graphicData uri="http://schemas.openxmlformats.org/drawingml/2006/picture">
                <pic:pic>
                  <pic:nvPicPr>
                    <pic:cNvPr id="130" name="IM 130"/>
                    <pic:cNvPicPr/>
                  </pic:nvPicPr>
                  <pic:blipFill>
                    <a:blip r:embed="rId14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2" name="IM 132"/>
            <wp:cNvGraphicFramePr/>
            <a:graphic>
              <a:graphicData uri="http://schemas.openxmlformats.org/drawingml/2006/picture">
                <pic:pic>
                  <pic:nvPicPr>
                    <pic:cNvPr id="132" name="IM 132"/>
                    <pic:cNvPicPr/>
                  </pic:nvPicPr>
                  <pic:blipFill>
                    <a:blip r:embed="rId15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4" name="IM 134"/>
            <wp:cNvGraphicFramePr/>
            <a:graphic>
              <a:graphicData uri="http://schemas.openxmlformats.org/drawingml/2006/picture">
                <pic:pic>
                  <pic:nvPicPr>
                    <pic:cNvPr id="134" name="IM 134"/>
                    <pic:cNvPicPr/>
                  </pic:nvPicPr>
                  <pic:blipFill>
                    <a:blip r:embed="rId15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6" name="IM 136"/>
            <wp:cNvGraphicFramePr/>
            <a:graphic>
              <a:graphicData uri="http://schemas.openxmlformats.org/drawingml/2006/picture">
                <pic:pic>
                  <pic:nvPicPr>
                    <pic:cNvPr id="136" name="IM 136"/>
                    <pic:cNvPicPr/>
                  </pic:nvPicPr>
                  <pic:blipFill>
                    <a:blip r:embed="rId15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8" name="IM 138"/>
            <wp:cNvGraphicFramePr/>
            <a:graphic>
              <a:graphicData uri="http://schemas.openxmlformats.org/drawingml/2006/picture">
                <pic:pic>
                  <pic:nvPicPr>
                    <pic:cNvPr id="138" name="IM 138"/>
                    <pic:cNvPicPr/>
                  </pic:nvPicPr>
                  <pic:blipFill>
                    <a:blip r:embed="rId15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0" name="IM 140"/>
            <wp:cNvGraphicFramePr/>
            <a:graphic>
              <a:graphicData uri="http://schemas.openxmlformats.org/drawingml/2006/picture">
                <pic:pic>
                  <pic:nvPicPr>
                    <pic:cNvPr id="140" name="IM 140"/>
                    <pic:cNvPicPr/>
                  </pic:nvPicPr>
                  <pic:blipFill>
                    <a:blip r:embed="rId15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2" name="IM 142"/>
            <wp:cNvGraphicFramePr/>
            <a:graphic>
              <a:graphicData uri="http://schemas.openxmlformats.org/drawingml/2006/picture">
                <pic:pic>
                  <pic:nvPicPr>
                    <pic:cNvPr id="142" name="IM 142"/>
                    <pic:cNvPicPr/>
                  </pic:nvPicPr>
                  <pic:blipFill>
                    <a:blip r:embed="rId16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4" name="IM 144"/>
            <wp:cNvGraphicFramePr/>
            <a:graphic>
              <a:graphicData uri="http://schemas.openxmlformats.org/drawingml/2006/picture">
                <pic:pic>
                  <pic:nvPicPr>
                    <pic:cNvPr id="144" name="IM 144"/>
                    <pic:cNvPicPr/>
                  </pic:nvPicPr>
                  <pic:blipFill>
                    <a:blip r:embed="rId16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6" name="IM 146"/>
            <wp:cNvGraphicFramePr/>
            <a:graphic>
              <a:graphicData uri="http://schemas.openxmlformats.org/drawingml/2006/picture">
                <pic:pic>
                  <pic:nvPicPr>
                    <pic:cNvPr id="146" name="IM 146"/>
                    <pic:cNvPicPr/>
                  </pic:nvPicPr>
                  <pic:blipFill>
                    <a:blip r:embed="rId16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8" name="IM 148"/>
            <wp:cNvGraphicFramePr/>
            <a:graphic>
              <a:graphicData uri="http://schemas.openxmlformats.org/drawingml/2006/picture">
                <pic:pic>
                  <pic:nvPicPr>
                    <pic:cNvPr id="148" name="IM 148"/>
                    <pic:cNvPicPr/>
                  </pic:nvPicPr>
                  <pic:blipFill>
                    <a:blip r:embed="rId16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0" name="IM 150"/>
            <wp:cNvGraphicFramePr/>
            <a:graphic>
              <a:graphicData uri="http://schemas.openxmlformats.org/drawingml/2006/picture">
                <pic:pic>
                  <pic:nvPicPr>
                    <pic:cNvPr id="150" name="IM 150"/>
                    <pic:cNvPicPr/>
                  </pic:nvPicPr>
                  <pic:blipFill>
                    <a:blip r:embed="rId16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2" name="IM 152"/>
            <wp:cNvGraphicFramePr/>
            <a:graphic>
              <a:graphicData uri="http://schemas.openxmlformats.org/drawingml/2006/picture">
                <pic:pic>
                  <pic:nvPicPr>
                    <pic:cNvPr id="152" name="IM 152"/>
                    <pic:cNvPicPr/>
                  </pic:nvPicPr>
                  <pic:blipFill>
                    <a:blip r:embed="rId17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4" name="IM 154"/>
            <wp:cNvGraphicFramePr/>
            <a:graphic>
              <a:graphicData uri="http://schemas.openxmlformats.org/drawingml/2006/picture">
                <pic:pic>
                  <pic:nvPicPr>
                    <pic:cNvPr id="154" name="IM 154"/>
                    <pic:cNvPicPr/>
                  </pic:nvPicPr>
                  <pic:blipFill>
                    <a:blip r:embed="rId17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6" name="IM 156"/>
            <wp:cNvGraphicFramePr/>
            <a:graphic>
              <a:graphicData uri="http://schemas.openxmlformats.org/drawingml/2006/picture">
                <pic:pic>
                  <pic:nvPicPr>
                    <pic:cNvPr id="156" name="IM 156"/>
                    <pic:cNvPicPr/>
                  </pic:nvPicPr>
                  <pic:blipFill>
                    <a:blip r:embed="rId17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8" name="IM 158"/>
            <wp:cNvGraphicFramePr/>
            <a:graphic>
              <a:graphicData uri="http://schemas.openxmlformats.org/drawingml/2006/picture">
                <pic:pic>
                  <pic:nvPicPr>
                    <pic:cNvPr id="158" name="IM 158"/>
                    <pic:cNvPicPr/>
                  </pic:nvPicPr>
                  <pic:blipFill>
                    <a:blip r:embed="rId17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0" name="IM 160"/>
            <wp:cNvGraphicFramePr/>
            <a:graphic>
              <a:graphicData uri="http://schemas.openxmlformats.org/drawingml/2006/picture">
                <pic:pic>
                  <pic:nvPicPr>
                    <pic:cNvPr id="160" name="IM 160"/>
                    <pic:cNvPicPr/>
                  </pic:nvPicPr>
                  <pic:blipFill>
                    <a:blip r:embed="rId17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2" name="IM 162"/>
            <wp:cNvGraphicFramePr/>
            <a:graphic>
              <a:graphicData uri="http://schemas.openxmlformats.org/drawingml/2006/picture">
                <pic:pic>
                  <pic:nvPicPr>
                    <pic:cNvPr id="162" name="IM 162"/>
                    <pic:cNvPicPr/>
                  </pic:nvPicPr>
                  <pic:blipFill>
                    <a:blip r:embed="rId181"/>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4" name="IM 164"/>
            <wp:cNvGraphicFramePr/>
            <a:graphic>
              <a:graphicData uri="http://schemas.openxmlformats.org/drawingml/2006/picture">
                <pic:pic>
                  <pic:nvPicPr>
                    <pic:cNvPr id="164" name="IM 164"/>
                    <pic:cNvPicPr/>
                  </pic:nvPicPr>
                  <pic:blipFill>
                    <a:blip r:embed="rId183"/>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6" name="IM 166"/>
            <wp:cNvGraphicFramePr/>
            <a:graphic>
              <a:graphicData uri="http://schemas.openxmlformats.org/drawingml/2006/picture">
                <pic:pic>
                  <pic:nvPicPr>
                    <pic:cNvPr id="166" name="IM 166"/>
                    <pic:cNvPicPr/>
                  </pic:nvPicPr>
                  <pic:blipFill>
                    <a:blip r:embed="rId185"/>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8" name="IM 168"/>
            <wp:cNvGraphicFramePr/>
            <a:graphic>
              <a:graphicData uri="http://schemas.openxmlformats.org/drawingml/2006/picture">
                <pic:pic>
                  <pic:nvPicPr>
                    <pic:cNvPr id="168" name="IM 168"/>
                    <pic:cNvPicPr/>
                  </pic:nvPicPr>
                  <pic:blipFill>
                    <a:blip r:embed="rId187"/>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70" name="IM 170"/>
            <wp:cNvGraphicFramePr/>
            <a:graphic>
              <a:graphicData uri="http://schemas.openxmlformats.org/drawingml/2006/picture">
                <pic:pic>
                  <pic:nvPicPr>
                    <pic:cNvPr id="170" name="IM 170"/>
                    <pic:cNvPicPr/>
                  </pic:nvPicPr>
                  <pic:blipFill>
                    <a:blip r:embed="rId189"/>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19"/>
        <w:spacing w:line="12088" w:lineRule="exact"/>
        <w:rPr/>
      </w:pPr>
      <w:r>
        <w:rPr>
          <w:position w:val="-241"/>
        </w:rPr>
        <w:drawing>
          <wp:inline distT="0" distB="0" distL="0" distR="0">
            <wp:extent cx="4627211" cy="7675403"/>
            <wp:effectExtent l="0" t="0" r="0" b="0"/>
            <wp:docPr id="172" name="IM 172"/>
            <wp:cNvGraphicFramePr/>
            <a:graphic>
              <a:graphicData uri="http://schemas.openxmlformats.org/drawingml/2006/picture">
                <pic:pic>
                  <pic:nvPicPr>
                    <pic:cNvPr id="172" name="IM 172"/>
                    <pic:cNvPicPr/>
                  </pic:nvPicPr>
                  <pic:blipFill>
                    <a:blip r:embed="rId191"/>
                    <a:stretch>
                      <a:fillRect/>
                    </a:stretch>
                  </pic:blipFill>
                  <pic:spPr>
                    <a:xfrm rot="0">
                      <a:off x="0" y="0"/>
                      <a:ext cx="4627211" cy="7675403"/>
                    </a:xfrm>
                    <a:prstGeom prst="rect">
                      <a:avLst/>
                    </a:prstGeom>
                  </pic:spPr>
                </pic:pic>
              </a:graphicData>
            </a:graphic>
          </wp:inline>
        </w:drawing>
      </w:r>
    </w:p>
    <w:p>
      <w:pPr>
        <w:spacing w:line="12088" w:lineRule="exact"/>
        <w:sectPr>
          <w:footerReference w:type="default" r:id="rId190"/>
          <w:pgSz w:w="11900" w:h="16840"/>
          <w:pgMar w:top="642" w:right="600" w:bottom="340" w:left="600" w:header="326" w:footer="111" w:gutter="0"/>
        </w:sectPr>
        <w:rPr/>
      </w:pPr>
    </w:p>
    <w:p>
      <w:pPr>
        <w:spacing w:line="269" w:lineRule="auto"/>
        <w:rPr>
          <w:rFonts w:ascii="Arial"/>
          <w:sz w:val="21"/>
        </w:rPr>
      </w:pPr>
      <w:r/>
    </w:p>
    <w:p>
      <w:pPr>
        <w:spacing w:line="270" w:lineRule="auto"/>
        <w:rPr>
          <w:rFonts w:ascii="Arial"/>
          <w:sz w:val="21"/>
        </w:rPr>
      </w:pPr>
      <w:r/>
    </w:p>
    <w:p>
      <w:pPr>
        <w:ind w:left="4386"/>
        <w:spacing w:before="94" w:line="228" w:lineRule="exact"/>
        <w:outlineLvl w:val="0"/>
        <w:rPr>
          <w:rFonts w:ascii="Microsoft YaHei" w:hAnsi="Microsoft YaHei" w:eastAsia="Microsoft YaHei" w:cs="Microsoft YaHei"/>
          <w:sz w:val="22"/>
          <w:szCs w:val="22"/>
        </w:rPr>
      </w:pPr>
      <w:bookmarkStart w:name="bookmark35" w:id="53"/>
      <w:bookmarkEnd w:id="53"/>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687" w:right="6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spacing w:val="-20"/>
        </w:rPr>
        <w:t>出。</w:t>
      </w:r>
    </w:p>
    <w:p>
      <w:pPr>
        <w:ind w:left="11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666" w:right="6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664" w:right="6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
        </w:rPr>
        <w:t>本支出中的公用经费支出。</w:t>
      </w:r>
    </w:p>
    <w:p>
      <w:pPr>
        <w:ind w:left="663" w:right="6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5"/>
        </w:rPr>
        <w:t>行为。</w:t>
      </w:r>
    </w:p>
    <w:p>
      <w:pPr>
        <w:ind w:left="11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669" w:right="6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663" w:right="6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事业单位经营收入、上级补助收入、附属单位上缴收入、其他收入。</w:t>
      </w:r>
    </w:p>
    <w:p>
      <w:pPr>
        <w:ind w:left="11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665" w:right="623" w:firstLine="458"/>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w:t>
      </w:r>
      <w:r>
        <w:rPr>
          <w:rFonts w:ascii="FangSong" w:hAnsi="FangSong" w:eastAsia="FangSong" w:cs="FangSong"/>
          <w:sz w:val="23"/>
          <w:szCs w:val="23"/>
          <w:spacing w:val="5"/>
        </w:rPr>
        <w:t>收入，安排用于保障和改善民生、推动经</w:t>
      </w:r>
      <w:r>
        <w:rPr>
          <w:rFonts w:ascii="FangSong" w:hAnsi="FangSong" w:eastAsia="FangSong" w:cs="FangSong"/>
          <w:sz w:val="23"/>
          <w:szCs w:val="23"/>
        </w:rPr>
        <w:t>济社会发展、维护国家安全、维持国家机构正常运转等方面的收支预算。</w:t>
      </w:r>
    </w:p>
    <w:p>
      <w:pPr>
        <w:ind w:left="676" w:right="6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1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1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footerReference w:type="default" r:id="rId192"/>
      <w:pgSz w:w="11900" w:h="16840"/>
      <w:pgMar w:top="642" w:right="600" w:bottom="340" w:left="600" w:header="326" w:footer="111"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bookmarkStart w:name="bookmark50" w:id="52"/>
    <w:bookmarkEnd w:id="52"/>
    <w:r>
      <w:rPr>
        <w:sz w:val="16"/>
        <w:szCs w:val="16"/>
        <w:spacing w:val="-9"/>
        <w:position w:val="1"/>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-104-</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w w:val="96"/>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bookmarkStart w:name="bookmark49" w:id="47"/>
    <w:bookmarkEnd w:id="47"/>
    <w:r>
      <w:rPr>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2"/>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1"/>
        <w:w w:val="98"/>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sz w:val="16"/>
        <w:szCs w:val="16"/>
        <w:spacing w:val="-2"/>
        <w:position w:val="1"/>
      </w:rPr>
      <w:t>兴县应急管理局2025年部门预算公开报告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4" style="position:absolute;margin-left:30pt;margin-top:29.5pt;mso-position-vertical-relative:page;mso-position-horizontal-relative:page;width:782pt;height:1pt;z-index:251662336;" o:allowincell="f" filled="false" strokecolor="#646464" strokeweight="1.00pt" coordsize="15640,20" coordorigin="0,0" path="m0,10l15640,10e">
          <v:stroke joinstyle="miter" miterlimit="10"/>
        </v:shape>
      </w:pict>
    </w:r>
    <w:r>
      <w:rPr>
        <w:sz w:val="16"/>
        <w:szCs w:val="16"/>
        <w:spacing w:val="-2"/>
        <w:position w:val="1"/>
      </w:rPr>
      <w:t>兴县应急管理局2025年部门预算公开报告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43"/>
      <w:szCs w:val="43"/>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40.png"/><Relationship Id="rId98" Type="http://schemas.openxmlformats.org/officeDocument/2006/relationships/footer" Target="footer57.xml"/><Relationship Id="rId97" Type="http://schemas.openxmlformats.org/officeDocument/2006/relationships/image" Target="media/image39.png"/><Relationship Id="rId96" Type="http://schemas.openxmlformats.org/officeDocument/2006/relationships/footer" Target="footer56.xml"/><Relationship Id="rId95" Type="http://schemas.openxmlformats.org/officeDocument/2006/relationships/image" Target="media/image38.png"/><Relationship Id="rId94" Type="http://schemas.openxmlformats.org/officeDocument/2006/relationships/footer" Target="footer55.xml"/><Relationship Id="rId93" Type="http://schemas.openxmlformats.org/officeDocument/2006/relationships/image" Target="media/image37.png"/><Relationship Id="rId92" Type="http://schemas.openxmlformats.org/officeDocument/2006/relationships/footer" Target="footer54.xml"/><Relationship Id="rId91" Type="http://schemas.openxmlformats.org/officeDocument/2006/relationships/image" Target="media/image36.png"/><Relationship Id="rId90" Type="http://schemas.openxmlformats.org/officeDocument/2006/relationships/footer" Target="footer53.xml"/><Relationship Id="rId9" Type="http://schemas.openxmlformats.org/officeDocument/2006/relationships/footer" Target="footer6.xml"/><Relationship Id="rId89" Type="http://schemas.openxmlformats.org/officeDocument/2006/relationships/image" Target="media/image35.png"/><Relationship Id="rId88" Type="http://schemas.openxmlformats.org/officeDocument/2006/relationships/footer" Target="footer52.xml"/><Relationship Id="rId87" Type="http://schemas.openxmlformats.org/officeDocument/2006/relationships/image" Target="media/image34.png"/><Relationship Id="rId86" Type="http://schemas.openxmlformats.org/officeDocument/2006/relationships/footer" Target="footer51.xml"/><Relationship Id="rId85" Type="http://schemas.openxmlformats.org/officeDocument/2006/relationships/image" Target="media/image33.png"/><Relationship Id="rId84" Type="http://schemas.openxmlformats.org/officeDocument/2006/relationships/footer" Target="footer50.xml"/><Relationship Id="rId83" Type="http://schemas.openxmlformats.org/officeDocument/2006/relationships/image" Target="media/image32.png"/><Relationship Id="rId82" Type="http://schemas.openxmlformats.org/officeDocument/2006/relationships/footer" Target="footer49.xml"/><Relationship Id="rId81" Type="http://schemas.openxmlformats.org/officeDocument/2006/relationships/image" Target="media/image31.png"/><Relationship Id="rId80" Type="http://schemas.openxmlformats.org/officeDocument/2006/relationships/footer" Target="footer48.xml"/><Relationship Id="rId8" Type="http://schemas.openxmlformats.org/officeDocument/2006/relationships/footer" Target="footer5.xml"/><Relationship Id="rId79" Type="http://schemas.openxmlformats.org/officeDocument/2006/relationships/image" Target="media/image30.png"/><Relationship Id="rId78" Type="http://schemas.openxmlformats.org/officeDocument/2006/relationships/footer" Target="footer47.xml"/><Relationship Id="rId77" Type="http://schemas.openxmlformats.org/officeDocument/2006/relationships/image" Target="media/image29.png"/><Relationship Id="rId76" Type="http://schemas.openxmlformats.org/officeDocument/2006/relationships/footer" Target="footer46.xml"/><Relationship Id="rId75" Type="http://schemas.openxmlformats.org/officeDocument/2006/relationships/footer" Target="footer45.xml"/><Relationship Id="rId74" Type="http://schemas.openxmlformats.org/officeDocument/2006/relationships/image" Target="media/image28.png"/><Relationship Id="rId73" Type="http://schemas.openxmlformats.org/officeDocument/2006/relationships/footer" Target="footer44.xml"/><Relationship Id="rId72" Type="http://schemas.openxmlformats.org/officeDocument/2006/relationships/image" Target="media/image27.png"/><Relationship Id="rId71" Type="http://schemas.openxmlformats.org/officeDocument/2006/relationships/footer" Target="footer43.xml"/><Relationship Id="rId70" Type="http://schemas.openxmlformats.org/officeDocument/2006/relationships/image" Target="media/image26.png"/><Relationship Id="rId7" Type="http://schemas.openxmlformats.org/officeDocument/2006/relationships/header" Target="header2.xml"/><Relationship Id="rId69" Type="http://schemas.openxmlformats.org/officeDocument/2006/relationships/footer" Target="footer42.xml"/><Relationship Id="rId68" Type="http://schemas.openxmlformats.org/officeDocument/2006/relationships/image" Target="media/image25.png"/><Relationship Id="rId67" Type="http://schemas.openxmlformats.org/officeDocument/2006/relationships/footer" Target="footer41.xml"/><Relationship Id="rId66" Type="http://schemas.openxmlformats.org/officeDocument/2006/relationships/image" Target="media/image24.png"/><Relationship Id="rId65" Type="http://schemas.openxmlformats.org/officeDocument/2006/relationships/footer" Target="footer40.xml"/><Relationship Id="rId64" Type="http://schemas.openxmlformats.org/officeDocument/2006/relationships/image" Target="media/image23.png"/><Relationship Id="rId63" Type="http://schemas.openxmlformats.org/officeDocument/2006/relationships/footer" Target="footer39.xml"/><Relationship Id="rId62" Type="http://schemas.openxmlformats.org/officeDocument/2006/relationships/image" Target="media/image22.png"/><Relationship Id="rId61" Type="http://schemas.openxmlformats.org/officeDocument/2006/relationships/footer" Target="footer38.xml"/><Relationship Id="rId60" Type="http://schemas.openxmlformats.org/officeDocument/2006/relationships/image" Target="media/image21.png"/><Relationship Id="rId6" Type="http://schemas.openxmlformats.org/officeDocument/2006/relationships/footer" Target="footer4.xml"/><Relationship Id="rId59" Type="http://schemas.openxmlformats.org/officeDocument/2006/relationships/footer" Target="footer37.xml"/><Relationship Id="rId58" Type="http://schemas.openxmlformats.org/officeDocument/2006/relationships/image" Target="media/image20.png"/><Relationship Id="rId57" Type="http://schemas.openxmlformats.org/officeDocument/2006/relationships/footer" Target="footer36.xml"/><Relationship Id="rId56" Type="http://schemas.openxmlformats.org/officeDocument/2006/relationships/image" Target="media/image19.png"/><Relationship Id="rId55" Type="http://schemas.openxmlformats.org/officeDocument/2006/relationships/footer" Target="footer35.xml"/><Relationship Id="rId54" Type="http://schemas.openxmlformats.org/officeDocument/2006/relationships/image" Target="media/image18.png"/><Relationship Id="rId53" Type="http://schemas.openxmlformats.org/officeDocument/2006/relationships/footer" Target="footer34.xml"/><Relationship Id="rId52" Type="http://schemas.openxmlformats.org/officeDocument/2006/relationships/image" Target="media/image17.png"/><Relationship Id="rId51" Type="http://schemas.openxmlformats.org/officeDocument/2006/relationships/footer" Target="footer33.xml"/><Relationship Id="rId50" Type="http://schemas.openxmlformats.org/officeDocument/2006/relationships/image" Target="media/image16.png"/><Relationship Id="rId5" Type="http://schemas.openxmlformats.org/officeDocument/2006/relationships/footer" Target="footer3.xml"/><Relationship Id="rId49" Type="http://schemas.openxmlformats.org/officeDocument/2006/relationships/footer" Target="footer32.xml"/><Relationship Id="rId48" Type="http://schemas.openxmlformats.org/officeDocument/2006/relationships/image" Target="media/image15.png"/><Relationship Id="rId47" Type="http://schemas.openxmlformats.org/officeDocument/2006/relationships/footer" Target="footer31.xml"/><Relationship Id="rId46" Type="http://schemas.openxmlformats.org/officeDocument/2006/relationships/image" Target="media/image14.png"/><Relationship Id="rId45" Type="http://schemas.openxmlformats.org/officeDocument/2006/relationships/footer" Target="footer30.xml"/><Relationship Id="rId44" Type="http://schemas.openxmlformats.org/officeDocument/2006/relationships/image" Target="media/image13.png"/><Relationship Id="rId43" Type="http://schemas.openxmlformats.org/officeDocument/2006/relationships/footer" Target="footer29.xml"/><Relationship Id="rId42" Type="http://schemas.openxmlformats.org/officeDocument/2006/relationships/image" Target="media/image12.png"/><Relationship Id="rId41" Type="http://schemas.openxmlformats.org/officeDocument/2006/relationships/footer" Target="footer28.xml"/><Relationship Id="rId40" Type="http://schemas.openxmlformats.org/officeDocument/2006/relationships/image" Target="media/image11.png"/><Relationship Id="rId4" Type="http://schemas.openxmlformats.org/officeDocument/2006/relationships/footer" Target="footer2.xml"/><Relationship Id="rId39" Type="http://schemas.openxmlformats.org/officeDocument/2006/relationships/footer" Target="footer27.xml"/><Relationship Id="rId38" Type="http://schemas.openxmlformats.org/officeDocument/2006/relationships/image" Target="media/image10.png"/><Relationship Id="rId37" Type="http://schemas.openxmlformats.org/officeDocument/2006/relationships/footer" Target="footer26.xml"/><Relationship Id="rId36" Type="http://schemas.openxmlformats.org/officeDocument/2006/relationships/image" Target="media/image9.png"/><Relationship Id="rId35" Type="http://schemas.openxmlformats.org/officeDocument/2006/relationships/footer" Target="footer25.xml"/><Relationship Id="rId34" Type="http://schemas.openxmlformats.org/officeDocument/2006/relationships/image" Target="media/image8.png"/><Relationship Id="rId33" Type="http://schemas.openxmlformats.org/officeDocument/2006/relationships/footer" Target="footer24.xml"/><Relationship Id="rId32" Type="http://schemas.openxmlformats.org/officeDocument/2006/relationships/image" Target="media/image7.png"/><Relationship Id="rId31" Type="http://schemas.openxmlformats.org/officeDocument/2006/relationships/footer" Target="footer23.xml"/><Relationship Id="rId30" Type="http://schemas.openxmlformats.org/officeDocument/2006/relationships/image" Target="media/image6.png"/><Relationship Id="rId3" Type="http://schemas.openxmlformats.org/officeDocument/2006/relationships/footer" Target="footer1.xml"/><Relationship Id="rId29" Type="http://schemas.openxmlformats.org/officeDocument/2006/relationships/footer" Target="footer22.xml"/><Relationship Id="rId28" Type="http://schemas.openxmlformats.org/officeDocument/2006/relationships/image" Target="media/image5.png"/><Relationship Id="rId27" Type="http://schemas.openxmlformats.org/officeDocument/2006/relationships/footer" Target="footer21.xml"/><Relationship Id="rId26" Type="http://schemas.openxmlformats.org/officeDocument/2006/relationships/footer" Target="footer20.xml"/><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footer" Target="footer19.xml"/><Relationship Id="rId22" Type="http://schemas.openxmlformats.org/officeDocument/2006/relationships/image" Target="media/image2.png"/><Relationship Id="rId21" Type="http://schemas.openxmlformats.org/officeDocument/2006/relationships/footer" Target="footer18.xml"/><Relationship Id="rId20" Type="http://schemas.openxmlformats.org/officeDocument/2006/relationships/footer" Target="footer17.xml"/><Relationship Id="rId2" Type="http://schemas.openxmlformats.org/officeDocument/2006/relationships/header" Target="header1.xml"/><Relationship Id="rId195" Type="http://schemas.openxmlformats.org/officeDocument/2006/relationships/fontTable" Target="fontTable.xml"/><Relationship Id="rId194" Type="http://schemas.openxmlformats.org/officeDocument/2006/relationships/styles" Target="styles.xml"/><Relationship Id="rId193" Type="http://schemas.openxmlformats.org/officeDocument/2006/relationships/settings" Target="settings.xml"/><Relationship Id="rId192" Type="http://schemas.openxmlformats.org/officeDocument/2006/relationships/footer" Target="footer104.xml"/><Relationship Id="rId191" Type="http://schemas.openxmlformats.org/officeDocument/2006/relationships/image" Target="media/image86.png"/><Relationship Id="rId190" Type="http://schemas.openxmlformats.org/officeDocument/2006/relationships/footer" Target="footer103.xml"/><Relationship Id="rId19" Type="http://schemas.openxmlformats.org/officeDocument/2006/relationships/footer" Target="footer16.xml"/><Relationship Id="rId189" Type="http://schemas.openxmlformats.org/officeDocument/2006/relationships/image" Target="media/image85.png"/><Relationship Id="rId188" Type="http://schemas.openxmlformats.org/officeDocument/2006/relationships/footer" Target="footer102.xml"/><Relationship Id="rId187" Type="http://schemas.openxmlformats.org/officeDocument/2006/relationships/image" Target="media/image84.png"/><Relationship Id="rId186" Type="http://schemas.openxmlformats.org/officeDocument/2006/relationships/footer" Target="footer101.xml"/><Relationship Id="rId185" Type="http://schemas.openxmlformats.org/officeDocument/2006/relationships/image" Target="media/image83.png"/><Relationship Id="rId184" Type="http://schemas.openxmlformats.org/officeDocument/2006/relationships/footer" Target="footer100.xml"/><Relationship Id="rId183" Type="http://schemas.openxmlformats.org/officeDocument/2006/relationships/image" Target="media/image82.png"/><Relationship Id="rId182" Type="http://schemas.openxmlformats.org/officeDocument/2006/relationships/footer" Target="footer99.xml"/><Relationship Id="rId181" Type="http://schemas.openxmlformats.org/officeDocument/2006/relationships/image" Target="media/image81.png"/><Relationship Id="rId180" Type="http://schemas.openxmlformats.org/officeDocument/2006/relationships/footer" Target="footer98.xml"/><Relationship Id="rId18" Type="http://schemas.openxmlformats.org/officeDocument/2006/relationships/footer" Target="footer15.xml"/><Relationship Id="rId179" Type="http://schemas.openxmlformats.org/officeDocument/2006/relationships/image" Target="media/image80.png"/><Relationship Id="rId178" Type="http://schemas.openxmlformats.org/officeDocument/2006/relationships/footer" Target="footer97.xml"/><Relationship Id="rId177" Type="http://schemas.openxmlformats.org/officeDocument/2006/relationships/image" Target="media/image79.png"/><Relationship Id="rId176" Type="http://schemas.openxmlformats.org/officeDocument/2006/relationships/footer" Target="footer96.xml"/><Relationship Id="rId175" Type="http://schemas.openxmlformats.org/officeDocument/2006/relationships/image" Target="media/image78.png"/><Relationship Id="rId174" Type="http://schemas.openxmlformats.org/officeDocument/2006/relationships/footer" Target="footer95.xml"/><Relationship Id="rId173" Type="http://schemas.openxmlformats.org/officeDocument/2006/relationships/image" Target="media/image77.png"/><Relationship Id="rId172" Type="http://schemas.openxmlformats.org/officeDocument/2006/relationships/footer" Target="footer94.xml"/><Relationship Id="rId171" Type="http://schemas.openxmlformats.org/officeDocument/2006/relationships/image" Target="media/image76.png"/><Relationship Id="rId170" Type="http://schemas.openxmlformats.org/officeDocument/2006/relationships/footer" Target="footer93.xml"/><Relationship Id="rId17" Type="http://schemas.openxmlformats.org/officeDocument/2006/relationships/footer" Target="footer14.xml"/><Relationship Id="rId169" Type="http://schemas.openxmlformats.org/officeDocument/2006/relationships/image" Target="media/image75.png"/><Relationship Id="rId168" Type="http://schemas.openxmlformats.org/officeDocument/2006/relationships/footer" Target="footer92.xml"/><Relationship Id="rId167" Type="http://schemas.openxmlformats.org/officeDocument/2006/relationships/image" Target="media/image74.png"/><Relationship Id="rId166" Type="http://schemas.openxmlformats.org/officeDocument/2006/relationships/footer" Target="footer91.xml"/><Relationship Id="rId165" Type="http://schemas.openxmlformats.org/officeDocument/2006/relationships/image" Target="media/image73.png"/><Relationship Id="rId164" Type="http://schemas.openxmlformats.org/officeDocument/2006/relationships/footer" Target="footer90.xml"/><Relationship Id="rId163" Type="http://schemas.openxmlformats.org/officeDocument/2006/relationships/image" Target="media/image72.png"/><Relationship Id="rId162" Type="http://schemas.openxmlformats.org/officeDocument/2006/relationships/footer" Target="footer89.xml"/><Relationship Id="rId161" Type="http://schemas.openxmlformats.org/officeDocument/2006/relationships/image" Target="media/image71.png"/><Relationship Id="rId160" Type="http://schemas.openxmlformats.org/officeDocument/2006/relationships/footer" Target="footer88.xml"/><Relationship Id="rId16" Type="http://schemas.openxmlformats.org/officeDocument/2006/relationships/footer" Target="footer13.xml"/><Relationship Id="rId159" Type="http://schemas.openxmlformats.org/officeDocument/2006/relationships/image" Target="media/image70.png"/><Relationship Id="rId158" Type="http://schemas.openxmlformats.org/officeDocument/2006/relationships/footer" Target="footer87.xml"/><Relationship Id="rId157" Type="http://schemas.openxmlformats.org/officeDocument/2006/relationships/image" Target="media/image69.png"/><Relationship Id="rId156" Type="http://schemas.openxmlformats.org/officeDocument/2006/relationships/footer" Target="footer86.xml"/><Relationship Id="rId155" Type="http://schemas.openxmlformats.org/officeDocument/2006/relationships/image" Target="media/image68.png"/><Relationship Id="rId154" Type="http://schemas.openxmlformats.org/officeDocument/2006/relationships/footer" Target="footer85.xml"/><Relationship Id="rId153" Type="http://schemas.openxmlformats.org/officeDocument/2006/relationships/image" Target="media/image67.png"/><Relationship Id="rId152" Type="http://schemas.openxmlformats.org/officeDocument/2006/relationships/footer" Target="footer84.xml"/><Relationship Id="rId151" Type="http://schemas.openxmlformats.org/officeDocument/2006/relationships/image" Target="media/image66.png"/><Relationship Id="rId150" Type="http://schemas.openxmlformats.org/officeDocument/2006/relationships/footer" Target="footer83.xml"/><Relationship Id="rId15" Type="http://schemas.openxmlformats.org/officeDocument/2006/relationships/footer" Target="footer12.xml"/><Relationship Id="rId149" Type="http://schemas.openxmlformats.org/officeDocument/2006/relationships/image" Target="media/image65.png"/><Relationship Id="rId148" Type="http://schemas.openxmlformats.org/officeDocument/2006/relationships/footer" Target="footer82.xml"/><Relationship Id="rId147" Type="http://schemas.openxmlformats.org/officeDocument/2006/relationships/image" Target="media/image64.png"/><Relationship Id="rId146" Type="http://schemas.openxmlformats.org/officeDocument/2006/relationships/footer" Target="footer81.xml"/><Relationship Id="rId145" Type="http://schemas.openxmlformats.org/officeDocument/2006/relationships/image" Target="media/image63.png"/><Relationship Id="rId144" Type="http://schemas.openxmlformats.org/officeDocument/2006/relationships/footer" Target="footer80.xml"/><Relationship Id="rId143" Type="http://schemas.openxmlformats.org/officeDocument/2006/relationships/image" Target="media/image62.png"/><Relationship Id="rId142" Type="http://schemas.openxmlformats.org/officeDocument/2006/relationships/footer" Target="footer79.xml"/><Relationship Id="rId141" Type="http://schemas.openxmlformats.org/officeDocument/2006/relationships/image" Target="media/image61.png"/><Relationship Id="rId140" Type="http://schemas.openxmlformats.org/officeDocument/2006/relationships/footer" Target="footer78.xml"/><Relationship Id="rId14" Type="http://schemas.openxmlformats.org/officeDocument/2006/relationships/footer" Target="footer11.xml"/><Relationship Id="rId139" Type="http://schemas.openxmlformats.org/officeDocument/2006/relationships/image" Target="media/image60.png"/><Relationship Id="rId138" Type="http://schemas.openxmlformats.org/officeDocument/2006/relationships/footer" Target="footer77.xml"/><Relationship Id="rId137" Type="http://schemas.openxmlformats.org/officeDocument/2006/relationships/image" Target="media/image59.png"/><Relationship Id="rId136" Type="http://schemas.openxmlformats.org/officeDocument/2006/relationships/footer" Target="footer76.xml"/><Relationship Id="rId135" Type="http://schemas.openxmlformats.org/officeDocument/2006/relationships/image" Target="media/image58.png"/><Relationship Id="rId134" Type="http://schemas.openxmlformats.org/officeDocument/2006/relationships/footer" Target="footer75.xml"/><Relationship Id="rId133" Type="http://schemas.openxmlformats.org/officeDocument/2006/relationships/image" Target="media/image57.png"/><Relationship Id="rId132" Type="http://schemas.openxmlformats.org/officeDocument/2006/relationships/footer" Target="footer74.xml"/><Relationship Id="rId131" Type="http://schemas.openxmlformats.org/officeDocument/2006/relationships/image" Target="media/image56.png"/><Relationship Id="rId130" Type="http://schemas.openxmlformats.org/officeDocument/2006/relationships/footer" Target="footer73.xml"/><Relationship Id="rId13" Type="http://schemas.openxmlformats.org/officeDocument/2006/relationships/footer" Target="footer10.xml"/><Relationship Id="rId129" Type="http://schemas.openxmlformats.org/officeDocument/2006/relationships/image" Target="media/image55.png"/><Relationship Id="rId128" Type="http://schemas.openxmlformats.org/officeDocument/2006/relationships/footer" Target="footer72.xml"/><Relationship Id="rId127" Type="http://schemas.openxmlformats.org/officeDocument/2006/relationships/image" Target="media/image54.png"/><Relationship Id="rId126" Type="http://schemas.openxmlformats.org/officeDocument/2006/relationships/footer" Target="footer71.xml"/><Relationship Id="rId125" Type="http://schemas.openxmlformats.org/officeDocument/2006/relationships/image" Target="media/image53.png"/><Relationship Id="rId124" Type="http://schemas.openxmlformats.org/officeDocument/2006/relationships/footer" Target="footer70.xml"/><Relationship Id="rId123" Type="http://schemas.openxmlformats.org/officeDocument/2006/relationships/image" Target="media/image52.png"/><Relationship Id="rId122" Type="http://schemas.openxmlformats.org/officeDocument/2006/relationships/footer" Target="footer69.xml"/><Relationship Id="rId121" Type="http://schemas.openxmlformats.org/officeDocument/2006/relationships/image" Target="media/image51.png"/><Relationship Id="rId120" Type="http://schemas.openxmlformats.org/officeDocument/2006/relationships/footer" Target="footer68.xml"/><Relationship Id="rId12" Type="http://schemas.openxmlformats.org/officeDocument/2006/relationships/footer" Target="footer9.xml"/><Relationship Id="rId119" Type="http://schemas.openxmlformats.org/officeDocument/2006/relationships/image" Target="media/image50.png"/><Relationship Id="rId118" Type="http://schemas.openxmlformats.org/officeDocument/2006/relationships/footer" Target="footer67.xml"/><Relationship Id="rId117" Type="http://schemas.openxmlformats.org/officeDocument/2006/relationships/image" Target="media/image49.png"/><Relationship Id="rId116" Type="http://schemas.openxmlformats.org/officeDocument/2006/relationships/footer" Target="footer66.xml"/><Relationship Id="rId115" Type="http://schemas.openxmlformats.org/officeDocument/2006/relationships/image" Target="media/image48.png"/><Relationship Id="rId114" Type="http://schemas.openxmlformats.org/officeDocument/2006/relationships/footer" Target="footer65.xml"/><Relationship Id="rId113" Type="http://schemas.openxmlformats.org/officeDocument/2006/relationships/image" Target="media/image47.png"/><Relationship Id="rId112" Type="http://schemas.openxmlformats.org/officeDocument/2006/relationships/footer" Target="footer64.xml"/><Relationship Id="rId111" Type="http://schemas.openxmlformats.org/officeDocument/2006/relationships/image" Target="media/image46.png"/><Relationship Id="rId110" Type="http://schemas.openxmlformats.org/officeDocument/2006/relationships/footer" Target="footer63.xml"/><Relationship Id="rId11" Type="http://schemas.openxmlformats.org/officeDocument/2006/relationships/footer" Target="footer8.xml"/><Relationship Id="rId109" Type="http://schemas.openxmlformats.org/officeDocument/2006/relationships/image" Target="media/image45.png"/><Relationship Id="rId108" Type="http://schemas.openxmlformats.org/officeDocument/2006/relationships/footer" Target="footer62.xml"/><Relationship Id="rId107" Type="http://schemas.openxmlformats.org/officeDocument/2006/relationships/image" Target="media/image44.png"/><Relationship Id="rId106" Type="http://schemas.openxmlformats.org/officeDocument/2006/relationships/footer" Target="footer61.xml"/><Relationship Id="rId105" Type="http://schemas.openxmlformats.org/officeDocument/2006/relationships/image" Target="media/image43.png"/><Relationship Id="rId104" Type="http://schemas.openxmlformats.org/officeDocument/2006/relationships/footer" Target="footer60.xml"/><Relationship Id="rId103" Type="http://schemas.openxmlformats.org/officeDocument/2006/relationships/image" Target="media/image42.png"/><Relationship Id="rId102" Type="http://schemas.openxmlformats.org/officeDocument/2006/relationships/footer" Target="footer59.xml"/><Relationship Id="rId101" Type="http://schemas.openxmlformats.org/officeDocument/2006/relationships/image" Target="media/image41.png"/><Relationship Id="rId100" Type="http://schemas.openxmlformats.org/officeDocument/2006/relationships/footer" Target="footer58.xml"/><Relationship Id="rId10" Type="http://schemas.openxmlformats.org/officeDocument/2006/relationships/footer" Target="footer7.xml"/><Relationship Id="rId1" Type="http://schemas.openxmlformats.org/officeDocument/2006/relationships/image" Target="media/image1.png"/></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2025-05-08T09:57:06Z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2025-10-17T15:32:23</vt:filetime>
  </property>
</Properties>
</file>