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487"/>
        <w:spacing w:before="159" w:line="196" w:lineRule="auto"/>
        <w:rPr>
          <w:rFonts w:ascii="STZhongsong" w:hAnsi="STZhongsong" w:eastAsia="STZhongsong" w:cs="STZhongsong"/>
          <w:sz w:val="43"/>
          <w:szCs w:val="43"/>
        </w:rPr>
      </w:pPr>
      <w:r>
        <w:rPr>
          <w:rFonts w:ascii="STZhongsong" w:hAnsi="STZhongsong" w:eastAsia="STZhongsong" w:cs="STZhongsong"/>
          <w:sz w:val="43"/>
          <w:szCs w:val="43"/>
        </w:rPr>
        <w:t>兴 县</w:t>
      </w:r>
      <w:r>
        <w:rPr>
          <w:rFonts w:ascii="STZhongsong" w:hAnsi="STZhongsong" w:eastAsia="STZhongsong" w:cs="STZhongsong"/>
          <w:sz w:val="43"/>
          <w:szCs w:val="43"/>
          <w:spacing w:val="-17"/>
        </w:rPr>
        <w:t xml:space="preserve"> </w:t>
      </w:r>
      <w:r>
        <w:rPr>
          <w:rFonts w:ascii="STZhongsong" w:hAnsi="STZhongsong" w:eastAsia="STZhongsong" w:cs="STZhongsong"/>
          <w:sz w:val="43"/>
          <w:szCs w:val="43"/>
        </w:rPr>
        <w:t>圪</w:t>
      </w:r>
      <w:r>
        <w:rPr>
          <w:rFonts w:ascii="STZhongsong" w:hAnsi="STZhongsong" w:eastAsia="STZhongsong" w:cs="STZhongsong"/>
          <w:sz w:val="43"/>
          <w:szCs w:val="43"/>
          <w:spacing w:val="-22"/>
        </w:rPr>
        <w:t xml:space="preserve"> </w:t>
      </w:r>
      <w:r>
        <w:rPr>
          <w:rFonts w:ascii="STZhongsong" w:hAnsi="STZhongsong" w:eastAsia="STZhongsong" w:cs="STZhongsong"/>
          <w:sz w:val="43"/>
          <w:szCs w:val="43"/>
        </w:rPr>
        <w:t>垯 上</w:t>
      </w:r>
      <w:r>
        <w:rPr>
          <w:rFonts w:ascii="STZhongsong" w:hAnsi="STZhongsong" w:eastAsia="STZhongsong" w:cs="STZhongsong"/>
          <w:sz w:val="43"/>
          <w:szCs w:val="43"/>
          <w:spacing w:val="-18"/>
        </w:rPr>
        <w:t xml:space="preserve"> </w:t>
      </w:r>
      <w:r>
        <w:rPr>
          <w:rFonts w:ascii="STZhongsong" w:hAnsi="STZhongsong" w:eastAsia="STZhongsong" w:cs="STZhongsong"/>
          <w:sz w:val="43"/>
          <w:szCs w:val="43"/>
        </w:rPr>
        <w:t>乡人 民</w:t>
      </w:r>
      <w:r>
        <w:rPr>
          <w:rFonts w:ascii="STZhongsong" w:hAnsi="STZhongsong" w:eastAsia="STZhongsong" w:cs="STZhongsong"/>
          <w:sz w:val="43"/>
          <w:szCs w:val="43"/>
          <w:spacing w:val="-29"/>
        </w:rPr>
        <w:t xml:space="preserve"> </w:t>
      </w:r>
      <w:r>
        <w:rPr>
          <w:rFonts w:ascii="STZhongsong" w:hAnsi="STZhongsong" w:eastAsia="STZhongsong" w:cs="STZhongsong"/>
          <w:sz w:val="43"/>
          <w:szCs w:val="43"/>
        </w:rPr>
        <w:t>政</w:t>
      </w:r>
      <w:r>
        <w:rPr>
          <w:rFonts w:ascii="STZhongsong" w:hAnsi="STZhongsong" w:eastAsia="STZhongsong" w:cs="STZhongsong"/>
          <w:sz w:val="43"/>
          <w:szCs w:val="43"/>
          <w:spacing w:val="-24"/>
        </w:rPr>
        <w:t xml:space="preserve"> </w:t>
      </w:r>
      <w:r>
        <w:rPr>
          <w:rFonts w:ascii="STZhongsong" w:hAnsi="STZhongsong" w:eastAsia="STZhongsong" w:cs="STZhongsong"/>
          <w:sz w:val="43"/>
          <w:szCs w:val="43"/>
        </w:rPr>
        <w:t>府</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3" w:line="222"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6"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2"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5"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1"/>
              </w:rPr>
              <w:t xml:space="preserve"> </w:t>
            </w:r>
            <w:r>
              <w:rPr>
                <w:rFonts w:ascii="FangSong" w:hAnsi="FangSong" w:eastAsia="FangSong" w:cs="FangSong"/>
                <w:sz w:val="32"/>
                <w:szCs w:val="32"/>
                <w:spacing w:val="-14"/>
              </w:rPr>
              <w:t>6</w:t>
            </w:r>
          </w:hyperlink>
        </w:p>
        <w:p>
          <w:pPr>
            <w:ind w:left="640"/>
            <w:spacing w:before="117"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19"/>
              </w:rPr>
              <w:t>7</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6"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10</w:t>
            </w:r>
          </w:hyperlink>
        </w:p>
        <w:p>
          <w:pPr>
            <w:ind w:left="640"/>
            <w:spacing w:before="121"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12</w:t>
            </w:r>
          </w:hyperlink>
        </w:p>
      </w:sdtContent>
    </w:sdt>
    <w:p>
      <w:pPr>
        <w:ind w:left="11" w:right="1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13</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7"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16</w:t>
            </w:r>
          </w:hyperlink>
        </w:p>
        <w:p>
          <w:pPr>
            <w:ind w:left="11"/>
            <w:spacing w:before="120" w:line="222"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1"/>
              </w:rPr>
              <w:t>17</w:t>
            </w:r>
          </w:hyperlink>
        </w:p>
        <w:p>
          <w:pPr>
            <w:ind w:left="642"/>
            <w:spacing w:before="115" w:line="222"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17</w:t>
            </w:r>
          </w:hyperlink>
        </w:p>
        <w:p>
          <w:pPr>
            <w:ind w:left="647"/>
            <w:spacing w:before="116"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17</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17</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17</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18</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19</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23</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23</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23</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23</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28</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45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917" w:right="874" w:firstLine="505"/>
        <w:spacing w:before="282" w:line="266" w:lineRule="auto"/>
        <w:rPr>
          <w:rFonts w:ascii="FangSong" w:hAnsi="FangSong" w:eastAsia="FangSong" w:cs="FangSong"/>
          <w:sz w:val="24"/>
          <w:szCs w:val="24"/>
        </w:rPr>
      </w:pPr>
      <w:r>
        <w:rPr>
          <w:rFonts w:ascii="FangSong" w:hAnsi="FangSong" w:eastAsia="FangSong" w:cs="FangSong"/>
          <w:sz w:val="24"/>
          <w:szCs w:val="24"/>
          <w:spacing w:val="3"/>
        </w:rPr>
        <w:t>1、执行国家行政机关的决定、命令和国家制定的法令、法规，执行本级人民代</w:t>
      </w:r>
      <w:r>
        <w:rPr>
          <w:rFonts w:ascii="FangSong" w:hAnsi="FangSong" w:eastAsia="FangSong" w:cs="FangSong"/>
          <w:sz w:val="24"/>
          <w:szCs w:val="24"/>
          <w:spacing w:val="15"/>
        </w:rPr>
        <w:t xml:space="preserve"> </w:t>
      </w:r>
      <w:r>
        <w:rPr>
          <w:rFonts w:ascii="FangSong" w:hAnsi="FangSong" w:eastAsia="FangSong" w:cs="FangSong"/>
          <w:sz w:val="24"/>
          <w:szCs w:val="24"/>
          <w:spacing w:val="-2"/>
        </w:rPr>
        <w:t>表大会的各项决议，并报告执行决议、决定和命令的情况。</w:t>
      </w:r>
    </w:p>
    <w:p>
      <w:pPr>
        <w:ind w:left="930" w:right="875" w:firstLine="470"/>
        <w:spacing w:before="118" w:line="262" w:lineRule="auto"/>
        <w:rPr>
          <w:rFonts w:ascii="FangSong" w:hAnsi="FangSong" w:eastAsia="FangSong" w:cs="FangSong"/>
          <w:sz w:val="24"/>
          <w:szCs w:val="24"/>
        </w:rPr>
      </w:pPr>
      <w:r>
        <w:rPr>
          <w:rFonts w:ascii="FangSong" w:hAnsi="FangSong" w:eastAsia="FangSong" w:cs="FangSong"/>
          <w:sz w:val="24"/>
          <w:szCs w:val="24"/>
          <w:spacing w:val="4"/>
        </w:rPr>
        <w:t>2、制定并落实本行政区域的经济计划和措施，全面提高人民群众的生活水平和</w:t>
      </w:r>
      <w:r>
        <w:rPr>
          <w:rFonts w:ascii="FangSong" w:hAnsi="FangSong" w:eastAsia="FangSong" w:cs="FangSong"/>
          <w:sz w:val="24"/>
          <w:szCs w:val="24"/>
          <w:spacing w:val="3"/>
        </w:rPr>
        <w:t xml:space="preserve"> </w:t>
      </w:r>
      <w:r>
        <w:rPr>
          <w:rFonts w:ascii="FangSong" w:hAnsi="FangSong" w:eastAsia="FangSong" w:cs="FangSong"/>
          <w:sz w:val="24"/>
          <w:szCs w:val="24"/>
          <w:spacing w:val="-10"/>
        </w:rPr>
        <w:t>生活质量。</w:t>
      </w:r>
    </w:p>
    <w:p>
      <w:pPr>
        <w:ind w:left="1393"/>
        <w:spacing w:before="113" w:line="221" w:lineRule="auto"/>
        <w:rPr>
          <w:rFonts w:ascii="FangSong" w:hAnsi="FangSong" w:eastAsia="FangSong" w:cs="FangSong"/>
          <w:sz w:val="24"/>
          <w:szCs w:val="24"/>
        </w:rPr>
      </w:pPr>
      <w:r>
        <w:rPr>
          <w:rFonts w:ascii="FangSong" w:hAnsi="FangSong" w:eastAsia="FangSong" w:cs="FangSong"/>
          <w:sz w:val="24"/>
          <w:szCs w:val="24"/>
          <w:spacing w:val="-2"/>
        </w:rPr>
        <w:t>3、承担国有资产、集体资产管理、监督及增值保值责任。</w:t>
      </w:r>
    </w:p>
    <w:p>
      <w:pPr>
        <w:ind w:left="915" w:right="875" w:firstLine="481"/>
        <w:spacing w:before="118" w:line="260" w:lineRule="auto"/>
        <w:rPr>
          <w:rFonts w:ascii="FangSong" w:hAnsi="FangSong" w:eastAsia="FangSong" w:cs="FangSong"/>
          <w:sz w:val="24"/>
          <w:szCs w:val="24"/>
        </w:rPr>
      </w:pPr>
      <w:r>
        <w:rPr>
          <w:rFonts w:ascii="FangSong" w:hAnsi="FangSong" w:eastAsia="FangSong" w:cs="FangSong"/>
          <w:sz w:val="24"/>
          <w:szCs w:val="24"/>
          <w:spacing w:val="4"/>
        </w:rPr>
        <w:t>4、开展社会主义民主和法制的宣传教育，保障公民的权利，打击违法犯罪，维</w:t>
      </w:r>
      <w:r>
        <w:rPr>
          <w:rFonts w:ascii="FangSong" w:hAnsi="FangSong" w:eastAsia="FangSong" w:cs="FangSong"/>
          <w:sz w:val="24"/>
          <w:szCs w:val="24"/>
          <w:spacing w:val="7"/>
        </w:rPr>
        <w:t xml:space="preserve"> </w:t>
      </w:r>
      <w:r>
        <w:rPr>
          <w:rFonts w:ascii="FangSong" w:hAnsi="FangSong" w:eastAsia="FangSong" w:cs="FangSong"/>
          <w:sz w:val="24"/>
          <w:szCs w:val="24"/>
          <w:spacing w:val="-7"/>
        </w:rPr>
        <w:t>护社会稳定。</w:t>
      </w:r>
    </w:p>
    <w:p>
      <w:pPr>
        <w:ind w:left="916" w:right="875" w:firstLine="485"/>
        <w:spacing w:before="120" w:line="277" w:lineRule="auto"/>
        <w:rPr>
          <w:rFonts w:ascii="FangSong" w:hAnsi="FangSong" w:eastAsia="FangSong" w:cs="FangSong"/>
          <w:sz w:val="24"/>
          <w:szCs w:val="24"/>
        </w:rPr>
      </w:pPr>
      <w:r>
        <w:rPr>
          <w:rFonts w:ascii="FangSong" w:hAnsi="FangSong" w:eastAsia="FangSong" w:cs="FangSong"/>
          <w:sz w:val="24"/>
          <w:szCs w:val="24"/>
          <w:spacing w:val="3"/>
        </w:rPr>
        <w:t>5、制定社会各项事业发展计划，发展教育、</w:t>
      </w:r>
      <w:r>
        <w:rPr>
          <w:rFonts w:ascii="FangSong" w:hAnsi="FangSong" w:eastAsia="FangSong" w:cs="FangSong"/>
          <w:sz w:val="24"/>
          <w:szCs w:val="24"/>
          <w:spacing w:val="2"/>
        </w:rPr>
        <w:t>卫生、科技、</w:t>
      </w:r>
      <w:r>
        <w:rPr>
          <w:rFonts w:ascii="FangSong" w:hAnsi="FangSong" w:eastAsia="FangSong" w:cs="FangSong"/>
          <w:sz w:val="24"/>
          <w:szCs w:val="24"/>
          <w:spacing w:val="-69"/>
        </w:rPr>
        <w:t xml:space="preserve"> </w:t>
      </w:r>
      <w:r>
        <w:rPr>
          <w:rFonts w:ascii="FangSong" w:hAnsi="FangSong" w:eastAsia="FangSong" w:cs="FangSong"/>
          <w:sz w:val="24"/>
          <w:szCs w:val="24"/>
          <w:spacing w:val="2"/>
        </w:rPr>
        <w:t>民政、广播电视、文</w:t>
      </w:r>
      <w:r>
        <w:rPr>
          <w:rFonts w:ascii="FangSong" w:hAnsi="FangSong" w:eastAsia="FangSong" w:cs="FangSong"/>
          <w:sz w:val="24"/>
          <w:szCs w:val="24"/>
        </w:rPr>
        <w:t xml:space="preserve"> </w:t>
      </w:r>
      <w:r>
        <w:rPr>
          <w:rFonts w:ascii="FangSong" w:hAnsi="FangSong" w:eastAsia="FangSong" w:cs="FangSong"/>
          <w:sz w:val="24"/>
          <w:szCs w:val="24"/>
          <w:spacing w:val="7"/>
        </w:rPr>
        <w:t>化、体育事业；加强计划生育工作；推进社会保障、社会福利事业和养老保险等工</w:t>
      </w:r>
      <w:r>
        <w:rPr>
          <w:rFonts w:ascii="FangSong" w:hAnsi="FangSong" w:eastAsia="FangSong" w:cs="FangSong"/>
          <w:sz w:val="24"/>
          <w:szCs w:val="24"/>
          <w:spacing w:val="15"/>
        </w:rPr>
        <w:t xml:space="preserve"> </w:t>
      </w:r>
      <w:r>
        <w:rPr>
          <w:rFonts w:ascii="FangSong" w:hAnsi="FangSong" w:eastAsia="FangSong" w:cs="FangSong"/>
          <w:sz w:val="24"/>
          <w:szCs w:val="24"/>
          <w:spacing w:val="-13"/>
        </w:rPr>
        <w:t>作。</w:t>
      </w:r>
    </w:p>
    <w:p>
      <w:pPr>
        <w:ind w:left="1390"/>
        <w:spacing w:before="119" w:line="223" w:lineRule="auto"/>
        <w:rPr>
          <w:rFonts w:ascii="FangSong" w:hAnsi="FangSong" w:eastAsia="FangSong" w:cs="FangSong"/>
          <w:sz w:val="24"/>
          <w:szCs w:val="24"/>
        </w:rPr>
      </w:pPr>
      <w:r>
        <w:rPr>
          <w:rFonts w:ascii="FangSong" w:hAnsi="FangSong" w:eastAsia="FangSong" w:cs="FangSong"/>
          <w:sz w:val="24"/>
          <w:szCs w:val="24"/>
          <w:spacing w:val="-3"/>
        </w:rPr>
        <w:t>6、加强财政的监督和管理。</w:t>
      </w:r>
    </w:p>
    <w:p>
      <w:pPr>
        <w:ind w:left="946" w:right="875" w:firstLine="456"/>
        <w:spacing w:before="116" w:line="261" w:lineRule="auto"/>
        <w:rPr>
          <w:rFonts w:ascii="FangSong" w:hAnsi="FangSong" w:eastAsia="FangSong" w:cs="FangSong"/>
          <w:sz w:val="24"/>
          <w:szCs w:val="24"/>
        </w:rPr>
      </w:pPr>
      <w:r>
        <w:rPr>
          <w:rFonts w:ascii="FangSong" w:hAnsi="FangSong" w:eastAsia="FangSong" w:cs="FangSong"/>
          <w:sz w:val="24"/>
          <w:szCs w:val="24"/>
          <w:spacing w:val="1"/>
        </w:rPr>
        <w:t>7、指导村（居）</w:t>
      </w:r>
      <w:r>
        <w:rPr>
          <w:rFonts w:ascii="FangSong" w:hAnsi="FangSong" w:eastAsia="FangSong" w:cs="FangSong"/>
          <w:sz w:val="24"/>
          <w:szCs w:val="24"/>
          <w:spacing w:val="-64"/>
        </w:rPr>
        <w:t xml:space="preserve"> </w:t>
      </w:r>
      <w:r>
        <w:rPr>
          <w:rFonts w:ascii="FangSong" w:hAnsi="FangSong" w:eastAsia="FangSong" w:cs="FangSong"/>
          <w:sz w:val="24"/>
          <w:szCs w:val="24"/>
          <w:spacing w:val="1"/>
        </w:rPr>
        <w:t>民委员会的组织制度建设和业务建设，促进村</w:t>
      </w:r>
      <w:r>
        <w:rPr>
          <w:rFonts w:ascii="FangSong" w:hAnsi="FangSong" w:eastAsia="FangSong" w:cs="FangSong"/>
          <w:sz w:val="24"/>
          <w:szCs w:val="24"/>
        </w:rPr>
        <w:t>（居）</w:t>
      </w:r>
      <w:r>
        <w:rPr>
          <w:rFonts w:ascii="FangSong" w:hAnsi="FangSong" w:eastAsia="FangSong" w:cs="FangSong"/>
          <w:sz w:val="24"/>
          <w:szCs w:val="24"/>
          <w:spacing w:val="-64"/>
        </w:rPr>
        <w:t xml:space="preserve"> </w:t>
      </w:r>
      <w:r>
        <w:rPr>
          <w:rFonts w:ascii="FangSong" w:hAnsi="FangSong" w:eastAsia="FangSong" w:cs="FangSong"/>
          <w:sz w:val="24"/>
          <w:szCs w:val="24"/>
        </w:rPr>
        <w:t>民委员会</w:t>
      </w:r>
      <w:r>
        <w:rPr>
          <w:rFonts w:ascii="FangSong" w:hAnsi="FangSong" w:eastAsia="FangSong" w:cs="FangSong"/>
          <w:sz w:val="24"/>
          <w:szCs w:val="24"/>
        </w:rPr>
        <w:t xml:space="preserve"> </w:t>
      </w:r>
      <w:r>
        <w:rPr>
          <w:rFonts w:ascii="FangSong" w:hAnsi="FangSong" w:eastAsia="FangSong" w:cs="FangSong"/>
          <w:sz w:val="24"/>
          <w:szCs w:val="24"/>
          <w:spacing w:val="-13"/>
        </w:rPr>
        <w:t>民主自治。</w:t>
      </w:r>
    </w:p>
    <w:p>
      <w:pPr>
        <w:ind w:left="1389"/>
        <w:spacing w:before="115" w:line="221" w:lineRule="auto"/>
        <w:rPr>
          <w:rFonts w:ascii="FangSong" w:hAnsi="FangSong" w:eastAsia="FangSong" w:cs="FangSong"/>
          <w:sz w:val="24"/>
          <w:szCs w:val="24"/>
        </w:rPr>
      </w:pPr>
      <w:r>
        <w:rPr>
          <w:rFonts w:ascii="FangSong" w:hAnsi="FangSong" w:eastAsia="FangSong" w:cs="FangSong"/>
          <w:sz w:val="24"/>
          <w:szCs w:val="24"/>
          <w:spacing w:val="-1"/>
        </w:rPr>
        <w:t>8、制定和组织实施镇村建设规划，保护和改善</w:t>
      </w:r>
      <w:r>
        <w:rPr>
          <w:rFonts w:ascii="FangSong" w:hAnsi="FangSong" w:eastAsia="FangSong" w:cs="FangSong"/>
          <w:sz w:val="24"/>
          <w:szCs w:val="24"/>
          <w:spacing w:val="-2"/>
        </w:rPr>
        <w:t>生活环境和生态环境。</w:t>
      </w:r>
    </w:p>
    <w:p>
      <w:pPr>
        <w:ind w:left="922" w:right="924" w:firstLine="475"/>
        <w:spacing w:before="119" w:line="260" w:lineRule="auto"/>
        <w:rPr>
          <w:rFonts w:ascii="FangSong" w:hAnsi="FangSong" w:eastAsia="FangSong" w:cs="FangSong"/>
          <w:sz w:val="24"/>
          <w:szCs w:val="24"/>
        </w:rPr>
      </w:pPr>
      <w:r>
        <w:rPr>
          <w:rFonts w:ascii="FangSong" w:hAnsi="FangSong" w:eastAsia="FangSong" w:cs="FangSong"/>
          <w:sz w:val="24"/>
          <w:szCs w:val="24"/>
          <w:spacing w:val="3"/>
        </w:rPr>
        <w:t>9、协助和支持设置在本行政区域内不隶属于镇的国家机</w:t>
      </w:r>
      <w:r>
        <w:rPr>
          <w:rFonts w:ascii="FangSong" w:hAnsi="FangSong" w:eastAsia="FangSong" w:cs="FangSong"/>
          <w:sz w:val="24"/>
          <w:szCs w:val="24"/>
          <w:spacing w:val="2"/>
        </w:rPr>
        <w:t>关和企事业单位工作，</w:t>
      </w:r>
      <w:r>
        <w:rPr>
          <w:rFonts w:ascii="FangSong" w:hAnsi="FangSong" w:eastAsia="FangSong" w:cs="FangSong"/>
          <w:sz w:val="24"/>
          <w:szCs w:val="24"/>
        </w:rPr>
        <w:t xml:space="preserve"> </w:t>
      </w:r>
      <w:r>
        <w:rPr>
          <w:rFonts w:ascii="FangSong" w:hAnsi="FangSong" w:eastAsia="FangSong" w:cs="FangSong"/>
          <w:sz w:val="24"/>
          <w:szCs w:val="24"/>
          <w:spacing w:val="-3"/>
        </w:rPr>
        <w:t>监督其遵守和执行国家的法律、法规和政策。</w:t>
      </w:r>
    </w:p>
    <w:p>
      <w:pPr>
        <w:ind w:left="1406"/>
        <w:spacing w:before="119" w:line="222" w:lineRule="auto"/>
        <w:rPr>
          <w:rFonts w:ascii="FangSong" w:hAnsi="FangSong" w:eastAsia="FangSong" w:cs="FangSong"/>
          <w:sz w:val="24"/>
          <w:szCs w:val="24"/>
        </w:rPr>
      </w:pPr>
      <w:r>
        <w:rPr>
          <w:rFonts w:ascii="FangSong" w:hAnsi="FangSong" w:eastAsia="FangSong" w:cs="FangSong"/>
          <w:sz w:val="24"/>
          <w:szCs w:val="24"/>
          <w:spacing w:val="-3"/>
        </w:rPr>
        <w:t>10、</w:t>
      </w:r>
      <w:r>
        <w:rPr>
          <w:rFonts w:ascii="FangSong" w:hAnsi="FangSong" w:eastAsia="FangSong" w:cs="FangSong"/>
          <w:sz w:val="24"/>
          <w:szCs w:val="24"/>
          <w:spacing w:val="-3"/>
        </w:rPr>
        <w:t xml:space="preserve"> </w:t>
      </w:r>
      <w:r>
        <w:rPr>
          <w:rFonts w:ascii="FangSong" w:hAnsi="FangSong" w:eastAsia="FangSong" w:cs="FangSong"/>
          <w:sz w:val="24"/>
          <w:szCs w:val="24"/>
          <w:spacing w:val="-3"/>
        </w:rPr>
        <w:t>承办本级党委、人大和上级交办的其它事项。</w:t>
      </w:r>
    </w:p>
    <w:p>
      <w:pPr>
        <w:ind w:left="913"/>
        <w:spacing w:before="280"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15" w:right="874"/>
        <w:spacing w:before="119" w:line="306" w:lineRule="auto"/>
        <w:jc w:val="both"/>
        <w:rPr>
          <w:rFonts w:ascii="FangSong" w:hAnsi="FangSong" w:eastAsia="FangSong" w:cs="FangSong"/>
          <w:sz w:val="24"/>
          <w:szCs w:val="24"/>
        </w:rPr>
      </w:pPr>
      <w:r>
        <w:rPr>
          <w:rFonts w:ascii="FangSong" w:hAnsi="FangSong" w:eastAsia="FangSong" w:cs="FangSong"/>
          <w:sz w:val="24"/>
          <w:szCs w:val="24"/>
          <w:spacing w:val="1"/>
        </w:rPr>
        <w:t>机构设置：五办（党政综合办公室、经济发展办公室、社会事务</w:t>
      </w:r>
      <w:r>
        <w:rPr>
          <w:rFonts w:ascii="FangSong" w:hAnsi="FangSong" w:eastAsia="FangSong" w:cs="FangSong"/>
          <w:sz w:val="24"/>
          <w:szCs w:val="24"/>
        </w:rPr>
        <w:t>办公室、规划建设办</w:t>
      </w:r>
      <w:r>
        <w:rPr>
          <w:rFonts w:ascii="FangSong" w:hAnsi="FangSong" w:eastAsia="FangSong" w:cs="FangSong"/>
          <w:sz w:val="24"/>
          <w:szCs w:val="24"/>
        </w:rPr>
        <w:t xml:space="preserve"> </w:t>
      </w:r>
      <w:r>
        <w:rPr>
          <w:rFonts w:ascii="FangSong" w:hAnsi="FangSong" w:eastAsia="FangSong" w:cs="FangSong"/>
          <w:sz w:val="24"/>
          <w:szCs w:val="24"/>
          <w:spacing w:val="4"/>
        </w:rPr>
        <w:t>公室、综合行政执法办公室)一站（退役军人服务站）两中心（党群服务中心、综合</w:t>
      </w:r>
      <w:r>
        <w:rPr>
          <w:rFonts w:ascii="FangSong" w:hAnsi="FangSong" w:eastAsia="FangSong" w:cs="FangSong"/>
          <w:sz w:val="24"/>
          <w:szCs w:val="24"/>
        </w:rPr>
        <w:t xml:space="preserve"> </w:t>
      </w:r>
      <w:r>
        <w:rPr>
          <w:rFonts w:ascii="FangSong" w:hAnsi="FangSong" w:eastAsia="FangSong" w:cs="FangSong"/>
          <w:sz w:val="24"/>
          <w:szCs w:val="24"/>
          <w:spacing w:val="-6"/>
        </w:rPr>
        <w:t>便民服务中心）。</w:t>
      </w:r>
    </w:p>
    <w:p>
      <w:pPr>
        <w:spacing w:line="306" w:lineRule="auto"/>
        <w:sectPr>
          <w:headerReference w:type="default" r:id="rId2"/>
          <w:footerReference w:type="default" r:id="rId3"/>
          <w:pgSz w:w="11900" w:h="16840"/>
          <w:pgMar w:top="642" w:right="600" w:bottom="340" w:left="60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37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27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部门名称：兴县圪垯上乡人民政府</w:t>
            </w:r>
          </w:p>
        </w:tc>
        <w:tc>
          <w:tcPr>
            <w:tcW w:w="3272" w:type="dxa"/>
            <w:vAlign w:val="top"/>
            <w:gridSpan w:val="3"/>
            <w:tcBorders>
              <w:top w:val="single" w:color="FFFFFF" w:sz="6" w:space="0"/>
              <w:left w:val="single" w:color="FFFFFF" w:sz="2" w:space="0"/>
              <w:right w:val="single" w:color="FFFFFF" w:sz="2" w:space="0"/>
            </w:tcBorders>
          </w:tcPr>
          <w:p>
            <w:pPr>
              <w:ind w:left="234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67" w:type="dxa"/>
            <w:vAlign w:val="top"/>
            <w:gridSpan w:val="2"/>
          </w:tcPr>
          <w:p>
            <w:pPr>
              <w:ind w:left="139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83" w:type="dxa"/>
            <w:vAlign w:val="top"/>
            <w:gridSpan w:val="4"/>
          </w:tcPr>
          <w:p>
            <w:pPr>
              <w:ind w:left="2494"/>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44" w:type="dxa"/>
            <w:vAlign w:val="top"/>
          </w:tcPr>
          <w:p>
            <w:pPr>
              <w:ind w:left="82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6"/>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11" w:type="dxa"/>
            <w:vAlign w:val="top"/>
          </w:tcPr>
          <w:p>
            <w:pPr>
              <w:ind w:left="85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11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6"/>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96" w:type="dxa"/>
            <w:vAlign w:val="top"/>
          </w:tcPr>
          <w:p>
            <w:pPr>
              <w:ind w:left="29"/>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9"/>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204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9"/>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802.30</w:t>
            </w:r>
          </w:p>
        </w:tc>
        <w:tc>
          <w:tcPr>
            <w:tcW w:w="2111" w:type="dxa"/>
            <w:vAlign w:val="top"/>
          </w:tcPr>
          <w:p>
            <w:pPr>
              <w:ind w:left="8"/>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38" w:type="dxa"/>
            <w:vAlign w:val="top"/>
          </w:tcPr>
          <w:p>
            <w:pPr>
              <w:ind w:right="17"/>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532.84</w:t>
            </w:r>
          </w:p>
        </w:tc>
        <w:tc>
          <w:tcPr>
            <w:tcW w:w="1138" w:type="dxa"/>
            <w:vAlign w:val="top"/>
          </w:tcPr>
          <w:p>
            <w:pPr>
              <w:ind w:right="25"/>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532.84</w:t>
            </w:r>
          </w:p>
        </w:tc>
        <w:tc>
          <w:tcPr>
            <w:tcW w:w="996" w:type="dxa"/>
            <w:vAlign w:val="top"/>
          </w:tcPr>
          <w:p>
            <w:pPr>
              <w:pStyle w:val="TableText"/>
              <w:rPr/>
            </w:pPr>
            <w:r/>
          </w:p>
        </w:tc>
      </w:tr>
      <w:tr>
        <w:trPr>
          <w:trHeight w:val="524" w:hRule="atLeast"/>
        </w:trPr>
        <w:tc>
          <w:tcPr>
            <w:tcW w:w="204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11" w:type="dxa"/>
            <w:vAlign w:val="top"/>
          </w:tcPr>
          <w:p>
            <w:pPr>
              <w:ind w:left="9"/>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11" w:type="dxa"/>
            <w:vAlign w:val="top"/>
          </w:tcPr>
          <w:p>
            <w:pPr>
              <w:ind w:left="5"/>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11"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11" w:type="dxa"/>
            <w:vAlign w:val="top"/>
          </w:tcPr>
          <w:p>
            <w:pPr>
              <w:ind w:left="9"/>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38" w:type="dxa"/>
            <w:vAlign w:val="top"/>
          </w:tcPr>
          <w:p>
            <w:pPr>
              <w:ind w:right="1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76.05</w:t>
            </w:r>
          </w:p>
        </w:tc>
        <w:tc>
          <w:tcPr>
            <w:tcW w:w="1138"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76.05</w:t>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3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24.07</w:t>
            </w:r>
          </w:p>
        </w:tc>
        <w:tc>
          <w:tcPr>
            <w:tcW w:w="1138"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24.07</w:t>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38" w:type="dxa"/>
            <w:vAlign w:val="top"/>
          </w:tcPr>
          <w:p>
            <w:pPr>
              <w:ind w:right="1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150.10</w:t>
            </w:r>
          </w:p>
        </w:tc>
        <w:tc>
          <w:tcPr>
            <w:tcW w:w="1138" w:type="dxa"/>
            <w:vAlign w:val="top"/>
          </w:tcPr>
          <w:p>
            <w:pPr>
              <w:ind w:right="2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118.00</w:t>
            </w:r>
          </w:p>
        </w:tc>
        <w:tc>
          <w:tcPr>
            <w:tcW w:w="996"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32.10</w:t>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51.35</w:t>
            </w:r>
          </w:p>
        </w:tc>
        <w:tc>
          <w:tcPr>
            <w:tcW w:w="113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51.35</w:t>
            </w:r>
          </w:p>
        </w:tc>
        <w:tc>
          <w:tcPr>
            <w:tcW w:w="996" w:type="dxa"/>
            <w:vAlign w:val="top"/>
          </w:tcPr>
          <w:p>
            <w:pPr>
              <w:pStyle w:val="TableText"/>
              <w:rPr/>
            </w:pPr>
            <w:r/>
          </w:p>
        </w:tc>
      </w:tr>
      <w:tr>
        <w:trPr>
          <w:trHeight w:val="532"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26"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bl>
    <w:p>
      <w:pPr>
        <w:pStyle w:val="BodyText"/>
        <w:rPr/>
      </w:pPr>
      <w:r/>
    </w:p>
    <w:p>
      <w:pPr>
        <w:sectPr>
          <w:footerReference w:type="default" r:id="rId4"/>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1"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3"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9"/>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16"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0" w:right="116"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pStyle w:val="TableText"/>
              <w:rPr/>
            </w:pPr>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44"/>
              <w:spacing w:before="186" w:line="183" w:lineRule="auto"/>
              <w:rPr>
                <w:sz w:val="15"/>
                <w:szCs w:val="15"/>
              </w:rPr>
            </w:pPr>
            <w:r>
              <w:rPr>
                <w:sz w:val="15"/>
                <w:szCs w:val="15"/>
                <w:color w:val="212529"/>
                <w:spacing w:val="3"/>
              </w:rPr>
              <w:t>802.</w:t>
            </w:r>
            <w:r>
              <w:rPr>
                <w:sz w:val="15"/>
                <w:szCs w:val="15"/>
                <w:color w:val="212529"/>
                <w:spacing w:val="11"/>
              </w:rPr>
              <w:t xml:space="preserve"> </w:t>
            </w:r>
            <w:r>
              <w:rPr>
                <w:sz w:val="15"/>
                <w:szCs w:val="15"/>
                <w:color w:val="212529"/>
                <w:spacing w:val="3"/>
              </w:rPr>
              <w:t>30</w:t>
            </w:r>
          </w:p>
        </w:tc>
        <w:tc>
          <w:tcPr>
            <w:tcW w:w="2111" w:type="dxa"/>
            <w:vAlign w:val="top"/>
          </w:tcPr>
          <w:p>
            <w:pPr>
              <w:ind w:left="6"/>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38" w:type="dxa"/>
            <w:vAlign w:val="top"/>
          </w:tcPr>
          <w:p>
            <w:pPr>
              <w:pStyle w:val="TableText"/>
              <w:ind w:left="571"/>
              <w:spacing w:before="186" w:line="183" w:lineRule="auto"/>
              <w:rPr>
                <w:sz w:val="15"/>
                <w:szCs w:val="15"/>
              </w:rPr>
            </w:pPr>
            <w:r>
              <w:rPr>
                <w:sz w:val="15"/>
                <w:szCs w:val="15"/>
                <w:color w:val="212529"/>
                <w:spacing w:val="3"/>
              </w:rPr>
              <w:t>834.</w:t>
            </w:r>
            <w:r>
              <w:rPr>
                <w:sz w:val="15"/>
                <w:szCs w:val="15"/>
                <w:color w:val="212529"/>
                <w:spacing w:val="11"/>
              </w:rPr>
              <w:t xml:space="preserve"> </w:t>
            </w:r>
            <w:r>
              <w:rPr>
                <w:sz w:val="15"/>
                <w:szCs w:val="15"/>
                <w:color w:val="212529"/>
                <w:spacing w:val="3"/>
              </w:rPr>
              <w:t>40</w:t>
            </w:r>
          </w:p>
        </w:tc>
        <w:tc>
          <w:tcPr>
            <w:tcW w:w="1138" w:type="dxa"/>
            <w:vAlign w:val="top"/>
          </w:tcPr>
          <w:p>
            <w:pPr>
              <w:pStyle w:val="TableText"/>
              <w:ind w:left="562"/>
              <w:spacing w:before="186" w:line="183" w:lineRule="auto"/>
              <w:rPr>
                <w:sz w:val="15"/>
                <w:szCs w:val="15"/>
              </w:rPr>
            </w:pPr>
            <w:r>
              <w:rPr>
                <w:sz w:val="15"/>
                <w:szCs w:val="15"/>
                <w:color w:val="212529"/>
                <w:spacing w:val="3"/>
              </w:rPr>
              <w:t>802.</w:t>
            </w:r>
            <w:r>
              <w:rPr>
                <w:sz w:val="15"/>
                <w:szCs w:val="15"/>
                <w:color w:val="212529"/>
                <w:spacing w:val="11"/>
              </w:rPr>
              <w:t xml:space="preserve"> </w:t>
            </w:r>
            <w:r>
              <w:rPr>
                <w:sz w:val="15"/>
                <w:szCs w:val="15"/>
                <w:color w:val="212529"/>
                <w:spacing w:val="3"/>
              </w:rPr>
              <w:t>30</w:t>
            </w:r>
          </w:p>
        </w:tc>
        <w:tc>
          <w:tcPr>
            <w:tcW w:w="996" w:type="dxa"/>
            <w:vAlign w:val="top"/>
          </w:tcPr>
          <w:p>
            <w:pPr>
              <w:pStyle w:val="TableText"/>
              <w:ind w:left="511"/>
              <w:spacing w:before="186" w:line="184" w:lineRule="auto"/>
              <w:rPr>
                <w:sz w:val="15"/>
                <w:szCs w:val="15"/>
              </w:rPr>
            </w:pPr>
            <w:r>
              <w:rPr>
                <w:sz w:val="15"/>
                <w:szCs w:val="15"/>
                <w:color w:val="212529"/>
                <w:spacing w:val="2"/>
              </w:rPr>
              <w:t>32.</w:t>
            </w:r>
            <w:r>
              <w:rPr>
                <w:sz w:val="15"/>
                <w:szCs w:val="15"/>
                <w:color w:val="212529"/>
                <w:spacing w:val="9"/>
              </w:rPr>
              <w:t xml:space="preserve"> </w:t>
            </w:r>
            <w:r>
              <w:rPr>
                <w:sz w:val="15"/>
                <w:szCs w:val="15"/>
                <w:color w:val="212529"/>
                <w:spacing w:val="2"/>
              </w:rPr>
              <w:t>10</w:t>
            </w:r>
          </w:p>
        </w:tc>
      </w:tr>
      <w:tr>
        <w:trPr>
          <w:trHeight w:val="524" w:hRule="atLeast"/>
        </w:trPr>
        <w:tc>
          <w:tcPr>
            <w:tcW w:w="204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left="679"/>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32.10</w:t>
            </w:r>
          </w:p>
        </w:tc>
        <w:tc>
          <w:tcPr>
            <w:tcW w:w="2111" w:type="dxa"/>
            <w:vAlign w:val="top"/>
          </w:tcPr>
          <w:p>
            <w:pPr>
              <w:ind w:left="194"/>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31" w:hRule="atLeast"/>
        </w:trPr>
        <w:tc>
          <w:tcPr>
            <w:tcW w:w="204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44"/>
              <w:spacing w:before="188" w:line="183" w:lineRule="auto"/>
              <w:rPr>
                <w:sz w:val="15"/>
                <w:szCs w:val="15"/>
              </w:rPr>
            </w:pPr>
            <w:r>
              <w:rPr>
                <w:sz w:val="15"/>
                <w:szCs w:val="15"/>
                <w:color w:val="212529"/>
                <w:spacing w:val="3"/>
              </w:rPr>
              <w:t>834.</w:t>
            </w:r>
            <w:r>
              <w:rPr>
                <w:sz w:val="15"/>
                <w:szCs w:val="15"/>
                <w:color w:val="212529"/>
                <w:spacing w:val="11"/>
              </w:rPr>
              <w:t xml:space="preserve"> </w:t>
            </w:r>
            <w:r>
              <w:rPr>
                <w:sz w:val="15"/>
                <w:szCs w:val="15"/>
                <w:color w:val="212529"/>
                <w:spacing w:val="3"/>
              </w:rPr>
              <w:t>40</w:t>
            </w:r>
          </w:p>
        </w:tc>
        <w:tc>
          <w:tcPr>
            <w:tcW w:w="2111" w:type="dxa"/>
            <w:vAlign w:val="top"/>
          </w:tcPr>
          <w:p>
            <w:pPr>
              <w:ind w:left="5"/>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38" w:type="dxa"/>
            <w:vAlign w:val="top"/>
          </w:tcPr>
          <w:p>
            <w:pPr>
              <w:pStyle w:val="TableText"/>
              <w:ind w:left="571"/>
              <w:spacing w:before="188" w:line="183" w:lineRule="auto"/>
              <w:rPr>
                <w:sz w:val="15"/>
                <w:szCs w:val="15"/>
              </w:rPr>
            </w:pPr>
            <w:r>
              <w:rPr>
                <w:sz w:val="15"/>
                <w:szCs w:val="15"/>
                <w:color w:val="212529"/>
                <w:spacing w:val="3"/>
              </w:rPr>
              <w:t>834.</w:t>
            </w:r>
            <w:r>
              <w:rPr>
                <w:sz w:val="15"/>
                <w:szCs w:val="15"/>
                <w:color w:val="212529"/>
                <w:spacing w:val="11"/>
              </w:rPr>
              <w:t xml:space="preserve"> </w:t>
            </w:r>
            <w:r>
              <w:rPr>
                <w:sz w:val="15"/>
                <w:szCs w:val="15"/>
                <w:color w:val="212529"/>
                <w:spacing w:val="3"/>
              </w:rPr>
              <w:t>40</w:t>
            </w:r>
          </w:p>
        </w:tc>
        <w:tc>
          <w:tcPr>
            <w:tcW w:w="1138" w:type="dxa"/>
            <w:vAlign w:val="top"/>
          </w:tcPr>
          <w:p>
            <w:pPr>
              <w:pStyle w:val="TableText"/>
              <w:ind w:left="562"/>
              <w:spacing w:before="188" w:line="183" w:lineRule="auto"/>
              <w:rPr>
                <w:sz w:val="15"/>
                <w:szCs w:val="15"/>
              </w:rPr>
            </w:pPr>
            <w:r>
              <w:rPr>
                <w:sz w:val="15"/>
                <w:szCs w:val="15"/>
                <w:color w:val="212529"/>
                <w:spacing w:val="3"/>
              </w:rPr>
              <w:t>802.</w:t>
            </w:r>
            <w:r>
              <w:rPr>
                <w:sz w:val="15"/>
                <w:szCs w:val="15"/>
                <w:color w:val="212529"/>
                <w:spacing w:val="11"/>
              </w:rPr>
              <w:t xml:space="preserve"> </w:t>
            </w:r>
            <w:r>
              <w:rPr>
                <w:sz w:val="15"/>
                <w:szCs w:val="15"/>
                <w:color w:val="212529"/>
                <w:spacing w:val="3"/>
              </w:rPr>
              <w:t>30</w:t>
            </w:r>
          </w:p>
        </w:tc>
        <w:tc>
          <w:tcPr>
            <w:tcW w:w="996" w:type="dxa"/>
            <w:vAlign w:val="top"/>
          </w:tcPr>
          <w:p>
            <w:pPr>
              <w:pStyle w:val="TableText"/>
              <w:ind w:left="511"/>
              <w:spacing w:before="188" w:line="184" w:lineRule="auto"/>
              <w:rPr>
                <w:sz w:val="15"/>
                <w:szCs w:val="15"/>
              </w:rPr>
            </w:pPr>
            <w:r>
              <w:rPr>
                <w:sz w:val="15"/>
                <w:szCs w:val="15"/>
                <w:color w:val="212529"/>
                <w:spacing w:val="2"/>
              </w:rPr>
              <w:t>32.</w:t>
            </w:r>
            <w:r>
              <w:rPr>
                <w:sz w:val="15"/>
                <w:szCs w:val="15"/>
                <w:color w:val="212529"/>
                <w:spacing w:val="9"/>
              </w:rPr>
              <w:t xml:space="preserve"> </w:t>
            </w:r>
            <w:r>
              <w:rPr>
                <w:sz w:val="15"/>
                <w:szCs w:val="15"/>
                <w:color w:val="212529"/>
                <w:spacing w:val="2"/>
              </w:rPr>
              <w:t>10</w:t>
            </w:r>
          </w:p>
        </w:tc>
      </w:tr>
    </w:tbl>
    <w:p>
      <w:pPr>
        <w:pStyle w:val="BodyText"/>
        <w:rPr/>
      </w:pPr>
      <w:r/>
    </w:p>
    <w:p>
      <w:pPr>
        <w:sectPr>
          <w:footerReference w:type="default" r:id="rId5"/>
          <w:pgSz w:w="11900" w:h="16840"/>
          <w:pgMar w:top="642" w:right="600" w:bottom="340" w:left="600" w:header="326" w:footer="93"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51"/>
        <w:gridCol w:w="3296"/>
        <w:gridCol w:w="1498"/>
        <w:gridCol w:w="1318"/>
        <w:gridCol w:w="1019"/>
        <w:gridCol w:w="1258"/>
        <w:gridCol w:w="1229"/>
        <w:gridCol w:w="989"/>
        <w:gridCol w:w="1311"/>
      </w:tblGrid>
      <w:tr>
        <w:trPr>
          <w:trHeight w:val="442" w:hRule="atLeast"/>
        </w:trPr>
        <w:tc>
          <w:tcPr>
            <w:tcW w:w="155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329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1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2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300" w:type="dxa"/>
            <w:vAlign w:val="top"/>
            <w:gridSpan w:val="2"/>
            <w:tcBorders>
              <w:left w:val="single" w:color="FFFFFF" w:sz="2" w:space="0"/>
              <w:right w:val="single" w:color="FFFFFF" w:sz="2" w:space="0"/>
              <w:bottom w:val="single" w:color="FFFFFF" w:sz="6" w:space="0"/>
              <w:top w:val="single" w:color="FFFFFF" w:sz="6" w:space="0"/>
            </w:tcBorders>
          </w:tcPr>
          <w:p>
            <w:pPr>
              <w:ind w:left="12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847"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部门名称：兴县圪垯上乡人民政府</w:t>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019" w:type="dxa"/>
            <w:vAlign w:val="top"/>
            <w:tcBorders>
              <w:left w:val="single" w:color="FFFFFF" w:sz="2" w:space="0"/>
              <w:right w:val="single" w:color="FFFFFF" w:sz="2" w:space="0"/>
              <w:top w:val="single" w:color="FFFFFF" w:sz="6" w:space="0"/>
            </w:tcBorders>
          </w:tcPr>
          <w:p>
            <w:pPr>
              <w:pStyle w:val="TableText"/>
              <w:rPr/>
            </w:pPr>
            <w:r/>
          </w:p>
        </w:tc>
        <w:tc>
          <w:tcPr>
            <w:tcW w:w="1258" w:type="dxa"/>
            <w:vAlign w:val="top"/>
            <w:tcBorders>
              <w:left w:val="single" w:color="FFFFFF" w:sz="2" w:space="0"/>
              <w:right w:val="single" w:color="FFFFFF" w:sz="2" w:space="0"/>
              <w:top w:val="single" w:color="FFFFFF" w:sz="6" w:space="0"/>
            </w:tcBorders>
          </w:tcPr>
          <w:p>
            <w:pPr>
              <w:pStyle w:val="TableText"/>
              <w:rPr/>
            </w:pPr>
            <w:r/>
          </w:p>
        </w:tc>
        <w:tc>
          <w:tcPr>
            <w:tcW w:w="1229" w:type="dxa"/>
            <w:vAlign w:val="top"/>
            <w:tcBorders>
              <w:left w:val="single" w:color="FFFFFF" w:sz="2" w:space="0"/>
              <w:right w:val="single" w:color="FFFFFF" w:sz="2" w:space="0"/>
              <w:top w:val="single" w:color="FFFFFF" w:sz="6" w:space="0"/>
            </w:tcBorders>
          </w:tcPr>
          <w:p>
            <w:pPr>
              <w:pStyle w:val="TableText"/>
              <w:rPr/>
            </w:pPr>
            <w:r/>
          </w:p>
        </w:tc>
        <w:tc>
          <w:tcPr>
            <w:tcW w:w="2300" w:type="dxa"/>
            <w:vAlign w:val="top"/>
            <w:gridSpan w:val="2"/>
            <w:tcBorders>
              <w:left w:val="single" w:color="FFFFFF" w:sz="2" w:space="0"/>
              <w:right w:val="single" w:color="FFFFFF" w:sz="2" w:space="0"/>
              <w:top w:val="single" w:color="FFFFFF" w:sz="6" w:space="0"/>
            </w:tcBorders>
          </w:tcPr>
          <w:p>
            <w:pPr>
              <w:ind w:left="13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847" w:type="dxa"/>
            <w:vAlign w:val="top"/>
            <w:gridSpan w:val="2"/>
          </w:tcPr>
          <w:p>
            <w:pPr>
              <w:ind w:left="2222"/>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311" w:type="dxa"/>
            <w:vAlign w:val="top"/>
            <w:gridSpan w:val="6"/>
          </w:tcPr>
          <w:p>
            <w:pPr>
              <w:ind w:left="3283"/>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311" w:type="dxa"/>
            <w:vAlign w:val="top"/>
            <w:vMerge w:val="restart"/>
            <w:tcBorders>
              <w:bottom w:val="nil"/>
            </w:tcBorders>
          </w:tcPr>
          <w:p>
            <w:pPr>
              <w:pStyle w:val="TableText"/>
              <w:spacing w:line="273" w:lineRule="auto"/>
              <w:rPr/>
            </w:pPr>
            <w:r/>
          </w:p>
          <w:p>
            <w:pPr>
              <w:ind w:left="28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51" w:type="dxa"/>
            <w:vAlign w:val="top"/>
          </w:tcPr>
          <w:p>
            <w:pPr>
              <w:ind w:left="39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3296" w:type="dxa"/>
            <w:vAlign w:val="top"/>
          </w:tcPr>
          <w:p>
            <w:pPr>
              <w:ind w:left="126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98" w:type="dxa"/>
            <w:vAlign w:val="top"/>
          </w:tcPr>
          <w:p>
            <w:pPr>
              <w:ind w:left="552"/>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18" w:type="dxa"/>
            <w:vAlign w:val="top"/>
          </w:tcPr>
          <w:p>
            <w:pPr>
              <w:ind w:left="10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019" w:type="dxa"/>
            <w:vAlign w:val="top"/>
          </w:tcPr>
          <w:p>
            <w:pPr>
              <w:ind w:left="4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58" w:type="dxa"/>
            <w:vAlign w:val="top"/>
          </w:tcPr>
          <w:p>
            <w:pPr>
              <w:ind w:left="96"/>
              <w:spacing w:before="1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国有资本经营</w:t>
            </w:r>
          </w:p>
          <w:p>
            <w:pPr>
              <w:ind w:left="433"/>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预算</w:t>
            </w:r>
          </w:p>
        </w:tc>
        <w:tc>
          <w:tcPr>
            <w:tcW w:w="1229" w:type="dxa"/>
            <w:vAlign w:val="top"/>
          </w:tcPr>
          <w:p>
            <w:pPr>
              <w:ind w:left="66"/>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w:t>
            </w:r>
          </w:p>
          <w:p>
            <w:pPr>
              <w:ind w:left="432"/>
              <w:spacing w:before="3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资金</w:t>
            </w:r>
          </w:p>
        </w:tc>
        <w:tc>
          <w:tcPr>
            <w:tcW w:w="989" w:type="dxa"/>
            <w:vAlign w:val="top"/>
          </w:tcPr>
          <w:p>
            <w:pPr>
              <w:ind w:left="127"/>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311" w:type="dxa"/>
            <w:vAlign w:val="top"/>
            <w:vMerge w:val="continue"/>
            <w:tcBorders>
              <w:top w:val="nil"/>
            </w:tcBorders>
          </w:tcPr>
          <w:p>
            <w:pPr>
              <w:pStyle w:val="TableText"/>
              <w:rPr/>
            </w:pPr>
            <w:r/>
          </w:p>
        </w:tc>
      </w:tr>
      <w:tr>
        <w:trPr>
          <w:trHeight w:val="434" w:hRule="atLeast"/>
        </w:trPr>
        <w:tc>
          <w:tcPr>
            <w:tcW w:w="4847" w:type="dxa"/>
            <w:vAlign w:val="top"/>
            <w:gridSpan w:val="2"/>
          </w:tcPr>
          <w:p>
            <w:pPr>
              <w:ind w:left="2225"/>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98" w:type="dxa"/>
            <w:vAlign w:val="top"/>
          </w:tcPr>
          <w:p>
            <w:pPr>
              <w:pStyle w:val="TableText"/>
              <w:ind w:left="924"/>
              <w:spacing w:before="149" w:line="183" w:lineRule="auto"/>
              <w:rPr>
                <w:sz w:val="15"/>
                <w:szCs w:val="15"/>
              </w:rPr>
            </w:pPr>
            <w:r>
              <w:rPr>
                <w:sz w:val="15"/>
                <w:szCs w:val="15"/>
                <w:color w:val="212529"/>
                <w:spacing w:val="3"/>
              </w:rPr>
              <w:t>802.</w:t>
            </w:r>
            <w:r>
              <w:rPr>
                <w:sz w:val="15"/>
                <w:szCs w:val="15"/>
                <w:color w:val="212529"/>
                <w:spacing w:val="11"/>
              </w:rPr>
              <w:t xml:space="preserve"> </w:t>
            </w:r>
            <w:r>
              <w:rPr>
                <w:sz w:val="15"/>
                <w:szCs w:val="15"/>
                <w:color w:val="212529"/>
                <w:spacing w:val="3"/>
              </w:rPr>
              <w:t>30</w:t>
            </w:r>
          </w:p>
        </w:tc>
        <w:tc>
          <w:tcPr>
            <w:tcW w:w="1318" w:type="dxa"/>
            <w:vAlign w:val="top"/>
          </w:tcPr>
          <w:p>
            <w:pPr>
              <w:pStyle w:val="TableText"/>
              <w:ind w:left="739"/>
              <w:spacing w:before="149" w:line="183" w:lineRule="auto"/>
              <w:rPr>
                <w:sz w:val="15"/>
                <w:szCs w:val="15"/>
              </w:rPr>
            </w:pPr>
            <w:r>
              <w:rPr>
                <w:sz w:val="15"/>
                <w:szCs w:val="15"/>
                <w:color w:val="212529"/>
                <w:spacing w:val="3"/>
              </w:rPr>
              <w:t>802.</w:t>
            </w:r>
            <w:r>
              <w:rPr>
                <w:sz w:val="15"/>
                <w:szCs w:val="15"/>
                <w:color w:val="212529"/>
                <w:spacing w:val="11"/>
              </w:rPr>
              <w:t xml:space="preserve"> </w:t>
            </w:r>
            <w:r>
              <w:rPr>
                <w:sz w:val="15"/>
                <w:szCs w:val="15"/>
                <w:color w:val="212529"/>
                <w:spacing w:val="3"/>
              </w:rPr>
              <w:t>30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ind w:left="827"/>
              <w:spacing w:before="149" w:line="184" w:lineRule="auto"/>
              <w:rPr>
                <w:sz w:val="15"/>
                <w:szCs w:val="15"/>
              </w:rPr>
            </w:pPr>
            <w:r>
              <w:rPr>
                <w:sz w:val="15"/>
                <w:szCs w:val="15"/>
                <w:color w:val="212529"/>
                <w:spacing w:val="2"/>
              </w:rPr>
              <w:t>32.</w:t>
            </w:r>
            <w:r>
              <w:rPr>
                <w:sz w:val="15"/>
                <w:szCs w:val="15"/>
                <w:color w:val="212529"/>
                <w:spacing w:val="9"/>
              </w:rPr>
              <w:t xml:space="preserve"> </w:t>
            </w:r>
            <w:r>
              <w:rPr>
                <w:sz w:val="15"/>
                <w:szCs w:val="15"/>
                <w:color w:val="212529"/>
                <w:spacing w:val="2"/>
              </w:rPr>
              <w:t>10</w:t>
            </w:r>
          </w:p>
        </w:tc>
      </w:tr>
      <w:tr>
        <w:trPr>
          <w:trHeight w:val="434" w:hRule="atLeast"/>
        </w:trPr>
        <w:tc>
          <w:tcPr>
            <w:tcW w:w="155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3296" w:type="dxa"/>
            <w:vAlign w:val="top"/>
          </w:tcPr>
          <w:p>
            <w:pPr>
              <w:ind w:left="2"/>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9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532.84</w:t>
            </w:r>
          </w:p>
        </w:tc>
        <w:tc>
          <w:tcPr>
            <w:tcW w:w="1318" w:type="dxa"/>
            <w:vAlign w:val="top"/>
          </w:tcPr>
          <w:p>
            <w:pPr>
              <w:ind w:right="29"/>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532.84</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3296" w:type="dxa"/>
            <w:vAlign w:val="top"/>
          </w:tcPr>
          <w:p>
            <w:pPr>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9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520.44</w:t>
            </w:r>
          </w:p>
        </w:tc>
        <w:tc>
          <w:tcPr>
            <w:tcW w:w="1318" w:type="dxa"/>
            <w:vAlign w:val="top"/>
          </w:tcPr>
          <w:p>
            <w:pPr>
              <w:ind w:right="29"/>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520.44</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2010301</w:t>
            </w:r>
          </w:p>
        </w:tc>
        <w:tc>
          <w:tcPr>
            <w:tcW w:w="3296"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9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276.64</w:t>
            </w:r>
          </w:p>
        </w:tc>
        <w:tc>
          <w:tcPr>
            <w:tcW w:w="1318" w:type="dxa"/>
            <w:vAlign w:val="top"/>
          </w:tcPr>
          <w:p>
            <w:pPr>
              <w:ind w:right="29"/>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276.64</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3296" w:type="dxa"/>
            <w:vAlign w:val="top"/>
          </w:tcPr>
          <w:p>
            <w:pPr>
              <w:ind w:left="1"/>
              <w:spacing w:before="132"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9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243.80</w:t>
            </w:r>
          </w:p>
        </w:tc>
        <w:tc>
          <w:tcPr>
            <w:tcW w:w="1318" w:type="dxa"/>
            <w:vAlign w:val="top"/>
          </w:tcPr>
          <w:p>
            <w:pPr>
              <w:ind w:right="29"/>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243.80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3296" w:type="dxa"/>
            <w:vAlign w:val="top"/>
          </w:tcPr>
          <w:p>
            <w:pPr>
              <w:ind w:left="2"/>
              <w:spacing w:before="132"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498"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318"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3296" w:type="dxa"/>
            <w:vAlign w:val="top"/>
          </w:tcPr>
          <w:p>
            <w:pPr>
              <w:spacing w:before="133" w:line="219" w:lineRule="auto"/>
              <w:rPr>
                <w:rFonts w:ascii="SimSun" w:hAnsi="SimSun" w:eastAsia="SimSun" w:cs="SimSun"/>
                <w:sz w:val="18"/>
                <w:szCs w:val="18"/>
              </w:rPr>
            </w:pPr>
            <w:r>
              <w:rPr>
                <w:rFonts w:ascii="SimSun" w:hAnsi="SimSun" w:eastAsia="SimSun" w:cs="SimSun"/>
                <w:sz w:val="18"/>
                <w:szCs w:val="18"/>
                <w:color w:val="212529"/>
                <w:spacing w:val="-1"/>
              </w:rPr>
              <w:t>其他组织事务支出</w:t>
            </w:r>
          </w:p>
        </w:tc>
        <w:tc>
          <w:tcPr>
            <w:tcW w:w="1498"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318" w:type="dxa"/>
            <w:vAlign w:val="top"/>
          </w:tcPr>
          <w:p>
            <w:pPr>
              <w:ind w:right="26"/>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3296" w:type="dxa"/>
            <w:vAlign w:val="top"/>
          </w:tcPr>
          <w:p>
            <w:pPr>
              <w:ind w:left="1"/>
              <w:spacing w:before="134"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98"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76.05</w:t>
            </w:r>
          </w:p>
        </w:tc>
        <w:tc>
          <w:tcPr>
            <w:tcW w:w="1318" w:type="dxa"/>
            <w:vAlign w:val="top"/>
          </w:tcPr>
          <w:p>
            <w:pPr>
              <w:ind w:right="28"/>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76.05</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296" w:type="dxa"/>
            <w:vAlign w:val="top"/>
          </w:tcPr>
          <w:p>
            <w:pPr>
              <w:spacing w:before="135"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9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60.85</w:t>
            </w:r>
          </w:p>
        </w:tc>
        <w:tc>
          <w:tcPr>
            <w:tcW w:w="1318" w:type="dxa"/>
            <w:vAlign w:val="top"/>
          </w:tcPr>
          <w:p>
            <w:pPr>
              <w:ind w:right="29"/>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60.85</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3296"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98"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10.60</w:t>
            </w:r>
          </w:p>
        </w:tc>
        <w:tc>
          <w:tcPr>
            <w:tcW w:w="1318"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10.60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296" w:type="dxa"/>
            <w:vAlign w:val="top"/>
          </w:tcPr>
          <w:p>
            <w:pPr>
              <w:spacing w:before="137"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98"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50.24</w:t>
            </w:r>
          </w:p>
        </w:tc>
        <w:tc>
          <w:tcPr>
            <w:tcW w:w="1318" w:type="dxa"/>
            <w:vAlign w:val="top"/>
          </w:tcPr>
          <w:p>
            <w:pPr>
              <w:ind w:right="28"/>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50.24</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5" w:hRule="atLeast"/>
        </w:trPr>
        <w:tc>
          <w:tcPr>
            <w:tcW w:w="155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w:t>
            </w:r>
          </w:p>
        </w:tc>
        <w:tc>
          <w:tcPr>
            <w:tcW w:w="3296" w:type="dxa"/>
            <w:vAlign w:val="top"/>
          </w:tcPr>
          <w:p>
            <w:pPr>
              <w:ind w:left="11"/>
              <w:spacing w:before="138" w:line="219" w:lineRule="auto"/>
              <w:rPr>
                <w:rFonts w:ascii="SimSun" w:hAnsi="SimSun" w:eastAsia="SimSun" w:cs="SimSun"/>
                <w:sz w:val="18"/>
                <w:szCs w:val="18"/>
              </w:rPr>
            </w:pPr>
            <w:r>
              <w:rPr>
                <w:rFonts w:ascii="SimSun" w:hAnsi="SimSun" w:eastAsia="SimSun" w:cs="SimSun"/>
                <w:sz w:val="18"/>
                <w:szCs w:val="18"/>
                <w:color w:val="212529"/>
                <w:spacing w:val="-4"/>
              </w:rPr>
              <w:t>临时救助</w:t>
            </w:r>
          </w:p>
        </w:tc>
        <w:tc>
          <w:tcPr>
            <w:tcW w:w="1498"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15.20</w:t>
            </w:r>
          </w:p>
        </w:tc>
        <w:tc>
          <w:tcPr>
            <w:tcW w:w="131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15.20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5" w:hRule="atLeast"/>
        </w:trPr>
        <w:tc>
          <w:tcPr>
            <w:tcW w:w="155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2082001</w:t>
            </w:r>
          </w:p>
        </w:tc>
        <w:tc>
          <w:tcPr>
            <w:tcW w:w="3296" w:type="dxa"/>
            <w:vAlign w:val="top"/>
          </w:tcPr>
          <w:p>
            <w:pPr>
              <w:ind w:left="11"/>
              <w:spacing w:before="138" w:line="219" w:lineRule="auto"/>
              <w:rPr>
                <w:rFonts w:ascii="SimSun" w:hAnsi="SimSun" w:eastAsia="SimSun" w:cs="SimSun"/>
                <w:sz w:val="18"/>
                <w:szCs w:val="18"/>
              </w:rPr>
            </w:pPr>
            <w:r>
              <w:rPr>
                <w:rFonts w:ascii="SimSun" w:hAnsi="SimSun" w:eastAsia="SimSun" w:cs="SimSun"/>
                <w:sz w:val="18"/>
                <w:szCs w:val="18"/>
                <w:color w:val="212529"/>
                <w:spacing w:val="-3"/>
              </w:rPr>
              <w:t>临时救助支出</w:t>
            </w:r>
          </w:p>
        </w:tc>
        <w:tc>
          <w:tcPr>
            <w:tcW w:w="1498"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15.20</w:t>
            </w:r>
          </w:p>
        </w:tc>
        <w:tc>
          <w:tcPr>
            <w:tcW w:w="131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15.20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5" w:hRule="atLeast"/>
        </w:trPr>
        <w:tc>
          <w:tcPr>
            <w:tcW w:w="155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3296" w:type="dxa"/>
            <w:vAlign w:val="top"/>
          </w:tcPr>
          <w:p>
            <w:pPr>
              <w:ind w:left="1"/>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9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24.07</w:t>
            </w:r>
          </w:p>
        </w:tc>
        <w:tc>
          <w:tcPr>
            <w:tcW w:w="1318"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24.07</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5" w:hRule="atLeast"/>
        </w:trPr>
        <w:tc>
          <w:tcPr>
            <w:tcW w:w="155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296"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9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24.07</w:t>
            </w:r>
          </w:p>
        </w:tc>
        <w:tc>
          <w:tcPr>
            <w:tcW w:w="1318"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24.07</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5" w:hRule="atLeast"/>
        </w:trPr>
        <w:tc>
          <w:tcPr>
            <w:tcW w:w="155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3296"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9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7.92</w:t>
            </w:r>
          </w:p>
        </w:tc>
        <w:tc>
          <w:tcPr>
            <w:tcW w:w="1318"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7.92</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42" w:hRule="atLeast"/>
        </w:trPr>
        <w:tc>
          <w:tcPr>
            <w:tcW w:w="155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296" w:type="dxa"/>
            <w:vAlign w:val="top"/>
          </w:tcPr>
          <w:p>
            <w:pPr>
              <w:ind w:left="1"/>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98"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31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bl>
    <w:p>
      <w:pPr>
        <w:pStyle w:val="BodyText"/>
        <w:rPr/>
      </w:pPr>
      <w:r/>
    </w:p>
    <w:p>
      <w:pPr>
        <w:sectPr>
          <w:headerReference w:type="default" r:id="rId6"/>
          <w:footerReference w:type="default" r:id="rId7"/>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51"/>
        <w:gridCol w:w="3296"/>
        <w:gridCol w:w="1498"/>
        <w:gridCol w:w="1318"/>
        <w:gridCol w:w="1019"/>
        <w:gridCol w:w="1258"/>
        <w:gridCol w:w="1229"/>
        <w:gridCol w:w="989"/>
        <w:gridCol w:w="1311"/>
      </w:tblGrid>
      <w:tr>
        <w:trPr>
          <w:trHeight w:val="441" w:hRule="atLeast"/>
        </w:trPr>
        <w:tc>
          <w:tcPr>
            <w:tcW w:w="155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3296" w:type="dxa"/>
            <w:vAlign w:val="top"/>
          </w:tcPr>
          <w:p>
            <w:pPr>
              <w:ind w:left="5"/>
              <w:spacing w:before="115"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98"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3.65</w:t>
            </w:r>
          </w:p>
        </w:tc>
        <w:tc>
          <w:tcPr>
            <w:tcW w:w="1318" w:type="dxa"/>
            <w:vAlign w:val="top"/>
          </w:tcPr>
          <w:p>
            <w:pPr>
              <w:ind w:right="28"/>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3.65</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3" w:hRule="atLeast"/>
        </w:trPr>
        <w:tc>
          <w:tcPr>
            <w:tcW w:w="155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3296" w:type="dxa"/>
            <w:vAlign w:val="top"/>
          </w:tcPr>
          <w:p>
            <w:pPr>
              <w:ind w:left="1"/>
              <w:spacing w:before="109"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98" w:type="dxa"/>
            <w:vAlign w:val="top"/>
          </w:tcPr>
          <w:p>
            <w:pPr>
              <w:ind w:right="2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3"/>
              </w:rPr>
              <w:t>118.00</w:t>
            </w:r>
          </w:p>
        </w:tc>
        <w:tc>
          <w:tcPr>
            <w:tcW w:w="1318" w:type="dxa"/>
            <w:vAlign w:val="top"/>
          </w:tcPr>
          <w:p>
            <w:pPr>
              <w:ind w:right="27"/>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3"/>
              </w:rPr>
              <w:t>118.00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ind w:right="26"/>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32.10</w:t>
            </w:r>
          </w:p>
        </w:tc>
      </w:tr>
      <w:tr>
        <w:trPr>
          <w:trHeight w:val="433" w:hRule="atLeast"/>
        </w:trPr>
        <w:tc>
          <w:tcPr>
            <w:tcW w:w="155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21301</w:t>
            </w:r>
          </w:p>
        </w:tc>
        <w:tc>
          <w:tcPr>
            <w:tcW w:w="3296" w:type="dxa"/>
            <w:vAlign w:val="top"/>
          </w:tcPr>
          <w:p>
            <w:pPr>
              <w:ind w:left="1"/>
              <w:spacing w:before="111" w:line="218" w:lineRule="auto"/>
              <w:rPr>
                <w:rFonts w:ascii="SimSun" w:hAnsi="SimSun" w:eastAsia="SimSun" w:cs="SimSun"/>
                <w:sz w:val="18"/>
                <w:szCs w:val="18"/>
              </w:rPr>
            </w:pPr>
            <w:r>
              <w:rPr>
                <w:rFonts w:ascii="SimSun" w:hAnsi="SimSun" w:eastAsia="SimSun" w:cs="SimSun"/>
                <w:sz w:val="18"/>
                <w:szCs w:val="18"/>
                <w:color w:val="212529"/>
                <w:spacing w:val="-2"/>
              </w:rPr>
              <w:t>农业农村</w:t>
            </w:r>
          </w:p>
        </w:tc>
        <w:tc>
          <w:tcPr>
            <w:tcW w:w="1498" w:type="dxa"/>
            <w:vAlign w:val="top"/>
          </w:tcPr>
          <w:p>
            <w:pPr>
              <w:ind w:right="22"/>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118.00</w:t>
            </w:r>
          </w:p>
        </w:tc>
        <w:tc>
          <w:tcPr>
            <w:tcW w:w="1318" w:type="dxa"/>
            <w:vAlign w:val="top"/>
          </w:tcPr>
          <w:p>
            <w:pPr>
              <w:ind w:right="27"/>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118.00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3" w:hRule="atLeast"/>
        </w:trPr>
        <w:tc>
          <w:tcPr>
            <w:tcW w:w="155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2130199</w:t>
            </w:r>
          </w:p>
        </w:tc>
        <w:tc>
          <w:tcPr>
            <w:tcW w:w="3296" w:type="dxa"/>
            <w:vAlign w:val="top"/>
          </w:tcPr>
          <w:p>
            <w:pPr>
              <w:spacing w:before="113" w:line="218" w:lineRule="auto"/>
              <w:rPr>
                <w:rFonts w:ascii="SimSun" w:hAnsi="SimSun" w:eastAsia="SimSun" w:cs="SimSun"/>
                <w:sz w:val="18"/>
                <w:szCs w:val="18"/>
              </w:rPr>
            </w:pPr>
            <w:r>
              <w:rPr>
                <w:rFonts w:ascii="SimSun" w:hAnsi="SimSun" w:eastAsia="SimSun" w:cs="SimSun"/>
                <w:sz w:val="18"/>
                <w:szCs w:val="18"/>
                <w:color w:val="212529"/>
                <w:spacing w:val="-1"/>
              </w:rPr>
              <w:t>其他农业农村支出</w:t>
            </w:r>
          </w:p>
        </w:tc>
        <w:tc>
          <w:tcPr>
            <w:tcW w:w="1498" w:type="dxa"/>
            <w:vAlign w:val="top"/>
          </w:tcPr>
          <w:p>
            <w:pPr>
              <w:ind w:right="2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3"/>
              </w:rPr>
              <w:t>118.00</w:t>
            </w:r>
          </w:p>
        </w:tc>
        <w:tc>
          <w:tcPr>
            <w:tcW w:w="1318" w:type="dxa"/>
            <w:vAlign w:val="top"/>
          </w:tcPr>
          <w:p>
            <w:pPr>
              <w:ind w:right="27"/>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3"/>
              </w:rPr>
              <w:t>118.00</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3" w:hRule="atLeast"/>
        </w:trPr>
        <w:tc>
          <w:tcPr>
            <w:tcW w:w="155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21307</w:t>
            </w:r>
          </w:p>
        </w:tc>
        <w:tc>
          <w:tcPr>
            <w:tcW w:w="3296" w:type="dxa"/>
            <w:vAlign w:val="top"/>
          </w:tcPr>
          <w:p>
            <w:pPr>
              <w:ind w:left="1"/>
              <w:spacing w:before="115" w:line="218"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498" w:type="dxa"/>
            <w:vAlign w:val="top"/>
          </w:tcPr>
          <w:p>
            <w:pPr>
              <w:pStyle w:val="TableText"/>
              <w:rPr/>
            </w:pPr>
            <w:r/>
          </w:p>
        </w:tc>
        <w:tc>
          <w:tcPr>
            <w:tcW w:w="1318" w:type="dxa"/>
            <w:vAlign w:val="top"/>
          </w:tcPr>
          <w:p>
            <w:pPr>
              <w:pStyle w:val="TableText"/>
              <w:rPr/>
            </w:pPr>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32.10</w:t>
            </w:r>
          </w:p>
        </w:tc>
      </w:tr>
      <w:tr>
        <w:trPr>
          <w:trHeight w:val="433" w:hRule="atLeast"/>
        </w:trPr>
        <w:tc>
          <w:tcPr>
            <w:tcW w:w="155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2130701</w:t>
            </w:r>
          </w:p>
        </w:tc>
        <w:tc>
          <w:tcPr>
            <w:tcW w:w="3296" w:type="dxa"/>
            <w:vAlign w:val="top"/>
          </w:tcPr>
          <w:p>
            <w:pPr>
              <w:spacing w:before="117" w:line="218" w:lineRule="auto"/>
              <w:rPr>
                <w:rFonts w:ascii="SimSun" w:hAnsi="SimSun" w:eastAsia="SimSun" w:cs="SimSun"/>
                <w:sz w:val="18"/>
                <w:szCs w:val="18"/>
              </w:rPr>
            </w:pPr>
            <w:r>
              <w:rPr>
                <w:rFonts w:ascii="SimSun" w:hAnsi="SimSun" w:eastAsia="SimSun" w:cs="SimSun"/>
                <w:sz w:val="18"/>
                <w:szCs w:val="18"/>
                <w:color w:val="212529"/>
                <w:spacing w:val="-1"/>
              </w:rPr>
              <w:t>对村级公益事业建设的补助</w:t>
            </w:r>
          </w:p>
        </w:tc>
        <w:tc>
          <w:tcPr>
            <w:tcW w:w="1498" w:type="dxa"/>
            <w:vAlign w:val="top"/>
          </w:tcPr>
          <w:p>
            <w:pPr>
              <w:pStyle w:val="TableText"/>
              <w:rPr/>
            </w:pPr>
            <w:r/>
          </w:p>
        </w:tc>
        <w:tc>
          <w:tcPr>
            <w:tcW w:w="1318" w:type="dxa"/>
            <w:vAlign w:val="top"/>
          </w:tcPr>
          <w:p>
            <w:pPr>
              <w:pStyle w:val="TableText"/>
              <w:rPr/>
            </w:pPr>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ind w:right="26"/>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32.10</w:t>
            </w:r>
          </w:p>
        </w:tc>
      </w:tr>
      <w:tr>
        <w:trPr>
          <w:trHeight w:val="434" w:hRule="atLeast"/>
        </w:trPr>
        <w:tc>
          <w:tcPr>
            <w:tcW w:w="155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3296"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98" w:type="dxa"/>
            <w:vAlign w:val="top"/>
          </w:tcPr>
          <w:p>
            <w:pPr>
              <w:ind w:right="23"/>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51.35</w:t>
            </w:r>
          </w:p>
        </w:tc>
        <w:tc>
          <w:tcPr>
            <w:tcW w:w="1318" w:type="dxa"/>
            <w:vAlign w:val="top"/>
          </w:tcPr>
          <w:p>
            <w:pPr>
              <w:ind w:right="28"/>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51.35</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34" w:hRule="atLeast"/>
        </w:trPr>
        <w:tc>
          <w:tcPr>
            <w:tcW w:w="155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296"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98" w:type="dxa"/>
            <w:vAlign w:val="top"/>
          </w:tcPr>
          <w:p>
            <w:pPr>
              <w:ind w:right="23"/>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51.35</w:t>
            </w:r>
          </w:p>
        </w:tc>
        <w:tc>
          <w:tcPr>
            <w:tcW w:w="1318" w:type="dxa"/>
            <w:vAlign w:val="top"/>
          </w:tcPr>
          <w:p>
            <w:pPr>
              <w:ind w:right="28"/>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51.35</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r>
        <w:trPr>
          <w:trHeight w:val="441" w:hRule="atLeast"/>
        </w:trPr>
        <w:tc>
          <w:tcPr>
            <w:tcW w:w="155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296"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98" w:type="dxa"/>
            <w:vAlign w:val="top"/>
          </w:tcPr>
          <w:p>
            <w:pPr>
              <w:ind w:right="23"/>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51.35</w:t>
            </w:r>
          </w:p>
        </w:tc>
        <w:tc>
          <w:tcPr>
            <w:tcW w:w="1318" w:type="dxa"/>
            <w:vAlign w:val="top"/>
          </w:tcPr>
          <w:p>
            <w:pPr>
              <w:ind w:right="28"/>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51.35</w:t>
            </w:r>
          </w:p>
        </w:tc>
        <w:tc>
          <w:tcPr>
            <w:tcW w:w="1019" w:type="dxa"/>
            <w:vAlign w:val="top"/>
          </w:tcPr>
          <w:p>
            <w:pPr>
              <w:pStyle w:val="TableText"/>
              <w:rPr/>
            </w:pPr>
            <w:r/>
          </w:p>
        </w:tc>
        <w:tc>
          <w:tcPr>
            <w:tcW w:w="125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311" w:type="dxa"/>
            <w:vAlign w:val="top"/>
          </w:tcPr>
          <w:p>
            <w:pPr>
              <w:pStyle w:val="TableText"/>
              <w:rPr/>
            </w:pPr>
            <w:r/>
          </w:p>
        </w:tc>
      </w:tr>
    </w:tbl>
    <w:p>
      <w:pPr>
        <w:pStyle w:val="BodyText"/>
        <w:rPr/>
      </w:pPr>
      <w:r/>
    </w:p>
    <w:p>
      <w:pPr>
        <w:sectPr>
          <w:footerReference w:type="default" r:id="rId8"/>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20"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8"/>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55" w:type="dxa"/>
            <w:vAlign w:val="top"/>
          </w:tcPr>
          <w:p>
            <w:pPr>
              <w:ind w:left="53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4"/>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70"/>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2"/>
              <w:spacing w:before="96" w:line="172" w:lineRule="auto"/>
              <w:rPr>
                <w:sz w:val="14"/>
                <w:szCs w:val="14"/>
              </w:rPr>
            </w:pPr>
            <w:r>
              <w:rPr>
                <w:sz w:val="14"/>
                <w:szCs w:val="14"/>
                <w:color w:val="212529"/>
              </w:rPr>
              <w:t>834.</w:t>
            </w:r>
            <w:r>
              <w:rPr>
                <w:sz w:val="14"/>
                <w:szCs w:val="14"/>
                <w:color w:val="212529"/>
                <w:spacing w:val="8"/>
              </w:rPr>
              <w:t xml:space="preserve"> </w:t>
            </w:r>
            <w:r>
              <w:rPr>
                <w:sz w:val="14"/>
                <w:szCs w:val="14"/>
                <w:color w:val="212529"/>
              </w:rPr>
              <w:t>40</w:t>
            </w:r>
          </w:p>
        </w:tc>
        <w:tc>
          <w:tcPr>
            <w:tcW w:w="1339" w:type="dxa"/>
            <w:vAlign w:val="top"/>
          </w:tcPr>
          <w:p>
            <w:pPr>
              <w:pStyle w:val="TableText"/>
              <w:ind w:left="831"/>
              <w:spacing w:before="96" w:line="172" w:lineRule="auto"/>
              <w:rPr>
                <w:sz w:val="14"/>
                <w:szCs w:val="14"/>
              </w:rPr>
            </w:pPr>
            <w:r>
              <w:rPr>
                <w:sz w:val="14"/>
                <w:szCs w:val="14"/>
                <w:color w:val="212529"/>
              </w:rPr>
              <w:t>656.</w:t>
            </w:r>
            <w:r>
              <w:rPr>
                <w:sz w:val="14"/>
                <w:szCs w:val="14"/>
                <w:color w:val="212529"/>
                <w:spacing w:val="7"/>
              </w:rPr>
              <w:t xml:space="preserve"> </w:t>
            </w:r>
            <w:r>
              <w:rPr>
                <w:sz w:val="14"/>
                <w:szCs w:val="14"/>
                <w:color w:val="212529"/>
              </w:rPr>
              <w:t>70</w:t>
            </w:r>
          </w:p>
        </w:tc>
        <w:tc>
          <w:tcPr>
            <w:tcW w:w="1345" w:type="dxa"/>
            <w:vAlign w:val="top"/>
          </w:tcPr>
          <w:p>
            <w:pPr>
              <w:pStyle w:val="TableText"/>
              <w:ind w:left="844"/>
              <w:spacing w:before="96" w:line="186" w:lineRule="auto"/>
              <w:rPr>
                <w:sz w:val="13"/>
                <w:szCs w:val="13"/>
              </w:rPr>
            </w:pPr>
            <w:r>
              <w:rPr>
                <w:sz w:val="13"/>
                <w:szCs w:val="13"/>
                <w:color w:val="212529"/>
                <w:spacing w:val="2"/>
              </w:rPr>
              <w:t>177.</w:t>
            </w:r>
            <w:r>
              <w:rPr>
                <w:sz w:val="13"/>
                <w:szCs w:val="13"/>
                <w:color w:val="212529"/>
                <w:spacing w:val="18"/>
                <w:w w:val="101"/>
              </w:rPr>
              <w:t xml:space="preserve"> </w:t>
            </w:r>
            <w:r>
              <w:rPr>
                <w:sz w:val="13"/>
                <w:szCs w:val="13"/>
                <w:color w:val="212529"/>
                <w:spacing w:val="2"/>
              </w:rPr>
              <w:t>70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26" w:type="dxa"/>
            <w:vAlign w:val="top"/>
          </w:tcPr>
          <w:p>
            <w:pPr>
              <w:ind w:left="2"/>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532.84</w:t>
            </w:r>
          </w:p>
        </w:tc>
        <w:tc>
          <w:tcPr>
            <w:tcW w:w="1339" w:type="dxa"/>
            <w:vAlign w:val="top"/>
          </w:tcPr>
          <w:p>
            <w:pPr>
              <w:pStyle w:val="TableText"/>
              <w:ind w:left="833"/>
              <w:spacing w:before="97" w:line="172" w:lineRule="auto"/>
              <w:rPr>
                <w:sz w:val="14"/>
                <w:szCs w:val="14"/>
              </w:rPr>
            </w:pPr>
            <w:r>
              <w:rPr>
                <w:sz w:val="14"/>
                <w:szCs w:val="14"/>
                <w:color w:val="212529"/>
              </w:rPr>
              <w:t>520.</w:t>
            </w:r>
            <w:r>
              <w:rPr>
                <w:sz w:val="14"/>
                <w:szCs w:val="14"/>
                <w:color w:val="212529"/>
                <w:spacing w:val="8"/>
              </w:rPr>
              <w:t xml:space="preserve"> </w:t>
            </w:r>
            <w:r>
              <w:rPr>
                <w:sz w:val="14"/>
                <w:szCs w:val="14"/>
                <w:color w:val="212529"/>
              </w:rPr>
              <w:t>44</w:t>
            </w:r>
          </w:p>
        </w:tc>
        <w:tc>
          <w:tcPr>
            <w:tcW w:w="1345" w:type="dxa"/>
            <w:vAlign w:val="top"/>
          </w:tcPr>
          <w:p>
            <w:pPr>
              <w:pStyle w:val="TableText"/>
              <w:ind w:left="925"/>
              <w:spacing w:before="96" w:line="187" w:lineRule="auto"/>
              <w:rPr>
                <w:sz w:val="13"/>
                <w:szCs w:val="13"/>
              </w:rPr>
            </w:pPr>
            <w:r>
              <w:rPr>
                <w:sz w:val="13"/>
                <w:szCs w:val="13"/>
                <w:color w:val="212529"/>
                <w:spacing w:val="2"/>
              </w:rPr>
              <w:t>12.</w:t>
            </w:r>
            <w:r>
              <w:rPr>
                <w:sz w:val="13"/>
                <w:szCs w:val="13"/>
                <w:color w:val="212529"/>
                <w:spacing w:val="11"/>
                <w:w w:val="102"/>
              </w:rPr>
              <w:t xml:space="preserve"> </w:t>
            </w:r>
            <w:r>
              <w:rPr>
                <w:sz w:val="13"/>
                <w:szCs w:val="13"/>
                <w:color w:val="212529"/>
                <w:spacing w:val="2"/>
              </w:rPr>
              <w:t>40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326" w:type="dxa"/>
            <w:vAlign w:val="top"/>
          </w:tcPr>
          <w:p>
            <w:pPr>
              <w:ind w:left="1"/>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520.44</w:t>
            </w:r>
          </w:p>
        </w:tc>
        <w:tc>
          <w:tcPr>
            <w:tcW w:w="1339" w:type="dxa"/>
            <w:vAlign w:val="top"/>
          </w:tcPr>
          <w:p>
            <w:pPr>
              <w:pStyle w:val="TableText"/>
              <w:ind w:left="833"/>
              <w:spacing w:before="97" w:line="172" w:lineRule="auto"/>
              <w:rPr>
                <w:sz w:val="14"/>
                <w:szCs w:val="14"/>
              </w:rPr>
            </w:pPr>
            <w:r>
              <w:rPr>
                <w:sz w:val="14"/>
                <w:szCs w:val="14"/>
                <w:color w:val="212529"/>
              </w:rPr>
              <w:t>520.</w:t>
            </w:r>
            <w:r>
              <w:rPr>
                <w:sz w:val="14"/>
                <w:szCs w:val="14"/>
                <w:color w:val="212529"/>
                <w:spacing w:val="8"/>
              </w:rPr>
              <w:t xml:space="preserve"> </w:t>
            </w:r>
            <w:r>
              <w:rPr>
                <w:sz w:val="14"/>
                <w:szCs w:val="14"/>
                <w:color w:val="212529"/>
              </w:rPr>
              <w:t>44</w:t>
            </w:r>
          </w:p>
        </w:tc>
        <w:tc>
          <w:tcPr>
            <w:tcW w:w="1345" w:type="dxa"/>
            <w:vAlign w:val="top"/>
          </w:tcPr>
          <w:p>
            <w:pPr>
              <w:pStyle w:val="TableText"/>
              <w:rPr/>
            </w:pPr>
            <w:r/>
          </w:p>
        </w:tc>
      </w:tr>
      <w:tr>
        <w:trPr>
          <w:trHeight w:val="314"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326" w:type="dxa"/>
            <w:vAlign w:val="top"/>
          </w:tcPr>
          <w:p>
            <w:pPr>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276.64</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276.64</w:t>
            </w:r>
          </w:p>
        </w:tc>
        <w:tc>
          <w:tcPr>
            <w:tcW w:w="1345" w:type="dxa"/>
            <w:vAlign w:val="top"/>
          </w:tcPr>
          <w:p>
            <w:pPr>
              <w:pStyle w:val="TableText"/>
              <w:rPr/>
            </w:pPr>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326" w:type="dxa"/>
            <w:vAlign w:val="top"/>
          </w:tcPr>
          <w:p>
            <w:pPr>
              <w:ind w:left="2"/>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243.80</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243.80</w:t>
            </w:r>
          </w:p>
        </w:tc>
        <w:tc>
          <w:tcPr>
            <w:tcW w:w="1345" w:type="dxa"/>
            <w:vAlign w:val="top"/>
          </w:tcPr>
          <w:p>
            <w:pPr>
              <w:pStyle w:val="TableText"/>
              <w:rPr/>
            </w:pPr>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326"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39" w:type="dxa"/>
            <w:vAlign w:val="top"/>
          </w:tcPr>
          <w:p>
            <w:pPr>
              <w:pStyle w:val="TableText"/>
              <w:rPr/>
            </w:pPr>
            <w:r/>
          </w:p>
        </w:tc>
        <w:tc>
          <w:tcPr>
            <w:tcW w:w="1345" w:type="dxa"/>
            <w:vAlign w:val="top"/>
          </w:tcPr>
          <w:p>
            <w:pPr>
              <w:pStyle w:val="TableText"/>
              <w:ind w:left="925"/>
              <w:spacing w:before="97" w:line="187" w:lineRule="auto"/>
              <w:rPr>
                <w:sz w:val="13"/>
                <w:szCs w:val="13"/>
              </w:rPr>
            </w:pPr>
            <w:r>
              <w:rPr>
                <w:sz w:val="13"/>
                <w:szCs w:val="13"/>
                <w:color w:val="212529"/>
                <w:spacing w:val="2"/>
              </w:rPr>
              <w:t>12.</w:t>
            </w:r>
            <w:r>
              <w:rPr>
                <w:sz w:val="13"/>
                <w:szCs w:val="13"/>
                <w:color w:val="212529"/>
                <w:spacing w:val="11"/>
                <w:w w:val="102"/>
              </w:rPr>
              <w:t xml:space="preserve"> </w:t>
            </w:r>
            <w:r>
              <w:rPr>
                <w:sz w:val="13"/>
                <w:szCs w:val="13"/>
                <w:color w:val="212529"/>
                <w:spacing w:val="2"/>
              </w:rPr>
              <w:t>40</w:t>
            </w:r>
          </w:p>
        </w:tc>
      </w:tr>
      <w:tr>
        <w:trPr>
          <w:trHeight w:val="314" w:hRule="atLeast"/>
        </w:trPr>
        <w:tc>
          <w:tcPr>
            <w:tcW w:w="1755"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39" w:type="dxa"/>
            <w:vAlign w:val="top"/>
          </w:tcPr>
          <w:p>
            <w:pPr>
              <w:pStyle w:val="TableText"/>
              <w:rPr/>
            </w:pPr>
            <w:r/>
          </w:p>
        </w:tc>
        <w:tc>
          <w:tcPr>
            <w:tcW w:w="1345"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314" w:hRule="atLeast"/>
        </w:trPr>
        <w:tc>
          <w:tcPr>
            <w:tcW w:w="1755"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26" w:type="dxa"/>
            <w:vAlign w:val="top"/>
          </w:tcPr>
          <w:p>
            <w:pPr>
              <w:ind w:left="2"/>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76.05</w:t>
            </w:r>
          </w:p>
        </w:tc>
        <w:tc>
          <w:tcPr>
            <w:tcW w:w="1339" w:type="dxa"/>
            <w:vAlign w:val="top"/>
          </w:tcPr>
          <w:p>
            <w:pPr>
              <w:pStyle w:val="TableText"/>
              <w:ind w:left="912"/>
              <w:spacing w:before="98" w:line="186" w:lineRule="auto"/>
              <w:rPr>
                <w:sz w:val="13"/>
                <w:szCs w:val="13"/>
              </w:rPr>
            </w:pPr>
            <w:r>
              <w:rPr>
                <w:sz w:val="13"/>
                <w:szCs w:val="13"/>
                <w:color w:val="212529"/>
                <w:spacing w:val="4"/>
              </w:rPr>
              <w:t>60.</w:t>
            </w:r>
            <w:r>
              <w:rPr>
                <w:sz w:val="13"/>
                <w:szCs w:val="13"/>
                <w:color w:val="212529"/>
                <w:spacing w:val="10"/>
                <w:w w:val="101"/>
              </w:rPr>
              <w:t xml:space="preserve"> </w:t>
            </w:r>
            <w:r>
              <w:rPr>
                <w:sz w:val="13"/>
                <w:szCs w:val="13"/>
                <w:color w:val="212529"/>
                <w:spacing w:val="4"/>
              </w:rPr>
              <w:t>85</w:t>
            </w:r>
          </w:p>
        </w:tc>
        <w:tc>
          <w:tcPr>
            <w:tcW w:w="1345" w:type="dxa"/>
            <w:vAlign w:val="top"/>
          </w:tcPr>
          <w:p>
            <w:pPr>
              <w:pStyle w:val="TableText"/>
              <w:ind w:left="925"/>
              <w:spacing w:before="98" w:line="187" w:lineRule="auto"/>
              <w:rPr>
                <w:sz w:val="13"/>
                <w:szCs w:val="13"/>
              </w:rPr>
            </w:pPr>
            <w:r>
              <w:rPr>
                <w:sz w:val="13"/>
                <w:szCs w:val="13"/>
                <w:color w:val="212529"/>
                <w:spacing w:val="2"/>
              </w:rPr>
              <w:t>15.</w:t>
            </w:r>
            <w:r>
              <w:rPr>
                <w:sz w:val="13"/>
                <w:szCs w:val="13"/>
                <w:color w:val="212529"/>
                <w:spacing w:val="11"/>
                <w:w w:val="102"/>
              </w:rPr>
              <w:t xml:space="preserve"> </w:t>
            </w:r>
            <w:r>
              <w:rPr>
                <w:sz w:val="13"/>
                <w:szCs w:val="13"/>
                <w:color w:val="212529"/>
                <w:spacing w:val="2"/>
              </w:rPr>
              <w:t>20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60.85</w:t>
            </w:r>
          </w:p>
        </w:tc>
        <w:tc>
          <w:tcPr>
            <w:tcW w:w="1339" w:type="dxa"/>
            <w:vAlign w:val="top"/>
          </w:tcPr>
          <w:p>
            <w:pPr>
              <w:pStyle w:val="TableText"/>
              <w:ind w:left="912"/>
              <w:spacing w:before="99" w:line="186" w:lineRule="auto"/>
              <w:rPr>
                <w:sz w:val="13"/>
                <w:szCs w:val="13"/>
              </w:rPr>
            </w:pPr>
            <w:r>
              <w:rPr>
                <w:sz w:val="13"/>
                <w:szCs w:val="13"/>
                <w:color w:val="212529"/>
                <w:spacing w:val="4"/>
              </w:rPr>
              <w:t>60.</w:t>
            </w:r>
            <w:r>
              <w:rPr>
                <w:sz w:val="13"/>
                <w:szCs w:val="13"/>
                <w:color w:val="212529"/>
                <w:spacing w:val="10"/>
                <w:w w:val="101"/>
              </w:rPr>
              <w:t xml:space="preserve"> </w:t>
            </w:r>
            <w:r>
              <w:rPr>
                <w:sz w:val="13"/>
                <w:szCs w:val="13"/>
                <w:color w:val="212529"/>
                <w:spacing w:val="4"/>
              </w:rPr>
              <w:t>85</w:t>
            </w:r>
          </w:p>
        </w:tc>
        <w:tc>
          <w:tcPr>
            <w:tcW w:w="1345" w:type="dxa"/>
            <w:vAlign w:val="top"/>
          </w:tcPr>
          <w:p>
            <w:pPr>
              <w:pStyle w:val="TableText"/>
              <w:rPr/>
            </w:pPr>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339"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345" w:type="dxa"/>
            <w:vAlign w:val="top"/>
          </w:tcPr>
          <w:p>
            <w:pPr>
              <w:pStyle w:val="TableText"/>
              <w:rPr/>
            </w:pPr>
            <w:r/>
          </w:p>
        </w:tc>
      </w:tr>
      <w:tr>
        <w:trPr>
          <w:trHeight w:val="314" w:hRule="atLeast"/>
        </w:trPr>
        <w:tc>
          <w:tcPr>
            <w:tcW w:w="1755"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26" w:type="dxa"/>
            <w:vAlign w:val="top"/>
          </w:tcPr>
          <w:p>
            <w:pPr>
              <w:spacing w:before="8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50.24</w:t>
            </w:r>
          </w:p>
        </w:tc>
        <w:tc>
          <w:tcPr>
            <w:tcW w:w="1339"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50.24</w:t>
            </w:r>
          </w:p>
        </w:tc>
        <w:tc>
          <w:tcPr>
            <w:tcW w:w="1345" w:type="dxa"/>
            <w:vAlign w:val="top"/>
          </w:tcPr>
          <w:p>
            <w:pPr>
              <w:pStyle w:val="TableText"/>
              <w:rPr/>
            </w:pPr>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326" w:type="dxa"/>
            <w:vAlign w:val="top"/>
          </w:tcPr>
          <w:p>
            <w:pPr>
              <w:ind w:left="10"/>
              <w:spacing w:before="81"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393" w:type="dxa"/>
            <w:vAlign w:val="top"/>
          </w:tcPr>
          <w:p>
            <w:pPr>
              <w:ind w:right="22"/>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c>
          <w:tcPr>
            <w:tcW w:w="1339" w:type="dxa"/>
            <w:vAlign w:val="top"/>
          </w:tcPr>
          <w:p>
            <w:pPr>
              <w:pStyle w:val="TableText"/>
              <w:rPr/>
            </w:pPr>
            <w:r/>
          </w:p>
        </w:tc>
        <w:tc>
          <w:tcPr>
            <w:tcW w:w="1345" w:type="dxa"/>
            <w:vAlign w:val="top"/>
          </w:tcPr>
          <w:p>
            <w:pPr>
              <w:pStyle w:val="TableText"/>
              <w:ind w:left="925"/>
              <w:spacing w:before="100" w:line="186" w:lineRule="auto"/>
              <w:rPr>
                <w:sz w:val="13"/>
                <w:szCs w:val="13"/>
              </w:rPr>
            </w:pPr>
            <w:r>
              <w:rPr>
                <w:sz w:val="13"/>
                <w:szCs w:val="13"/>
                <w:color w:val="212529"/>
                <w:spacing w:val="2"/>
              </w:rPr>
              <w:t>15.</w:t>
            </w:r>
            <w:r>
              <w:rPr>
                <w:sz w:val="13"/>
                <w:szCs w:val="13"/>
                <w:color w:val="212529"/>
                <w:spacing w:val="11"/>
                <w:w w:val="102"/>
              </w:rPr>
              <w:t xml:space="preserve"> </w:t>
            </w:r>
            <w:r>
              <w:rPr>
                <w:sz w:val="13"/>
                <w:szCs w:val="13"/>
                <w:color w:val="212529"/>
                <w:spacing w:val="2"/>
              </w:rPr>
              <w:t>20</w:t>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326" w:type="dxa"/>
            <w:vAlign w:val="top"/>
          </w:tcPr>
          <w:p>
            <w:pPr>
              <w:ind w:left="10"/>
              <w:spacing w:before="81"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c>
          <w:tcPr>
            <w:tcW w:w="1339" w:type="dxa"/>
            <w:vAlign w:val="top"/>
          </w:tcPr>
          <w:p>
            <w:pPr>
              <w:pStyle w:val="TableText"/>
              <w:rPr/>
            </w:pPr>
            <w:r/>
          </w:p>
        </w:tc>
        <w:tc>
          <w:tcPr>
            <w:tcW w:w="1345"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r>
      <w:tr>
        <w:trPr>
          <w:trHeight w:val="314" w:hRule="atLeast"/>
        </w:trPr>
        <w:tc>
          <w:tcPr>
            <w:tcW w:w="1755"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26"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24.07</w:t>
            </w:r>
          </w:p>
        </w:tc>
        <w:tc>
          <w:tcPr>
            <w:tcW w:w="1339" w:type="dxa"/>
            <w:vAlign w:val="top"/>
          </w:tcPr>
          <w:p>
            <w:pPr>
              <w:pStyle w:val="TableText"/>
              <w:ind w:left="913"/>
              <w:spacing w:before="100" w:line="186" w:lineRule="auto"/>
              <w:rPr>
                <w:sz w:val="13"/>
                <w:szCs w:val="13"/>
              </w:rPr>
            </w:pPr>
            <w:r>
              <w:rPr>
                <w:sz w:val="13"/>
                <w:szCs w:val="13"/>
                <w:color w:val="212529"/>
                <w:spacing w:val="4"/>
              </w:rPr>
              <w:t>24.</w:t>
            </w:r>
            <w:r>
              <w:rPr>
                <w:sz w:val="13"/>
                <w:szCs w:val="13"/>
                <w:color w:val="212529"/>
                <w:spacing w:val="10"/>
                <w:w w:val="101"/>
              </w:rPr>
              <w:t xml:space="preserve"> </w:t>
            </w:r>
            <w:r>
              <w:rPr>
                <w:sz w:val="13"/>
                <w:szCs w:val="13"/>
                <w:color w:val="212529"/>
                <w:spacing w:val="4"/>
              </w:rPr>
              <w:t>07</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26"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24.07</w:t>
            </w:r>
          </w:p>
        </w:tc>
        <w:tc>
          <w:tcPr>
            <w:tcW w:w="1339" w:type="dxa"/>
            <w:vAlign w:val="top"/>
          </w:tcPr>
          <w:p>
            <w:pPr>
              <w:pStyle w:val="TableText"/>
              <w:ind w:left="913"/>
              <w:spacing w:before="101" w:line="186" w:lineRule="auto"/>
              <w:rPr>
                <w:sz w:val="13"/>
                <w:szCs w:val="13"/>
              </w:rPr>
            </w:pPr>
            <w:r>
              <w:rPr>
                <w:sz w:val="13"/>
                <w:szCs w:val="13"/>
                <w:color w:val="212529"/>
                <w:spacing w:val="4"/>
              </w:rPr>
              <w:t>24.</w:t>
            </w:r>
            <w:r>
              <w:rPr>
                <w:sz w:val="13"/>
                <w:szCs w:val="13"/>
                <w:color w:val="212529"/>
                <w:spacing w:val="10"/>
                <w:w w:val="101"/>
              </w:rPr>
              <w:t xml:space="preserve"> </w:t>
            </w:r>
            <w:r>
              <w:rPr>
                <w:sz w:val="13"/>
                <w:szCs w:val="13"/>
                <w:color w:val="212529"/>
                <w:spacing w:val="4"/>
              </w:rPr>
              <w:t>07</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326"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7.92</w:t>
            </w:r>
          </w:p>
        </w:tc>
        <w:tc>
          <w:tcPr>
            <w:tcW w:w="1339"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7.92</w:t>
            </w:r>
          </w:p>
        </w:tc>
        <w:tc>
          <w:tcPr>
            <w:tcW w:w="1345" w:type="dxa"/>
            <w:vAlign w:val="top"/>
          </w:tcPr>
          <w:p>
            <w:pPr>
              <w:pStyle w:val="TableText"/>
              <w:rPr/>
            </w:pPr>
            <w:r/>
          </w:p>
        </w:tc>
      </w:tr>
      <w:tr>
        <w:trPr>
          <w:trHeight w:val="314" w:hRule="atLeast"/>
        </w:trPr>
        <w:tc>
          <w:tcPr>
            <w:tcW w:w="1755"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26" w:type="dxa"/>
            <w:vAlign w:val="top"/>
          </w:tcPr>
          <w:p>
            <w:pPr>
              <w:ind w:left="2"/>
              <w:spacing w:before="82"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39"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26" w:type="dxa"/>
            <w:vAlign w:val="top"/>
          </w:tcPr>
          <w:p>
            <w:pPr>
              <w:ind w:left="5"/>
              <w:spacing w:before="83"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3.65</w:t>
            </w:r>
          </w:p>
        </w:tc>
        <w:tc>
          <w:tcPr>
            <w:tcW w:w="1339" w:type="dxa"/>
            <w:vAlign w:val="top"/>
          </w:tcPr>
          <w:p>
            <w:pPr>
              <w:ind w:right="20"/>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3.65</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326" w:type="dxa"/>
            <w:vAlign w:val="top"/>
          </w:tcPr>
          <w:p>
            <w:pPr>
              <w:ind w:left="2"/>
              <w:spacing w:before="83"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150.10</w:t>
            </w:r>
          </w:p>
        </w:tc>
        <w:tc>
          <w:tcPr>
            <w:tcW w:w="1339" w:type="dxa"/>
            <w:vAlign w:val="top"/>
          </w:tcPr>
          <w:p>
            <w:pPr>
              <w:pStyle w:val="TableText"/>
              <w:rPr/>
            </w:pPr>
            <w:r/>
          </w:p>
        </w:tc>
        <w:tc>
          <w:tcPr>
            <w:tcW w:w="1345" w:type="dxa"/>
            <w:vAlign w:val="top"/>
          </w:tcPr>
          <w:p>
            <w:pPr>
              <w:pStyle w:val="TableText"/>
              <w:ind w:left="844"/>
              <w:spacing w:before="101" w:line="187" w:lineRule="auto"/>
              <w:rPr>
                <w:sz w:val="13"/>
                <w:szCs w:val="13"/>
              </w:rPr>
            </w:pPr>
            <w:r>
              <w:rPr>
                <w:sz w:val="13"/>
                <w:szCs w:val="13"/>
                <w:color w:val="212529"/>
                <w:spacing w:val="2"/>
              </w:rPr>
              <w:t>150.</w:t>
            </w:r>
            <w:r>
              <w:rPr>
                <w:sz w:val="13"/>
                <w:szCs w:val="13"/>
                <w:color w:val="212529"/>
                <w:spacing w:val="18"/>
                <w:w w:val="101"/>
              </w:rPr>
              <w:t xml:space="preserve"> </w:t>
            </w:r>
            <w:r>
              <w:rPr>
                <w:sz w:val="13"/>
                <w:szCs w:val="13"/>
                <w:color w:val="212529"/>
                <w:spacing w:val="2"/>
              </w:rPr>
              <w:t>10</w:t>
            </w:r>
          </w:p>
        </w:tc>
      </w:tr>
      <w:tr>
        <w:trPr>
          <w:trHeight w:val="314"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326"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c>
          <w:tcPr>
            <w:tcW w:w="1339" w:type="dxa"/>
            <w:vAlign w:val="top"/>
          </w:tcPr>
          <w:p>
            <w:pPr>
              <w:pStyle w:val="TableText"/>
              <w:rPr/>
            </w:pPr>
            <w:r/>
          </w:p>
        </w:tc>
        <w:tc>
          <w:tcPr>
            <w:tcW w:w="1345" w:type="dxa"/>
            <w:vAlign w:val="top"/>
          </w:tcPr>
          <w:p>
            <w:pPr>
              <w:pStyle w:val="TableText"/>
              <w:ind w:left="844"/>
              <w:spacing w:before="102" w:line="186" w:lineRule="auto"/>
              <w:rPr>
                <w:sz w:val="13"/>
                <w:szCs w:val="13"/>
              </w:rPr>
            </w:pPr>
            <w:r>
              <w:rPr>
                <w:sz w:val="13"/>
                <w:szCs w:val="13"/>
                <w:color w:val="212529"/>
                <w:spacing w:val="2"/>
              </w:rPr>
              <w:t>118.</w:t>
            </w:r>
            <w:r>
              <w:rPr>
                <w:sz w:val="13"/>
                <w:szCs w:val="13"/>
                <w:color w:val="212529"/>
                <w:spacing w:val="18"/>
                <w:w w:val="101"/>
              </w:rPr>
              <w:t xml:space="preserve"> </w:t>
            </w:r>
            <w:r>
              <w:rPr>
                <w:sz w:val="13"/>
                <w:szCs w:val="13"/>
                <w:color w:val="212529"/>
                <w:spacing w:val="2"/>
              </w:rPr>
              <w:t>00</w:t>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326"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c>
          <w:tcPr>
            <w:tcW w:w="1339" w:type="dxa"/>
            <w:vAlign w:val="top"/>
          </w:tcPr>
          <w:p>
            <w:pPr>
              <w:pStyle w:val="TableText"/>
              <w:rPr/>
            </w:pPr>
            <w:r/>
          </w:p>
        </w:tc>
        <w:tc>
          <w:tcPr>
            <w:tcW w:w="134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326"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c>
          <w:tcPr>
            <w:tcW w:w="1339" w:type="dxa"/>
            <w:vAlign w:val="top"/>
          </w:tcPr>
          <w:p>
            <w:pPr>
              <w:pStyle w:val="TableText"/>
              <w:rPr/>
            </w:pPr>
            <w:r/>
          </w:p>
        </w:tc>
        <w:tc>
          <w:tcPr>
            <w:tcW w:w="1345" w:type="dxa"/>
            <w:vAlign w:val="top"/>
          </w:tcPr>
          <w:p>
            <w:pPr>
              <w:pStyle w:val="TableText"/>
              <w:ind w:left="916"/>
              <w:spacing w:before="103" w:line="186" w:lineRule="auto"/>
              <w:rPr>
                <w:sz w:val="13"/>
                <w:szCs w:val="13"/>
              </w:rPr>
            </w:pPr>
            <w:r>
              <w:rPr>
                <w:sz w:val="13"/>
                <w:szCs w:val="13"/>
                <w:color w:val="212529"/>
                <w:spacing w:val="3"/>
              </w:rPr>
              <w:t>32.</w:t>
            </w:r>
            <w:r>
              <w:rPr>
                <w:sz w:val="13"/>
                <w:szCs w:val="13"/>
                <w:color w:val="212529"/>
                <w:spacing w:val="15"/>
                <w:w w:val="101"/>
              </w:rPr>
              <w:t xml:space="preserve"> </w:t>
            </w:r>
            <w:r>
              <w:rPr>
                <w:sz w:val="13"/>
                <w:szCs w:val="13"/>
                <w:color w:val="212529"/>
                <w:spacing w:val="3"/>
              </w:rPr>
              <w:t>10</w:t>
            </w:r>
          </w:p>
        </w:tc>
      </w:tr>
      <w:tr>
        <w:trPr>
          <w:trHeight w:val="314" w:hRule="atLeast"/>
        </w:trPr>
        <w:tc>
          <w:tcPr>
            <w:tcW w:w="1755"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2130701</w:t>
            </w:r>
          </w:p>
        </w:tc>
        <w:tc>
          <w:tcPr>
            <w:tcW w:w="3326" w:type="dxa"/>
            <w:vAlign w:val="top"/>
          </w:tcPr>
          <w:p>
            <w:pPr>
              <w:spacing w:before="85" w:line="228" w:lineRule="auto"/>
              <w:rPr>
                <w:rFonts w:ascii="SimSun" w:hAnsi="SimSun" w:eastAsia="SimSun" w:cs="SimSun"/>
                <w:sz w:val="15"/>
                <w:szCs w:val="15"/>
              </w:rPr>
            </w:pPr>
            <w:r>
              <w:rPr>
                <w:rFonts w:ascii="SimSun" w:hAnsi="SimSun" w:eastAsia="SimSun" w:cs="SimSun"/>
                <w:sz w:val="15"/>
                <w:szCs w:val="15"/>
                <w:color w:val="212529"/>
                <w:spacing w:val="11"/>
              </w:rPr>
              <w:t>对村级公益事业建设的补助</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c>
          <w:tcPr>
            <w:tcW w:w="1339" w:type="dxa"/>
            <w:vAlign w:val="top"/>
          </w:tcPr>
          <w:p>
            <w:pPr>
              <w:pStyle w:val="TableText"/>
              <w:rPr/>
            </w:pPr>
            <w:r/>
          </w:p>
        </w:tc>
        <w:tc>
          <w:tcPr>
            <w:tcW w:w="134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r>
      <w:tr>
        <w:trPr>
          <w:trHeight w:val="314"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339" w:type="dxa"/>
            <w:vAlign w:val="top"/>
          </w:tcPr>
          <w:p>
            <w:pPr>
              <w:pStyle w:val="TableText"/>
              <w:ind w:left="914"/>
              <w:spacing w:before="104" w:line="186" w:lineRule="auto"/>
              <w:rPr>
                <w:sz w:val="13"/>
                <w:szCs w:val="13"/>
              </w:rPr>
            </w:pPr>
            <w:r>
              <w:rPr>
                <w:sz w:val="13"/>
                <w:szCs w:val="13"/>
                <w:color w:val="212529"/>
                <w:spacing w:val="4"/>
              </w:rPr>
              <w:t>51.</w:t>
            </w:r>
            <w:r>
              <w:rPr>
                <w:sz w:val="13"/>
                <w:szCs w:val="13"/>
                <w:color w:val="212529"/>
                <w:spacing w:val="9"/>
              </w:rPr>
              <w:t xml:space="preserve"> </w:t>
            </w:r>
            <w:r>
              <w:rPr>
                <w:sz w:val="13"/>
                <w:szCs w:val="13"/>
                <w:color w:val="212529"/>
                <w:spacing w:val="4"/>
              </w:rPr>
              <w:t>35</w:t>
            </w:r>
          </w:p>
        </w:tc>
        <w:tc>
          <w:tcPr>
            <w:tcW w:w="1345" w:type="dxa"/>
            <w:vAlign w:val="top"/>
          </w:tcPr>
          <w:p>
            <w:pPr>
              <w:pStyle w:val="TableText"/>
              <w:rPr/>
            </w:pPr>
            <w:r/>
          </w:p>
        </w:tc>
      </w:tr>
      <w:tr>
        <w:trPr>
          <w:trHeight w:val="314" w:hRule="atLeast"/>
        </w:trPr>
        <w:tc>
          <w:tcPr>
            <w:tcW w:w="1755"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339" w:type="dxa"/>
            <w:vAlign w:val="top"/>
          </w:tcPr>
          <w:p>
            <w:pPr>
              <w:pStyle w:val="TableText"/>
              <w:ind w:left="914"/>
              <w:spacing w:before="104" w:line="186" w:lineRule="auto"/>
              <w:rPr>
                <w:sz w:val="13"/>
                <w:szCs w:val="13"/>
              </w:rPr>
            </w:pPr>
            <w:r>
              <w:rPr>
                <w:sz w:val="13"/>
                <w:szCs w:val="13"/>
                <w:color w:val="212529"/>
                <w:spacing w:val="4"/>
              </w:rPr>
              <w:t>51.</w:t>
            </w:r>
            <w:r>
              <w:rPr>
                <w:sz w:val="13"/>
                <w:szCs w:val="13"/>
                <w:color w:val="212529"/>
                <w:spacing w:val="9"/>
              </w:rPr>
              <w:t xml:space="preserve"> </w:t>
            </w:r>
            <w:r>
              <w:rPr>
                <w:sz w:val="13"/>
                <w:szCs w:val="13"/>
                <w:color w:val="212529"/>
                <w:spacing w:val="4"/>
              </w:rPr>
              <w:t>35</w:t>
            </w:r>
          </w:p>
        </w:tc>
        <w:tc>
          <w:tcPr>
            <w:tcW w:w="1345" w:type="dxa"/>
            <w:vAlign w:val="top"/>
          </w:tcPr>
          <w:p>
            <w:pPr>
              <w:pStyle w:val="TableText"/>
              <w:rPr/>
            </w:pPr>
            <w:r/>
          </w:p>
        </w:tc>
      </w:tr>
      <w:tr>
        <w:trPr>
          <w:trHeight w:val="319"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26"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339"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345" w:type="dxa"/>
            <w:vAlign w:val="top"/>
          </w:tcPr>
          <w:p>
            <w:pPr>
              <w:pStyle w:val="TableText"/>
              <w:rPr/>
            </w:pPr>
            <w:r/>
          </w:p>
        </w:tc>
      </w:tr>
    </w:tbl>
    <w:p>
      <w:pPr>
        <w:pStyle w:val="BodyText"/>
        <w:rPr/>
      </w:pPr>
      <w:r/>
    </w:p>
    <w:p>
      <w:pPr>
        <w:sectPr>
          <w:headerReference w:type="default" r:id="rId2"/>
          <w:footerReference w:type="default" r:id="rId9"/>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4" w:hRule="atLeast"/>
        </w:trPr>
        <w:tc>
          <w:tcPr>
            <w:tcW w:w="19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9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0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40"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118" w:type="dxa"/>
            <w:vAlign w:val="top"/>
            <w:tcBorders>
              <w:top w:val="single" w:color="FFFFFF" w:sz="4" w:space="0"/>
              <w:left w:val="single" w:color="FFFFFF" w:sz="2" w:space="0"/>
              <w:right w:val="single" w:color="FFFFFF" w:sz="2" w:space="0"/>
            </w:tcBorders>
          </w:tcPr>
          <w:p>
            <w:pPr>
              <w:ind w:left="445"/>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86"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72" w:type="dxa"/>
            <w:vAlign w:val="top"/>
            <w:gridSpan w:val="5"/>
          </w:tcPr>
          <w:p>
            <w:pPr>
              <w:ind w:left="291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17" w:type="dxa"/>
            <w:vAlign w:val="top"/>
            <w:vMerge w:val="restart"/>
            <w:tcBorders>
              <w:bottom w:val="nil"/>
            </w:tcBorders>
          </w:tcPr>
          <w:p>
            <w:pPr>
              <w:ind w:left="78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69" w:type="dxa"/>
            <w:vAlign w:val="top"/>
            <w:vMerge w:val="restart"/>
            <w:tcBorders>
              <w:bottom w:val="nil"/>
            </w:tcBorders>
          </w:tcPr>
          <w:p>
            <w:pPr>
              <w:ind w:left="35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98" w:type="dxa"/>
            <w:vAlign w:val="top"/>
            <w:vMerge w:val="restart"/>
            <w:tcBorders>
              <w:bottom w:val="nil"/>
            </w:tcBorders>
          </w:tcPr>
          <w:p>
            <w:pPr>
              <w:ind w:left="82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4"/>
          </w:tcPr>
          <w:p>
            <w:pPr>
              <w:ind w:left="191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17"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998" w:type="dxa"/>
            <w:vAlign w:val="top"/>
            <w:vMerge w:val="continue"/>
            <w:tcBorders>
              <w:top w:val="nil"/>
            </w:tcBorders>
          </w:tcPr>
          <w:p>
            <w:pPr>
              <w:pStyle w:val="TableText"/>
              <w:rPr/>
            </w:pPr>
            <w:r/>
          </w:p>
        </w:tc>
        <w:tc>
          <w:tcPr>
            <w:tcW w:w="1069" w:type="dxa"/>
            <w:vAlign w:val="top"/>
          </w:tcPr>
          <w:p>
            <w:pPr>
              <w:ind w:left="368"/>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01" w:type="dxa"/>
            <w:vAlign w:val="top"/>
          </w:tcPr>
          <w:p>
            <w:pPr>
              <w:ind w:left="5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86" w:type="dxa"/>
            <w:vAlign w:val="top"/>
          </w:tcPr>
          <w:p>
            <w:pPr>
              <w:ind w:left="33"/>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7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18" w:type="dxa"/>
            <w:vAlign w:val="top"/>
          </w:tcPr>
          <w:p>
            <w:pPr>
              <w:ind w:left="82"/>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8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802.30</w:t>
            </w:r>
          </w:p>
        </w:tc>
        <w:tc>
          <w:tcPr>
            <w:tcW w:w="1998"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69"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532.84</w:t>
            </w:r>
          </w:p>
        </w:tc>
        <w:tc>
          <w:tcPr>
            <w:tcW w:w="1101"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532.84</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ind w:left="1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2" w:right="41"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69"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76.05</w:t>
            </w:r>
          </w:p>
        </w:tc>
        <w:tc>
          <w:tcPr>
            <w:tcW w:w="1101"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76.05</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69"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24.07</w:t>
            </w:r>
          </w:p>
        </w:tc>
        <w:tc>
          <w:tcPr>
            <w:tcW w:w="1101"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24.07</w:t>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69" w:type="dxa"/>
            <w:vAlign w:val="top"/>
          </w:tcPr>
          <w:p>
            <w:pPr>
              <w:ind w:right="1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150.10</w:t>
            </w:r>
          </w:p>
        </w:tc>
        <w:tc>
          <w:tcPr>
            <w:tcW w:w="1101" w:type="dxa"/>
            <w:vAlign w:val="top"/>
          </w:tcPr>
          <w:p>
            <w:pPr>
              <w:ind w:right="1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150.10</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69"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101"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1" w:right="4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4" w:hRule="atLeast"/>
        </w:trPr>
        <w:tc>
          <w:tcPr>
            <w:tcW w:w="1917" w:type="dxa"/>
            <w:vAlign w:val="top"/>
          </w:tcPr>
          <w:p>
            <w:pPr>
              <w:ind w:left="46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69" w:type="dxa"/>
            <w:vAlign w:val="top"/>
          </w:tcPr>
          <w:p>
            <w:pPr>
              <w:pStyle w:val="TableText"/>
              <w:ind w:left="281"/>
              <w:spacing w:before="138" w:line="172" w:lineRule="auto"/>
              <w:rPr>
                <w:sz w:val="14"/>
                <w:szCs w:val="14"/>
              </w:rPr>
            </w:pPr>
            <w:r>
              <w:rPr>
                <w:sz w:val="14"/>
                <w:szCs w:val="14"/>
                <w:color w:val="212529"/>
              </w:rPr>
              <w:t>802.</w:t>
            </w:r>
            <w:r>
              <w:rPr>
                <w:sz w:val="14"/>
                <w:szCs w:val="14"/>
                <w:color w:val="212529"/>
                <w:spacing w:val="8"/>
              </w:rPr>
              <w:t xml:space="preserve"> </w:t>
            </w:r>
            <w:r>
              <w:rPr>
                <w:sz w:val="14"/>
                <w:szCs w:val="14"/>
                <w:color w:val="212529"/>
              </w:rPr>
              <w:t>30</w:t>
            </w:r>
          </w:p>
        </w:tc>
        <w:tc>
          <w:tcPr>
            <w:tcW w:w="1998" w:type="dxa"/>
            <w:vAlign w:val="top"/>
          </w:tcPr>
          <w:p>
            <w:pPr>
              <w:ind w:left="504"/>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69" w:type="dxa"/>
            <w:vAlign w:val="top"/>
          </w:tcPr>
          <w:p>
            <w:pPr>
              <w:pStyle w:val="TableText"/>
              <w:ind w:left="284"/>
              <w:spacing w:before="138" w:line="172" w:lineRule="auto"/>
              <w:rPr>
                <w:sz w:val="14"/>
                <w:szCs w:val="14"/>
              </w:rPr>
            </w:pPr>
            <w:r>
              <w:rPr>
                <w:sz w:val="14"/>
                <w:szCs w:val="14"/>
                <w:color w:val="212529"/>
              </w:rPr>
              <w:t>834.</w:t>
            </w:r>
            <w:r>
              <w:rPr>
                <w:sz w:val="14"/>
                <w:szCs w:val="14"/>
                <w:color w:val="212529"/>
                <w:spacing w:val="8"/>
              </w:rPr>
              <w:t xml:space="preserve"> </w:t>
            </w:r>
            <w:r>
              <w:rPr>
                <w:sz w:val="14"/>
                <w:szCs w:val="14"/>
                <w:color w:val="212529"/>
              </w:rPr>
              <w:t>40</w:t>
            </w:r>
          </w:p>
        </w:tc>
        <w:tc>
          <w:tcPr>
            <w:tcW w:w="1101" w:type="dxa"/>
            <w:vAlign w:val="top"/>
          </w:tcPr>
          <w:p>
            <w:pPr>
              <w:pStyle w:val="TableText"/>
              <w:ind w:left="304"/>
              <w:spacing w:before="138" w:line="172" w:lineRule="auto"/>
              <w:rPr>
                <w:sz w:val="14"/>
                <w:szCs w:val="14"/>
              </w:rPr>
            </w:pPr>
            <w:r>
              <w:rPr>
                <w:sz w:val="14"/>
                <w:szCs w:val="14"/>
                <w:color w:val="212529"/>
                <w:spacing w:val="1"/>
              </w:rPr>
              <w:t>834.</w:t>
            </w:r>
            <w:r>
              <w:rPr>
                <w:sz w:val="14"/>
                <w:szCs w:val="14"/>
                <w:color w:val="212529"/>
                <w:spacing w:val="1"/>
              </w:rPr>
              <w:t xml:space="preserve"> </w:t>
            </w:r>
            <w:r>
              <w:rPr>
                <w:sz w:val="14"/>
                <w:szCs w:val="14"/>
                <w:color w:val="212529"/>
                <w:spacing w:val="1"/>
              </w:rPr>
              <w:t>40</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footerReference w:type="default" r:id="rId10"/>
          <w:pgSz w:w="11900" w:h="16840"/>
          <w:pgMar w:top="642" w:right="600" w:bottom="340" w:left="600" w:header="326" w:footer="90"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3" w:hRule="atLeast"/>
        </w:trPr>
        <w:tc>
          <w:tcPr>
            <w:tcW w:w="1917"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69"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3" w:hRule="atLeast"/>
        </w:trPr>
        <w:tc>
          <w:tcPr>
            <w:tcW w:w="1917" w:type="dxa"/>
            <w:vAlign w:val="top"/>
          </w:tcPr>
          <w:p>
            <w:pPr>
              <w:ind w:left="62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69" w:type="dxa"/>
            <w:vAlign w:val="top"/>
          </w:tcPr>
          <w:p>
            <w:pPr>
              <w:pStyle w:val="TableText"/>
              <w:ind w:left="281"/>
              <w:spacing w:before="136" w:line="172" w:lineRule="auto"/>
              <w:rPr>
                <w:sz w:val="14"/>
                <w:szCs w:val="14"/>
              </w:rPr>
            </w:pPr>
            <w:r>
              <w:rPr>
                <w:sz w:val="14"/>
                <w:szCs w:val="14"/>
                <w:color w:val="212529"/>
              </w:rPr>
              <w:t>834.</w:t>
            </w:r>
            <w:r>
              <w:rPr>
                <w:sz w:val="14"/>
                <w:szCs w:val="14"/>
                <w:color w:val="212529"/>
                <w:spacing w:val="8"/>
              </w:rPr>
              <w:t xml:space="preserve"> </w:t>
            </w:r>
            <w:r>
              <w:rPr>
                <w:sz w:val="14"/>
                <w:szCs w:val="14"/>
                <w:color w:val="212529"/>
              </w:rPr>
              <w:t>40</w:t>
            </w:r>
          </w:p>
        </w:tc>
        <w:tc>
          <w:tcPr>
            <w:tcW w:w="1998" w:type="dxa"/>
            <w:vAlign w:val="top"/>
          </w:tcPr>
          <w:p>
            <w:pPr>
              <w:ind w:left="665"/>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69" w:type="dxa"/>
            <w:vAlign w:val="top"/>
          </w:tcPr>
          <w:p>
            <w:pPr>
              <w:pStyle w:val="TableText"/>
              <w:ind w:left="284"/>
              <w:spacing w:before="136" w:line="172" w:lineRule="auto"/>
              <w:rPr>
                <w:sz w:val="14"/>
                <w:szCs w:val="14"/>
              </w:rPr>
            </w:pPr>
            <w:r>
              <w:rPr>
                <w:sz w:val="14"/>
                <w:szCs w:val="14"/>
                <w:color w:val="212529"/>
              </w:rPr>
              <w:t>834.</w:t>
            </w:r>
            <w:r>
              <w:rPr>
                <w:sz w:val="14"/>
                <w:szCs w:val="14"/>
                <w:color w:val="212529"/>
                <w:spacing w:val="8"/>
              </w:rPr>
              <w:t xml:space="preserve"> </w:t>
            </w:r>
            <w:r>
              <w:rPr>
                <w:sz w:val="14"/>
                <w:szCs w:val="14"/>
                <w:color w:val="212529"/>
              </w:rPr>
              <w:t>40</w:t>
            </w:r>
          </w:p>
        </w:tc>
        <w:tc>
          <w:tcPr>
            <w:tcW w:w="1101" w:type="dxa"/>
            <w:vAlign w:val="top"/>
          </w:tcPr>
          <w:p>
            <w:pPr>
              <w:pStyle w:val="TableText"/>
              <w:ind w:left="304"/>
              <w:spacing w:before="136" w:line="172" w:lineRule="auto"/>
              <w:rPr>
                <w:sz w:val="14"/>
                <w:szCs w:val="14"/>
              </w:rPr>
            </w:pPr>
            <w:r>
              <w:rPr>
                <w:sz w:val="14"/>
                <w:szCs w:val="14"/>
                <w:color w:val="212529"/>
                <w:spacing w:val="1"/>
              </w:rPr>
              <w:t>834.</w:t>
            </w:r>
            <w:r>
              <w:rPr>
                <w:sz w:val="14"/>
                <w:szCs w:val="14"/>
                <w:color w:val="212529"/>
                <w:spacing w:val="1"/>
              </w:rPr>
              <w:t xml:space="preserve"> </w:t>
            </w:r>
            <w:r>
              <w:rPr>
                <w:sz w:val="14"/>
                <w:szCs w:val="14"/>
                <w:color w:val="212529"/>
                <w:spacing w:val="1"/>
              </w:rPr>
              <w:t>40</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footerReference w:type="default" r:id="rId11"/>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4"/>
              <w:spacing w:before="87" w:line="172" w:lineRule="auto"/>
              <w:rPr>
                <w:sz w:val="14"/>
                <w:szCs w:val="14"/>
              </w:rPr>
            </w:pPr>
            <w:r>
              <w:rPr>
                <w:sz w:val="14"/>
                <w:szCs w:val="14"/>
                <w:color w:val="212529"/>
              </w:rPr>
              <w:t>802.</w:t>
            </w:r>
            <w:r>
              <w:rPr>
                <w:sz w:val="14"/>
                <w:szCs w:val="14"/>
                <w:color w:val="212529"/>
                <w:spacing w:val="8"/>
              </w:rPr>
              <w:t xml:space="preserve"> </w:t>
            </w:r>
            <w:r>
              <w:rPr>
                <w:sz w:val="14"/>
                <w:szCs w:val="14"/>
                <w:color w:val="212529"/>
              </w:rPr>
              <w:t>30</w:t>
            </w:r>
          </w:p>
        </w:tc>
        <w:tc>
          <w:tcPr>
            <w:tcW w:w="1361" w:type="dxa"/>
            <w:vAlign w:val="top"/>
          </w:tcPr>
          <w:p>
            <w:pPr>
              <w:pStyle w:val="TableText"/>
              <w:ind w:left="856"/>
              <w:spacing w:before="87" w:line="172" w:lineRule="auto"/>
              <w:rPr>
                <w:sz w:val="14"/>
                <w:szCs w:val="14"/>
              </w:rPr>
            </w:pPr>
            <w:r>
              <w:rPr>
                <w:sz w:val="14"/>
                <w:szCs w:val="14"/>
                <w:color w:val="212529"/>
              </w:rPr>
              <w:t>656.</w:t>
            </w:r>
            <w:r>
              <w:rPr>
                <w:sz w:val="14"/>
                <w:szCs w:val="14"/>
                <w:color w:val="212529"/>
                <w:spacing w:val="7"/>
              </w:rPr>
              <w:t xml:space="preserve"> </w:t>
            </w:r>
            <w:r>
              <w:rPr>
                <w:sz w:val="14"/>
                <w:szCs w:val="14"/>
                <w:color w:val="212529"/>
              </w:rPr>
              <w:t>70</w:t>
            </w:r>
          </w:p>
        </w:tc>
        <w:tc>
          <w:tcPr>
            <w:tcW w:w="1409" w:type="dxa"/>
            <w:vAlign w:val="top"/>
          </w:tcPr>
          <w:p>
            <w:pPr>
              <w:pStyle w:val="TableText"/>
              <w:ind w:left="908"/>
              <w:spacing w:before="87" w:line="186" w:lineRule="auto"/>
              <w:rPr>
                <w:sz w:val="13"/>
                <w:szCs w:val="13"/>
              </w:rPr>
            </w:pPr>
            <w:r>
              <w:rPr>
                <w:sz w:val="13"/>
                <w:szCs w:val="13"/>
                <w:color w:val="212529"/>
                <w:spacing w:val="2"/>
              </w:rPr>
              <w:t>145.</w:t>
            </w:r>
            <w:r>
              <w:rPr>
                <w:sz w:val="13"/>
                <w:szCs w:val="13"/>
                <w:color w:val="212529"/>
                <w:spacing w:val="18"/>
                <w:w w:val="101"/>
              </w:rPr>
              <w:t xml:space="preserve"> </w:t>
            </w:r>
            <w:r>
              <w:rPr>
                <w:sz w:val="13"/>
                <w:szCs w:val="13"/>
                <w:color w:val="212529"/>
                <w:spacing w:val="2"/>
              </w:rPr>
              <w:t>60</w:t>
            </w:r>
          </w:p>
        </w:tc>
      </w:tr>
      <w:tr>
        <w:trPr>
          <w:trHeight w:val="292" w:hRule="atLeast"/>
        </w:trPr>
        <w:tc>
          <w:tcPr>
            <w:tcW w:w="161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532.84</w:t>
            </w:r>
          </w:p>
        </w:tc>
        <w:tc>
          <w:tcPr>
            <w:tcW w:w="1361"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520.44</w:t>
            </w:r>
          </w:p>
        </w:tc>
        <w:tc>
          <w:tcPr>
            <w:tcW w:w="140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292"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94" w:type="dxa"/>
            <w:vAlign w:val="top"/>
          </w:tcPr>
          <w:p>
            <w:pPr>
              <w:ind w:left="2"/>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520.44</w:t>
            </w:r>
          </w:p>
        </w:tc>
        <w:tc>
          <w:tcPr>
            <w:tcW w:w="1361"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520.44</w:t>
            </w:r>
          </w:p>
        </w:tc>
        <w:tc>
          <w:tcPr>
            <w:tcW w:w="1409" w:type="dxa"/>
            <w:vAlign w:val="top"/>
          </w:tcPr>
          <w:p>
            <w:pPr>
              <w:pStyle w:val="TableText"/>
              <w:rPr/>
            </w:pPr>
            <w:r/>
          </w:p>
        </w:tc>
      </w:tr>
      <w:tr>
        <w:trPr>
          <w:trHeight w:val="292" w:hRule="atLeast"/>
        </w:trPr>
        <w:tc>
          <w:tcPr>
            <w:tcW w:w="161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294" w:type="dxa"/>
            <w:vAlign w:val="top"/>
          </w:tcPr>
          <w:p>
            <w:pPr>
              <w:ind w:left="2"/>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276.64</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276.64</w:t>
            </w:r>
          </w:p>
        </w:tc>
        <w:tc>
          <w:tcPr>
            <w:tcW w:w="1409" w:type="dxa"/>
            <w:vAlign w:val="top"/>
          </w:tcPr>
          <w:p>
            <w:pPr>
              <w:pStyle w:val="TableText"/>
              <w:rPr/>
            </w:pPr>
            <w:r/>
          </w:p>
        </w:tc>
      </w:tr>
      <w:tr>
        <w:trPr>
          <w:trHeight w:val="292"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243.80</w:t>
            </w:r>
          </w:p>
        </w:tc>
        <w:tc>
          <w:tcPr>
            <w:tcW w:w="1361"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243.80</w:t>
            </w:r>
          </w:p>
        </w:tc>
        <w:tc>
          <w:tcPr>
            <w:tcW w:w="1409" w:type="dxa"/>
            <w:vAlign w:val="top"/>
          </w:tcPr>
          <w:p>
            <w:pPr>
              <w:pStyle w:val="TableText"/>
              <w:rPr/>
            </w:pPr>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294" w:type="dxa"/>
            <w:vAlign w:val="top"/>
          </w:tcPr>
          <w:p>
            <w:pPr>
              <w:ind w:left="4"/>
              <w:spacing w:before="71"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294" w:type="dxa"/>
            <w:vAlign w:val="top"/>
          </w:tcPr>
          <w:p>
            <w:pPr>
              <w:ind w:left="1"/>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292"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ind w:left="3"/>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76.05</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60.85</w:t>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r>
      <w:tr>
        <w:trPr>
          <w:trHeight w:val="293"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60.85</w:t>
            </w:r>
          </w:p>
        </w:tc>
        <w:tc>
          <w:tcPr>
            <w:tcW w:w="1361"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60.85</w:t>
            </w:r>
          </w:p>
        </w:tc>
        <w:tc>
          <w:tcPr>
            <w:tcW w:w="1409" w:type="dxa"/>
            <w:vAlign w:val="top"/>
          </w:tcPr>
          <w:p>
            <w:pPr>
              <w:pStyle w:val="TableText"/>
              <w:rPr/>
            </w:pPr>
            <w:r/>
          </w:p>
        </w:tc>
      </w:tr>
      <w:tr>
        <w:trPr>
          <w:trHeight w:val="293"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94" w:type="dxa"/>
            <w:vAlign w:val="top"/>
          </w:tcPr>
          <w:p>
            <w:pPr>
              <w:ind w:left="2"/>
              <w:spacing w:before="73"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409" w:type="dxa"/>
            <w:vAlign w:val="top"/>
          </w:tcPr>
          <w:p>
            <w:pPr>
              <w:pStyle w:val="TableText"/>
              <w:rPr/>
            </w:pPr>
            <w:r/>
          </w:p>
        </w:tc>
      </w:tr>
      <w:tr>
        <w:trPr>
          <w:trHeight w:val="293"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50.24</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50.24</w:t>
            </w:r>
          </w:p>
        </w:tc>
        <w:tc>
          <w:tcPr>
            <w:tcW w:w="1409" w:type="dxa"/>
            <w:vAlign w:val="top"/>
          </w:tcPr>
          <w:p>
            <w:pPr>
              <w:pStyle w:val="TableText"/>
              <w:rPr/>
            </w:pPr>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294" w:type="dxa"/>
            <w:vAlign w:val="top"/>
          </w:tcPr>
          <w:p>
            <w:pPr>
              <w:ind w:left="12"/>
              <w:spacing w:before="73"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294" w:type="dxa"/>
            <w:vAlign w:val="top"/>
          </w:tcPr>
          <w:p>
            <w:pPr>
              <w:ind w:left="12"/>
              <w:spacing w:before="72"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r>
      <w:tr>
        <w:trPr>
          <w:trHeight w:val="293"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ind w:left="3"/>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24.07</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24.07</w:t>
            </w:r>
          </w:p>
        </w:tc>
        <w:tc>
          <w:tcPr>
            <w:tcW w:w="1409" w:type="dxa"/>
            <w:vAlign w:val="top"/>
          </w:tcPr>
          <w:p>
            <w:pPr>
              <w:pStyle w:val="TableText"/>
              <w:rPr/>
            </w:pPr>
            <w:r/>
          </w:p>
        </w:tc>
      </w:tr>
      <w:tr>
        <w:trPr>
          <w:trHeight w:val="292"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ind w:left="2"/>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24.07</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24.07</w:t>
            </w:r>
          </w:p>
        </w:tc>
        <w:tc>
          <w:tcPr>
            <w:tcW w:w="1409" w:type="dxa"/>
            <w:vAlign w:val="top"/>
          </w:tcPr>
          <w:p>
            <w:pPr>
              <w:pStyle w:val="TableText"/>
              <w:rPr/>
            </w:pPr>
            <w:r/>
          </w:p>
        </w:tc>
      </w:tr>
      <w:tr>
        <w:trPr>
          <w:trHeight w:val="293"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94" w:type="dxa"/>
            <w:vAlign w:val="top"/>
          </w:tcPr>
          <w:p>
            <w:pPr>
              <w:ind w:left="2"/>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7.92</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7.92</w:t>
            </w:r>
          </w:p>
        </w:tc>
        <w:tc>
          <w:tcPr>
            <w:tcW w:w="1409" w:type="dxa"/>
            <w:vAlign w:val="top"/>
          </w:tcPr>
          <w:p>
            <w:pPr>
              <w:pStyle w:val="TableText"/>
              <w:rPr/>
            </w:pPr>
            <w:r/>
          </w:p>
        </w:tc>
      </w:tr>
      <w:tr>
        <w:trPr>
          <w:trHeight w:val="293"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ind w:left="3"/>
              <w:spacing w:before="7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409" w:type="dxa"/>
            <w:vAlign w:val="top"/>
          </w:tcPr>
          <w:p>
            <w:pPr>
              <w:pStyle w:val="TableText"/>
              <w:rPr/>
            </w:pPr>
            <w:r/>
          </w:p>
        </w:tc>
      </w:tr>
      <w:tr>
        <w:trPr>
          <w:trHeight w:val="292"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3.65</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3.65</w:t>
            </w:r>
          </w:p>
        </w:tc>
        <w:tc>
          <w:tcPr>
            <w:tcW w:w="1409" w:type="dxa"/>
            <w:vAlign w:val="top"/>
          </w:tcPr>
          <w:p>
            <w:pPr>
              <w:pStyle w:val="TableText"/>
              <w:rPr/>
            </w:pPr>
            <w:r/>
          </w:p>
        </w:tc>
      </w:tr>
      <w:tr>
        <w:trPr>
          <w:trHeight w:val="292"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294" w:type="dxa"/>
            <w:vAlign w:val="top"/>
          </w:tcPr>
          <w:p>
            <w:pPr>
              <w:ind w:left="3"/>
              <w:spacing w:before="74"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c>
          <w:tcPr>
            <w:tcW w:w="1361" w:type="dxa"/>
            <w:vAlign w:val="top"/>
          </w:tcPr>
          <w:p>
            <w:pPr>
              <w:pStyle w:val="TableText"/>
              <w:rPr/>
            </w:pPr>
            <w:r/>
          </w:p>
        </w:tc>
        <w:tc>
          <w:tcPr>
            <w:tcW w:w="1409"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r>
      <w:tr>
        <w:trPr>
          <w:trHeight w:val="293" w:hRule="atLeast"/>
        </w:trPr>
        <w:tc>
          <w:tcPr>
            <w:tcW w:w="161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294" w:type="dxa"/>
            <w:vAlign w:val="top"/>
          </w:tcPr>
          <w:p>
            <w:pPr>
              <w:ind w:left="3"/>
              <w:spacing w:before="75"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480" w:type="dxa"/>
            <w:vAlign w:val="top"/>
          </w:tcPr>
          <w:p>
            <w:pPr>
              <w:ind w:right="17"/>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c>
          <w:tcPr>
            <w:tcW w:w="1361" w:type="dxa"/>
            <w:vAlign w:val="top"/>
          </w:tcPr>
          <w:p>
            <w:pPr>
              <w:pStyle w:val="TableText"/>
              <w:rPr/>
            </w:pPr>
            <w:r/>
          </w:p>
        </w:tc>
        <w:tc>
          <w:tcPr>
            <w:tcW w:w="1409" w:type="dxa"/>
            <w:vAlign w:val="top"/>
          </w:tcPr>
          <w:p>
            <w:pPr>
              <w:ind w:right="24"/>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r>
      <w:tr>
        <w:trPr>
          <w:trHeight w:val="292" w:hRule="atLeast"/>
        </w:trPr>
        <w:tc>
          <w:tcPr>
            <w:tcW w:w="1614"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294" w:type="dxa"/>
            <w:vAlign w:val="top"/>
          </w:tcPr>
          <w:p>
            <w:pPr>
              <w:ind w:left="1"/>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c>
          <w:tcPr>
            <w:tcW w:w="1361" w:type="dxa"/>
            <w:vAlign w:val="top"/>
          </w:tcPr>
          <w:p>
            <w:pPr>
              <w:pStyle w:val="TableText"/>
              <w:rPr/>
            </w:pPr>
            <w:r/>
          </w:p>
        </w:tc>
        <w:tc>
          <w:tcPr>
            <w:tcW w:w="1409"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118.00</w:t>
            </w:r>
          </w:p>
        </w:tc>
      </w:tr>
      <w:tr>
        <w:trPr>
          <w:trHeight w:val="292" w:hRule="atLeast"/>
        </w:trPr>
        <w:tc>
          <w:tcPr>
            <w:tcW w:w="1614"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ind w:left="2"/>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409" w:type="dxa"/>
            <w:vAlign w:val="top"/>
          </w:tcPr>
          <w:p>
            <w:pPr>
              <w:pStyle w:val="TableText"/>
              <w:rPr/>
            </w:pPr>
            <w:r/>
          </w:p>
        </w:tc>
      </w:tr>
      <w:tr>
        <w:trPr>
          <w:trHeight w:val="293"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ind w:left="2"/>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80"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361"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409" w:type="dxa"/>
            <w:vAlign w:val="top"/>
          </w:tcPr>
          <w:p>
            <w:pPr>
              <w:pStyle w:val="TableText"/>
              <w:rPr/>
            </w:pPr>
            <w:r/>
          </w:p>
        </w:tc>
      </w:tr>
      <w:tr>
        <w:trPr>
          <w:trHeight w:val="298" w:hRule="atLeast"/>
        </w:trPr>
        <w:tc>
          <w:tcPr>
            <w:tcW w:w="1614"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409" w:type="dxa"/>
            <w:vAlign w:val="top"/>
          </w:tcPr>
          <w:p>
            <w:pPr>
              <w:pStyle w:val="TableText"/>
              <w:rPr/>
            </w:pPr>
            <w:r/>
          </w:p>
        </w:tc>
      </w:tr>
    </w:tbl>
    <w:p>
      <w:pPr>
        <w:pStyle w:val="BodyText"/>
        <w:rPr/>
      </w:pPr>
      <w:r/>
    </w:p>
    <w:p>
      <w:pPr>
        <w:sectPr>
          <w:footerReference w:type="default" r:id="rId12"/>
          <w:pgSz w:w="11900" w:h="16840"/>
          <w:pgMar w:top="642" w:right="600" w:bottom="340" w:left="600" w:header="326" w:footer="93" w:gutter="0"/>
        </w:sectPr>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72" w:lineRule="auto"/>
              <w:rPr>
                <w:sz w:val="14"/>
                <w:szCs w:val="14"/>
              </w:rPr>
            </w:pPr>
            <w:r>
              <w:rPr>
                <w:sz w:val="14"/>
                <w:szCs w:val="14"/>
                <w:color w:val="212529"/>
              </w:rPr>
              <w:t>656.</w:t>
            </w:r>
            <w:r>
              <w:rPr>
                <w:sz w:val="14"/>
                <w:szCs w:val="14"/>
                <w:color w:val="212529"/>
                <w:spacing w:val="7"/>
              </w:rPr>
              <w:t xml:space="preserve"> </w:t>
            </w:r>
            <w:r>
              <w:rPr>
                <w:sz w:val="14"/>
                <w:szCs w:val="14"/>
                <w:color w:val="212529"/>
              </w:rPr>
              <w:t>70</w:t>
            </w:r>
          </w:p>
        </w:tc>
        <w:tc>
          <w:tcPr>
            <w:tcW w:w="1188" w:type="dxa"/>
            <w:vAlign w:val="top"/>
          </w:tcPr>
          <w:p>
            <w:pPr>
              <w:pStyle w:val="TableText"/>
              <w:ind w:left="686"/>
              <w:spacing w:before="87" w:line="186" w:lineRule="auto"/>
              <w:rPr>
                <w:sz w:val="13"/>
                <w:szCs w:val="13"/>
              </w:rPr>
            </w:pPr>
            <w:r>
              <w:rPr>
                <w:sz w:val="13"/>
                <w:szCs w:val="13"/>
                <w:color w:val="212529"/>
                <w:spacing w:val="4"/>
              </w:rPr>
              <w:t>575.</w:t>
            </w:r>
            <w:r>
              <w:rPr>
                <w:sz w:val="13"/>
                <w:szCs w:val="13"/>
                <w:color w:val="212529"/>
                <w:spacing w:val="13"/>
                <w:w w:val="102"/>
              </w:rPr>
              <w:t xml:space="preserve"> </w:t>
            </w:r>
            <w:r>
              <w:rPr>
                <w:sz w:val="13"/>
                <w:szCs w:val="13"/>
                <w:color w:val="212529"/>
                <w:spacing w:val="4"/>
              </w:rPr>
              <w:t>78</w:t>
            </w:r>
          </w:p>
        </w:tc>
        <w:tc>
          <w:tcPr>
            <w:tcW w:w="1118" w:type="dxa"/>
            <w:vAlign w:val="top"/>
          </w:tcPr>
          <w:p>
            <w:pPr>
              <w:pStyle w:val="TableText"/>
              <w:ind w:left="688"/>
              <w:spacing w:before="87" w:line="186" w:lineRule="auto"/>
              <w:rPr>
                <w:sz w:val="13"/>
                <w:szCs w:val="13"/>
              </w:rPr>
            </w:pPr>
            <w:r>
              <w:rPr>
                <w:sz w:val="13"/>
                <w:szCs w:val="13"/>
                <w:color w:val="212529"/>
                <w:spacing w:val="4"/>
              </w:rPr>
              <w:t>80.</w:t>
            </w:r>
            <w:r>
              <w:rPr>
                <w:sz w:val="13"/>
                <w:szCs w:val="13"/>
                <w:color w:val="212529"/>
                <w:spacing w:val="11"/>
                <w:w w:val="101"/>
              </w:rPr>
              <w:t xml:space="preserve"> </w:t>
            </w:r>
            <w:r>
              <w:rPr>
                <w:sz w:val="13"/>
                <w:szCs w:val="13"/>
                <w:color w:val="212529"/>
                <w:spacing w:val="4"/>
              </w:rPr>
              <w:t>92</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561.26</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561.26</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177.62</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177.62</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127.27</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127.27</w:t>
            </w:r>
          </w:p>
        </w:tc>
        <w:tc>
          <w:tcPr>
            <w:tcW w:w="1118" w:type="dxa"/>
            <w:vAlign w:val="top"/>
          </w:tcPr>
          <w:p>
            <w:pPr>
              <w:pStyle w:val="TableText"/>
              <w:rPr/>
            </w:pPr>
            <w:r/>
          </w:p>
        </w:tc>
      </w:tr>
      <w:tr>
        <w:trPr>
          <w:trHeight w:val="292"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12.72</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12.72</w:t>
            </w:r>
          </w:p>
        </w:tc>
        <w:tc>
          <w:tcPr>
            <w:tcW w:w="1118" w:type="dxa"/>
            <w:vAlign w:val="top"/>
          </w:tcPr>
          <w:p>
            <w:pPr>
              <w:pStyle w:val="TableText"/>
              <w:rPr/>
            </w:pPr>
            <w:r/>
          </w:p>
        </w:tc>
      </w:tr>
      <w:tr>
        <w:trPr>
          <w:trHeight w:val="292" w:hRule="atLeast"/>
        </w:trPr>
        <w:tc>
          <w:tcPr>
            <w:tcW w:w="3310"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79.31</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79.31</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19.49</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19.49</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30.75</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30.75</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7.92</w:t>
            </w:r>
          </w:p>
        </w:tc>
        <w:tc>
          <w:tcPr>
            <w:tcW w:w="1188" w:type="dxa"/>
            <w:vAlign w:val="top"/>
          </w:tcPr>
          <w:p>
            <w:pPr>
              <w:ind w:right="16"/>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7.92</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118" w:type="dxa"/>
            <w:vAlign w:val="top"/>
          </w:tcPr>
          <w:p>
            <w:pPr>
              <w:pStyle w:val="TableText"/>
              <w:rPr/>
            </w:pPr>
            <w:r/>
          </w:p>
        </w:tc>
      </w:tr>
      <w:tr>
        <w:trPr>
          <w:trHeight w:val="293" w:hRule="atLeast"/>
        </w:trPr>
        <w:tc>
          <w:tcPr>
            <w:tcW w:w="3310"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3.65</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3.65</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1.14</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1.14</w:t>
            </w:r>
          </w:p>
        </w:tc>
        <w:tc>
          <w:tcPr>
            <w:tcW w:w="1118" w:type="dxa"/>
            <w:vAlign w:val="top"/>
          </w:tcPr>
          <w:p>
            <w:pPr>
              <w:pStyle w:val="TableText"/>
              <w:rPr/>
            </w:pPr>
            <w:r/>
          </w:p>
        </w:tc>
      </w:tr>
      <w:tr>
        <w:trPr>
          <w:trHeight w:val="292" w:hRule="atLeast"/>
        </w:trPr>
        <w:tc>
          <w:tcPr>
            <w:tcW w:w="3310"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51.35</w:t>
            </w:r>
          </w:p>
        </w:tc>
        <w:tc>
          <w:tcPr>
            <w:tcW w:w="1118" w:type="dxa"/>
            <w:vAlign w:val="top"/>
          </w:tcPr>
          <w:p>
            <w:pPr>
              <w:pStyle w:val="TableText"/>
              <w:rPr/>
            </w:pPr>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37.55</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37.55</w:t>
            </w:r>
          </w:p>
        </w:tc>
        <w:tc>
          <w:tcPr>
            <w:tcW w:w="1118" w:type="dxa"/>
            <w:vAlign w:val="top"/>
          </w:tcPr>
          <w:p>
            <w:pPr>
              <w:pStyle w:val="TableText"/>
              <w:rPr/>
            </w:pPr>
            <w:r/>
          </w:p>
        </w:tc>
      </w:tr>
      <w:tr>
        <w:trPr>
          <w:trHeight w:val="292" w:hRule="atLeast"/>
        </w:trPr>
        <w:tc>
          <w:tcPr>
            <w:tcW w:w="3310" w:type="dxa"/>
            <w:vAlign w:val="top"/>
          </w:tcPr>
          <w:p>
            <w:pPr>
              <w:ind w:left="9"/>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80.92</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80.92</w:t>
            </w:r>
          </w:p>
        </w:tc>
      </w:tr>
      <w:tr>
        <w:trPr>
          <w:trHeight w:val="293" w:hRule="atLeast"/>
        </w:trPr>
        <w:tc>
          <w:tcPr>
            <w:tcW w:w="3310" w:type="dxa"/>
            <w:vAlign w:val="top"/>
          </w:tcPr>
          <w:p>
            <w:pPr>
              <w:ind w:left="334"/>
              <w:spacing w:before="73"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3310" w:type="dxa"/>
            <w:vAlign w:val="top"/>
          </w:tcPr>
          <w:p>
            <w:pPr>
              <w:ind w:left="349"/>
              <w:spacing w:before="72"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9.13</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9.13</w:t>
            </w:r>
          </w:p>
        </w:tc>
      </w:tr>
      <w:tr>
        <w:trPr>
          <w:trHeight w:val="292" w:hRule="atLeast"/>
        </w:trPr>
        <w:tc>
          <w:tcPr>
            <w:tcW w:w="3310" w:type="dxa"/>
            <w:vAlign w:val="top"/>
          </w:tcPr>
          <w:p>
            <w:pPr>
              <w:ind w:left="333"/>
              <w:spacing w:before="73"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3310" w:type="dxa"/>
            <w:vAlign w:val="top"/>
          </w:tcPr>
          <w:p>
            <w:pPr>
              <w:ind w:left="333"/>
              <w:spacing w:before="74"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6.28</w:t>
            </w:r>
          </w:p>
        </w:tc>
        <w:tc>
          <w:tcPr>
            <w:tcW w:w="1188" w:type="dxa"/>
            <w:vAlign w:val="top"/>
          </w:tcPr>
          <w:p>
            <w:pPr>
              <w:pStyle w:val="TableText"/>
              <w:rPr/>
            </w:pPr>
            <w:r/>
          </w:p>
        </w:tc>
        <w:tc>
          <w:tcPr>
            <w:tcW w:w="1118"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6.28</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10.99</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10.99</w:t>
            </w:r>
          </w:p>
        </w:tc>
      </w:tr>
      <w:tr>
        <w:trPr>
          <w:trHeight w:val="292" w:hRule="atLeast"/>
        </w:trPr>
        <w:tc>
          <w:tcPr>
            <w:tcW w:w="3310"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29.52</w:t>
            </w:r>
          </w:p>
        </w:tc>
      </w:tr>
      <w:tr>
        <w:trPr>
          <w:trHeight w:val="292" w:hRule="atLeast"/>
        </w:trPr>
        <w:tc>
          <w:tcPr>
            <w:tcW w:w="331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5"/>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14.52</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14.52</w:t>
            </w:r>
          </w:p>
        </w:tc>
        <w:tc>
          <w:tcPr>
            <w:tcW w:w="1118" w:type="dxa"/>
            <w:vAlign w:val="top"/>
          </w:tcPr>
          <w:p>
            <w:pPr>
              <w:pStyle w:val="TableText"/>
              <w:rPr/>
            </w:pPr>
            <w:r/>
          </w:p>
        </w:tc>
      </w:tr>
      <w:tr>
        <w:trPr>
          <w:trHeight w:val="293"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118" w:type="dxa"/>
            <w:vAlign w:val="top"/>
          </w:tcPr>
          <w:p>
            <w:pPr>
              <w:pStyle w:val="TableText"/>
              <w:rPr/>
            </w:pPr>
            <w:r/>
          </w:p>
        </w:tc>
      </w:tr>
      <w:tr>
        <w:trPr>
          <w:trHeight w:val="298" w:hRule="atLeast"/>
        </w:trPr>
        <w:tc>
          <w:tcPr>
            <w:tcW w:w="3310"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w:t>
            </w:r>
          </w:p>
        </w:tc>
        <w:tc>
          <w:tcPr>
            <w:tcW w:w="1188" w:type="dxa"/>
            <w:vAlign w:val="top"/>
          </w:tcPr>
          <w:p>
            <w:pPr>
              <w:ind w:right="16"/>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w:t>
            </w:r>
          </w:p>
        </w:tc>
        <w:tc>
          <w:tcPr>
            <w:tcW w:w="1118" w:type="dxa"/>
            <w:vAlign w:val="top"/>
          </w:tcPr>
          <w:p>
            <w:pPr>
              <w:pStyle w:val="TableText"/>
              <w:rPr/>
            </w:pPr>
            <w:r/>
          </w:p>
        </w:tc>
      </w:tr>
    </w:tbl>
    <w:p>
      <w:pPr>
        <w:pStyle w:val="BodyText"/>
        <w:rPr/>
      </w:pPr>
      <w:r/>
    </w:p>
    <w:p>
      <w:pPr>
        <w:sectPr>
          <w:footerReference w:type="default" r:id="rId13"/>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14"/>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15"/>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8" w:type="dxa"/>
            <w:vAlign w:val="top"/>
            <w:tcBorders>
              <w:bottom w:val="single" w:color="FFFFFF" w:sz="4" w:space="0"/>
              <w:top w:val="single" w:color="FFFFFF" w:sz="4" w:space="0"/>
              <w:left w:val="single" w:color="FFFFFF" w:sz="2" w:space="0"/>
              <w:right w:val="single" w:color="FFFFFF" w:sz="2" w:space="0"/>
            </w:tcBorders>
          </w:tcPr>
          <w:p>
            <w:pPr>
              <w:ind w:left="251"/>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170"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988" w:type="dxa"/>
            <w:vAlign w:val="top"/>
            <w:tcBorders>
              <w:top w:val="single" w:color="FFFFFF" w:sz="4" w:space="0"/>
              <w:left w:val="single" w:color="FFFFFF" w:sz="2" w:space="0"/>
              <w:right w:val="single" w:color="FFFFFF" w:sz="2" w:space="0"/>
            </w:tcBorders>
          </w:tcPr>
          <w:p>
            <w:pPr>
              <w:ind w:left="31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20"/>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99" w:type="dxa"/>
            <w:vAlign w:val="top"/>
            <w:gridSpan w:val="2"/>
          </w:tcPr>
          <w:p>
            <w:pPr>
              <w:ind w:left="1273"/>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73"/>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pStyle w:val="TableText"/>
              <w:rPr/>
            </w:pPr>
            <w:r/>
          </w:p>
          <w:p>
            <w:pPr>
              <w:ind w:left="14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pStyle w:val="TableText"/>
              <w:spacing w:line="241" w:lineRule="auto"/>
              <w:rPr/>
            </w:pPr>
            <w:r/>
          </w:p>
          <w:p>
            <w:pPr>
              <w:ind w:left="32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pStyle w:val="TableText"/>
              <w:rPr/>
            </w:pPr>
            <w:r/>
          </w:p>
          <w:p>
            <w:pPr>
              <w:ind w:left="1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39" w:type="dxa"/>
            <w:vAlign w:val="top"/>
          </w:tcPr>
          <w:p>
            <w:pPr>
              <w:ind w:left="73"/>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8" w:hRule="atLeast"/>
        </w:trPr>
        <w:tc>
          <w:tcPr>
            <w:tcW w:w="2899" w:type="dxa"/>
            <w:vAlign w:val="top"/>
            <w:gridSpan w:val="2"/>
          </w:tcPr>
          <w:p>
            <w:pPr>
              <w:ind w:left="1275"/>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78"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48"/>
        <w:gridCol w:w="1490"/>
        <w:gridCol w:w="1404"/>
        <w:gridCol w:w="1328"/>
        <w:gridCol w:w="1388"/>
      </w:tblGrid>
      <w:tr>
        <w:trPr>
          <w:trHeight w:val="384" w:hRule="atLeast"/>
        </w:trPr>
        <w:tc>
          <w:tcPr>
            <w:tcW w:w="35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58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442"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780"/>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48" w:type="dxa"/>
            <w:vAlign w:val="top"/>
            <w:vMerge w:val="restart"/>
            <w:tcBorders>
              <w:bottom w:val="nil"/>
            </w:tcBorders>
          </w:tcPr>
          <w:p>
            <w:pPr>
              <w:pStyle w:val="TableText"/>
              <w:rPr/>
            </w:pPr>
            <w:r/>
          </w:p>
          <w:p>
            <w:pPr>
              <w:ind w:left="160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10" w:type="dxa"/>
            <w:vAlign w:val="top"/>
            <w:gridSpan w:val="4"/>
          </w:tcPr>
          <w:p>
            <w:pPr>
              <w:ind w:left="23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48" w:type="dxa"/>
            <w:vAlign w:val="top"/>
            <w:vMerge w:val="continue"/>
            <w:tcBorders>
              <w:top w:val="nil"/>
            </w:tcBorders>
          </w:tcPr>
          <w:p>
            <w:pPr>
              <w:pStyle w:val="TableText"/>
              <w:rPr/>
            </w:pPr>
            <w:r/>
          </w:p>
        </w:tc>
        <w:tc>
          <w:tcPr>
            <w:tcW w:w="1490" w:type="dxa"/>
            <w:vAlign w:val="top"/>
          </w:tcPr>
          <w:p>
            <w:pPr>
              <w:ind w:left="574"/>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201"/>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8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88" w:type="dxa"/>
            <w:vAlign w:val="top"/>
          </w:tcPr>
          <w:p>
            <w:pPr>
              <w:ind w:left="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48" w:type="dxa"/>
            <w:vAlign w:val="top"/>
          </w:tcPr>
          <w:p>
            <w:pPr>
              <w:ind w:left="1130"/>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365"/>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959"/>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90"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0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156"/>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9" w:hRule="atLeast"/>
        </w:trPr>
        <w:tc>
          <w:tcPr>
            <w:tcW w:w="3548" w:type="dxa"/>
            <w:vAlign w:val="top"/>
          </w:tcPr>
          <w:p>
            <w:pPr>
              <w:ind w:left="994"/>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90"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0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28" w:type="dxa"/>
            <w:vAlign w:val="top"/>
          </w:tcPr>
          <w:p>
            <w:pPr>
              <w:pStyle w:val="TableText"/>
              <w:rPr/>
            </w:pPr>
            <w:r/>
          </w:p>
        </w:tc>
        <w:tc>
          <w:tcPr>
            <w:tcW w:w="1388" w:type="dxa"/>
            <w:vAlign w:val="top"/>
          </w:tcPr>
          <w:p>
            <w:pPr>
              <w:pStyle w:val="TableText"/>
              <w:rPr/>
            </w:pPr>
            <w:r/>
          </w:p>
        </w:tc>
      </w:tr>
      <w:tr>
        <w:trPr>
          <w:trHeight w:val="384" w:hRule="atLeast"/>
        </w:trPr>
        <w:tc>
          <w:tcPr>
            <w:tcW w:w="3548" w:type="dxa"/>
            <w:vAlign w:val="top"/>
          </w:tcPr>
          <w:p>
            <w:pPr>
              <w:ind w:left="1603"/>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0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28" w:type="dxa"/>
            <w:vAlign w:val="top"/>
          </w:tcPr>
          <w:p>
            <w:pPr>
              <w:pStyle w:val="TableText"/>
              <w:rPr/>
            </w:pPr>
            <w:r/>
          </w:p>
        </w:tc>
        <w:tc>
          <w:tcPr>
            <w:tcW w:w="1388" w:type="dxa"/>
            <w:vAlign w:val="top"/>
          </w:tcPr>
          <w:p>
            <w:pPr>
              <w:pStyle w:val="TableText"/>
              <w:rPr/>
            </w:pPr>
            <w:r/>
          </w:p>
        </w:tc>
      </w:tr>
    </w:tbl>
    <w:p>
      <w:pPr>
        <w:pStyle w:val="BodyText"/>
        <w:rPr/>
      </w:pPr>
      <w:r/>
    </w:p>
    <w:p>
      <w:pPr>
        <w:sectPr>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05"/>
        <w:gridCol w:w="1469"/>
        <w:gridCol w:w="1566"/>
        <w:gridCol w:w="1425"/>
        <w:gridCol w:w="1593"/>
      </w:tblGrid>
      <w:tr>
        <w:trPr>
          <w:trHeight w:val="383" w:hRule="atLeast"/>
        </w:trPr>
        <w:tc>
          <w:tcPr>
            <w:tcW w:w="310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05"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425"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05" w:type="dxa"/>
            <w:vAlign w:val="top"/>
            <w:vMerge w:val="restart"/>
            <w:tcBorders>
              <w:bottom w:val="nil"/>
            </w:tcBorders>
          </w:tcPr>
          <w:p>
            <w:pPr>
              <w:ind w:left="121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53" w:type="dxa"/>
            <w:vAlign w:val="top"/>
            <w:gridSpan w:val="4"/>
          </w:tcPr>
          <w:p>
            <w:pPr>
              <w:ind w:left="261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05" w:type="dxa"/>
            <w:vAlign w:val="top"/>
            <w:vMerge w:val="continue"/>
            <w:tcBorders>
              <w:top w:val="nil"/>
            </w:tcBorders>
          </w:tcPr>
          <w:p>
            <w:pPr>
              <w:pStyle w:val="TableText"/>
              <w:rPr/>
            </w:pPr>
            <w:r/>
          </w:p>
        </w:tc>
        <w:tc>
          <w:tcPr>
            <w:tcW w:w="1469" w:type="dxa"/>
            <w:vAlign w:val="top"/>
          </w:tcPr>
          <w:p>
            <w:pPr>
              <w:ind w:left="561"/>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5"/>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25" w:type="dxa"/>
            <w:vAlign w:val="top"/>
          </w:tcPr>
          <w:p>
            <w:pPr>
              <w:ind w:left="139"/>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05" w:type="dxa"/>
            <w:vAlign w:val="top"/>
          </w:tcPr>
          <w:p>
            <w:pPr>
              <w:ind w:left="121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right="25"/>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80.92</w:t>
            </w:r>
          </w:p>
        </w:tc>
        <w:tc>
          <w:tcPr>
            <w:tcW w:w="1566"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80.92</w:t>
            </w:r>
          </w:p>
        </w:tc>
        <w:tc>
          <w:tcPr>
            <w:tcW w:w="1425" w:type="dxa"/>
            <w:vAlign w:val="top"/>
          </w:tcPr>
          <w:p>
            <w:pPr>
              <w:pStyle w:val="TableText"/>
              <w:rPr/>
            </w:pPr>
            <w:r/>
          </w:p>
        </w:tc>
        <w:tc>
          <w:tcPr>
            <w:tcW w:w="1593" w:type="dxa"/>
            <w:vAlign w:val="top"/>
          </w:tcPr>
          <w:p>
            <w:pPr>
              <w:pStyle w:val="TableText"/>
              <w:rPr/>
            </w:pPr>
            <w:r/>
          </w:p>
        </w:tc>
      </w:tr>
      <w:tr>
        <w:trPr>
          <w:trHeight w:val="383" w:hRule="atLeast"/>
        </w:trPr>
        <w:tc>
          <w:tcPr>
            <w:tcW w:w="3105"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469"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80.92</w:t>
            </w:r>
          </w:p>
        </w:tc>
        <w:tc>
          <w:tcPr>
            <w:tcW w:w="156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80.92</w:t>
            </w:r>
          </w:p>
        </w:tc>
        <w:tc>
          <w:tcPr>
            <w:tcW w:w="1425" w:type="dxa"/>
            <w:vAlign w:val="top"/>
          </w:tcPr>
          <w:p>
            <w:pPr>
              <w:pStyle w:val="TableText"/>
              <w:rPr/>
            </w:pPr>
            <w:r/>
          </w:p>
        </w:tc>
        <w:tc>
          <w:tcPr>
            <w:tcW w:w="1593" w:type="dxa"/>
            <w:vAlign w:val="top"/>
          </w:tcPr>
          <w:p>
            <w:pPr>
              <w:pStyle w:val="TableText"/>
              <w:rPr/>
            </w:pPr>
            <w:r/>
          </w:p>
        </w:tc>
      </w:tr>
    </w:tbl>
    <w:p>
      <w:pPr>
        <w:pStyle w:val="BodyText"/>
        <w:rPr/>
      </w:pPr>
      <w:r/>
    </w:p>
    <w:p>
      <w:pPr>
        <w:sectPr>
          <w:footerReference w:type="default" r:id="rId17"/>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27"/>
        <w:gridCol w:w="1210"/>
        <w:gridCol w:w="1220"/>
        <w:gridCol w:w="637"/>
        <w:gridCol w:w="1080"/>
        <w:gridCol w:w="1069"/>
        <w:gridCol w:w="815"/>
      </w:tblGrid>
      <w:tr>
        <w:trPr>
          <w:trHeight w:val="384" w:hRule="atLeast"/>
        </w:trPr>
        <w:tc>
          <w:tcPr>
            <w:tcW w:w="312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4" w:type="dxa"/>
            <w:vAlign w:val="top"/>
            <w:gridSpan w:val="2"/>
            <w:tcBorders>
              <w:bottom w:val="single" w:color="FFFFFF" w:sz="4" w:space="0"/>
              <w:top w:val="single" w:color="FFFFFF" w:sz="4" w:space="0"/>
              <w:left w:val="single" w:color="FFFFFF" w:sz="2" w:space="0"/>
              <w:right w:val="single" w:color="FFFFFF" w:sz="2" w:space="0"/>
            </w:tcBorders>
          </w:tcPr>
          <w:p>
            <w:pPr>
              <w:ind w:left="108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74"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884" w:type="dxa"/>
            <w:vAlign w:val="top"/>
            <w:gridSpan w:val="2"/>
            <w:tcBorders>
              <w:top w:val="single" w:color="FFFFFF" w:sz="4" w:space="0"/>
              <w:left w:val="single" w:color="FFFFFF" w:sz="2" w:space="0"/>
              <w:right w:val="single" w:color="FFFFFF" w:sz="2" w:space="0"/>
            </w:tcBorders>
          </w:tcPr>
          <w:p>
            <w:pPr>
              <w:ind w:left="121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127" w:type="dxa"/>
            <w:vAlign w:val="top"/>
            <w:vMerge w:val="restart"/>
            <w:tcBorders>
              <w:bottom w:val="nil"/>
            </w:tcBorders>
          </w:tcPr>
          <w:p>
            <w:pPr>
              <w:pStyle w:val="TableText"/>
              <w:spacing w:line="324" w:lineRule="auto"/>
              <w:rPr/>
            </w:pPr>
            <w:r/>
          </w:p>
          <w:p>
            <w:pPr>
              <w:ind w:left="122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10" w:type="dxa"/>
            <w:vAlign w:val="top"/>
            <w:vMerge w:val="restart"/>
            <w:tcBorders>
              <w:bottom w:val="nil"/>
            </w:tcBorders>
          </w:tcPr>
          <w:p>
            <w:pPr>
              <w:pStyle w:val="TableText"/>
              <w:spacing w:line="324" w:lineRule="auto"/>
              <w:rPr/>
            </w:pPr>
            <w:r/>
          </w:p>
          <w:p>
            <w:pPr>
              <w:ind w:left="433"/>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937" w:type="dxa"/>
            <w:vAlign w:val="top"/>
            <w:gridSpan w:val="3"/>
          </w:tcPr>
          <w:p>
            <w:pPr>
              <w:ind w:left="898"/>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3"/>
              <w:spacing w:before="30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3"/>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15" w:type="dxa"/>
            <w:vAlign w:val="top"/>
            <w:vMerge w:val="restart"/>
            <w:tcBorders>
              <w:bottom w:val="nil"/>
            </w:tcBorders>
          </w:tcPr>
          <w:p>
            <w:pPr>
              <w:pStyle w:val="TableText"/>
              <w:spacing w:line="323" w:lineRule="auto"/>
              <w:rPr/>
            </w:pPr>
            <w:r/>
          </w:p>
          <w:p>
            <w:pPr>
              <w:ind w:left="7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3127" w:type="dxa"/>
            <w:vAlign w:val="top"/>
            <w:vMerge w:val="continue"/>
            <w:tcBorders>
              <w:top w:val="nil"/>
            </w:tcBorders>
          </w:tcPr>
          <w:p>
            <w:pPr>
              <w:pStyle w:val="TableText"/>
              <w:rPr/>
            </w:pPr>
            <w:r/>
          </w:p>
        </w:tc>
        <w:tc>
          <w:tcPr>
            <w:tcW w:w="1210" w:type="dxa"/>
            <w:vAlign w:val="top"/>
            <w:vMerge w:val="continue"/>
            <w:tcBorders>
              <w:top w:val="nil"/>
            </w:tcBorders>
          </w:tcPr>
          <w:p>
            <w:pPr>
              <w:pStyle w:val="TableText"/>
              <w:rPr/>
            </w:pPr>
            <w:r/>
          </w:p>
        </w:tc>
        <w:tc>
          <w:tcPr>
            <w:tcW w:w="1220" w:type="dxa"/>
            <w:vAlign w:val="top"/>
          </w:tcPr>
          <w:p>
            <w:pPr>
              <w:ind w:left="110"/>
              <w:spacing w:before="19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37" w:type="dxa"/>
            <w:vAlign w:val="top"/>
          </w:tcPr>
          <w:p>
            <w:pPr>
              <w:ind w:left="60"/>
              <w:spacing w:before="1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5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p>
          <w:p>
            <w:pPr>
              <w:ind w:left="219"/>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tcPr>
          <w:p>
            <w:pPr>
              <w:ind w:left="61"/>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69" w:type="dxa"/>
            <w:vAlign w:val="top"/>
            <w:vMerge w:val="continue"/>
            <w:tcBorders>
              <w:top w:val="nil"/>
            </w:tcBorders>
          </w:tcPr>
          <w:p>
            <w:pPr>
              <w:pStyle w:val="TableText"/>
              <w:rPr/>
            </w:pPr>
            <w:r/>
          </w:p>
        </w:tc>
        <w:tc>
          <w:tcPr>
            <w:tcW w:w="815" w:type="dxa"/>
            <w:vAlign w:val="top"/>
            <w:vMerge w:val="continue"/>
            <w:tcBorders>
              <w:top w:val="nil"/>
            </w:tcBorders>
          </w:tcPr>
          <w:p>
            <w:pPr>
              <w:pStyle w:val="TableText"/>
              <w:rPr/>
            </w:pPr>
            <w:r/>
          </w:p>
        </w:tc>
      </w:tr>
      <w:tr>
        <w:trPr>
          <w:trHeight w:val="378" w:hRule="atLeast"/>
        </w:trPr>
        <w:tc>
          <w:tcPr>
            <w:tcW w:w="3127" w:type="dxa"/>
            <w:vAlign w:val="top"/>
          </w:tcPr>
          <w:p>
            <w:pPr>
              <w:ind w:left="1524"/>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10" w:type="dxa"/>
            <w:vAlign w:val="top"/>
          </w:tcPr>
          <w:p>
            <w:pPr>
              <w:ind w:left="557"/>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20" w:type="dxa"/>
            <w:vAlign w:val="top"/>
          </w:tcPr>
          <w:p>
            <w:pPr>
              <w:ind w:left="562"/>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637" w:type="dxa"/>
            <w:vAlign w:val="top"/>
          </w:tcPr>
          <w:p>
            <w:pPr>
              <w:ind w:left="263"/>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080" w:type="dxa"/>
            <w:vAlign w:val="top"/>
          </w:tcPr>
          <w:p>
            <w:pPr>
              <w:ind w:left="495"/>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90"/>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15" w:type="dxa"/>
            <w:vAlign w:val="top"/>
          </w:tcPr>
          <w:p>
            <w:pPr>
              <w:ind w:left="362"/>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127"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8" w:hRule="atLeast"/>
        </w:trPr>
        <w:tc>
          <w:tcPr>
            <w:tcW w:w="3127" w:type="dxa"/>
            <w:vAlign w:val="top"/>
          </w:tcPr>
          <w:p>
            <w:pPr>
              <w:ind w:left="172"/>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8" w:right="215" w:firstLine="324"/>
              <w:spacing w:before="31" w:line="208" w:lineRule="auto"/>
              <w:rPr>
                <w:rFonts w:ascii="SimSun" w:hAnsi="SimSun" w:eastAsia="SimSun" w:cs="SimSun"/>
                <w:sz w:val="15"/>
                <w:szCs w:val="15"/>
              </w:rPr>
            </w:pPr>
            <w:r>
              <w:rPr>
                <w:rFonts w:ascii="SimSun" w:hAnsi="SimSun" w:eastAsia="SimSun" w:cs="SimSun"/>
                <w:sz w:val="15"/>
                <w:szCs w:val="15"/>
                <w:color w:val="212529"/>
                <w:spacing w:val="9"/>
              </w:rPr>
              <w:t>圪垯上乡临救助中央晋财社（2024）</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4"/>
              </w:rPr>
              <w:t>212号</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15" w:right="38" w:firstLine="317"/>
              <w:spacing w:before="31" w:line="208" w:lineRule="auto"/>
              <w:rPr>
                <w:rFonts w:ascii="SimSun" w:hAnsi="SimSun" w:eastAsia="SimSun" w:cs="SimSun"/>
                <w:sz w:val="15"/>
                <w:szCs w:val="15"/>
              </w:rPr>
            </w:pPr>
            <w:r>
              <w:rPr>
                <w:rFonts w:ascii="SimSun" w:hAnsi="SimSun" w:eastAsia="SimSun" w:cs="SimSun"/>
                <w:sz w:val="15"/>
                <w:szCs w:val="15"/>
                <w:color w:val="212529"/>
                <w:spacing w:val="11"/>
              </w:rPr>
              <w:t>圪垯上乡选派干部报酬、补贴、工作经</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3"/>
              </w:rPr>
              <w:t>费2024</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8" w:right="38" w:firstLine="324"/>
              <w:spacing w:before="31" w:line="208" w:lineRule="auto"/>
              <w:rPr>
                <w:rFonts w:ascii="SimSun" w:hAnsi="SimSun" w:eastAsia="SimSun" w:cs="SimSun"/>
                <w:sz w:val="15"/>
                <w:szCs w:val="15"/>
              </w:rPr>
            </w:pPr>
            <w:r>
              <w:rPr>
                <w:rFonts w:ascii="SimSun" w:hAnsi="SimSun" w:eastAsia="SimSun" w:cs="SimSun"/>
                <w:sz w:val="15"/>
                <w:szCs w:val="15"/>
                <w:color w:val="212529"/>
                <w:spacing w:val="11"/>
              </w:rPr>
              <w:t>圪垯上乡大峪口村乡村旅游产业项目资</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
              </w:rPr>
              <w:t>金</w:t>
            </w:r>
          </w:p>
        </w:tc>
        <w:tc>
          <w:tcPr>
            <w:tcW w:w="1210"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20"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8"/>
              <w:spacing w:before="118" w:line="229" w:lineRule="auto"/>
              <w:rPr>
                <w:rFonts w:ascii="SimSun" w:hAnsi="SimSun" w:eastAsia="SimSun" w:cs="SimSun"/>
                <w:sz w:val="15"/>
                <w:szCs w:val="15"/>
              </w:rPr>
            </w:pPr>
            <w:r>
              <w:rPr>
                <w:rFonts w:ascii="SimSun" w:hAnsi="SimSun" w:eastAsia="SimSun" w:cs="SimSun"/>
                <w:sz w:val="15"/>
                <w:szCs w:val="15"/>
                <w:color w:val="212529"/>
                <w:spacing w:val="9"/>
              </w:rPr>
              <w:t>乡镇(街道)运转经费</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7" w:right="38" w:firstLine="325"/>
              <w:spacing w:before="32" w:line="207" w:lineRule="auto"/>
              <w:rPr>
                <w:rFonts w:ascii="SimSun" w:hAnsi="SimSun" w:eastAsia="SimSun" w:cs="SimSun"/>
                <w:sz w:val="15"/>
                <w:szCs w:val="15"/>
              </w:rPr>
            </w:pPr>
            <w:r>
              <w:rPr>
                <w:rFonts w:ascii="SimSun" w:hAnsi="SimSun" w:eastAsia="SimSun" w:cs="SimSun"/>
                <w:sz w:val="15"/>
                <w:szCs w:val="15"/>
                <w:color w:val="212529"/>
                <w:spacing w:val="11"/>
              </w:rPr>
              <w:t>圪垯上乡周转房煤改电变压器扩容增压</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6"/>
              </w:rPr>
              <w:t>项目</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84" w:hRule="atLeast"/>
        </w:trPr>
        <w:tc>
          <w:tcPr>
            <w:tcW w:w="3127" w:type="dxa"/>
            <w:vAlign w:val="top"/>
          </w:tcPr>
          <w:p>
            <w:pPr>
              <w:ind w:left="333"/>
              <w:spacing w:before="118" w:line="228" w:lineRule="auto"/>
              <w:rPr>
                <w:rFonts w:ascii="SimSun" w:hAnsi="SimSun" w:eastAsia="SimSun" w:cs="SimSun"/>
                <w:sz w:val="15"/>
                <w:szCs w:val="15"/>
              </w:rPr>
            </w:pPr>
            <w:r>
              <w:rPr>
                <w:rFonts w:ascii="SimSun" w:hAnsi="SimSun" w:eastAsia="SimSun" w:cs="SimSun"/>
                <w:sz w:val="15"/>
                <w:szCs w:val="15"/>
                <w:color w:val="212529"/>
                <w:spacing w:val="11"/>
              </w:rPr>
              <w:t>圪垯上乡芦山沟桥改建项目</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bl>
    <w:p>
      <w:pPr>
        <w:pStyle w:val="BodyText"/>
        <w:rPr/>
      </w:pPr>
      <w:r/>
    </w:p>
    <w:p>
      <w:pPr>
        <w:sectPr>
          <w:footerReference w:type="default" r:id="rId1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88"/>
        <w:gridCol w:w="1296"/>
        <w:gridCol w:w="1404"/>
        <w:gridCol w:w="1134"/>
        <w:gridCol w:w="1236"/>
      </w:tblGrid>
      <w:tr>
        <w:trPr>
          <w:trHeight w:val="384" w:hRule="atLeast"/>
        </w:trPr>
        <w:tc>
          <w:tcPr>
            <w:tcW w:w="40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36" w:type="dxa"/>
            <w:vAlign w:val="top"/>
            <w:tcBorders>
              <w:bottom w:val="single" w:color="FFFFFF" w:sz="4" w:space="0"/>
              <w:top w:val="single" w:color="FFFFFF" w:sz="4" w:space="0"/>
              <w:left w:val="single" w:color="FFFFFF" w:sz="2" w:space="0"/>
              <w:right w:val="single" w:color="FFFFFF" w:sz="2" w:space="0"/>
            </w:tcBorders>
          </w:tcPr>
          <w:p>
            <w:pPr>
              <w:ind w:left="433"/>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8" w:id="32"/>
            <w:bookmarkEnd w:id="32"/>
            <w:bookmarkStart w:name="bookmark18" w:id="33"/>
            <w:bookmarkEnd w:id="33"/>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22"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236" w:type="dxa"/>
            <w:vAlign w:val="top"/>
            <w:tcBorders>
              <w:top w:val="single" w:color="FFFFFF" w:sz="4" w:space="0"/>
              <w:left w:val="single" w:color="FFFFFF" w:sz="2" w:space="0"/>
              <w:right w:val="single" w:color="FFFFFF" w:sz="2" w:space="0"/>
            </w:tcBorders>
          </w:tcPr>
          <w:p>
            <w:pPr>
              <w:ind w:left="563"/>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88" w:type="dxa"/>
            <w:vAlign w:val="top"/>
            <w:vMerge w:val="restart"/>
            <w:tcBorders>
              <w:bottom w:val="nil"/>
            </w:tcBorders>
          </w:tcPr>
          <w:p>
            <w:pPr>
              <w:ind w:left="170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774" w:type="dxa"/>
            <w:vAlign w:val="top"/>
            <w:gridSpan w:val="3"/>
          </w:tcPr>
          <w:p>
            <w:pPr>
              <w:ind w:left="130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408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04" w:type="dxa"/>
            <w:vAlign w:val="top"/>
          </w:tcPr>
          <w:p>
            <w:pPr>
              <w:ind w:left="203"/>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34" w:type="dxa"/>
            <w:vAlign w:val="top"/>
          </w:tcPr>
          <w:p>
            <w:pPr>
              <w:ind w:left="155"/>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39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36" w:type="dxa"/>
            <w:vAlign w:val="top"/>
          </w:tcPr>
          <w:p>
            <w:pPr>
              <w:ind w:left="301"/>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88" w:type="dxa"/>
            <w:vAlign w:val="top"/>
          </w:tcPr>
          <w:p>
            <w:pPr>
              <w:ind w:left="2002"/>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59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04" w:type="dxa"/>
            <w:vAlign w:val="top"/>
          </w:tcPr>
          <w:p>
            <w:pPr>
              <w:ind w:left="655"/>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34" w:type="dxa"/>
            <w:vAlign w:val="top"/>
          </w:tcPr>
          <w:p>
            <w:pPr>
              <w:ind w:left="521"/>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36" w:type="dxa"/>
            <w:vAlign w:val="top"/>
          </w:tcPr>
          <w:p>
            <w:pPr>
              <w:ind w:left="57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88"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296"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c>
          <w:tcPr>
            <w:tcW w:w="1404"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c>
          <w:tcPr>
            <w:tcW w:w="1134" w:type="dxa"/>
            <w:vAlign w:val="top"/>
          </w:tcPr>
          <w:p>
            <w:pPr>
              <w:pStyle w:val="TableText"/>
              <w:rPr/>
            </w:pPr>
            <w:r/>
          </w:p>
        </w:tc>
        <w:tc>
          <w:tcPr>
            <w:tcW w:w="1236" w:type="dxa"/>
            <w:vAlign w:val="top"/>
          </w:tcPr>
          <w:p>
            <w:pPr>
              <w:pStyle w:val="TableText"/>
              <w:rPr/>
            </w:pPr>
            <w:r/>
          </w:p>
        </w:tc>
      </w:tr>
      <w:tr>
        <w:trPr>
          <w:trHeight w:val="378" w:hRule="atLeast"/>
        </w:trPr>
        <w:tc>
          <w:tcPr>
            <w:tcW w:w="4088" w:type="dxa"/>
            <w:vAlign w:val="top"/>
          </w:tcPr>
          <w:p>
            <w:pPr>
              <w:ind w:left="172"/>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296"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c>
          <w:tcPr>
            <w:tcW w:w="140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32.10</w:t>
            </w:r>
          </w:p>
        </w:tc>
        <w:tc>
          <w:tcPr>
            <w:tcW w:w="1134" w:type="dxa"/>
            <w:vAlign w:val="top"/>
          </w:tcPr>
          <w:p>
            <w:pPr>
              <w:pStyle w:val="TableText"/>
              <w:rPr/>
            </w:pPr>
            <w:r/>
          </w:p>
        </w:tc>
        <w:tc>
          <w:tcPr>
            <w:tcW w:w="1236" w:type="dxa"/>
            <w:vAlign w:val="top"/>
          </w:tcPr>
          <w:p>
            <w:pPr>
              <w:pStyle w:val="TableText"/>
              <w:rPr/>
            </w:pPr>
            <w:r/>
          </w:p>
        </w:tc>
      </w:tr>
      <w:tr>
        <w:trPr>
          <w:trHeight w:val="379" w:hRule="atLeast"/>
        </w:trPr>
        <w:tc>
          <w:tcPr>
            <w:tcW w:w="4088" w:type="dxa"/>
            <w:vAlign w:val="top"/>
          </w:tcPr>
          <w:p>
            <w:pPr>
              <w:ind w:left="333"/>
              <w:spacing w:before="117" w:line="228" w:lineRule="auto"/>
              <w:rPr>
                <w:rFonts w:ascii="SimSun" w:hAnsi="SimSun" w:eastAsia="SimSun" w:cs="SimSun"/>
                <w:sz w:val="15"/>
                <w:szCs w:val="15"/>
              </w:rPr>
            </w:pPr>
            <w:r>
              <w:rPr>
                <w:rFonts w:ascii="SimSun" w:hAnsi="SimSun" w:eastAsia="SimSun" w:cs="SimSun"/>
                <w:sz w:val="15"/>
                <w:szCs w:val="15"/>
                <w:color w:val="212529"/>
                <w:spacing w:val="8"/>
              </w:rPr>
              <w:t>圪垯上村河坝工程项目（晋财农【2023】</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149号）</w:t>
            </w:r>
          </w:p>
        </w:tc>
        <w:tc>
          <w:tcPr>
            <w:tcW w:w="1296"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16.80</w:t>
            </w:r>
          </w:p>
        </w:tc>
        <w:tc>
          <w:tcPr>
            <w:tcW w:w="1404"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16.80</w:t>
            </w:r>
          </w:p>
        </w:tc>
        <w:tc>
          <w:tcPr>
            <w:tcW w:w="1134" w:type="dxa"/>
            <w:vAlign w:val="top"/>
          </w:tcPr>
          <w:p>
            <w:pPr>
              <w:pStyle w:val="TableText"/>
              <w:rPr/>
            </w:pPr>
            <w:r/>
          </w:p>
        </w:tc>
        <w:tc>
          <w:tcPr>
            <w:tcW w:w="1236" w:type="dxa"/>
            <w:vAlign w:val="top"/>
          </w:tcPr>
          <w:p>
            <w:pPr>
              <w:pStyle w:val="TableText"/>
              <w:rPr/>
            </w:pPr>
            <w:r/>
          </w:p>
        </w:tc>
      </w:tr>
      <w:tr>
        <w:trPr>
          <w:trHeight w:val="379" w:hRule="atLeast"/>
        </w:trPr>
        <w:tc>
          <w:tcPr>
            <w:tcW w:w="4088" w:type="dxa"/>
            <w:vAlign w:val="top"/>
          </w:tcPr>
          <w:p>
            <w:pPr>
              <w:ind w:left="10" w:right="267" w:firstLine="322"/>
              <w:spacing w:before="31" w:line="208" w:lineRule="auto"/>
              <w:rPr>
                <w:rFonts w:ascii="SimSun" w:hAnsi="SimSun" w:eastAsia="SimSun" w:cs="SimSun"/>
                <w:sz w:val="15"/>
                <w:szCs w:val="15"/>
              </w:rPr>
            </w:pPr>
            <w:r>
              <w:rPr>
                <w:rFonts w:ascii="SimSun" w:hAnsi="SimSun" w:eastAsia="SimSun" w:cs="SimSun"/>
                <w:sz w:val="15"/>
                <w:szCs w:val="15"/>
                <w:color w:val="212529"/>
                <w:spacing w:val="8"/>
              </w:rPr>
              <w:t>圪垯上村街巷护坡工程项目（晋财农【2023】</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8"/>
              </w:rPr>
              <w:t>149</w:t>
            </w:r>
            <w:r>
              <w:rPr>
                <w:rFonts w:ascii="SimSun" w:hAnsi="SimSun" w:eastAsia="SimSun" w:cs="SimSun"/>
                <w:sz w:val="15"/>
                <w:szCs w:val="15"/>
                <w:color w:val="212529"/>
              </w:rPr>
              <w:t xml:space="preserve"> </w:t>
            </w:r>
            <w:r>
              <w:rPr>
                <w:rFonts w:ascii="SimSun" w:hAnsi="SimSun" w:eastAsia="SimSun" w:cs="SimSun"/>
                <w:sz w:val="15"/>
                <w:szCs w:val="15"/>
                <w:color w:val="212529"/>
                <w:spacing w:val="-1"/>
              </w:rPr>
              <w:t>号）</w:t>
            </w:r>
          </w:p>
        </w:tc>
        <w:tc>
          <w:tcPr>
            <w:tcW w:w="1296"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9.80</w:t>
            </w:r>
          </w:p>
        </w:tc>
        <w:tc>
          <w:tcPr>
            <w:tcW w:w="1404"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9.80</w:t>
            </w:r>
          </w:p>
        </w:tc>
        <w:tc>
          <w:tcPr>
            <w:tcW w:w="1134" w:type="dxa"/>
            <w:vAlign w:val="top"/>
          </w:tcPr>
          <w:p>
            <w:pPr>
              <w:pStyle w:val="TableText"/>
              <w:rPr/>
            </w:pPr>
            <w:r/>
          </w:p>
        </w:tc>
        <w:tc>
          <w:tcPr>
            <w:tcW w:w="1236" w:type="dxa"/>
            <w:vAlign w:val="top"/>
          </w:tcPr>
          <w:p>
            <w:pPr>
              <w:pStyle w:val="TableText"/>
              <w:rPr/>
            </w:pPr>
            <w:r/>
          </w:p>
        </w:tc>
      </w:tr>
      <w:tr>
        <w:trPr>
          <w:trHeight w:val="384" w:hRule="atLeast"/>
        </w:trPr>
        <w:tc>
          <w:tcPr>
            <w:tcW w:w="4088" w:type="dxa"/>
            <w:vAlign w:val="top"/>
          </w:tcPr>
          <w:p>
            <w:pPr>
              <w:ind w:left="333"/>
              <w:spacing w:before="118" w:line="228" w:lineRule="auto"/>
              <w:rPr>
                <w:rFonts w:ascii="SimSun" w:hAnsi="SimSun" w:eastAsia="SimSun" w:cs="SimSun"/>
                <w:sz w:val="15"/>
                <w:szCs w:val="15"/>
              </w:rPr>
            </w:pPr>
            <w:r>
              <w:rPr>
                <w:rFonts w:ascii="SimSun" w:hAnsi="SimSun" w:eastAsia="SimSun" w:cs="SimSun"/>
                <w:sz w:val="15"/>
                <w:szCs w:val="15"/>
                <w:color w:val="212529"/>
                <w:spacing w:val="11"/>
              </w:rPr>
              <w:t>圪垯上乡大峪口村村内道路和护坡维修工程</w:t>
            </w:r>
          </w:p>
        </w:tc>
        <w:tc>
          <w:tcPr>
            <w:tcW w:w="1296"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w:t>
            </w:r>
          </w:p>
        </w:tc>
        <w:tc>
          <w:tcPr>
            <w:tcW w:w="1404"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w:t>
            </w:r>
          </w:p>
        </w:tc>
        <w:tc>
          <w:tcPr>
            <w:tcW w:w="1134" w:type="dxa"/>
            <w:vAlign w:val="top"/>
          </w:tcPr>
          <w:p>
            <w:pPr>
              <w:pStyle w:val="TableText"/>
              <w:rPr/>
            </w:pPr>
            <w:r/>
          </w:p>
        </w:tc>
        <w:tc>
          <w:tcPr>
            <w:tcW w:w="1236" w:type="dxa"/>
            <w:vAlign w:val="top"/>
          </w:tcPr>
          <w:p>
            <w:pPr>
              <w:pStyle w:val="TableText"/>
              <w:rPr/>
            </w:pPr>
            <w:r/>
          </w:p>
        </w:tc>
      </w:tr>
    </w:tbl>
    <w:p>
      <w:pPr>
        <w:pStyle w:val="BodyText"/>
        <w:rPr/>
      </w:pPr>
      <w:r/>
    </w:p>
    <w:p>
      <w:pPr>
        <w:sectPr>
          <w:footerReference w:type="default" r:id="rId19"/>
          <w:pgSz w:w="11900" w:h="16840"/>
          <w:pgMar w:top="642" w:right="600" w:bottom="340" w:left="600" w:header="326" w:footer="93" w:gutter="0"/>
        </w:sectPr>
        <w:rPr/>
      </w:pPr>
    </w:p>
    <w:p>
      <w:pPr>
        <w:pStyle w:val="BodyText"/>
        <w:spacing w:line="332" w:lineRule="auto"/>
        <w:rPr/>
      </w:pPr>
      <w:r/>
    </w:p>
    <w:p>
      <w:pPr>
        <w:pStyle w:val="BodyText"/>
        <w:spacing w:line="332" w:lineRule="auto"/>
        <w:rPr/>
      </w:pPr>
      <w:r/>
    </w:p>
    <w:p>
      <w:pPr>
        <w:ind w:left="3464"/>
        <w:spacing w:before="99" w:line="230" w:lineRule="exact"/>
        <w:outlineLvl w:val="0"/>
        <w:rPr>
          <w:rFonts w:ascii="Microsoft YaHei" w:hAnsi="Microsoft YaHei" w:eastAsia="Microsoft YaHei" w:cs="Microsoft YaHei"/>
          <w:sz w:val="23"/>
          <w:szCs w:val="23"/>
        </w:rPr>
      </w:pPr>
      <w:bookmarkStart w:name="bookmark19" w:id="34"/>
      <w:bookmarkEnd w:id="34"/>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5"/>
      <w:bookmarkEnd w:id="35"/>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665" w:right="623" w:firstLine="454"/>
        <w:spacing w:before="186" w:line="323" w:lineRule="auto"/>
        <w:jc w:val="both"/>
        <w:rPr>
          <w:rFonts w:ascii="FangSong" w:hAnsi="FangSong" w:eastAsia="FangSong" w:cs="FangSong"/>
          <w:sz w:val="23"/>
          <w:szCs w:val="23"/>
        </w:rPr>
      </w:pPr>
      <w:r>
        <w:rPr>
          <w:rFonts w:ascii="FangSong" w:hAnsi="FangSong" w:eastAsia="FangSong" w:cs="FangSong"/>
          <w:sz w:val="23"/>
          <w:szCs w:val="23"/>
          <w:spacing w:val="10"/>
        </w:rPr>
        <w:t>2025年度兴县圪垯上乡人民政府预算收入总计834.40万元，其中：本年收入8</w:t>
      </w:r>
      <w:r>
        <w:rPr>
          <w:rFonts w:ascii="FangSong" w:hAnsi="FangSong" w:eastAsia="FangSong" w:cs="FangSong"/>
          <w:sz w:val="23"/>
          <w:szCs w:val="23"/>
          <w:spacing w:val="9"/>
        </w:rPr>
        <w:t>02.30万</w:t>
      </w:r>
      <w:r>
        <w:rPr>
          <w:rFonts w:ascii="FangSong" w:hAnsi="FangSong" w:eastAsia="FangSong" w:cs="FangSong"/>
          <w:sz w:val="23"/>
          <w:szCs w:val="23"/>
        </w:rPr>
        <w:t xml:space="preserve"> </w:t>
      </w:r>
      <w:r>
        <w:rPr>
          <w:rFonts w:ascii="FangSong" w:hAnsi="FangSong" w:eastAsia="FangSong" w:cs="FangSong"/>
          <w:sz w:val="23"/>
          <w:szCs w:val="23"/>
          <w:spacing w:val="3"/>
        </w:rPr>
        <w:t>元，上年结转32.10万元，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比上年减少1411.63万元，下降62.85%，主要原因是本年度项目支</w:t>
      </w:r>
      <w:r>
        <w:rPr>
          <w:rFonts w:ascii="FangSong" w:hAnsi="FangSong" w:eastAsia="FangSong" w:cs="FangSong"/>
          <w:sz w:val="23"/>
          <w:szCs w:val="23"/>
        </w:rPr>
        <w:t xml:space="preserve"> </w:t>
      </w:r>
      <w:r>
        <w:rPr>
          <w:rFonts w:ascii="FangSong" w:hAnsi="FangSong" w:eastAsia="FangSong" w:cs="FangSong"/>
          <w:sz w:val="23"/>
          <w:szCs w:val="23"/>
          <w:spacing w:val="5"/>
        </w:rPr>
        <w:t>出安排较上年减少较大，如圪达上乡红枣产业示范园林建设项目等，以致上下年对比变动较</w:t>
      </w:r>
      <w:r>
        <w:rPr>
          <w:rFonts w:ascii="FangSong" w:hAnsi="FangSong" w:eastAsia="FangSong" w:cs="FangSong"/>
          <w:sz w:val="23"/>
          <w:szCs w:val="23"/>
          <w:spacing w:val="9"/>
        </w:rPr>
        <w:t xml:space="preserve"> </w:t>
      </w:r>
      <w:r>
        <w:rPr>
          <w:rFonts w:ascii="FangSong" w:hAnsi="FangSong" w:eastAsia="FangSong" w:cs="FangSong"/>
          <w:sz w:val="23"/>
          <w:szCs w:val="23"/>
          <w:spacing w:val="2"/>
        </w:rPr>
        <w:t>大。；本年部门预算支出总计834.40万元，其中：本年预算安排802.30万元，上年结转3</w:t>
      </w:r>
      <w:r>
        <w:rPr>
          <w:rFonts w:ascii="FangSong" w:hAnsi="FangSong" w:eastAsia="FangSong" w:cs="FangSong"/>
          <w:sz w:val="23"/>
          <w:szCs w:val="23"/>
          <w:spacing w:val="1"/>
        </w:rPr>
        <w:t>2.10</w:t>
      </w:r>
      <w:r>
        <w:rPr>
          <w:rFonts w:ascii="FangSong" w:hAnsi="FangSong" w:eastAsia="FangSong" w:cs="FangSong"/>
          <w:sz w:val="23"/>
          <w:szCs w:val="23"/>
        </w:rPr>
        <w:t xml:space="preserve"> </w:t>
      </w:r>
      <w:r>
        <w:rPr>
          <w:rFonts w:ascii="FangSong" w:hAnsi="FangSong" w:eastAsia="FangSong" w:cs="FangSong"/>
          <w:sz w:val="23"/>
          <w:szCs w:val="23"/>
          <w:spacing w:val="2"/>
        </w:rPr>
        <w:t>万元，比上年减少1411.63万元，下降62.85%，主要原因是本年度项目支出安排较上年减少较</w:t>
      </w:r>
      <w:r>
        <w:rPr>
          <w:rFonts w:ascii="FangSong" w:hAnsi="FangSong" w:eastAsia="FangSong" w:cs="FangSong"/>
          <w:sz w:val="23"/>
          <w:szCs w:val="23"/>
        </w:rPr>
        <w:t xml:space="preserve"> </w:t>
      </w:r>
      <w:r>
        <w:rPr>
          <w:rFonts w:ascii="FangSong" w:hAnsi="FangSong" w:eastAsia="FangSong" w:cs="FangSong"/>
          <w:sz w:val="23"/>
          <w:szCs w:val="23"/>
        </w:rPr>
        <w:t>大，如圪达上乡红枣产业示范园林建设项目等，以致上下年对比变动较大。</w:t>
      </w:r>
    </w:p>
    <w:p>
      <w:pPr>
        <w:ind w:left="661"/>
        <w:spacing w:before="2" w:line="230"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8"/>
          <w:position w:val="-1"/>
        </w:rPr>
        <w:t>二、收入预算情况说明</w:t>
      </w:r>
    </w:p>
    <w:p>
      <w:pPr>
        <w:ind w:left="657" w:right="623" w:firstLine="463"/>
        <w:spacing w:before="176" w:line="325" w:lineRule="auto"/>
        <w:jc w:val="both"/>
        <w:rPr>
          <w:rFonts w:ascii="FangSong" w:hAnsi="FangSong" w:eastAsia="FangSong" w:cs="FangSong"/>
          <w:sz w:val="23"/>
          <w:szCs w:val="23"/>
        </w:rPr>
      </w:pPr>
      <w:r>
        <w:rPr>
          <w:rFonts w:ascii="FangSong" w:hAnsi="FangSong" w:eastAsia="FangSong" w:cs="FangSong"/>
          <w:sz w:val="23"/>
          <w:szCs w:val="23"/>
          <w:spacing w:val="5"/>
        </w:rPr>
        <w:t>2025年度兴县圪垯上乡人民政府预算收入834.40万元，主要包括一般公共预算拨款收入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rPr>
        <w:t>802.30万元，</w:t>
      </w:r>
      <w:r>
        <w:rPr>
          <w:rFonts w:ascii="FangSong" w:hAnsi="FangSong" w:eastAsia="FangSong" w:cs="FangSong"/>
          <w:sz w:val="23"/>
          <w:szCs w:val="23"/>
          <w:spacing w:val="-57"/>
        </w:rPr>
        <w:t xml:space="preserve"> </w:t>
      </w:r>
      <w:r>
        <w:rPr>
          <w:rFonts w:ascii="FangSong" w:hAnsi="FangSong" w:eastAsia="FangSong" w:cs="FangSong"/>
          <w:sz w:val="23"/>
          <w:szCs w:val="23"/>
        </w:rPr>
        <w:t>占96.15%；政府性基金预算拨款收入0万元，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占0</w:t>
      </w:r>
      <w:r>
        <w:rPr>
          <w:rFonts w:ascii="FangSong" w:hAnsi="FangSong" w:eastAsia="FangSong" w:cs="FangSong"/>
          <w:sz w:val="23"/>
          <w:szCs w:val="23"/>
          <w:spacing w:val="-1"/>
        </w:rPr>
        <w:t>%；国有资本经营预算拨款收入</w:t>
      </w:r>
      <w:r>
        <w:rPr>
          <w:rFonts w:ascii="FangSong" w:hAnsi="FangSong" w:eastAsia="FangSong" w:cs="FangSong"/>
          <w:sz w:val="23"/>
          <w:szCs w:val="23"/>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占0%；单位资金0万元，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占0%；上年结转32.10</w:t>
      </w:r>
      <w:r>
        <w:rPr>
          <w:rFonts w:ascii="FangSong" w:hAnsi="FangSong" w:eastAsia="FangSong" w:cs="FangSong"/>
          <w:sz w:val="23"/>
          <w:szCs w:val="23"/>
        </w:rPr>
        <w:t xml:space="preserve"> </w:t>
      </w:r>
      <w:r>
        <w:rPr>
          <w:rFonts w:ascii="FangSong" w:hAnsi="FangSong" w:eastAsia="FangSong" w:cs="FangSong"/>
          <w:sz w:val="23"/>
          <w:szCs w:val="23"/>
          <w:spacing w:val="-7"/>
        </w:rPr>
        <w:t>万元，</w:t>
      </w:r>
      <w:r>
        <w:rPr>
          <w:rFonts w:ascii="FangSong" w:hAnsi="FangSong" w:eastAsia="FangSong" w:cs="FangSong"/>
          <w:sz w:val="23"/>
          <w:szCs w:val="23"/>
          <w:spacing w:val="-52"/>
        </w:rPr>
        <w:t xml:space="preserve"> </w:t>
      </w:r>
      <w:r>
        <w:rPr>
          <w:rFonts w:ascii="FangSong" w:hAnsi="FangSong" w:eastAsia="FangSong" w:cs="FangSong"/>
          <w:sz w:val="23"/>
          <w:szCs w:val="23"/>
          <w:spacing w:val="-7"/>
        </w:rPr>
        <w:t>占3.85%。</w:t>
      </w:r>
    </w:p>
    <w:p>
      <w:pPr>
        <w:pStyle w:val="BodyText"/>
        <w:spacing w:line="442" w:lineRule="auto"/>
        <w:rPr/>
      </w:pPr>
      <w:r/>
    </w:p>
    <w:p>
      <w:pPr>
        <w:ind w:firstLine="2725"/>
        <w:spacing w:before="1" w:line="3134" w:lineRule="exact"/>
        <w:rPr/>
      </w:pPr>
      <w:r>
        <w:rPr>
          <w:position w:val="-62"/>
        </w:rPr>
        <w:drawing>
          <wp:inline distT="0" distB="0" distL="0" distR="0">
            <wp:extent cx="2688869" cy="1989880"/>
            <wp:effectExtent l="0" t="0" r="0" b="0"/>
            <wp:docPr id="4" name="IM 4"/>
            <wp:cNvGraphicFramePr/>
            <a:graphic>
              <a:graphicData uri="http://schemas.openxmlformats.org/drawingml/2006/picture">
                <pic:pic>
                  <pic:nvPicPr>
                    <pic:cNvPr id="4" name="IM 4"/>
                    <pic:cNvPicPr/>
                  </pic:nvPicPr>
                  <pic:blipFill>
                    <a:blip r:embed="rId21"/>
                    <a:stretch>
                      <a:fillRect/>
                    </a:stretch>
                  </pic:blipFill>
                  <pic:spPr>
                    <a:xfrm rot="0">
                      <a:off x="0" y="0"/>
                      <a:ext cx="2688869" cy="1989880"/>
                    </a:xfrm>
                    <a:prstGeom prst="rect">
                      <a:avLst/>
                    </a:prstGeom>
                  </pic:spPr>
                </pic:pic>
              </a:graphicData>
            </a:graphic>
          </wp:inline>
        </w:drawing>
      </w:r>
    </w:p>
    <w:p>
      <w:pPr>
        <w:ind w:left="662"/>
        <w:spacing w:before="298"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7"/>
          <w:position w:val="-1"/>
        </w:rPr>
        <w:t>三、支出预算情况说明</w:t>
      </w:r>
    </w:p>
    <w:p>
      <w:pPr>
        <w:ind w:left="662" w:right="623" w:firstLine="458"/>
        <w:spacing w:before="186" w:line="319" w:lineRule="auto"/>
        <w:rPr>
          <w:rFonts w:ascii="FangSong" w:hAnsi="FangSong" w:eastAsia="FangSong" w:cs="FangSong"/>
          <w:sz w:val="23"/>
          <w:szCs w:val="23"/>
        </w:rPr>
      </w:pPr>
      <w:r>
        <w:rPr>
          <w:rFonts w:ascii="FangSong" w:hAnsi="FangSong" w:eastAsia="FangSong" w:cs="FangSong"/>
          <w:sz w:val="23"/>
          <w:szCs w:val="23"/>
          <w:spacing w:val="9"/>
        </w:rPr>
        <w:t>2025年度兴县圪垯上乡人民政府支出预算834</w:t>
      </w:r>
      <w:r>
        <w:rPr>
          <w:rFonts w:ascii="FangSong" w:hAnsi="FangSong" w:eastAsia="FangSong" w:cs="FangSong"/>
          <w:sz w:val="23"/>
          <w:szCs w:val="23"/>
          <w:spacing w:val="8"/>
        </w:rPr>
        <w:t>.4万元，其中：基本支出656.7万元，</w:t>
      </w:r>
      <w:r>
        <w:rPr>
          <w:rFonts w:ascii="FangSong" w:hAnsi="FangSong" w:eastAsia="FangSong" w:cs="FangSong"/>
          <w:sz w:val="23"/>
          <w:szCs w:val="23"/>
          <w:spacing w:val="-46"/>
        </w:rPr>
        <w:t xml:space="preserve"> </w:t>
      </w:r>
      <w:r>
        <w:rPr>
          <w:rFonts w:ascii="FangSong" w:hAnsi="FangSong" w:eastAsia="FangSong" w:cs="FangSong"/>
          <w:sz w:val="23"/>
          <w:szCs w:val="23"/>
          <w:spacing w:val="8"/>
        </w:rPr>
        <w:t>占</w:t>
      </w:r>
      <w:r>
        <w:rPr>
          <w:rFonts w:ascii="FangSong" w:hAnsi="FangSong" w:eastAsia="FangSong" w:cs="FangSong"/>
          <w:sz w:val="23"/>
          <w:szCs w:val="23"/>
        </w:rPr>
        <w:t xml:space="preserve"> </w:t>
      </w:r>
      <w:r>
        <w:rPr>
          <w:rFonts w:ascii="FangSong" w:hAnsi="FangSong" w:eastAsia="FangSong" w:cs="FangSong"/>
          <w:sz w:val="23"/>
          <w:szCs w:val="23"/>
          <w:spacing w:val="-2"/>
        </w:rPr>
        <w:t>78.70%；项目支出177.7万元，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占2</w:t>
      </w:r>
      <w:r>
        <w:rPr>
          <w:rFonts w:ascii="FangSong" w:hAnsi="FangSong" w:eastAsia="FangSong" w:cs="FangSong"/>
          <w:sz w:val="23"/>
          <w:szCs w:val="23"/>
          <w:spacing w:val="-3"/>
        </w:rPr>
        <w:t>1.30%。</w:t>
      </w:r>
    </w:p>
    <w:p>
      <w:pPr>
        <w:ind w:left="671"/>
        <w:spacing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8"/>
          <w:position w:val="-1"/>
        </w:rPr>
        <w:t>四、财政拨款收支预算总体情况说明</w:t>
      </w:r>
    </w:p>
    <w:p>
      <w:pPr>
        <w:ind w:left="663" w:right="623" w:firstLine="457"/>
        <w:spacing w:before="18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2025年度兴县圪垯上乡人民政府财政拨款收支总预算834.40万元。其中：一般公共预算</w:t>
      </w:r>
      <w:r>
        <w:rPr>
          <w:rFonts w:ascii="FangSong" w:hAnsi="FangSong" w:eastAsia="FangSong" w:cs="FangSong"/>
          <w:sz w:val="23"/>
          <w:szCs w:val="23"/>
        </w:rPr>
        <w:t xml:space="preserve"> </w:t>
      </w:r>
      <w:r>
        <w:rPr>
          <w:rFonts w:ascii="FangSong" w:hAnsi="FangSong" w:eastAsia="FangSong" w:cs="FangSong"/>
          <w:sz w:val="23"/>
          <w:szCs w:val="23"/>
          <w:spacing w:val="3"/>
        </w:rPr>
        <w:t>拨款834.40万元，政府性基金预算拨款0万元，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w:t>
      </w:r>
      <w:r>
        <w:rPr>
          <w:rFonts w:ascii="FangSong" w:hAnsi="FangSong" w:eastAsia="FangSong" w:cs="FangSong"/>
          <w:sz w:val="23"/>
          <w:szCs w:val="23"/>
          <w:spacing w:val="2"/>
        </w:rPr>
        <w:t>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w:t>
      </w:r>
      <w:r>
        <w:rPr>
          <w:rFonts w:ascii="FangSong" w:hAnsi="FangSong" w:eastAsia="FangSong" w:cs="FangSong"/>
          <w:sz w:val="23"/>
          <w:szCs w:val="23"/>
        </w:rPr>
        <w:t xml:space="preserve"> </w:t>
      </w:r>
      <w:r>
        <w:rPr>
          <w:rFonts w:ascii="FangSong" w:hAnsi="FangSong" w:eastAsia="FangSong" w:cs="FangSong"/>
          <w:sz w:val="23"/>
          <w:szCs w:val="23"/>
          <w:spacing w:val="2"/>
        </w:rPr>
        <w:t>款收入802.30万元，上年结转收入32.10万元。支出包括：一般公共服务支出532.84万元、社</w:t>
      </w:r>
      <w:r>
        <w:rPr>
          <w:rFonts w:ascii="FangSong" w:hAnsi="FangSong" w:eastAsia="FangSong" w:cs="FangSong"/>
          <w:sz w:val="23"/>
          <w:szCs w:val="23"/>
        </w:rPr>
        <w:t xml:space="preserve"> </w:t>
      </w:r>
      <w:r>
        <w:rPr>
          <w:rFonts w:ascii="FangSong" w:hAnsi="FangSong" w:eastAsia="FangSong" w:cs="FangSong"/>
          <w:sz w:val="23"/>
          <w:szCs w:val="23"/>
          <w:spacing w:val="5"/>
        </w:rPr>
        <w:t>会保障和就业支出76.05万元、卫生健康</w:t>
      </w:r>
      <w:r>
        <w:rPr>
          <w:rFonts w:ascii="FangSong" w:hAnsi="FangSong" w:eastAsia="FangSong" w:cs="FangSong"/>
          <w:sz w:val="23"/>
          <w:szCs w:val="23"/>
          <w:spacing w:val="4"/>
        </w:rPr>
        <w:t>支出24.07万元、农林水支出150.10万元、住房保障</w:t>
      </w:r>
      <w:r>
        <w:rPr>
          <w:rFonts w:ascii="FangSong" w:hAnsi="FangSong" w:eastAsia="FangSong" w:cs="FangSong"/>
          <w:sz w:val="23"/>
          <w:szCs w:val="23"/>
        </w:rPr>
        <w:t xml:space="preserve"> </w:t>
      </w:r>
      <w:r>
        <w:rPr>
          <w:rFonts w:ascii="FangSong" w:hAnsi="FangSong" w:eastAsia="FangSong" w:cs="FangSong"/>
          <w:sz w:val="23"/>
          <w:szCs w:val="23"/>
          <w:spacing w:val="-1"/>
        </w:rPr>
        <w:t>支出51.35万元等。</w:t>
      </w:r>
    </w:p>
    <w:p>
      <w:pPr>
        <w:ind w:left="664"/>
        <w:spacing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8"/>
          <w:position w:val="-1"/>
        </w:rPr>
        <w:t>五、一般公共预算支出情况说明</w:t>
      </w:r>
    </w:p>
    <w:p>
      <w:pPr>
        <w:ind w:left="11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5" w:right="623" w:firstLine="454"/>
        <w:spacing w:before="124" w:line="322" w:lineRule="auto"/>
        <w:rPr>
          <w:rFonts w:ascii="FangSong" w:hAnsi="FangSong" w:eastAsia="FangSong" w:cs="FangSong"/>
          <w:sz w:val="23"/>
          <w:szCs w:val="23"/>
        </w:rPr>
      </w:pPr>
      <w:r>
        <w:rPr>
          <w:rFonts w:ascii="FangSong" w:hAnsi="FangSong" w:eastAsia="FangSong" w:cs="FangSong"/>
          <w:sz w:val="23"/>
          <w:szCs w:val="23"/>
          <w:spacing w:val="4"/>
        </w:rPr>
        <w:t>2025年度兴县圪垯上乡人民政府一般公共预算当年支</w:t>
      </w:r>
      <w:r>
        <w:rPr>
          <w:rFonts w:ascii="FangSong" w:hAnsi="FangSong" w:eastAsia="FangSong" w:cs="FangSong"/>
          <w:sz w:val="23"/>
          <w:szCs w:val="23"/>
          <w:spacing w:val="3"/>
        </w:rPr>
        <w:t>出802.30万元,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比上年减少1150.36</w:t>
      </w:r>
      <w:r>
        <w:rPr>
          <w:rFonts w:ascii="FangSong" w:hAnsi="FangSong" w:eastAsia="FangSong" w:cs="FangSong"/>
          <w:sz w:val="23"/>
          <w:szCs w:val="23"/>
        </w:rPr>
        <w:t xml:space="preserve"> </w:t>
      </w:r>
      <w:r>
        <w:rPr>
          <w:rFonts w:ascii="FangSong" w:hAnsi="FangSong" w:eastAsia="FangSong" w:cs="FangSong"/>
          <w:sz w:val="23"/>
          <w:szCs w:val="23"/>
          <w:spacing w:val="-2"/>
        </w:rPr>
        <w:t>万元，下降58.91%。</w:t>
      </w:r>
    </w:p>
    <w:p>
      <w:pPr>
        <w:ind w:left="11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20"/>
          <w:pgSz w:w="11900" w:h="16840"/>
          <w:pgMar w:top="642" w:right="600" w:bottom="340" w:left="600" w:header="326" w:footer="9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663" w:right="623" w:firstLine="457"/>
        <w:spacing w:before="74" w:line="325" w:lineRule="auto"/>
        <w:rPr>
          <w:rFonts w:ascii="FangSong" w:hAnsi="FangSong" w:eastAsia="FangSong" w:cs="FangSong"/>
          <w:sz w:val="23"/>
          <w:szCs w:val="23"/>
        </w:rPr>
      </w:pPr>
      <w:r>
        <w:rPr>
          <w:rFonts w:ascii="FangSong" w:hAnsi="FangSong" w:eastAsia="FangSong" w:cs="FangSong"/>
          <w:sz w:val="23"/>
          <w:szCs w:val="23"/>
          <w:spacing w:val="2"/>
        </w:rPr>
        <w:t>2025年度兴县圪垯上乡人民政府一般公共预算当年支出802.30万元,主要用于以下方面：</w:t>
      </w:r>
      <w:r>
        <w:rPr>
          <w:rFonts w:ascii="FangSong" w:hAnsi="FangSong" w:eastAsia="FangSong" w:cs="FangSong"/>
          <w:sz w:val="23"/>
          <w:szCs w:val="23"/>
          <w:spacing w:val="8"/>
        </w:rPr>
        <w:t xml:space="preserve"> </w:t>
      </w:r>
      <w:r>
        <w:rPr>
          <w:rFonts w:ascii="FangSong" w:hAnsi="FangSong" w:eastAsia="FangSong" w:cs="FangSong"/>
          <w:sz w:val="23"/>
          <w:szCs w:val="23"/>
          <w:spacing w:val="2"/>
        </w:rPr>
        <w:t>一般公共服务支出532.84万元，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占66.41%；社会保障和就业支出76.</w:t>
      </w:r>
      <w:r>
        <w:rPr>
          <w:rFonts w:ascii="FangSong" w:hAnsi="FangSong" w:eastAsia="FangSong" w:cs="FangSong"/>
          <w:sz w:val="23"/>
          <w:szCs w:val="23"/>
          <w:spacing w:val="1"/>
        </w:rPr>
        <w:t>05万元，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占9.48%；卫生</w:t>
      </w:r>
      <w:r>
        <w:rPr>
          <w:rFonts w:ascii="FangSong" w:hAnsi="FangSong" w:eastAsia="FangSong" w:cs="FangSong"/>
          <w:sz w:val="23"/>
          <w:szCs w:val="23"/>
        </w:rPr>
        <w:t xml:space="preserve"> </w:t>
      </w:r>
      <w:r>
        <w:rPr>
          <w:rFonts w:ascii="FangSong" w:hAnsi="FangSong" w:eastAsia="FangSong" w:cs="FangSong"/>
          <w:sz w:val="23"/>
          <w:szCs w:val="23"/>
          <w:spacing w:val="4"/>
        </w:rPr>
        <w:t>健康支出24.07万元，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占3.00%；农林水支出118.00万元，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w:t>
      </w:r>
      <w:r>
        <w:rPr>
          <w:rFonts w:ascii="FangSong" w:hAnsi="FangSong" w:eastAsia="FangSong" w:cs="FangSong"/>
          <w:sz w:val="23"/>
          <w:szCs w:val="23"/>
          <w:spacing w:val="3"/>
        </w:rPr>
        <w:t>14.71%；住房保障支出51.35万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57"/>
        </w:rPr>
        <w:t xml:space="preserve"> </w:t>
      </w:r>
      <w:r>
        <w:rPr>
          <w:rFonts w:ascii="FangSong" w:hAnsi="FangSong" w:eastAsia="FangSong" w:cs="FangSong"/>
          <w:sz w:val="23"/>
          <w:szCs w:val="23"/>
          <w:spacing w:val="-7"/>
        </w:rPr>
        <w:t>占6.40%等。</w:t>
      </w:r>
    </w:p>
    <w:p>
      <w:pPr>
        <w:pStyle w:val="BodyText"/>
        <w:spacing w:line="463" w:lineRule="auto"/>
        <w:rPr/>
      </w:pPr>
      <w:r/>
    </w:p>
    <w:p>
      <w:pPr>
        <w:ind w:firstLine="2745"/>
        <w:spacing w:line="2089" w:lineRule="exact"/>
        <w:rPr/>
      </w:pPr>
      <w:r>
        <w:rPr>
          <w:position w:val="-41"/>
        </w:rPr>
        <w:drawing>
          <wp:inline distT="0" distB="0" distL="0" distR="0">
            <wp:extent cx="3158153" cy="1326729"/>
            <wp:effectExtent l="0" t="0" r="0" b="0"/>
            <wp:docPr id="6" name="IM 6"/>
            <wp:cNvGraphicFramePr/>
            <a:graphic>
              <a:graphicData uri="http://schemas.openxmlformats.org/drawingml/2006/picture">
                <pic:pic>
                  <pic:nvPicPr>
                    <pic:cNvPr id="6" name="IM 6"/>
                    <pic:cNvPicPr/>
                  </pic:nvPicPr>
                  <pic:blipFill>
                    <a:blip r:embed="rId23"/>
                    <a:stretch>
                      <a:fillRect/>
                    </a:stretch>
                  </pic:blipFill>
                  <pic:spPr>
                    <a:xfrm rot="0">
                      <a:off x="0" y="0"/>
                      <a:ext cx="3158153" cy="1326729"/>
                    </a:xfrm>
                    <a:prstGeom prst="rect">
                      <a:avLst/>
                    </a:prstGeom>
                  </pic:spPr>
                </pic:pic>
              </a:graphicData>
            </a:graphic>
          </wp:inline>
        </w:drawing>
      </w:r>
    </w:p>
    <w:p>
      <w:pPr>
        <w:pStyle w:val="BodyText"/>
        <w:spacing w:line="288" w:lineRule="auto"/>
        <w:rPr/>
      </w:pPr>
      <w:r/>
    </w:p>
    <w:p>
      <w:pPr>
        <w:pStyle w:val="BodyText"/>
        <w:spacing w:line="289" w:lineRule="auto"/>
        <w:rPr/>
      </w:pPr>
      <w:r/>
    </w:p>
    <w:p>
      <w:pPr>
        <w:ind w:left="662"/>
        <w:spacing w:before="95" w:line="230"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120"/>
        <w:spacing w:before="185" w:line="222" w:lineRule="auto"/>
        <w:rPr>
          <w:rFonts w:ascii="FangSong" w:hAnsi="FangSong" w:eastAsia="FangSong" w:cs="FangSong"/>
          <w:sz w:val="23"/>
          <w:szCs w:val="23"/>
        </w:rPr>
      </w:pPr>
      <w:r>
        <w:rPr>
          <w:rFonts w:ascii="FangSong" w:hAnsi="FangSong" w:eastAsia="FangSong" w:cs="FangSong"/>
          <w:sz w:val="23"/>
          <w:szCs w:val="23"/>
        </w:rPr>
        <w:t>2025年度兴县圪垯上乡人民政府一般公共预算安排基本支出656.70万元，其中：</w:t>
      </w:r>
    </w:p>
    <w:p>
      <w:pPr>
        <w:ind w:left="671" w:right="623" w:firstLine="457"/>
        <w:spacing w:before="123" w:line="324" w:lineRule="auto"/>
        <w:jc w:val="both"/>
        <w:rPr>
          <w:rFonts w:ascii="FangSong" w:hAnsi="FangSong" w:eastAsia="FangSong" w:cs="FangSong"/>
          <w:sz w:val="23"/>
          <w:szCs w:val="23"/>
        </w:rPr>
      </w:pPr>
      <w:r>
        <w:rPr>
          <w:rFonts w:ascii="FangSong" w:hAnsi="FangSong" w:eastAsia="FangSong" w:cs="FangSong"/>
          <w:sz w:val="23"/>
          <w:szCs w:val="23"/>
          <w:spacing w:val="5"/>
        </w:rPr>
        <w:t>人员经费575.78万元，主要包括：其他对个人和家庭的补助、其他工资福利支出、公务</w:t>
      </w:r>
      <w:r>
        <w:rPr>
          <w:rFonts w:ascii="FangSong" w:hAnsi="FangSong" w:eastAsia="FangSong" w:cs="FangSong"/>
          <w:sz w:val="23"/>
          <w:szCs w:val="23"/>
          <w:spacing w:val="1"/>
        </w:rPr>
        <w:t xml:space="preserve"> </w:t>
      </w:r>
      <w:r>
        <w:rPr>
          <w:rFonts w:ascii="FangSong" w:hAnsi="FangSong" w:eastAsia="FangSong" w:cs="FangSong"/>
          <w:sz w:val="23"/>
          <w:szCs w:val="23"/>
          <w:spacing w:val="5"/>
        </w:rPr>
        <w:t>员医疗补助缴费、其他社会保障缴费、绩效工资、基本工资、机关事业单位基本养老保险缴</w:t>
      </w:r>
      <w:r>
        <w:rPr>
          <w:rFonts w:ascii="FangSong" w:hAnsi="FangSong" w:eastAsia="FangSong" w:cs="FangSong"/>
          <w:sz w:val="23"/>
          <w:szCs w:val="23"/>
          <w:spacing w:val="4"/>
        </w:rPr>
        <w:t xml:space="preserve"> </w:t>
      </w:r>
      <w:r>
        <w:rPr>
          <w:rFonts w:ascii="FangSong" w:hAnsi="FangSong" w:eastAsia="FangSong" w:cs="FangSong"/>
          <w:sz w:val="23"/>
          <w:szCs w:val="23"/>
        </w:rPr>
        <w:t>费、奖金、住房公积金、退休费、职工基本医疗保险缴费、</w:t>
      </w:r>
      <w:r>
        <w:rPr>
          <w:rFonts w:ascii="FangSong" w:hAnsi="FangSong" w:eastAsia="FangSong" w:cs="FangSong"/>
          <w:sz w:val="23"/>
          <w:szCs w:val="23"/>
          <w:spacing w:val="-1"/>
        </w:rPr>
        <w:t>津贴补贴等；</w:t>
      </w:r>
    </w:p>
    <w:p>
      <w:pPr>
        <w:ind w:left="668" w:right="622" w:firstLine="461"/>
        <w:spacing w:before="2" w:line="321" w:lineRule="auto"/>
        <w:rPr>
          <w:rFonts w:ascii="FangSong" w:hAnsi="FangSong" w:eastAsia="FangSong" w:cs="FangSong"/>
          <w:sz w:val="23"/>
          <w:szCs w:val="23"/>
        </w:rPr>
      </w:pPr>
      <w:r>
        <w:rPr>
          <w:rFonts w:ascii="FangSong" w:hAnsi="FangSong" w:eastAsia="FangSong" w:cs="FangSong"/>
          <w:sz w:val="23"/>
          <w:szCs w:val="23"/>
          <w:spacing w:val="2"/>
        </w:rPr>
        <w:t>公用经费80.92万元，主要包括：办公费、电费、公务用车运行维护费、福利费、其他交</w:t>
      </w:r>
      <w:r>
        <w:rPr>
          <w:rFonts w:ascii="FangSong" w:hAnsi="FangSong" w:eastAsia="FangSong" w:cs="FangSong"/>
          <w:sz w:val="23"/>
          <w:szCs w:val="23"/>
          <w:spacing w:val="9"/>
        </w:rPr>
        <w:t xml:space="preserve"> </w:t>
      </w:r>
      <w:r>
        <w:rPr>
          <w:rFonts w:ascii="FangSong" w:hAnsi="FangSong" w:eastAsia="FangSong" w:cs="FangSong"/>
          <w:sz w:val="23"/>
          <w:szCs w:val="23"/>
        </w:rPr>
        <w:t>通费用、其他商品和服务支出、维修（护）费、工会经费、取</w:t>
      </w:r>
      <w:r>
        <w:rPr>
          <w:rFonts w:ascii="FangSong" w:hAnsi="FangSong" w:eastAsia="FangSong" w:cs="FangSong"/>
          <w:sz w:val="23"/>
          <w:szCs w:val="23"/>
          <w:spacing w:val="-1"/>
        </w:rPr>
        <w:t>暖费等。</w:t>
      </w:r>
    </w:p>
    <w:p>
      <w:pPr>
        <w:ind w:left="655"/>
        <w:spacing w:before="6" w:line="229"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663" w:right="623" w:firstLine="457"/>
        <w:spacing w:before="172" w:line="307" w:lineRule="auto"/>
        <w:jc w:val="both"/>
        <w:rPr>
          <w:rFonts w:ascii="FangSong" w:hAnsi="FangSong" w:eastAsia="FangSong" w:cs="FangSong"/>
          <w:sz w:val="23"/>
          <w:szCs w:val="23"/>
        </w:rPr>
      </w:pPr>
      <w:r>
        <w:rPr>
          <w:rFonts w:ascii="FangSong" w:hAnsi="FangSong" w:eastAsia="FangSong" w:cs="FangSong"/>
          <w:sz w:val="23"/>
          <w:szCs w:val="23"/>
          <w:spacing w:val="3"/>
        </w:rPr>
        <w:t>2025年兴县圪垯上乡人民政府财政拨款安排的“</w:t>
      </w:r>
      <w:r>
        <w:rPr>
          <w:rFonts w:ascii="FangSong" w:hAnsi="FangSong" w:eastAsia="FangSong" w:cs="FangSong"/>
          <w:sz w:val="23"/>
          <w:szCs w:val="23"/>
          <w:spacing w:val="-70"/>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8"/>
        </w:rPr>
        <w:t xml:space="preserve"> </w:t>
      </w:r>
      <w:r>
        <w:rPr>
          <w:rFonts w:ascii="FangSong" w:hAnsi="FangSong" w:eastAsia="FangSong" w:cs="FangSong"/>
          <w:sz w:val="23"/>
          <w:szCs w:val="23"/>
          <w:spacing w:val="3"/>
        </w:rPr>
        <w:t>”经费预算5.00万元与2024年预算</w:t>
      </w:r>
      <w:r>
        <w:rPr>
          <w:rFonts w:ascii="FangSong" w:hAnsi="FangSong" w:eastAsia="FangSong" w:cs="FangSong"/>
          <w:sz w:val="23"/>
          <w:szCs w:val="23"/>
        </w:rPr>
        <w:t xml:space="preserve"> </w:t>
      </w:r>
      <w:r>
        <w:rPr>
          <w:rFonts w:ascii="FangSong" w:hAnsi="FangSong" w:eastAsia="FangSong" w:cs="FangSong"/>
          <w:sz w:val="23"/>
          <w:szCs w:val="23"/>
          <w:spacing w:val="4"/>
        </w:rPr>
        <w:t>数相同。其中：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因公出国（境）费0万元，与上年预算数相同；公务接待费0万元，与上</w:t>
      </w:r>
      <w:r>
        <w:rPr>
          <w:rFonts w:ascii="FangSong" w:hAnsi="FangSong" w:eastAsia="FangSong" w:cs="FangSong"/>
          <w:sz w:val="23"/>
          <w:szCs w:val="23"/>
          <w:spacing w:val="3"/>
        </w:rPr>
        <w:t>年预</w:t>
      </w:r>
      <w:r>
        <w:rPr>
          <w:rFonts w:ascii="FangSong" w:hAnsi="FangSong" w:eastAsia="FangSong" w:cs="FangSong"/>
          <w:sz w:val="23"/>
          <w:szCs w:val="23"/>
        </w:rPr>
        <w:t xml:space="preserve"> </w:t>
      </w:r>
      <w:r>
        <w:rPr>
          <w:rFonts w:ascii="FangSong" w:hAnsi="FangSong" w:eastAsia="FangSong" w:cs="FangSong"/>
          <w:sz w:val="23"/>
          <w:szCs w:val="23"/>
          <w:spacing w:val="5"/>
        </w:rPr>
        <w:t>算数相同；公务用车购置及运行费5.00万元，与上年预算数相同。公务用车运</w:t>
      </w:r>
      <w:r>
        <w:rPr>
          <w:rFonts w:ascii="FangSong" w:hAnsi="FangSong" w:eastAsia="FangSong" w:cs="FangSong"/>
          <w:sz w:val="23"/>
          <w:szCs w:val="23"/>
          <w:spacing w:val="4"/>
        </w:rPr>
        <w:t>行维护费5.00</w:t>
      </w:r>
      <w:r>
        <w:rPr>
          <w:rFonts w:ascii="FangSong" w:hAnsi="FangSong" w:eastAsia="FangSong" w:cs="FangSong"/>
          <w:sz w:val="23"/>
          <w:szCs w:val="23"/>
        </w:rPr>
        <w:t xml:space="preserve"> </w:t>
      </w:r>
      <w:r>
        <w:rPr>
          <w:rFonts w:ascii="FangSong" w:hAnsi="FangSong" w:eastAsia="FangSong" w:cs="FangSong"/>
          <w:sz w:val="23"/>
          <w:szCs w:val="23"/>
        </w:rPr>
        <w:t>万元，与上年预算数相同；公务用车购置费0万元，与上年预算数相同。</w:t>
      </w:r>
    </w:p>
    <w:p>
      <w:pPr>
        <w:ind w:firstLine="648"/>
        <w:spacing w:line="3274" w:lineRule="exact"/>
        <w:rPr/>
      </w:pPr>
      <w:r>
        <w:rPr>
          <w:position w:val="-65"/>
        </w:rPr>
        <w:drawing>
          <wp:inline distT="0" distB="0" distL="0" distR="0">
            <wp:extent cx="5986539" cy="2078973"/>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986539" cy="2078973"/>
                    </a:xfrm>
                    <a:prstGeom prst="rect">
                      <a:avLst/>
                    </a:prstGeom>
                  </pic:spPr>
                </pic:pic>
              </a:graphicData>
            </a:graphic>
          </wp:inline>
        </w:drawing>
      </w:r>
    </w:p>
    <w:p>
      <w:pPr>
        <w:ind w:left="653"/>
        <w:spacing w:before="178" w:line="230"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657" w:right="623" w:firstLine="468"/>
        <w:spacing w:before="185" w:line="320" w:lineRule="auto"/>
        <w:rPr>
          <w:rFonts w:ascii="FangSong" w:hAnsi="FangSong" w:eastAsia="FangSong" w:cs="FangSong"/>
          <w:sz w:val="23"/>
          <w:szCs w:val="23"/>
        </w:rPr>
      </w:pPr>
      <w:r>
        <w:rPr>
          <w:rFonts w:ascii="FangSong" w:hAnsi="FangSong" w:eastAsia="FangSong" w:cs="FangSong"/>
          <w:sz w:val="23"/>
          <w:szCs w:val="23"/>
          <w:spacing w:val="12"/>
        </w:rPr>
        <w:t>本单位机</w:t>
      </w:r>
      <w:r>
        <w:rPr>
          <w:rFonts w:ascii="FangSong" w:hAnsi="FangSong" w:eastAsia="FangSong" w:cs="FangSong"/>
          <w:sz w:val="23"/>
          <w:szCs w:val="23"/>
          <w:spacing w:val="-64"/>
        </w:rPr>
        <w:t xml:space="preserve"> </w:t>
      </w:r>
      <w:r>
        <w:rPr>
          <w:rFonts w:ascii="FangSong" w:hAnsi="FangSong" w:eastAsia="FangSong" w:cs="FangSong"/>
          <w:sz w:val="23"/>
          <w:szCs w:val="23"/>
          <w:spacing w:val="12"/>
        </w:rPr>
        <w:t>关运行经</w:t>
      </w:r>
      <w:r>
        <w:rPr>
          <w:rFonts w:ascii="FangSong" w:hAnsi="FangSong" w:eastAsia="FangSong" w:cs="FangSong"/>
          <w:sz w:val="23"/>
          <w:szCs w:val="23"/>
          <w:spacing w:val="-67"/>
        </w:rPr>
        <w:t xml:space="preserve"> </w:t>
      </w:r>
      <w:r>
        <w:rPr>
          <w:rFonts w:ascii="FangSong" w:hAnsi="FangSong" w:eastAsia="FangSong" w:cs="FangSong"/>
          <w:sz w:val="23"/>
          <w:szCs w:val="23"/>
          <w:spacing w:val="12"/>
        </w:rPr>
        <w:t>费财政拨款预算80.92万元</w:t>
      </w:r>
      <w:r>
        <w:rPr>
          <w:rFonts w:ascii="FangSong" w:hAnsi="FangSong" w:eastAsia="FangSong" w:cs="FangSong"/>
          <w:sz w:val="23"/>
          <w:szCs w:val="23"/>
          <w:spacing w:val="-58"/>
        </w:rPr>
        <w:t xml:space="preserve"> </w:t>
      </w:r>
      <w:r>
        <w:rPr>
          <w:rFonts w:ascii="FangSong" w:hAnsi="FangSong" w:eastAsia="FangSong" w:cs="FangSong"/>
          <w:sz w:val="23"/>
          <w:szCs w:val="23"/>
          <w:spacing w:val="12"/>
        </w:rPr>
        <w:t>，</w:t>
      </w:r>
      <w:r>
        <w:rPr>
          <w:rFonts w:ascii="FangSong" w:hAnsi="FangSong" w:eastAsia="FangSong" w:cs="FangSong"/>
          <w:sz w:val="23"/>
          <w:szCs w:val="23"/>
          <w:spacing w:val="-48"/>
        </w:rPr>
        <w:t xml:space="preserve"> </w:t>
      </w:r>
      <w:r>
        <w:rPr>
          <w:rFonts w:ascii="FangSong" w:hAnsi="FangSong" w:eastAsia="FangSong" w:cs="FangSong"/>
          <w:sz w:val="23"/>
          <w:szCs w:val="23"/>
          <w:spacing w:val="12"/>
        </w:rPr>
        <w:t>比2024年预算增加7.17万元</w:t>
      </w:r>
      <w:r>
        <w:rPr>
          <w:rFonts w:ascii="FangSong" w:hAnsi="FangSong" w:eastAsia="FangSong" w:cs="FangSong"/>
          <w:sz w:val="23"/>
          <w:szCs w:val="23"/>
          <w:spacing w:val="-58"/>
        </w:rPr>
        <w:t xml:space="preserve"> </w:t>
      </w:r>
      <w:r>
        <w:rPr>
          <w:rFonts w:ascii="FangSong" w:hAnsi="FangSong" w:eastAsia="FangSong" w:cs="FangSong"/>
          <w:sz w:val="23"/>
          <w:szCs w:val="23"/>
          <w:spacing w:val="12"/>
        </w:rPr>
        <w:t>，增长</w:t>
      </w:r>
      <w:r>
        <w:rPr>
          <w:rFonts w:ascii="FangSong" w:hAnsi="FangSong" w:eastAsia="FangSong" w:cs="FangSong"/>
          <w:sz w:val="23"/>
          <w:szCs w:val="23"/>
        </w:rPr>
        <w:t xml:space="preserve"> </w:t>
      </w:r>
      <w:r>
        <w:rPr>
          <w:rFonts w:ascii="FangSong" w:hAnsi="FangSong" w:eastAsia="FangSong" w:cs="FangSong"/>
          <w:sz w:val="23"/>
          <w:szCs w:val="23"/>
        </w:rPr>
        <w:t>9.72%，原因是本年度人员增加及调资影响，导致机关运行经费测算基数增加较大。</w:t>
      </w:r>
    </w:p>
    <w:p>
      <w:pPr>
        <w:ind w:left="658"/>
        <w:spacing w:line="226"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spacing w:line="226" w:lineRule="exact"/>
        <w:sectPr>
          <w:footerReference w:type="default" r:id="rId22"/>
          <w:pgSz w:w="11900" w:h="16840"/>
          <w:pgMar w:top="642" w:right="600" w:bottom="340" w:left="600" w:header="326" w:footer="93" w:gutter="0"/>
        </w:sectPr>
        <w:rPr>
          <w:rFonts w:ascii="Microsoft YaHei" w:hAnsi="Microsoft YaHei" w:eastAsia="Microsoft YaHei" w:cs="Microsoft YaHei"/>
          <w:sz w:val="22"/>
          <w:szCs w:val="22"/>
        </w:rPr>
      </w:pPr>
    </w:p>
    <w:p>
      <w:pPr>
        <w:pStyle w:val="BodyText"/>
        <w:spacing w:line="281" w:lineRule="auto"/>
        <w:rPr/>
      </w:pPr>
      <w:r/>
    </w:p>
    <w:p>
      <w:pPr>
        <w:pStyle w:val="BodyText"/>
        <w:spacing w:line="282" w:lineRule="auto"/>
        <w:rPr/>
      </w:pPr>
      <w:r/>
    </w:p>
    <w:p>
      <w:pPr>
        <w:ind w:left="673" w:right="623" w:firstLine="446"/>
        <w:spacing w:before="74" w:line="322" w:lineRule="auto"/>
        <w:rPr>
          <w:rFonts w:ascii="FangSong" w:hAnsi="FangSong" w:eastAsia="FangSong" w:cs="FangSong"/>
          <w:sz w:val="23"/>
          <w:szCs w:val="23"/>
        </w:rPr>
      </w:pPr>
      <w:r>
        <w:rPr>
          <w:rFonts w:ascii="FangSong" w:hAnsi="FangSong" w:eastAsia="FangSong" w:cs="FangSong"/>
          <w:sz w:val="23"/>
          <w:szCs w:val="23"/>
          <w:spacing w:val="11"/>
        </w:rPr>
        <w:t>2025年兴县圪垯上乡人民政府政府采购预算总额5.54万元。其中：政</w:t>
      </w:r>
      <w:r>
        <w:rPr>
          <w:rFonts w:ascii="FangSong" w:hAnsi="FangSong" w:eastAsia="FangSong" w:cs="FangSong"/>
          <w:sz w:val="23"/>
          <w:szCs w:val="23"/>
          <w:spacing w:val="10"/>
        </w:rPr>
        <w:t>府采购货物预算</w:t>
      </w:r>
      <w:r>
        <w:rPr>
          <w:rFonts w:ascii="FangSong" w:hAnsi="FangSong" w:eastAsia="FangSong" w:cs="FangSong"/>
          <w:sz w:val="23"/>
          <w:szCs w:val="23"/>
        </w:rPr>
        <w:t xml:space="preserve"> </w:t>
      </w:r>
      <w:r>
        <w:rPr>
          <w:rFonts w:ascii="FangSong" w:hAnsi="FangSong" w:eastAsia="FangSong" w:cs="FangSong"/>
          <w:sz w:val="23"/>
          <w:szCs w:val="23"/>
        </w:rPr>
        <w:t>1.99万元、政府采购工程预算0万元、政府采购服</w:t>
      </w:r>
      <w:r>
        <w:rPr>
          <w:rFonts w:ascii="FangSong" w:hAnsi="FangSong" w:eastAsia="FangSong" w:cs="FangSong"/>
          <w:sz w:val="23"/>
          <w:szCs w:val="23"/>
          <w:spacing w:val="-1"/>
        </w:rPr>
        <w:t>务预算3.55万元。</w:t>
      </w:r>
    </w:p>
    <w:p>
      <w:pPr>
        <w:ind w:left="660"/>
        <w:spacing w:before="4"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1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63" w:right="623" w:hanging="4"/>
        <w:spacing w:before="122" w:line="324" w:lineRule="auto"/>
        <w:jc w:val="both"/>
        <w:rPr>
          <w:rFonts w:ascii="FangSong" w:hAnsi="FangSong" w:eastAsia="FangSong" w:cs="FangSong"/>
          <w:sz w:val="23"/>
          <w:szCs w:val="23"/>
        </w:rPr>
      </w:pPr>
      <w:r>
        <w:rPr>
          <w:rFonts w:ascii="FangSong" w:hAnsi="FangSong" w:eastAsia="FangSong" w:cs="FangSong"/>
          <w:sz w:val="23"/>
          <w:szCs w:val="23"/>
          <w:spacing w:val="5"/>
        </w:rPr>
        <w:t>2025年未编报部门整体支出绩效目标，涉及部门预算资金0万元，其中基本支出0万元，项目</w:t>
      </w:r>
      <w:r>
        <w:rPr>
          <w:rFonts w:ascii="FangSong" w:hAnsi="FangSong" w:eastAsia="FangSong" w:cs="FangSong"/>
          <w:sz w:val="23"/>
          <w:szCs w:val="23"/>
        </w:rPr>
        <w:t xml:space="preserve"> </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12"/>
        </w:rPr>
        <w:t xml:space="preserve"> </w:t>
      </w:r>
      <w:r>
        <w:rPr>
          <w:rFonts w:ascii="FangSong" w:hAnsi="FangSong" w:eastAsia="FangSong" w:cs="FangSong"/>
          <w:sz w:val="23"/>
          <w:szCs w:val="23"/>
          <w:spacing w:val="-2"/>
        </w:rPr>
        <w:t>涉及资金0万元。</w:t>
      </w:r>
    </w:p>
    <w:p>
      <w:pPr>
        <w:ind w:left="11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3" w:right="623" w:firstLine="456"/>
        <w:spacing w:before="132" w:line="323" w:lineRule="auto"/>
        <w:rPr>
          <w:rFonts w:ascii="FangSong" w:hAnsi="FangSong" w:eastAsia="FangSong" w:cs="FangSong"/>
          <w:sz w:val="23"/>
          <w:szCs w:val="23"/>
        </w:rPr>
      </w:pPr>
      <w:r>
        <w:rPr>
          <w:rFonts w:ascii="FangSong" w:hAnsi="FangSong" w:eastAsia="FangSong" w:cs="FangSong"/>
          <w:sz w:val="23"/>
          <w:szCs w:val="23"/>
          <w:spacing w:val="5"/>
        </w:rPr>
        <w:t>2025年兴县圪垯上乡人民政府纳入绩效目标管理的2级项目9个，共计金额177.</w:t>
      </w:r>
      <w:r>
        <w:rPr>
          <w:rFonts w:ascii="FangSong" w:hAnsi="FangSong" w:eastAsia="FangSong" w:cs="FangSong"/>
          <w:sz w:val="23"/>
          <w:szCs w:val="23"/>
          <w:spacing w:val="4"/>
        </w:rPr>
        <w:t>70万元。</w:t>
      </w:r>
      <w:r>
        <w:rPr>
          <w:rFonts w:ascii="FangSong" w:hAnsi="FangSong" w:eastAsia="FangSong" w:cs="FangSong"/>
          <w:sz w:val="23"/>
          <w:szCs w:val="23"/>
        </w:rPr>
        <w:t xml:space="preserve"> </w:t>
      </w:r>
      <w:r>
        <w:rPr>
          <w:rFonts w:ascii="FangSong" w:hAnsi="FangSong" w:eastAsia="FangSong" w:cs="FangSong"/>
          <w:sz w:val="23"/>
          <w:szCs w:val="23"/>
          <w:spacing w:val="2"/>
        </w:rPr>
        <w:t>其中：其他运转类项目0个，涉及金额0万元；特定目标类项目9个，涉及金额177.70万元。公</w:t>
      </w:r>
      <w:r>
        <w:rPr>
          <w:rFonts w:ascii="FangSong" w:hAnsi="FangSong" w:eastAsia="FangSong" w:cs="FangSong"/>
          <w:sz w:val="23"/>
          <w:szCs w:val="23"/>
          <w:spacing w:val="6"/>
        </w:rPr>
        <w:t xml:space="preserve"> </w:t>
      </w:r>
      <w:r>
        <w:rPr>
          <w:rFonts w:ascii="FangSong" w:hAnsi="FangSong" w:eastAsia="FangSong" w:cs="FangSong"/>
          <w:sz w:val="23"/>
          <w:szCs w:val="23"/>
          <w:spacing w:val="3"/>
        </w:rPr>
        <w:t>开项目绩效目标3个，涉及项目金额118.00万元，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占部门（单位）项目支出总额的66.4%。其</w:t>
      </w:r>
      <w:r>
        <w:rPr>
          <w:rFonts w:ascii="FangSong" w:hAnsi="FangSong" w:eastAsia="FangSong" w:cs="FangSong"/>
          <w:sz w:val="23"/>
          <w:szCs w:val="23"/>
        </w:rPr>
        <w:t xml:space="preserve"> </w:t>
      </w:r>
      <w:r>
        <w:rPr>
          <w:rFonts w:ascii="FangSong" w:hAnsi="FangSong" w:eastAsia="FangSong" w:cs="FangSong"/>
          <w:sz w:val="23"/>
          <w:szCs w:val="23"/>
          <w:spacing w:val="2"/>
        </w:rPr>
        <w:t>中：其他运转类项目0个，涉及项目金额0万元；特定目标类项目3个，涉及项目金额118.00万</w:t>
      </w:r>
      <w:r>
        <w:rPr>
          <w:rFonts w:ascii="FangSong" w:hAnsi="FangSong" w:eastAsia="FangSong" w:cs="FangSong"/>
          <w:sz w:val="23"/>
          <w:szCs w:val="23"/>
          <w:spacing w:val="6"/>
        </w:rPr>
        <w:t xml:space="preserve"> </w:t>
      </w:r>
      <w:r>
        <w:rPr>
          <w:rFonts w:ascii="FangSong" w:hAnsi="FangSong" w:eastAsia="FangSong" w:cs="FangSong"/>
          <w:sz w:val="23"/>
          <w:szCs w:val="23"/>
          <w:spacing w:val="-8"/>
        </w:rPr>
        <w:t>元。</w:t>
      </w:r>
    </w:p>
    <w:p>
      <w:pPr>
        <w:ind w:left="6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5"/>
          <w:pgSz w:w="11900" w:h="16840"/>
          <w:pgMar w:top="642" w:right="600" w:bottom="340" w:left="60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373"/>
        <w:spacing w:line="11698" w:lineRule="exact"/>
        <w:rPr/>
      </w:pPr>
      <w:r>
        <w:rPr>
          <w:position w:val="-233"/>
        </w:rPr>
        <w:drawing>
          <wp:inline distT="0" distB="0" distL="0" distR="0">
            <wp:extent cx="5066588" cy="7428252"/>
            <wp:effectExtent l="0" t="0" r="0" b="0"/>
            <wp:docPr id="10" name="IM 10"/>
            <wp:cNvGraphicFramePr/>
            <a:graphic>
              <a:graphicData uri="http://schemas.openxmlformats.org/drawingml/2006/picture">
                <pic:pic>
                  <pic:nvPicPr>
                    <pic:cNvPr id="10" name="IM 10"/>
                    <pic:cNvPicPr/>
                  </pic:nvPicPr>
                  <pic:blipFill>
                    <a:blip r:embed="rId27"/>
                    <a:stretch>
                      <a:fillRect/>
                    </a:stretch>
                  </pic:blipFill>
                  <pic:spPr>
                    <a:xfrm rot="0">
                      <a:off x="0" y="0"/>
                      <a:ext cx="5066588" cy="7428252"/>
                    </a:xfrm>
                    <a:prstGeom prst="rect">
                      <a:avLst/>
                    </a:prstGeom>
                  </pic:spPr>
                </pic:pic>
              </a:graphicData>
            </a:graphic>
          </wp:inline>
        </w:drawing>
      </w:r>
    </w:p>
    <w:p>
      <w:pPr>
        <w:spacing w:line="11698" w:lineRule="exact"/>
        <w:sectPr>
          <w:footerReference w:type="default" r:id="rId26"/>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190" w:lineRule="exact"/>
        <w:rPr/>
      </w:pPr>
      <w:r>
        <w:rPr>
          <w:position w:val="-223"/>
        </w:rPr>
        <w:drawing>
          <wp:inline distT="0" distB="0" distL="0" distR="0">
            <wp:extent cx="5066588" cy="7105582"/>
            <wp:effectExtent l="0" t="0" r="0" b="0"/>
            <wp:docPr id="12" name="IM 12"/>
            <wp:cNvGraphicFramePr/>
            <a:graphic>
              <a:graphicData uri="http://schemas.openxmlformats.org/drawingml/2006/picture">
                <pic:pic>
                  <pic:nvPicPr>
                    <pic:cNvPr id="12" name="IM 12"/>
                    <pic:cNvPicPr/>
                  </pic:nvPicPr>
                  <pic:blipFill>
                    <a:blip r:embed="rId29"/>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8"/>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373"/>
        <w:spacing w:line="11839" w:lineRule="exact"/>
        <w:rPr/>
      </w:pPr>
      <w:r>
        <w:rPr>
          <w:position w:val="-236"/>
        </w:rPr>
        <w:drawing>
          <wp:inline distT="0" distB="0" distL="0" distR="0">
            <wp:extent cx="5066588" cy="7517500"/>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5066588" cy="7517500"/>
                    </a:xfrm>
                    <a:prstGeom prst="rect">
                      <a:avLst/>
                    </a:prstGeom>
                  </pic:spPr>
                </pic:pic>
              </a:graphicData>
            </a:graphic>
          </wp:inline>
        </w:drawing>
      </w:r>
    </w:p>
    <w:p>
      <w:pPr>
        <w:spacing w:line="11839" w:lineRule="exact"/>
        <w:sectPr>
          <w:footerReference w:type="default" r:id="rId30"/>
          <w:pgSz w:w="11900" w:h="16840"/>
          <w:pgMar w:top="642" w:right="600" w:bottom="340" w:left="600" w:header="326" w:footer="91" w:gutter="0"/>
        </w:sectPr>
        <w:rPr/>
      </w:pPr>
    </w:p>
    <w:p>
      <w:pPr>
        <w:pStyle w:val="BodyText"/>
        <w:spacing w:line="271" w:lineRule="auto"/>
        <w:rPr/>
      </w:pPr>
      <w:r/>
    </w:p>
    <w:p>
      <w:pPr>
        <w:pStyle w:val="BodyText"/>
        <w:spacing w:line="271" w:lineRule="auto"/>
        <w:rPr/>
      </w:pPr>
      <w:r/>
    </w:p>
    <w:p>
      <w:pPr>
        <w:ind w:left="660"/>
        <w:spacing w:before="94" w:line="227" w:lineRule="exact"/>
        <w:outlineLvl w:val="1"/>
        <w:rPr>
          <w:rFonts w:ascii="Microsoft YaHei" w:hAnsi="Microsoft YaHei" w:eastAsia="Microsoft YaHei" w:cs="Microsoft YaHei"/>
          <w:sz w:val="22"/>
          <w:szCs w:val="22"/>
        </w:rPr>
      </w:pPr>
      <w:bookmarkStart w:name="bookmark30" w:id="46"/>
      <w:bookmarkEnd w:id="46"/>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截至2025年5月1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日，兴县圪垯上乡人民政府共有公务用车编制2辆，实有2辆，其中：领</w:t>
      </w:r>
      <w:r>
        <w:rPr>
          <w:rFonts w:ascii="FangSong" w:hAnsi="FangSong" w:eastAsia="FangSong" w:cs="FangSong"/>
          <w:sz w:val="23"/>
          <w:szCs w:val="23"/>
        </w:rPr>
        <w:t xml:space="preserve"> </w:t>
      </w:r>
      <w:r>
        <w:rPr>
          <w:rFonts w:ascii="FangSong" w:hAnsi="FangSong" w:eastAsia="FangSong" w:cs="FangSong"/>
          <w:sz w:val="23"/>
          <w:szCs w:val="23"/>
          <w:spacing w:val="8"/>
        </w:rPr>
        <w:t>导用车2辆，机要通信用车0辆，应急保障用车0辆，执法执勤用车0辆，</w:t>
      </w:r>
      <w:r>
        <w:rPr>
          <w:rFonts w:ascii="FangSong" w:hAnsi="FangSong" w:eastAsia="FangSong" w:cs="FangSong"/>
          <w:sz w:val="23"/>
          <w:szCs w:val="23"/>
          <w:spacing w:val="7"/>
        </w:rPr>
        <w:t>特种专业技术用车0</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日，兴县圪垯上乡人民政府使用的办公用房建筑总</w:t>
      </w:r>
      <w:r>
        <w:rPr>
          <w:rFonts w:ascii="FangSong" w:hAnsi="FangSong" w:eastAsia="FangSong" w:cs="FangSong"/>
          <w:sz w:val="23"/>
          <w:szCs w:val="23"/>
          <w:spacing w:val="-2"/>
        </w:rPr>
        <w:t>面积1349.81平方米。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日，兴县圪垯上乡人民政府占有使用价值50万元（原值）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rPr>
        <w:t xml:space="preserve"> </w:t>
      </w:r>
      <w:r>
        <w:rPr>
          <w:rFonts w:ascii="FangSong" w:hAnsi="FangSong" w:eastAsia="FangSong" w:cs="FangSong"/>
          <w:sz w:val="23"/>
          <w:szCs w:val="23"/>
          <w:spacing w:val="11"/>
        </w:rPr>
        <w:t>备0台（套</w:t>
      </w:r>
      <w:r>
        <w:rPr>
          <w:rFonts w:ascii="FangSong" w:hAnsi="FangSong" w:eastAsia="FangSong" w:cs="FangSong"/>
          <w:sz w:val="23"/>
          <w:szCs w:val="23"/>
          <w:spacing w:val="2"/>
        </w:rPr>
        <w:t>）</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11"/>
        </w:rPr>
        <w:t>兴县圪垯上乡人民政府占有使用价值100万元（原值）</w:t>
      </w:r>
      <w:r>
        <w:rPr>
          <w:rFonts w:ascii="FangSong" w:hAnsi="FangSong" w:eastAsia="FangSong" w:cs="FangSong"/>
          <w:sz w:val="23"/>
          <w:szCs w:val="23"/>
          <w:spacing w:val="-46"/>
        </w:rPr>
        <w:t xml:space="preserve"> </w:t>
      </w:r>
      <w:r>
        <w:rPr>
          <w:rFonts w:ascii="FangSong" w:hAnsi="FangSong" w:eastAsia="FangSong" w:cs="FangSong"/>
          <w:sz w:val="23"/>
          <w:szCs w:val="23"/>
          <w:spacing w:val="11"/>
        </w:rPr>
        <w:t>以上</w:t>
      </w:r>
      <w:r>
        <w:rPr>
          <w:rFonts w:ascii="FangSong" w:hAnsi="FangSong" w:eastAsia="FangSong" w:cs="FangSong"/>
          <w:sz w:val="23"/>
          <w:szCs w:val="23"/>
          <w:spacing w:val="10"/>
        </w:rPr>
        <w:t>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660"/>
        <w:spacing w:before="2" w:line="227" w:lineRule="exact"/>
        <w:outlineLvl w:val="1"/>
        <w:rPr>
          <w:rFonts w:ascii="Microsoft YaHei" w:hAnsi="Microsoft YaHei" w:eastAsia="Microsoft YaHei" w:cs="Microsoft YaHei"/>
          <w:sz w:val="22"/>
          <w:szCs w:val="22"/>
        </w:rPr>
      </w:pPr>
      <w:bookmarkStart w:name="bookmark31" w:id="47"/>
      <w:bookmarkEnd w:id="47"/>
      <w:r>
        <w:rPr>
          <w:rFonts w:ascii="Microsoft YaHei" w:hAnsi="Microsoft YaHei" w:eastAsia="Microsoft YaHei" w:cs="Microsoft YaHei"/>
          <w:sz w:val="22"/>
          <w:szCs w:val="22"/>
          <w:spacing w:val="7"/>
          <w:position w:val="-1"/>
        </w:rPr>
        <w:t>十二、其他说明</w:t>
      </w:r>
    </w:p>
    <w:p>
      <w:pPr>
        <w:ind w:left="1125"/>
        <w:spacing w:before="174" w:line="221" w:lineRule="auto"/>
        <w:outlineLvl w:val="2"/>
        <w:rPr>
          <w:rFonts w:ascii="FangSong" w:hAnsi="FangSong" w:eastAsia="FangSong" w:cs="FangSong"/>
          <w:sz w:val="23"/>
          <w:szCs w:val="23"/>
        </w:rPr>
      </w:pPr>
      <w:bookmarkStart w:name="bookmark32" w:id="48"/>
      <w:bookmarkEnd w:id="48"/>
      <w:r>
        <w:rPr>
          <w:rFonts w:ascii="FangSong" w:hAnsi="FangSong" w:eastAsia="FangSong" w:cs="FangSong"/>
          <w:sz w:val="23"/>
          <w:szCs w:val="23"/>
          <w:spacing w:val="-1"/>
        </w:rPr>
        <w:t>（一）政府购买服务指导性目录</w:t>
      </w:r>
    </w:p>
    <w:p>
      <w:pPr>
        <w:ind w:left="1126"/>
        <w:spacing w:before="256" w:line="221" w:lineRule="auto"/>
        <w:rPr>
          <w:rFonts w:ascii="FangSong" w:hAnsi="FangSong" w:eastAsia="FangSong" w:cs="FangSong"/>
          <w:sz w:val="23"/>
          <w:szCs w:val="23"/>
        </w:rPr>
      </w:pPr>
      <w:r>
        <w:rPr>
          <w:rFonts w:ascii="FangSong" w:hAnsi="FangSong" w:eastAsia="FangSong" w:cs="FangSong"/>
          <w:sz w:val="23"/>
          <w:szCs w:val="23"/>
          <w:spacing w:val="-1"/>
        </w:rPr>
        <w:t>根据单位实际情况不需进行修改和完善。</w:t>
      </w:r>
    </w:p>
    <w:p>
      <w:pPr>
        <w:ind w:left="1125"/>
        <w:spacing w:before="265" w:line="222" w:lineRule="auto"/>
        <w:outlineLvl w:val="2"/>
        <w:rPr>
          <w:rFonts w:ascii="FangSong" w:hAnsi="FangSong" w:eastAsia="FangSong" w:cs="FangSong"/>
          <w:sz w:val="23"/>
          <w:szCs w:val="23"/>
        </w:rPr>
      </w:pPr>
      <w:bookmarkStart w:name="bookmark33" w:id="49"/>
      <w:bookmarkEnd w:id="49"/>
      <w:r>
        <w:rPr>
          <w:rFonts w:ascii="FangSong" w:hAnsi="FangSong" w:eastAsia="FangSong" w:cs="FangSong"/>
          <w:sz w:val="23"/>
          <w:szCs w:val="23"/>
          <w:spacing w:val="-3"/>
        </w:rPr>
        <w:t>（二）其他</w:t>
      </w:r>
    </w:p>
    <w:p>
      <w:pPr>
        <w:ind w:left="1126"/>
        <w:spacing w:before="253" w:line="221" w:lineRule="auto"/>
        <w:rPr>
          <w:rFonts w:ascii="FangSong" w:hAnsi="FangSong" w:eastAsia="FangSong" w:cs="FangSong"/>
          <w:sz w:val="23"/>
          <w:szCs w:val="23"/>
        </w:rPr>
      </w:pPr>
      <w:r>
        <w:rPr>
          <w:rFonts w:ascii="FangSong" w:hAnsi="FangSong" w:eastAsia="FangSong" w:cs="FangSong"/>
          <w:sz w:val="23"/>
          <w:szCs w:val="23"/>
          <w:spacing w:val="-1"/>
        </w:rPr>
        <w:t>根据单位实际情况不需进行修改和完善。</w:t>
      </w:r>
    </w:p>
    <w:p>
      <w:pPr>
        <w:spacing w:line="221" w:lineRule="auto"/>
        <w:sectPr>
          <w:footerReference w:type="default" r:id="rId32"/>
          <w:pgSz w:w="11900" w:h="16840"/>
          <w:pgMar w:top="642" w:right="600" w:bottom="340" w:left="60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610"/>
        <w:spacing w:line="13461" w:lineRule="exact"/>
        <w:rPr/>
      </w:pPr>
      <w:r>
        <w:rPr>
          <w:position w:val="-269"/>
        </w:rPr>
        <w:drawing>
          <wp:inline distT="0" distB="0" distL="0" distR="0">
            <wp:extent cx="4764516" cy="8547295"/>
            <wp:effectExtent l="0" t="0" r="0" b="0"/>
            <wp:docPr id="16" name="IM 16"/>
            <wp:cNvGraphicFramePr/>
            <a:graphic>
              <a:graphicData uri="http://schemas.openxmlformats.org/drawingml/2006/picture">
                <pic:pic>
                  <pic:nvPicPr>
                    <pic:cNvPr id="16" name="IM 16"/>
                    <pic:cNvPicPr/>
                  </pic:nvPicPr>
                  <pic:blipFill>
                    <a:blip r:embed="rId34"/>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3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05"/>
        <w:spacing w:line="13461" w:lineRule="exact"/>
        <w:rPr/>
      </w:pPr>
      <w:r>
        <w:rPr>
          <w:position w:val="-269"/>
        </w:rPr>
        <w:drawing>
          <wp:inline distT="0" distB="0" distL="0" distR="0">
            <wp:extent cx="5025397" cy="8547295"/>
            <wp:effectExtent l="0" t="0" r="0" b="0"/>
            <wp:docPr id="18" name="IM 18"/>
            <wp:cNvGraphicFramePr/>
            <a:graphic>
              <a:graphicData uri="http://schemas.openxmlformats.org/drawingml/2006/picture">
                <pic:pic>
                  <pic:nvPicPr>
                    <pic:cNvPr id="18" name="IM 18"/>
                    <pic:cNvPicPr/>
                  </pic:nvPicPr>
                  <pic:blipFill>
                    <a:blip r:embed="rId36"/>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91"/>
        <w:spacing w:line="13461" w:lineRule="exact"/>
        <w:rPr/>
      </w:pPr>
      <w:r>
        <w:rPr>
          <w:position w:val="-269"/>
        </w:rPr>
        <w:drawing>
          <wp:inline distT="0" distB="0" distL="0" distR="0">
            <wp:extent cx="4915553" cy="8547295"/>
            <wp:effectExtent l="0" t="0" r="0" b="0"/>
            <wp:docPr id="20" name="IM 20"/>
            <wp:cNvGraphicFramePr/>
            <a:graphic>
              <a:graphicData uri="http://schemas.openxmlformats.org/drawingml/2006/picture">
                <pic:pic>
                  <pic:nvPicPr>
                    <pic:cNvPr id="20" name="IM 20"/>
                    <pic:cNvPicPr/>
                  </pic:nvPicPr>
                  <pic:blipFill>
                    <a:blip r:embed="rId38"/>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3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83"/>
        <w:spacing w:line="13461" w:lineRule="exact"/>
        <w:rPr/>
      </w:pPr>
      <w:r>
        <w:rPr>
          <w:position w:val="-269"/>
        </w:rPr>
        <w:drawing>
          <wp:inline distT="0" distB="0" distL="0" distR="0">
            <wp:extent cx="5560891" cy="8547295"/>
            <wp:effectExtent l="0" t="0" r="0" b="0"/>
            <wp:docPr id="22" name="IM 22"/>
            <wp:cNvGraphicFramePr/>
            <a:graphic>
              <a:graphicData uri="http://schemas.openxmlformats.org/drawingml/2006/picture">
                <pic:pic>
                  <pic:nvPicPr>
                    <pic:cNvPr id="22" name="IM 22"/>
                    <pic:cNvPicPr/>
                  </pic:nvPicPr>
                  <pic:blipFill>
                    <a:blip r:embed="rId40"/>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39"/>
          <w:pgSz w:w="11900" w:h="16840"/>
          <w:pgMar w:top="642" w:right="600" w:bottom="340" w:left="600" w:header="326" w:footer="91" w:gutter="0"/>
        </w:sectPr>
        <w:rPr/>
      </w:pPr>
    </w:p>
    <w:p>
      <w:pPr>
        <w:pStyle w:val="BodyText"/>
        <w:spacing w:line="269" w:lineRule="auto"/>
        <w:rPr/>
      </w:pPr>
      <w:r/>
    </w:p>
    <w:p>
      <w:pPr>
        <w:pStyle w:val="BodyText"/>
        <w:spacing w:line="270" w:lineRule="auto"/>
        <w:rPr/>
      </w:pPr>
      <w:r/>
    </w:p>
    <w:p>
      <w:pPr>
        <w:ind w:left="4386"/>
        <w:spacing w:before="94" w:line="228" w:lineRule="exact"/>
        <w:outlineLvl w:val="0"/>
        <w:rPr>
          <w:rFonts w:ascii="Microsoft YaHei" w:hAnsi="Microsoft YaHei" w:eastAsia="Microsoft YaHei" w:cs="Microsoft YaHei"/>
          <w:sz w:val="22"/>
          <w:szCs w:val="22"/>
        </w:rPr>
      </w:pPr>
      <w:bookmarkStart w:name="bookmark34" w:id="51"/>
      <w:bookmarkEnd w:id="5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41"/>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9" w:id="45"/>
    <w:bookmarkEnd w:id="45"/>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50" w:id="50"/>
    <w:bookmarkEnd w:id="50"/>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兴县圪垯上乡人民政府2025年部门预算公开报告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styles" Target="styles.xml"/><Relationship Id="rId42" Type="http://schemas.openxmlformats.org/officeDocument/2006/relationships/settings" Target="settings.xml"/><Relationship Id="rId41" Type="http://schemas.openxmlformats.org/officeDocument/2006/relationships/footer" Target="footer28.xml"/><Relationship Id="rId40" Type="http://schemas.openxmlformats.org/officeDocument/2006/relationships/image" Target="media/image11.png"/><Relationship Id="rId4" Type="http://schemas.openxmlformats.org/officeDocument/2006/relationships/footer" Target="footer2.xml"/><Relationship Id="rId39" Type="http://schemas.openxmlformats.org/officeDocument/2006/relationships/footer" Target="footer27.xml"/><Relationship Id="rId38" Type="http://schemas.openxmlformats.org/officeDocument/2006/relationships/image" Target="media/image10.png"/><Relationship Id="rId37" Type="http://schemas.openxmlformats.org/officeDocument/2006/relationships/footer" Target="footer26.xml"/><Relationship Id="rId36" Type="http://schemas.openxmlformats.org/officeDocument/2006/relationships/image" Target="media/image9.png"/><Relationship Id="rId35" Type="http://schemas.openxmlformats.org/officeDocument/2006/relationships/footer" Target="footer25.xml"/><Relationship Id="rId34" Type="http://schemas.openxmlformats.org/officeDocument/2006/relationships/image" Target="media/image8.png"/><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image" Target="media/image7.png"/><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footer" Target="footer21.xml"/><Relationship Id="rId27" Type="http://schemas.openxmlformats.org/officeDocument/2006/relationships/image" Target="media/image5.png"/><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footer" Target="footer18.xml"/><Relationship Id="rId21" Type="http://schemas.openxmlformats.org/officeDocument/2006/relationships/image" Target="media/image2.png"/><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2025-05-01T11:42:33Z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2025-09-25T17:53:16</vt:filetime>
  </property>
</Properties>
</file>