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3812"/>
        <w:spacing w:before="139" w:line="216" w:lineRule="auto"/>
        <w:rPr>
          <w:rFonts w:ascii="SimSun" w:hAnsi="SimSun" w:eastAsia="SimSun" w:cs="SimSun"/>
          <w:sz w:val="43"/>
          <w:szCs w:val="43"/>
        </w:rPr>
      </w:pPr>
      <w:r>
        <w:rPr>
          <w:rFonts w:ascii="SimSun" w:hAnsi="SimSun" w:eastAsia="SimSun" w:cs="SimSun"/>
          <w:sz w:val="43"/>
          <w:szCs w:val="43"/>
          <w:spacing w:val="99"/>
        </w:rPr>
        <w:t>兴县蔚汾镇卫生院</w:t>
      </w:r>
    </w:p>
    <w:p>
      <w:pPr>
        <w:pStyle w:val="BodyText"/>
        <w:spacing w:line="382" w:lineRule="auto"/>
        <w:rPr/>
      </w:pPr>
      <w:r/>
    </w:p>
    <w:p>
      <w:pPr>
        <w:ind w:left="3079"/>
        <w:spacing w:before="140" w:line="583" w:lineRule="exact"/>
        <w:rPr>
          <w:rFonts w:ascii="SimSun" w:hAnsi="SimSun" w:eastAsia="SimSun" w:cs="SimSun"/>
          <w:sz w:val="43"/>
          <w:szCs w:val="43"/>
        </w:rPr>
      </w:pPr>
      <w:r>
        <w:rPr>
          <w:rFonts w:ascii="SimSun" w:hAnsi="SimSun" w:eastAsia="SimSun" w:cs="SimSun"/>
          <w:sz w:val="43"/>
          <w:szCs w:val="43"/>
          <w:spacing w:val="7"/>
          <w:position w:val="2"/>
        </w:rPr>
        <w:t>2</w:t>
      </w:r>
      <w:r>
        <w:rPr>
          <w:rFonts w:ascii="SimSun" w:hAnsi="SimSun" w:eastAsia="SimSun" w:cs="SimSun"/>
          <w:sz w:val="43"/>
          <w:szCs w:val="43"/>
          <w:spacing w:val="-88"/>
          <w:position w:val="2"/>
        </w:rPr>
        <w:t xml:space="preserve"> </w:t>
      </w:r>
      <w:r>
        <w:rPr>
          <w:rFonts w:ascii="SimSun" w:hAnsi="SimSun" w:eastAsia="SimSun" w:cs="SimSun"/>
          <w:sz w:val="43"/>
          <w:szCs w:val="43"/>
          <w:spacing w:val="7"/>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7"/>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7"/>
          <w:position w:val="2"/>
        </w:rPr>
        <w:t>5</w:t>
      </w:r>
      <w:r>
        <w:rPr>
          <w:rFonts w:ascii="SimSun" w:hAnsi="SimSun" w:eastAsia="SimSun" w:cs="SimSun"/>
          <w:sz w:val="43"/>
          <w:szCs w:val="43"/>
          <w:spacing w:val="-98"/>
          <w:position w:val="2"/>
        </w:rPr>
        <w:t xml:space="preserve"> </w:t>
      </w:r>
      <w:r>
        <w:rPr>
          <w:rFonts w:ascii="SimSun" w:hAnsi="SimSun" w:eastAsia="SimSun" w:cs="SimSun"/>
          <w:sz w:val="43"/>
          <w:szCs w:val="43"/>
          <w:spacing w:val="7"/>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7"/>
          <w:position w:val="2"/>
        </w:rPr>
        <w:t>度</w:t>
      </w:r>
      <w:r>
        <w:rPr>
          <w:rFonts w:ascii="SimSun" w:hAnsi="SimSun" w:eastAsia="SimSun" w:cs="SimSun"/>
          <w:sz w:val="43"/>
          <w:szCs w:val="43"/>
          <w:spacing w:val="-95"/>
          <w:position w:val="2"/>
        </w:rPr>
        <w:t xml:space="preserve"> </w:t>
      </w:r>
      <w:r>
        <w:rPr>
          <w:rFonts w:ascii="SimSun" w:hAnsi="SimSun" w:eastAsia="SimSun" w:cs="SimSun"/>
          <w:sz w:val="43"/>
          <w:szCs w:val="43"/>
          <w:spacing w:val="7"/>
          <w:position w:val="2"/>
        </w:rPr>
        <w:t>单</w:t>
      </w:r>
      <w:r>
        <w:rPr>
          <w:rFonts w:ascii="SimSun" w:hAnsi="SimSun" w:eastAsia="SimSun" w:cs="SimSun"/>
          <w:sz w:val="43"/>
          <w:szCs w:val="43"/>
          <w:spacing w:val="-104"/>
          <w:position w:val="2"/>
        </w:rPr>
        <w:t xml:space="preserve"> </w:t>
      </w:r>
      <w:r>
        <w:rPr>
          <w:rFonts w:ascii="SimSun" w:hAnsi="SimSun" w:eastAsia="SimSun" w:cs="SimSun"/>
          <w:sz w:val="43"/>
          <w:szCs w:val="43"/>
          <w:spacing w:val="7"/>
          <w:position w:val="2"/>
        </w:rPr>
        <w:t>位</w:t>
      </w:r>
      <w:r>
        <w:rPr>
          <w:rFonts w:ascii="SimSun" w:hAnsi="SimSun" w:eastAsia="SimSun" w:cs="SimSun"/>
          <w:sz w:val="43"/>
          <w:szCs w:val="43"/>
          <w:spacing w:val="-108"/>
          <w:position w:val="2"/>
        </w:rPr>
        <w:t xml:space="preserve"> </w:t>
      </w:r>
      <w:r>
        <w:rPr>
          <w:rFonts w:ascii="SimSun" w:hAnsi="SimSun" w:eastAsia="SimSun" w:cs="SimSun"/>
          <w:sz w:val="43"/>
          <w:szCs w:val="43"/>
          <w:spacing w:val="7"/>
          <w:position w:val="2"/>
        </w:rPr>
        <w:t>预</w:t>
      </w:r>
      <w:r>
        <w:rPr>
          <w:rFonts w:ascii="SimSun" w:hAnsi="SimSun" w:eastAsia="SimSun" w:cs="SimSun"/>
          <w:sz w:val="43"/>
          <w:szCs w:val="43"/>
          <w:spacing w:val="-94"/>
          <w:position w:val="2"/>
        </w:rPr>
        <w:t xml:space="preserve"> </w:t>
      </w:r>
      <w:r>
        <w:rPr>
          <w:rFonts w:ascii="SimSun" w:hAnsi="SimSun" w:eastAsia="SimSun" w:cs="SimSun"/>
          <w:sz w:val="43"/>
          <w:szCs w:val="43"/>
          <w:spacing w:val="7"/>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7"/>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7"/>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2"/>
              </w:rPr>
              <w:t xml:space="preserve"> </w:t>
            </w:r>
            <w:r>
              <w:rPr>
                <w:rFonts w:ascii="FangSong" w:hAnsi="FangSong" w:eastAsia="FangSong" w:cs="FangSong"/>
                <w:sz w:val="32"/>
                <w:szCs w:val="32"/>
              </w:rPr>
              <w:t>6</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8</w:t>
            </w:r>
          </w:hyperlink>
        </w:p>
        <w:p>
          <w:pPr>
            <w:ind w:left="1983"/>
            <w:spacing w:before="120"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sdtContent>
    </w:sdt>
    <w:p>
      <w:pPr>
        <w:ind w:left="1354" w:right="133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12</w:t>
            </w:r>
          </w:hyperlink>
        </w:p>
        <w:p>
          <w:pPr>
            <w:ind w:left="1983"/>
            <w:spacing w:before="116"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13</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83"/>
            <w:spacing w:before="116"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354"/>
            <w:spacing w:before="120" w:line="221"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16</w:t>
            </w:r>
          </w:hyperlink>
        </w:p>
        <w:p>
          <w:pPr>
            <w:ind w:left="1986"/>
            <w:spacing w:before="117" w:line="221"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3"/>
              </w:rPr>
              <w:t>25</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25</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25</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25</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30</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1526"/>
        <w:spacing w:before="283" w:line="222" w:lineRule="auto"/>
        <w:rPr>
          <w:rFonts w:ascii="FangSong" w:hAnsi="FangSong" w:eastAsia="FangSong" w:cs="FangSong"/>
          <w:sz w:val="24"/>
          <w:szCs w:val="24"/>
        </w:rPr>
      </w:pPr>
      <w:r>
        <w:rPr>
          <w:rFonts w:ascii="FangSong" w:hAnsi="FangSong" w:eastAsia="FangSong" w:cs="FangSong"/>
          <w:sz w:val="24"/>
          <w:szCs w:val="24"/>
          <w:spacing w:val="-2"/>
        </w:rPr>
        <w:t>1、提供基本医疗服务，以常见病、多发病的诊疗、护理、康复等综合服务为主。</w:t>
      </w:r>
    </w:p>
    <w:p>
      <w:pPr>
        <w:ind w:left="1522" w:right="1475" w:hanging="11"/>
        <w:spacing w:before="115" w:line="267" w:lineRule="auto"/>
        <w:rPr>
          <w:rFonts w:ascii="FangSong" w:hAnsi="FangSong" w:eastAsia="FangSong" w:cs="FangSong"/>
          <w:sz w:val="24"/>
          <w:szCs w:val="24"/>
        </w:rPr>
      </w:pPr>
      <w:r>
        <w:rPr>
          <w:rFonts w:ascii="FangSong" w:hAnsi="FangSong" w:eastAsia="FangSong" w:cs="FangSong"/>
          <w:sz w:val="24"/>
          <w:szCs w:val="24"/>
          <w:spacing w:val="4"/>
        </w:rPr>
        <w:t>2、提供基本公共卫生服务，承担辖区内的公共卫生管理工作，负责对村卫生室的综</w:t>
      </w:r>
      <w:r>
        <w:rPr>
          <w:rFonts w:ascii="FangSong" w:hAnsi="FangSong" w:eastAsia="FangSong" w:cs="FangSong"/>
          <w:sz w:val="24"/>
          <w:szCs w:val="24"/>
          <w:spacing w:val="4"/>
        </w:rPr>
        <w:t xml:space="preserve"> </w:t>
      </w:r>
      <w:r>
        <w:rPr>
          <w:rFonts w:ascii="FangSong" w:hAnsi="FangSong" w:eastAsia="FangSong" w:cs="FangSong"/>
          <w:sz w:val="24"/>
          <w:szCs w:val="24"/>
          <w:spacing w:val="-4"/>
        </w:rPr>
        <w:t>合管理、技术指导的乡医的培训等。</w:t>
      </w:r>
    </w:p>
    <w:p>
      <w:pPr>
        <w:ind w:left="1517" w:right="1475" w:hanging="4"/>
        <w:spacing w:before="102" w:line="272" w:lineRule="auto"/>
        <w:rPr>
          <w:rFonts w:ascii="FangSong" w:hAnsi="FangSong" w:eastAsia="FangSong" w:cs="FangSong"/>
          <w:sz w:val="24"/>
          <w:szCs w:val="24"/>
        </w:rPr>
      </w:pPr>
      <w:r>
        <w:rPr>
          <w:rFonts w:ascii="FangSong" w:hAnsi="FangSong" w:eastAsia="FangSong" w:cs="FangSong"/>
          <w:sz w:val="24"/>
          <w:szCs w:val="24"/>
          <w:spacing w:val="4"/>
        </w:rPr>
        <w:t>3、实施国家基本药物制度和新型农村合作医疗制度，推行分级诊疗和乡村一体化管</w:t>
      </w:r>
      <w:r>
        <w:rPr>
          <w:rFonts w:ascii="FangSong" w:hAnsi="FangSong" w:eastAsia="FangSong" w:cs="FangSong"/>
          <w:sz w:val="24"/>
          <w:szCs w:val="24"/>
          <w:spacing w:val="2"/>
        </w:rPr>
        <w:t xml:space="preserve"> </w:t>
      </w:r>
      <w:r>
        <w:rPr>
          <w:rFonts w:ascii="FangSong" w:hAnsi="FangSong" w:eastAsia="FangSong" w:cs="FangSong"/>
          <w:sz w:val="24"/>
          <w:szCs w:val="24"/>
          <w:spacing w:val="-13"/>
        </w:rPr>
        <w:t>理。</w:t>
      </w:r>
    </w:p>
    <w:p>
      <w:pPr>
        <w:ind w:left="1513"/>
        <w:spacing w:before="281"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16" w:right="1474" w:firstLine="4"/>
        <w:spacing w:before="101" w:line="308" w:lineRule="auto"/>
        <w:jc w:val="both"/>
        <w:rPr>
          <w:rFonts w:ascii="FangSong" w:hAnsi="FangSong" w:eastAsia="FangSong" w:cs="FangSong"/>
          <w:sz w:val="24"/>
          <w:szCs w:val="24"/>
        </w:rPr>
      </w:pPr>
      <w:r>
        <w:rPr>
          <w:rFonts w:ascii="FangSong" w:hAnsi="FangSong" w:eastAsia="FangSong" w:cs="FangSong"/>
          <w:sz w:val="24"/>
          <w:szCs w:val="24"/>
          <w:spacing w:val="1"/>
        </w:rPr>
        <w:t>兴县蔚汾镇卫生院人员情况：有在职人数56人，</w:t>
      </w:r>
      <w:r>
        <w:rPr>
          <w:rFonts w:ascii="FangSong" w:hAnsi="FangSong" w:eastAsia="FangSong" w:cs="FangSong"/>
          <w:sz w:val="24"/>
          <w:szCs w:val="24"/>
        </w:rPr>
        <w:t>专业技术人员46人,：其中副高职称4</w:t>
      </w:r>
      <w:r>
        <w:rPr>
          <w:rFonts w:ascii="FangSong" w:hAnsi="FangSong" w:eastAsia="FangSong" w:cs="FangSong"/>
          <w:sz w:val="24"/>
          <w:szCs w:val="24"/>
        </w:rPr>
        <w:t xml:space="preserve"> </w:t>
      </w:r>
      <w:r>
        <w:rPr>
          <w:rFonts w:ascii="FangSong" w:hAnsi="FangSong" w:eastAsia="FangSong" w:cs="FangSong"/>
          <w:sz w:val="24"/>
          <w:szCs w:val="24"/>
          <w:spacing w:val="4"/>
        </w:rPr>
        <w:t>人、</w:t>
      </w:r>
      <w:r>
        <w:rPr>
          <w:rFonts w:ascii="FangSong" w:hAnsi="FangSong" w:eastAsia="FangSong" w:cs="FangSong"/>
          <w:sz w:val="24"/>
          <w:szCs w:val="24"/>
          <w:spacing w:val="-66"/>
        </w:rPr>
        <w:t xml:space="preserve"> </w:t>
      </w:r>
      <w:r>
        <w:rPr>
          <w:rFonts w:ascii="FangSong" w:hAnsi="FangSong" w:eastAsia="FangSong" w:cs="FangSong"/>
          <w:sz w:val="24"/>
          <w:szCs w:val="24"/>
          <w:spacing w:val="4"/>
        </w:rPr>
        <w:t>中级11人、助理级23人、员级9人；工人10人，其中技师2人、高工</w:t>
      </w:r>
      <w:r>
        <w:rPr>
          <w:rFonts w:ascii="FangSong" w:hAnsi="FangSong" w:eastAsia="FangSong" w:cs="FangSong"/>
          <w:sz w:val="24"/>
          <w:szCs w:val="24"/>
          <w:spacing w:val="3"/>
        </w:rPr>
        <w:t>6人、</w:t>
      </w:r>
      <w:r>
        <w:rPr>
          <w:rFonts w:ascii="FangSong" w:hAnsi="FangSong" w:eastAsia="FangSong" w:cs="FangSong"/>
          <w:sz w:val="24"/>
          <w:szCs w:val="24"/>
          <w:spacing w:val="-65"/>
        </w:rPr>
        <w:t xml:space="preserve"> </w:t>
      </w:r>
      <w:r>
        <w:rPr>
          <w:rFonts w:ascii="FangSong" w:hAnsi="FangSong" w:eastAsia="FangSong" w:cs="FangSong"/>
          <w:sz w:val="24"/>
          <w:szCs w:val="24"/>
          <w:spacing w:val="3"/>
        </w:rPr>
        <w:t>中工2</w:t>
      </w:r>
      <w:r>
        <w:rPr>
          <w:rFonts w:ascii="FangSong" w:hAnsi="FangSong" w:eastAsia="FangSong" w:cs="FangSong"/>
          <w:sz w:val="24"/>
          <w:szCs w:val="24"/>
        </w:rPr>
        <w:t xml:space="preserve"> </w:t>
      </w:r>
      <w:r>
        <w:rPr>
          <w:rFonts w:ascii="FangSong" w:hAnsi="FangSong" w:eastAsia="FangSong" w:cs="FangSong"/>
          <w:sz w:val="24"/>
          <w:szCs w:val="24"/>
          <w:spacing w:val="6"/>
        </w:rPr>
        <w:t>人。兴县蔚汾镇卫生院单位内设10个职能科</w:t>
      </w:r>
      <w:r>
        <w:rPr>
          <w:rFonts w:ascii="FangSong" w:hAnsi="FangSong" w:eastAsia="FangSong" w:cs="FangSong"/>
          <w:sz w:val="24"/>
          <w:szCs w:val="24"/>
          <w:spacing w:val="5"/>
        </w:rPr>
        <w:t>室，无二级机构，职能科室分别是：</w:t>
      </w:r>
      <w:r>
        <w:rPr>
          <w:rFonts w:ascii="FangSong" w:hAnsi="FangSong" w:eastAsia="FangSong" w:cs="FangSong"/>
          <w:sz w:val="24"/>
          <w:szCs w:val="24"/>
          <w:spacing w:val="-58"/>
        </w:rPr>
        <w:t xml:space="preserve"> </w:t>
      </w:r>
      <w:r>
        <w:rPr>
          <w:rFonts w:ascii="FangSong" w:hAnsi="FangSong" w:eastAsia="FangSong" w:cs="FangSong"/>
          <w:sz w:val="24"/>
          <w:szCs w:val="24"/>
          <w:spacing w:val="5"/>
        </w:rPr>
        <w:t>内</w:t>
      </w:r>
      <w:r>
        <w:rPr>
          <w:rFonts w:ascii="FangSong" w:hAnsi="FangSong" w:eastAsia="FangSong" w:cs="FangSong"/>
          <w:sz w:val="24"/>
          <w:szCs w:val="24"/>
        </w:rPr>
        <w:t xml:space="preserve"> </w:t>
      </w:r>
      <w:r>
        <w:rPr>
          <w:rFonts w:ascii="FangSong" w:hAnsi="FangSong" w:eastAsia="FangSong" w:cs="FangSong"/>
          <w:sz w:val="24"/>
          <w:szCs w:val="24"/>
          <w:spacing w:val="-2"/>
        </w:rPr>
        <w:t>科、外科、儿科、理疗科、公卫科、医技科、医保科、财务科、办公室。</w:t>
      </w:r>
    </w:p>
    <w:p>
      <w:pPr>
        <w:spacing w:line="308"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412" w:type="dxa"/>
            <w:vAlign w:val="top"/>
            <w:gridSpan w:val="3"/>
            <w:tcBorders>
              <w:top w:val="single" w:color="FFFFFF" w:sz="6" w:space="0"/>
              <w:left w:val="single" w:color="FFFFFF" w:sz="2" w:space="0"/>
              <w:right w:val="single" w:color="FFFFFF" w:sz="2" w:space="0"/>
            </w:tcBorders>
          </w:tcPr>
          <w:p>
            <w:pPr>
              <w:ind w:left="13"/>
              <w:spacing w:before="169" w:line="219" w:lineRule="auto"/>
              <w:rPr>
                <w:rFonts w:ascii="SimSun" w:hAnsi="SimSun" w:eastAsia="SimSun" w:cs="SimSun"/>
                <w:sz w:val="18"/>
                <w:szCs w:val="18"/>
              </w:rPr>
            </w:pPr>
            <w:r>
              <w:rPr>
                <w:rFonts w:ascii="SimSun" w:hAnsi="SimSun" w:eastAsia="SimSun" w:cs="SimSun"/>
                <w:sz w:val="18"/>
                <w:szCs w:val="18"/>
                <w:color w:val="212529"/>
                <w:spacing w:val="-1"/>
              </w:rPr>
              <w:t>单位名称：兴县蔚汾镇卫生院</w:t>
            </w:r>
          </w:p>
        </w:tc>
        <w:tc>
          <w:tcPr>
            <w:tcW w:w="3137" w:type="dxa"/>
            <w:vAlign w:val="top"/>
            <w:gridSpan w:val="3"/>
            <w:tcBorders>
              <w:top w:val="single" w:color="FFFFFF" w:sz="6" w:space="0"/>
              <w:left w:val="single" w:color="FFFFFF" w:sz="2" w:space="0"/>
              <w:right w:val="single" w:color="FFFFFF" w:sz="2" w:space="0"/>
            </w:tcBorders>
          </w:tcPr>
          <w:p>
            <w:pPr>
              <w:ind w:left="2206"/>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241" w:type="dxa"/>
            <w:vAlign w:val="top"/>
            <w:gridSpan w:val="2"/>
          </w:tcPr>
          <w:p>
            <w:pPr>
              <w:ind w:left="1427"/>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08" w:type="dxa"/>
            <w:vAlign w:val="top"/>
            <w:gridSpan w:val="4"/>
          </w:tcPr>
          <w:p>
            <w:pPr>
              <w:ind w:left="245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103" w:type="dxa"/>
            <w:vAlign w:val="top"/>
          </w:tcPr>
          <w:p>
            <w:pPr>
              <w:ind w:left="84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279"/>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71" w:type="dxa"/>
            <w:vAlign w:val="top"/>
          </w:tcPr>
          <w:p>
            <w:pPr>
              <w:ind w:left="884"/>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15"/>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53" w:type="dxa"/>
            <w:vAlign w:val="top"/>
          </w:tcPr>
          <w:p>
            <w:pPr>
              <w:ind w:left="30"/>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31" w:type="dxa"/>
            <w:vAlign w:val="top"/>
          </w:tcPr>
          <w:p>
            <w:pPr>
              <w:ind w:left="36"/>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p>
            <w:pPr>
              <w:ind w:left="218"/>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安排</w:t>
            </w:r>
          </w:p>
        </w:tc>
      </w:tr>
      <w:tr>
        <w:trPr>
          <w:trHeight w:val="524" w:hRule="atLeast"/>
        </w:trPr>
        <w:tc>
          <w:tcPr>
            <w:tcW w:w="2103"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38" w:type="dxa"/>
            <w:vAlign w:val="top"/>
          </w:tcPr>
          <w:p>
            <w:pPr>
              <w:ind w:right="32"/>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792.86</w:t>
            </w:r>
          </w:p>
        </w:tc>
        <w:tc>
          <w:tcPr>
            <w:tcW w:w="2171" w:type="dxa"/>
            <w:vAlign w:val="top"/>
          </w:tcPr>
          <w:p>
            <w:pPr>
              <w:ind w:left="4"/>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38" w:type="dxa"/>
            <w:vAlign w:val="top"/>
          </w:tcPr>
          <w:p>
            <w:pPr>
              <w:pStyle w:val="TableText"/>
              <w:rPr/>
            </w:pPr>
            <w:r/>
          </w:p>
        </w:tc>
        <w:tc>
          <w:tcPr>
            <w:tcW w:w="2171" w:type="dxa"/>
            <w:vAlign w:val="top"/>
          </w:tcPr>
          <w:p>
            <w:pPr>
              <w:ind w:left="5"/>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38" w:type="dxa"/>
            <w:vAlign w:val="top"/>
          </w:tcPr>
          <w:p>
            <w:pPr>
              <w:pStyle w:val="TableText"/>
              <w:rPr/>
            </w:pPr>
            <w:r/>
          </w:p>
        </w:tc>
        <w:tc>
          <w:tcPr>
            <w:tcW w:w="2171" w:type="dxa"/>
            <w:vAlign w:val="top"/>
          </w:tcPr>
          <w:p>
            <w:pPr>
              <w:ind w:left="2"/>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38" w:type="dxa"/>
            <w:vAlign w:val="top"/>
          </w:tcPr>
          <w:p>
            <w:pPr>
              <w:pStyle w:val="TableText"/>
              <w:rPr/>
            </w:pPr>
            <w:r/>
          </w:p>
        </w:tc>
        <w:tc>
          <w:tcPr>
            <w:tcW w:w="2171" w:type="dxa"/>
            <w:vAlign w:val="top"/>
          </w:tcPr>
          <w:p>
            <w:pPr>
              <w:ind w:left="19"/>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38" w:type="dxa"/>
            <w:vAlign w:val="top"/>
          </w:tcPr>
          <w:p>
            <w:pPr>
              <w:pStyle w:val="TableText"/>
              <w:rPr/>
            </w:pPr>
            <w:r/>
          </w:p>
        </w:tc>
        <w:tc>
          <w:tcPr>
            <w:tcW w:w="2171" w:type="dxa"/>
            <w:vAlign w:val="top"/>
          </w:tcPr>
          <w:p>
            <w:pPr>
              <w:ind w:left="5"/>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21"/>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74.55</w:t>
            </w:r>
          </w:p>
        </w:tc>
        <w:tc>
          <w:tcPr>
            <w:tcW w:w="1153" w:type="dxa"/>
            <w:vAlign w:val="top"/>
          </w:tcPr>
          <w:p>
            <w:pPr>
              <w:ind w:right="27"/>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74.55</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22"/>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663.77</w:t>
            </w:r>
          </w:p>
        </w:tc>
        <w:tc>
          <w:tcPr>
            <w:tcW w:w="1153" w:type="dxa"/>
            <w:vAlign w:val="top"/>
          </w:tcPr>
          <w:p>
            <w:pPr>
              <w:ind w:right="28"/>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663.77</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21"/>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54.54</w:t>
            </w:r>
          </w:p>
        </w:tc>
        <w:tc>
          <w:tcPr>
            <w:tcW w:w="1153" w:type="dxa"/>
            <w:vAlign w:val="top"/>
          </w:tcPr>
          <w:p>
            <w:pPr>
              <w:ind w:right="27"/>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54.54</w:t>
            </w:r>
          </w:p>
        </w:tc>
        <w:tc>
          <w:tcPr>
            <w:tcW w:w="831" w:type="dxa"/>
            <w:vAlign w:val="top"/>
          </w:tcPr>
          <w:p>
            <w:pPr>
              <w:pStyle w:val="TableText"/>
              <w:rPr/>
            </w:pPr>
            <w:r/>
          </w:p>
        </w:tc>
      </w:tr>
      <w:tr>
        <w:trPr>
          <w:trHeight w:val="532"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9"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bl>
    <w:p>
      <w:pPr>
        <w:pStyle w:val="BodyText"/>
        <w:rPr/>
      </w:pPr>
      <w:r/>
    </w:p>
    <w:p>
      <w:pPr>
        <w:sectPr>
          <w:headerReference w:type="default" r:id="rId7"/>
          <w:footerReference w:type="default" r:id="rId8"/>
          <w:pgSz w:w="11900" w:h="16840"/>
          <w:pgMar w:top="642" w:right="0" w:bottom="340" w:left="0" w:header="326" w:footer="110"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3"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6"/>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pStyle w:val="TableText"/>
              <w:rPr/>
            </w:pPr>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38" w:type="dxa"/>
            <w:vAlign w:val="top"/>
          </w:tcPr>
          <w:p>
            <w:pPr>
              <w:pStyle w:val="TableText"/>
              <w:ind w:left="559"/>
              <w:spacing w:before="186" w:line="183" w:lineRule="auto"/>
              <w:rPr>
                <w:sz w:val="15"/>
                <w:szCs w:val="15"/>
              </w:rPr>
            </w:pPr>
            <w:r>
              <w:rPr>
                <w:sz w:val="15"/>
                <w:szCs w:val="15"/>
                <w:color w:val="212529"/>
                <w:spacing w:val="2"/>
              </w:rPr>
              <w:t>792.</w:t>
            </w:r>
            <w:r>
              <w:rPr>
                <w:sz w:val="15"/>
                <w:szCs w:val="15"/>
                <w:color w:val="212529"/>
                <w:spacing w:val="14"/>
              </w:rPr>
              <w:t xml:space="preserve"> </w:t>
            </w:r>
            <w:r>
              <w:rPr>
                <w:sz w:val="15"/>
                <w:szCs w:val="15"/>
                <w:color w:val="212529"/>
                <w:spacing w:val="2"/>
              </w:rPr>
              <w:t>86</w:t>
            </w:r>
          </w:p>
        </w:tc>
        <w:tc>
          <w:tcPr>
            <w:tcW w:w="2171" w:type="dxa"/>
            <w:vAlign w:val="top"/>
          </w:tcPr>
          <w:p>
            <w:pPr>
              <w:ind w:left="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85"/>
              <w:spacing w:before="187" w:line="161" w:lineRule="auto"/>
              <w:rPr>
                <w:sz w:val="17"/>
                <w:szCs w:val="17"/>
              </w:rPr>
            </w:pPr>
            <w:r>
              <w:rPr>
                <w:sz w:val="17"/>
                <w:szCs w:val="17"/>
                <w:color w:val="212529"/>
                <w:spacing w:val="1"/>
              </w:rPr>
              <w:t>792.86</w:t>
            </w:r>
          </w:p>
        </w:tc>
        <w:tc>
          <w:tcPr>
            <w:tcW w:w="1153" w:type="dxa"/>
            <w:vAlign w:val="top"/>
          </w:tcPr>
          <w:p>
            <w:pPr>
              <w:pStyle w:val="TableText"/>
              <w:ind w:left="579"/>
              <w:spacing w:before="187" w:line="161" w:lineRule="auto"/>
              <w:rPr>
                <w:sz w:val="17"/>
                <w:szCs w:val="17"/>
              </w:rPr>
            </w:pPr>
            <w:r>
              <w:rPr>
                <w:sz w:val="17"/>
                <w:szCs w:val="17"/>
                <w:color w:val="212529"/>
                <w:spacing w:val="1"/>
              </w:rPr>
              <w:t>792.86</w:t>
            </w:r>
          </w:p>
        </w:tc>
        <w:tc>
          <w:tcPr>
            <w:tcW w:w="831" w:type="dxa"/>
            <w:vAlign w:val="top"/>
          </w:tcPr>
          <w:p>
            <w:pPr>
              <w:pStyle w:val="TableText"/>
              <w:rPr/>
            </w:pPr>
            <w:r/>
          </w:p>
        </w:tc>
      </w:tr>
      <w:tr>
        <w:trPr>
          <w:trHeight w:val="524" w:hRule="atLeast"/>
        </w:trPr>
        <w:tc>
          <w:tcPr>
            <w:tcW w:w="210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38" w:type="dxa"/>
            <w:vAlign w:val="top"/>
          </w:tcPr>
          <w:p>
            <w:pPr>
              <w:pStyle w:val="TableText"/>
              <w:rPr/>
            </w:pPr>
            <w:r/>
          </w:p>
        </w:tc>
        <w:tc>
          <w:tcPr>
            <w:tcW w:w="2171" w:type="dxa"/>
            <w:vAlign w:val="top"/>
          </w:tcPr>
          <w:p>
            <w:pPr>
              <w:ind w:left="19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31" w:hRule="atLeast"/>
        </w:trPr>
        <w:tc>
          <w:tcPr>
            <w:tcW w:w="210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38" w:type="dxa"/>
            <w:vAlign w:val="top"/>
          </w:tcPr>
          <w:p>
            <w:pPr>
              <w:pStyle w:val="TableText"/>
              <w:ind w:left="559"/>
              <w:spacing w:before="188" w:line="183" w:lineRule="auto"/>
              <w:rPr>
                <w:sz w:val="15"/>
                <w:szCs w:val="15"/>
              </w:rPr>
            </w:pPr>
            <w:r>
              <w:rPr>
                <w:sz w:val="15"/>
                <w:szCs w:val="15"/>
                <w:color w:val="212529"/>
                <w:spacing w:val="2"/>
              </w:rPr>
              <w:t>792.</w:t>
            </w:r>
            <w:r>
              <w:rPr>
                <w:sz w:val="15"/>
                <w:szCs w:val="15"/>
                <w:color w:val="212529"/>
                <w:spacing w:val="14"/>
              </w:rPr>
              <w:t xml:space="preserve"> </w:t>
            </w:r>
            <w:r>
              <w:rPr>
                <w:sz w:val="15"/>
                <w:szCs w:val="15"/>
                <w:color w:val="212529"/>
                <w:spacing w:val="2"/>
              </w:rPr>
              <w:t>86</w:t>
            </w:r>
          </w:p>
        </w:tc>
        <w:tc>
          <w:tcPr>
            <w:tcW w:w="2171" w:type="dxa"/>
            <w:vAlign w:val="top"/>
          </w:tcPr>
          <w:p>
            <w:pPr>
              <w:ind w:left="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85"/>
              <w:spacing w:before="189" w:line="161" w:lineRule="auto"/>
              <w:rPr>
                <w:sz w:val="17"/>
                <w:szCs w:val="17"/>
              </w:rPr>
            </w:pPr>
            <w:r>
              <w:rPr>
                <w:sz w:val="17"/>
                <w:szCs w:val="17"/>
                <w:color w:val="212529"/>
                <w:spacing w:val="1"/>
              </w:rPr>
              <w:t>792.86</w:t>
            </w:r>
          </w:p>
        </w:tc>
        <w:tc>
          <w:tcPr>
            <w:tcW w:w="1153" w:type="dxa"/>
            <w:vAlign w:val="top"/>
          </w:tcPr>
          <w:p>
            <w:pPr>
              <w:pStyle w:val="TableText"/>
              <w:ind w:left="579"/>
              <w:spacing w:before="189" w:line="161" w:lineRule="auto"/>
              <w:rPr>
                <w:sz w:val="17"/>
                <w:szCs w:val="17"/>
              </w:rPr>
            </w:pPr>
            <w:r>
              <w:rPr>
                <w:sz w:val="17"/>
                <w:szCs w:val="17"/>
                <w:color w:val="212529"/>
                <w:spacing w:val="1"/>
              </w:rPr>
              <w:t>792.86</w:t>
            </w:r>
          </w:p>
        </w:tc>
        <w:tc>
          <w:tcPr>
            <w:tcW w:w="831" w:type="dxa"/>
            <w:vAlign w:val="top"/>
          </w:tcPr>
          <w:p>
            <w:pPr>
              <w:pStyle w:val="TableText"/>
              <w:rPr/>
            </w:pPr>
            <w:r/>
          </w:p>
        </w:tc>
      </w:tr>
    </w:tbl>
    <w:p>
      <w:pPr>
        <w:pStyle w:val="BodyText"/>
        <w:rPr/>
      </w:pPr>
      <w:r/>
    </w:p>
    <w:p>
      <w:pPr>
        <w:sectPr>
          <w:headerReference w:type="default" r:id="rId5"/>
          <w:footerReference w:type="default" r:id="rId9"/>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9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1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bottom w:val="single" w:color="FFFFFF" w:sz="6" w:space="0"/>
              <w:top w:val="single" w:color="FFFFFF" w:sz="6" w:space="0"/>
            </w:tcBorders>
          </w:tcPr>
          <w:p>
            <w:pPr>
              <w:ind w:left="97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428"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单位名称：兴县蔚汾镇卫生院</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513"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top w:val="single" w:color="FFFFFF" w:sz="6" w:space="0"/>
            </w:tcBorders>
          </w:tcPr>
          <w:p>
            <w:pPr>
              <w:ind w:left="106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28" w:type="dxa"/>
            <w:vAlign w:val="top"/>
            <w:gridSpan w:val="2"/>
          </w:tcPr>
          <w:p>
            <w:pPr>
              <w:ind w:left="201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15" w:type="dxa"/>
            <w:vAlign w:val="top"/>
            <w:gridSpan w:val="6"/>
          </w:tcPr>
          <w:p>
            <w:pPr>
              <w:ind w:left="3636"/>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26" w:type="dxa"/>
            <w:vAlign w:val="top"/>
            <w:vMerge w:val="restart"/>
            <w:tcBorders>
              <w:bottom w:val="nil"/>
            </w:tcBorders>
          </w:tcPr>
          <w:p>
            <w:pPr>
              <w:pStyle w:val="TableText"/>
              <w:spacing w:line="273" w:lineRule="auto"/>
              <w:rPr/>
            </w:pPr>
            <w:r/>
          </w:p>
          <w:p>
            <w:pPr>
              <w:ind w:left="13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97" w:type="dxa"/>
            <w:vAlign w:val="top"/>
          </w:tcPr>
          <w:p>
            <w:pPr>
              <w:ind w:left="111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23"/>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4" w:type="dxa"/>
            <w:vAlign w:val="top"/>
          </w:tcPr>
          <w:p>
            <w:pPr>
              <w:ind w:left="8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513" w:type="dxa"/>
            <w:vAlign w:val="top"/>
          </w:tcPr>
          <w:p>
            <w:pPr>
              <w:ind w:left="43"/>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2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8"/>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26" w:type="dxa"/>
            <w:vAlign w:val="top"/>
            <w:vMerge w:val="continue"/>
            <w:tcBorders>
              <w:top w:val="nil"/>
            </w:tcBorders>
          </w:tcPr>
          <w:p>
            <w:pPr>
              <w:pStyle w:val="TableText"/>
              <w:rPr/>
            </w:pPr>
            <w:r/>
          </w:p>
        </w:tc>
      </w:tr>
      <w:tr>
        <w:trPr>
          <w:trHeight w:val="434" w:hRule="atLeast"/>
        </w:trPr>
        <w:tc>
          <w:tcPr>
            <w:tcW w:w="4428" w:type="dxa"/>
            <w:vAlign w:val="top"/>
            <w:gridSpan w:val="2"/>
          </w:tcPr>
          <w:p>
            <w:pPr>
              <w:ind w:left="201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67"/>
              <w:spacing w:before="150" w:line="161" w:lineRule="auto"/>
              <w:rPr>
                <w:sz w:val="17"/>
                <w:szCs w:val="17"/>
              </w:rPr>
            </w:pPr>
            <w:r>
              <w:rPr>
                <w:sz w:val="17"/>
                <w:szCs w:val="17"/>
                <w:color w:val="212529"/>
                <w:spacing w:val="1"/>
              </w:rPr>
              <w:t>792.86</w:t>
            </w:r>
          </w:p>
        </w:tc>
        <w:tc>
          <w:tcPr>
            <w:tcW w:w="1274" w:type="dxa"/>
            <w:vAlign w:val="top"/>
          </w:tcPr>
          <w:p>
            <w:pPr>
              <w:pStyle w:val="TableText"/>
              <w:ind w:left="704"/>
              <w:spacing w:before="149" w:line="183" w:lineRule="auto"/>
              <w:rPr>
                <w:sz w:val="15"/>
                <w:szCs w:val="15"/>
              </w:rPr>
            </w:pPr>
            <w:r>
              <w:rPr>
                <w:sz w:val="15"/>
                <w:szCs w:val="15"/>
                <w:color w:val="212529"/>
                <w:spacing w:val="2"/>
              </w:rPr>
              <w:t>792.</w:t>
            </w:r>
            <w:r>
              <w:rPr>
                <w:sz w:val="15"/>
                <w:szCs w:val="15"/>
                <w:color w:val="212529"/>
                <w:spacing w:val="14"/>
              </w:rPr>
              <w:t xml:space="preserve"> </w:t>
            </w:r>
            <w:r>
              <w:rPr>
                <w:sz w:val="15"/>
                <w:szCs w:val="15"/>
                <w:color w:val="212529"/>
                <w:spacing w:val="2"/>
              </w:rPr>
              <w:t>86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97" w:type="dxa"/>
            <w:vAlign w:val="top"/>
          </w:tcPr>
          <w:p>
            <w:pPr>
              <w:ind w:left="5"/>
              <w:spacing w:before="128"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38" w:type="dxa"/>
            <w:vAlign w:val="top"/>
          </w:tcPr>
          <w:p>
            <w:pPr>
              <w:ind w:right="24"/>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74.55</w:t>
            </w:r>
          </w:p>
        </w:tc>
        <w:tc>
          <w:tcPr>
            <w:tcW w:w="1274" w:type="dxa"/>
            <w:vAlign w:val="top"/>
          </w:tcPr>
          <w:p>
            <w:pPr>
              <w:ind w:right="23"/>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74.55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97" w:type="dxa"/>
            <w:vAlign w:val="top"/>
          </w:tcPr>
          <w:p>
            <w:pPr>
              <w:ind w:left="4"/>
              <w:spacing w:before="129"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right="24"/>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74.55</w:t>
            </w:r>
          </w:p>
        </w:tc>
        <w:tc>
          <w:tcPr>
            <w:tcW w:w="1274" w:type="dxa"/>
            <w:vAlign w:val="top"/>
          </w:tcPr>
          <w:p>
            <w:pPr>
              <w:ind w:right="23"/>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74.55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2080502</w:t>
            </w:r>
          </w:p>
        </w:tc>
        <w:tc>
          <w:tcPr>
            <w:tcW w:w="2997" w:type="dxa"/>
            <w:vAlign w:val="top"/>
          </w:tcPr>
          <w:p>
            <w:pPr>
              <w:ind w:left="5"/>
              <w:spacing w:before="130"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438" w:type="dxa"/>
            <w:vAlign w:val="top"/>
          </w:tcPr>
          <w:p>
            <w:pPr>
              <w:ind w:right="23"/>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5.64</w:t>
            </w:r>
          </w:p>
        </w:tc>
        <w:tc>
          <w:tcPr>
            <w:tcW w:w="1274" w:type="dxa"/>
            <w:vAlign w:val="top"/>
          </w:tcPr>
          <w:p>
            <w:pPr>
              <w:ind w:right="22"/>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5.64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97" w:type="dxa"/>
            <w:vAlign w:val="top"/>
          </w:tcPr>
          <w:p>
            <w:pPr>
              <w:ind w:left="3"/>
              <w:spacing w:before="131"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right="24"/>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68.91</w:t>
            </w:r>
          </w:p>
        </w:tc>
        <w:tc>
          <w:tcPr>
            <w:tcW w:w="1274" w:type="dxa"/>
            <w:vAlign w:val="top"/>
          </w:tcPr>
          <w:p>
            <w:pPr>
              <w:ind w:right="23"/>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68.91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97" w:type="dxa"/>
            <w:vAlign w:val="top"/>
          </w:tcPr>
          <w:p>
            <w:pPr>
              <w:ind w:left="5"/>
              <w:spacing w:before="132"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right="24"/>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663.77</w:t>
            </w:r>
          </w:p>
        </w:tc>
        <w:tc>
          <w:tcPr>
            <w:tcW w:w="1274" w:type="dxa"/>
            <w:vAlign w:val="top"/>
          </w:tcPr>
          <w:p>
            <w:pPr>
              <w:ind w:right="23"/>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663.77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21003</w:t>
            </w:r>
          </w:p>
        </w:tc>
        <w:tc>
          <w:tcPr>
            <w:tcW w:w="2997" w:type="dxa"/>
            <w:vAlign w:val="top"/>
          </w:tcPr>
          <w:p>
            <w:pPr>
              <w:ind w:left="3"/>
              <w:spacing w:before="133" w:line="218" w:lineRule="auto"/>
              <w:rPr>
                <w:rFonts w:ascii="SimSun" w:hAnsi="SimSun" w:eastAsia="SimSun" w:cs="SimSun"/>
                <w:sz w:val="18"/>
                <w:szCs w:val="18"/>
              </w:rPr>
            </w:pPr>
            <w:r>
              <w:rPr>
                <w:rFonts w:ascii="SimSun" w:hAnsi="SimSun" w:eastAsia="SimSun" w:cs="SimSun"/>
                <w:sz w:val="18"/>
                <w:szCs w:val="18"/>
                <w:color w:val="212529"/>
                <w:spacing w:val="-1"/>
              </w:rPr>
              <w:t>基层医疗卫生机构</w:t>
            </w:r>
          </w:p>
        </w:tc>
        <w:tc>
          <w:tcPr>
            <w:tcW w:w="1438" w:type="dxa"/>
            <w:vAlign w:val="top"/>
          </w:tcPr>
          <w:p>
            <w:pPr>
              <w:ind w:right="24"/>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635.51</w:t>
            </w:r>
          </w:p>
        </w:tc>
        <w:tc>
          <w:tcPr>
            <w:tcW w:w="1274" w:type="dxa"/>
            <w:vAlign w:val="top"/>
          </w:tcPr>
          <w:p>
            <w:pPr>
              <w:ind w:right="23"/>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635.51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2100302</w:t>
            </w:r>
          </w:p>
        </w:tc>
        <w:tc>
          <w:tcPr>
            <w:tcW w:w="2997" w:type="dxa"/>
            <w:vAlign w:val="top"/>
          </w:tcPr>
          <w:p>
            <w:pPr>
              <w:ind w:left="12"/>
              <w:spacing w:before="134" w:line="219" w:lineRule="auto"/>
              <w:rPr>
                <w:rFonts w:ascii="SimSun" w:hAnsi="SimSun" w:eastAsia="SimSun" w:cs="SimSun"/>
                <w:sz w:val="18"/>
                <w:szCs w:val="18"/>
              </w:rPr>
            </w:pPr>
            <w:r>
              <w:rPr>
                <w:rFonts w:ascii="SimSun" w:hAnsi="SimSun" w:eastAsia="SimSun" w:cs="SimSun"/>
                <w:sz w:val="18"/>
                <w:szCs w:val="18"/>
                <w:color w:val="212529"/>
                <w:spacing w:val="-3"/>
              </w:rPr>
              <w:t>乡镇卫生院</w:t>
            </w:r>
          </w:p>
        </w:tc>
        <w:tc>
          <w:tcPr>
            <w:tcW w:w="1438" w:type="dxa"/>
            <w:vAlign w:val="top"/>
          </w:tcPr>
          <w:p>
            <w:pPr>
              <w:ind w:right="24"/>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586.05</w:t>
            </w:r>
          </w:p>
        </w:tc>
        <w:tc>
          <w:tcPr>
            <w:tcW w:w="1274" w:type="dxa"/>
            <w:vAlign w:val="top"/>
          </w:tcPr>
          <w:p>
            <w:pPr>
              <w:ind w:right="23"/>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586.05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2100399</w:t>
            </w:r>
          </w:p>
        </w:tc>
        <w:tc>
          <w:tcPr>
            <w:tcW w:w="2997" w:type="dxa"/>
            <w:vAlign w:val="top"/>
          </w:tcPr>
          <w:p>
            <w:pPr>
              <w:ind w:left="3"/>
              <w:spacing w:before="135" w:line="218" w:lineRule="auto"/>
              <w:rPr>
                <w:rFonts w:ascii="SimSun" w:hAnsi="SimSun" w:eastAsia="SimSun" w:cs="SimSun"/>
                <w:sz w:val="18"/>
                <w:szCs w:val="18"/>
              </w:rPr>
            </w:pPr>
            <w:r>
              <w:rPr>
                <w:rFonts w:ascii="SimSun" w:hAnsi="SimSun" w:eastAsia="SimSun" w:cs="SimSun"/>
                <w:sz w:val="18"/>
                <w:szCs w:val="18"/>
                <w:color w:val="212529"/>
                <w:spacing w:val="-1"/>
              </w:rPr>
              <w:t>其他基层医疗卫生机构支出</w:t>
            </w:r>
          </w:p>
        </w:tc>
        <w:tc>
          <w:tcPr>
            <w:tcW w:w="1438" w:type="dxa"/>
            <w:vAlign w:val="top"/>
          </w:tcPr>
          <w:p>
            <w:pPr>
              <w:ind w:right="25"/>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49.46</w:t>
            </w:r>
          </w:p>
        </w:tc>
        <w:tc>
          <w:tcPr>
            <w:tcW w:w="1274" w:type="dxa"/>
            <w:vAlign w:val="top"/>
          </w:tcPr>
          <w:p>
            <w:pPr>
              <w:ind w:right="24"/>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49.46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97" w:type="dxa"/>
            <w:vAlign w:val="top"/>
          </w:tcPr>
          <w:p>
            <w:pPr>
              <w:ind w:left="4"/>
              <w:spacing w:before="137"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38" w:type="dxa"/>
            <w:vAlign w:val="top"/>
          </w:tcPr>
          <w:p>
            <w:pPr>
              <w:ind w:right="24"/>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28.25</w:t>
            </w:r>
          </w:p>
        </w:tc>
        <w:tc>
          <w:tcPr>
            <w:tcW w:w="1274" w:type="dxa"/>
            <w:vAlign w:val="top"/>
          </w:tcPr>
          <w:p>
            <w:pPr>
              <w:ind w:right="23"/>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28.25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24"/>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28.25</w:t>
            </w:r>
          </w:p>
        </w:tc>
        <w:tc>
          <w:tcPr>
            <w:tcW w:w="1274" w:type="dxa"/>
            <w:vAlign w:val="top"/>
          </w:tcPr>
          <w:p>
            <w:pPr>
              <w:ind w:right="23"/>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28.25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9"/>
              <w:rPr>
                <w:rFonts w:ascii="SimSun" w:hAnsi="SimSun" w:eastAsia="SimSun" w:cs="SimSun"/>
                <w:sz w:val="18"/>
                <w:szCs w:val="18"/>
              </w:rPr>
            </w:pPr>
            <w:r>
              <w:rPr>
                <w:rFonts w:ascii="SimSun" w:hAnsi="SimSun" w:eastAsia="SimSun" w:cs="SimSun"/>
                <w:sz w:val="18"/>
                <w:szCs w:val="18"/>
                <w:color w:val="212529"/>
                <w:spacing w:val="-3"/>
              </w:rPr>
              <w:t>221</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54.54</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54.54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54.54</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54.54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97" w:type="dxa"/>
            <w:vAlign w:val="top"/>
          </w:tcPr>
          <w:p>
            <w:pPr>
              <w:ind w:left="5"/>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54.54</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54.54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pStyle w:val="BodyText"/>
        <w:rPr/>
      </w:pPr>
      <w:r/>
    </w:p>
    <w:p>
      <w:pPr>
        <w:sectPr>
          <w:headerReference w:type="default" r:id="rId10"/>
          <w:footerReference w:type="default" r:id="rId11"/>
          <w:pgSz w:w="16840" w:h="1190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76"/>
        <w:gridCol w:w="3337"/>
        <w:gridCol w:w="1404"/>
        <w:gridCol w:w="1361"/>
        <w:gridCol w:w="1280"/>
      </w:tblGrid>
      <w:tr>
        <w:trPr>
          <w:trHeight w:val="319" w:hRule="atLeast"/>
        </w:trPr>
        <w:tc>
          <w:tcPr>
            <w:tcW w:w="177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3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80" w:type="dxa"/>
            <w:vAlign w:val="top"/>
            <w:tcBorders>
              <w:bottom w:val="single" w:color="FFFFFF" w:sz="4" w:space="0"/>
              <w:top w:val="single" w:color="FFFFFF" w:sz="4" w:space="0"/>
              <w:left w:val="single" w:color="FFFFFF" w:sz="2" w:space="0"/>
              <w:right w:val="single" w:color="FFFFFF" w:sz="2" w:space="0"/>
            </w:tcBorders>
          </w:tcPr>
          <w:p>
            <w:pPr>
              <w:ind w:left="541"/>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517" w:type="dxa"/>
            <w:vAlign w:val="top"/>
            <w:gridSpan w:val="3"/>
            <w:tcBorders>
              <w:top w:val="single" w:color="FFFFFF" w:sz="4" w:space="0"/>
              <w:left w:val="single" w:color="FFFFFF" w:sz="2" w:space="0"/>
              <w:right w:val="single" w:color="FFFFFF" w:sz="2" w:space="0"/>
            </w:tcBorders>
          </w:tcPr>
          <w:p>
            <w:pPr>
              <w:ind w:left="9"/>
              <w:spacing w:before="90"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w:t>
            </w:r>
          </w:p>
        </w:tc>
        <w:tc>
          <w:tcPr>
            <w:tcW w:w="1361" w:type="dxa"/>
            <w:vAlign w:val="top"/>
            <w:tcBorders>
              <w:top w:val="single" w:color="FFFFFF" w:sz="4" w:space="0"/>
              <w:left w:val="single" w:color="FFFFFF" w:sz="2" w:space="0"/>
              <w:right w:val="single" w:color="FFFFFF" w:sz="2" w:space="0"/>
            </w:tcBorders>
          </w:tcPr>
          <w:p>
            <w:pPr>
              <w:pStyle w:val="TableText"/>
              <w:rPr/>
            </w:pPr>
            <w:r/>
          </w:p>
        </w:tc>
        <w:tc>
          <w:tcPr>
            <w:tcW w:w="1280" w:type="dxa"/>
            <w:vAlign w:val="top"/>
            <w:tcBorders>
              <w:top w:val="single" w:color="FFFFFF" w:sz="4" w:space="0"/>
              <w:left w:val="single" w:color="FFFFFF" w:sz="2" w:space="0"/>
              <w:right w:val="single" w:color="FFFFFF" w:sz="2" w:space="0"/>
            </w:tcBorders>
          </w:tcPr>
          <w:p>
            <w:pPr>
              <w:ind w:left="607"/>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113" w:type="dxa"/>
            <w:vAlign w:val="top"/>
            <w:gridSpan w:val="2"/>
          </w:tcPr>
          <w:p>
            <w:pPr>
              <w:ind w:left="2382"/>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45" w:type="dxa"/>
            <w:vAlign w:val="top"/>
            <w:gridSpan w:val="3"/>
          </w:tcPr>
          <w:p>
            <w:pPr>
              <w:ind w:left="1527"/>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76" w:type="dxa"/>
            <w:vAlign w:val="top"/>
          </w:tcPr>
          <w:p>
            <w:pPr>
              <w:ind w:left="549"/>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37" w:type="dxa"/>
            <w:vAlign w:val="top"/>
          </w:tcPr>
          <w:p>
            <w:pPr>
              <w:ind w:left="1328"/>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04" w:type="dxa"/>
            <w:vAlign w:val="top"/>
          </w:tcPr>
          <w:p>
            <w:pPr>
              <w:ind w:left="531"/>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3"/>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280" w:type="dxa"/>
            <w:vAlign w:val="top"/>
          </w:tcPr>
          <w:p>
            <w:pPr>
              <w:ind w:left="304"/>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113" w:type="dxa"/>
            <w:vAlign w:val="top"/>
            <w:gridSpan w:val="2"/>
          </w:tcPr>
          <w:p>
            <w:pPr>
              <w:ind w:left="2384"/>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ind w:left="899"/>
              <w:spacing w:before="99" w:line="186" w:lineRule="auto"/>
              <w:rPr>
                <w:sz w:val="13"/>
                <w:szCs w:val="13"/>
              </w:rPr>
            </w:pPr>
            <w:r>
              <w:rPr>
                <w:sz w:val="13"/>
                <w:szCs w:val="13"/>
                <w:color w:val="212529"/>
                <w:spacing w:val="4"/>
              </w:rPr>
              <w:t>792.</w:t>
            </w:r>
            <w:r>
              <w:rPr>
                <w:sz w:val="13"/>
                <w:szCs w:val="13"/>
                <w:color w:val="212529"/>
                <w:spacing w:val="15"/>
              </w:rPr>
              <w:t xml:space="preserve"> </w:t>
            </w:r>
            <w:r>
              <w:rPr>
                <w:sz w:val="13"/>
                <w:szCs w:val="13"/>
                <w:color w:val="212529"/>
                <w:spacing w:val="4"/>
              </w:rPr>
              <w:t>86</w:t>
            </w:r>
          </w:p>
        </w:tc>
        <w:tc>
          <w:tcPr>
            <w:tcW w:w="1361" w:type="dxa"/>
            <w:vAlign w:val="top"/>
          </w:tcPr>
          <w:p>
            <w:pPr>
              <w:pStyle w:val="TableText"/>
              <w:ind w:left="852"/>
              <w:spacing w:before="99" w:line="186" w:lineRule="auto"/>
              <w:rPr>
                <w:sz w:val="13"/>
                <w:szCs w:val="13"/>
              </w:rPr>
            </w:pPr>
            <w:r>
              <w:rPr>
                <w:sz w:val="13"/>
                <w:szCs w:val="13"/>
                <w:color w:val="212529"/>
                <w:spacing w:val="2"/>
              </w:rPr>
              <w:t>732.</w:t>
            </w:r>
            <w:r>
              <w:rPr>
                <w:sz w:val="13"/>
                <w:szCs w:val="13"/>
                <w:color w:val="212529"/>
                <w:spacing w:val="25"/>
                <w:w w:val="102"/>
              </w:rPr>
              <w:t xml:space="preserve"> </w:t>
            </w:r>
            <w:r>
              <w:rPr>
                <w:sz w:val="13"/>
                <w:szCs w:val="13"/>
                <w:color w:val="212529"/>
                <w:spacing w:val="2"/>
              </w:rPr>
              <w:t>17</w:t>
            </w:r>
          </w:p>
        </w:tc>
        <w:tc>
          <w:tcPr>
            <w:tcW w:w="1280" w:type="dxa"/>
            <w:vAlign w:val="top"/>
          </w:tcPr>
          <w:p>
            <w:pPr>
              <w:pStyle w:val="TableText"/>
              <w:ind w:left="849"/>
              <w:spacing w:before="99" w:line="186" w:lineRule="auto"/>
              <w:rPr>
                <w:sz w:val="13"/>
                <w:szCs w:val="13"/>
              </w:rPr>
            </w:pPr>
            <w:r>
              <w:rPr>
                <w:sz w:val="13"/>
                <w:szCs w:val="13"/>
                <w:color w:val="212529"/>
                <w:spacing w:val="4"/>
              </w:rPr>
              <w:t>60.</w:t>
            </w:r>
            <w:r>
              <w:rPr>
                <w:sz w:val="13"/>
                <w:szCs w:val="13"/>
                <w:color w:val="212529"/>
                <w:spacing w:val="11"/>
                <w:w w:val="101"/>
              </w:rPr>
              <w:t xml:space="preserve"> </w:t>
            </w:r>
            <w:r>
              <w:rPr>
                <w:sz w:val="13"/>
                <w:szCs w:val="13"/>
                <w:color w:val="212529"/>
                <w:spacing w:val="4"/>
              </w:rPr>
              <w:t>69</w:t>
            </w:r>
          </w:p>
        </w:tc>
      </w:tr>
      <w:tr>
        <w:trPr>
          <w:trHeight w:val="314"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337" w:type="dxa"/>
            <w:vAlign w:val="top"/>
          </w:tcPr>
          <w:p>
            <w:pPr>
              <w:ind w:left="4"/>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04" w:type="dxa"/>
            <w:vAlign w:val="top"/>
          </w:tcPr>
          <w:p>
            <w:pPr>
              <w:ind w:right="19"/>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74.55</w:t>
            </w:r>
          </w:p>
        </w:tc>
        <w:tc>
          <w:tcPr>
            <w:tcW w:w="1361" w:type="dxa"/>
            <w:vAlign w:val="top"/>
          </w:tcPr>
          <w:p>
            <w:pPr>
              <w:pStyle w:val="TableText"/>
              <w:ind w:left="934"/>
              <w:spacing w:before="99" w:line="186" w:lineRule="auto"/>
              <w:rPr>
                <w:sz w:val="13"/>
                <w:szCs w:val="13"/>
              </w:rPr>
            </w:pPr>
            <w:r>
              <w:rPr>
                <w:sz w:val="13"/>
                <w:szCs w:val="13"/>
                <w:color w:val="212529"/>
                <w:spacing w:val="4"/>
              </w:rPr>
              <w:t>74.</w:t>
            </w:r>
            <w:r>
              <w:rPr>
                <w:sz w:val="13"/>
                <w:szCs w:val="13"/>
                <w:color w:val="212529"/>
                <w:spacing w:val="9"/>
              </w:rPr>
              <w:t xml:space="preserve"> </w:t>
            </w:r>
            <w:r>
              <w:rPr>
                <w:sz w:val="13"/>
                <w:szCs w:val="13"/>
                <w:color w:val="212529"/>
                <w:spacing w:val="4"/>
              </w:rPr>
              <w:t>55</w:t>
            </w:r>
          </w:p>
        </w:tc>
        <w:tc>
          <w:tcPr>
            <w:tcW w:w="1280" w:type="dxa"/>
            <w:vAlign w:val="top"/>
          </w:tcPr>
          <w:p>
            <w:pPr>
              <w:pStyle w:val="TableText"/>
              <w:rPr/>
            </w:pPr>
            <w:r/>
          </w:p>
        </w:tc>
      </w:tr>
      <w:tr>
        <w:trPr>
          <w:trHeight w:val="313"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337" w:type="dxa"/>
            <w:vAlign w:val="top"/>
          </w:tcPr>
          <w:p>
            <w:pPr>
              <w:ind w:left="3"/>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04" w:type="dxa"/>
            <w:vAlign w:val="top"/>
          </w:tcPr>
          <w:p>
            <w:pPr>
              <w:ind w:right="19"/>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74.55</w:t>
            </w:r>
          </w:p>
        </w:tc>
        <w:tc>
          <w:tcPr>
            <w:tcW w:w="1361" w:type="dxa"/>
            <w:vAlign w:val="top"/>
          </w:tcPr>
          <w:p>
            <w:pPr>
              <w:pStyle w:val="TableText"/>
              <w:ind w:left="934"/>
              <w:spacing w:before="99" w:line="186" w:lineRule="auto"/>
              <w:rPr>
                <w:sz w:val="13"/>
                <w:szCs w:val="13"/>
              </w:rPr>
            </w:pPr>
            <w:r>
              <w:rPr>
                <w:sz w:val="13"/>
                <w:szCs w:val="13"/>
                <w:color w:val="212529"/>
                <w:spacing w:val="4"/>
              </w:rPr>
              <w:t>74.</w:t>
            </w:r>
            <w:r>
              <w:rPr>
                <w:sz w:val="13"/>
                <w:szCs w:val="13"/>
                <w:color w:val="212529"/>
                <w:spacing w:val="9"/>
              </w:rPr>
              <w:t xml:space="preserve"> </w:t>
            </w:r>
            <w:r>
              <w:rPr>
                <w:sz w:val="13"/>
                <w:szCs w:val="13"/>
                <w:color w:val="212529"/>
                <w:spacing w:val="4"/>
              </w:rPr>
              <w:t>55</w:t>
            </w:r>
          </w:p>
        </w:tc>
        <w:tc>
          <w:tcPr>
            <w:tcW w:w="1280" w:type="dxa"/>
            <w:vAlign w:val="top"/>
          </w:tcPr>
          <w:p>
            <w:pPr>
              <w:pStyle w:val="TableText"/>
              <w:rPr/>
            </w:pPr>
            <w:r/>
          </w:p>
        </w:tc>
      </w:tr>
      <w:tr>
        <w:trPr>
          <w:trHeight w:val="314" w:hRule="atLeast"/>
        </w:trPr>
        <w:tc>
          <w:tcPr>
            <w:tcW w:w="177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337" w:type="dxa"/>
            <w:vAlign w:val="top"/>
          </w:tcPr>
          <w:p>
            <w:pPr>
              <w:ind w:left="4"/>
              <w:spacing w:before="82"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5.64</w:t>
            </w:r>
          </w:p>
        </w:tc>
        <w:tc>
          <w:tcPr>
            <w:tcW w:w="1361"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5.64</w:t>
            </w:r>
          </w:p>
        </w:tc>
        <w:tc>
          <w:tcPr>
            <w:tcW w:w="1280" w:type="dxa"/>
            <w:vAlign w:val="top"/>
          </w:tcPr>
          <w:p>
            <w:pPr>
              <w:pStyle w:val="TableText"/>
              <w:rPr/>
            </w:pPr>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337" w:type="dxa"/>
            <w:vAlign w:val="top"/>
          </w:tcPr>
          <w:p>
            <w:pPr>
              <w:ind w:left="2"/>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68.91</w:t>
            </w:r>
          </w:p>
        </w:tc>
        <w:tc>
          <w:tcPr>
            <w:tcW w:w="1361"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68.91</w:t>
            </w:r>
          </w:p>
        </w:tc>
        <w:tc>
          <w:tcPr>
            <w:tcW w:w="1280" w:type="dxa"/>
            <w:vAlign w:val="top"/>
          </w:tcPr>
          <w:p>
            <w:pPr>
              <w:pStyle w:val="TableText"/>
              <w:rPr/>
            </w:pPr>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337" w:type="dxa"/>
            <w:vAlign w:val="top"/>
          </w:tcPr>
          <w:p>
            <w:pPr>
              <w:ind w:left="4"/>
              <w:spacing w:before="8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663.77</w:t>
            </w:r>
          </w:p>
        </w:tc>
        <w:tc>
          <w:tcPr>
            <w:tcW w:w="1361" w:type="dxa"/>
            <w:vAlign w:val="top"/>
          </w:tcPr>
          <w:p>
            <w:pPr>
              <w:pStyle w:val="TableText"/>
              <w:ind w:left="850"/>
              <w:spacing w:before="102" w:line="172" w:lineRule="auto"/>
              <w:rPr>
                <w:sz w:val="14"/>
                <w:szCs w:val="14"/>
              </w:rPr>
            </w:pPr>
            <w:r>
              <w:rPr>
                <w:sz w:val="14"/>
                <w:szCs w:val="14"/>
                <w:color w:val="212529"/>
              </w:rPr>
              <w:t>603.</w:t>
            </w:r>
            <w:r>
              <w:rPr>
                <w:sz w:val="14"/>
                <w:szCs w:val="14"/>
                <w:color w:val="212529"/>
                <w:spacing w:val="6"/>
              </w:rPr>
              <w:t xml:space="preserve"> </w:t>
            </w:r>
            <w:r>
              <w:rPr>
                <w:sz w:val="14"/>
                <w:szCs w:val="14"/>
                <w:color w:val="212529"/>
              </w:rPr>
              <w:t>08</w:t>
            </w:r>
          </w:p>
        </w:tc>
        <w:tc>
          <w:tcPr>
            <w:tcW w:w="1280" w:type="dxa"/>
            <w:vAlign w:val="top"/>
          </w:tcPr>
          <w:p>
            <w:pPr>
              <w:pStyle w:val="TableText"/>
              <w:ind w:left="849"/>
              <w:spacing w:before="102" w:line="186" w:lineRule="auto"/>
              <w:rPr>
                <w:sz w:val="13"/>
                <w:szCs w:val="13"/>
              </w:rPr>
            </w:pPr>
            <w:r>
              <w:rPr>
                <w:sz w:val="13"/>
                <w:szCs w:val="13"/>
                <w:color w:val="212529"/>
                <w:spacing w:val="4"/>
              </w:rPr>
              <w:t>60.</w:t>
            </w:r>
            <w:r>
              <w:rPr>
                <w:sz w:val="13"/>
                <w:szCs w:val="13"/>
                <w:color w:val="212529"/>
                <w:spacing w:val="11"/>
                <w:w w:val="101"/>
              </w:rPr>
              <w:t xml:space="preserve"> </w:t>
            </w:r>
            <w:r>
              <w:rPr>
                <w:sz w:val="13"/>
                <w:szCs w:val="13"/>
                <w:color w:val="212529"/>
                <w:spacing w:val="4"/>
              </w:rPr>
              <w:t>69</w:t>
            </w:r>
          </w:p>
        </w:tc>
      </w:tr>
      <w:tr>
        <w:trPr>
          <w:trHeight w:val="314" w:hRule="atLeast"/>
        </w:trPr>
        <w:tc>
          <w:tcPr>
            <w:tcW w:w="177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337"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基层医疗卫生机构</w:t>
            </w:r>
          </w:p>
        </w:tc>
        <w:tc>
          <w:tcPr>
            <w:tcW w:w="1404"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635.51</w:t>
            </w:r>
          </w:p>
        </w:tc>
        <w:tc>
          <w:tcPr>
            <w:tcW w:w="1361" w:type="dxa"/>
            <w:vAlign w:val="top"/>
          </w:tcPr>
          <w:p>
            <w:pPr>
              <w:pStyle w:val="TableText"/>
              <w:ind w:left="852"/>
              <w:spacing w:before="102" w:line="186" w:lineRule="auto"/>
              <w:rPr>
                <w:sz w:val="13"/>
                <w:szCs w:val="13"/>
              </w:rPr>
            </w:pPr>
            <w:r>
              <w:rPr>
                <w:sz w:val="13"/>
                <w:szCs w:val="13"/>
                <w:color w:val="212529"/>
                <w:spacing w:val="4"/>
              </w:rPr>
              <w:t>574.</w:t>
            </w:r>
            <w:r>
              <w:rPr>
                <w:sz w:val="13"/>
                <w:szCs w:val="13"/>
                <w:color w:val="212529"/>
                <w:spacing w:val="13"/>
              </w:rPr>
              <w:t xml:space="preserve"> </w:t>
            </w:r>
            <w:r>
              <w:rPr>
                <w:sz w:val="13"/>
                <w:szCs w:val="13"/>
                <w:color w:val="212529"/>
                <w:spacing w:val="4"/>
              </w:rPr>
              <w:t>83</w:t>
            </w:r>
          </w:p>
        </w:tc>
        <w:tc>
          <w:tcPr>
            <w:tcW w:w="1280" w:type="dxa"/>
            <w:vAlign w:val="top"/>
          </w:tcPr>
          <w:p>
            <w:pPr>
              <w:pStyle w:val="TableText"/>
              <w:ind w:left="849"/>
              <w:spacing w:before="102" w:line="186" w:lineRule="auto"/>
              <w:rPr>
                <w:sz w:val="13"/>
                <w:szCs w:val="13"/>
              </w:rPr>
            </w:pPr>
            <w:r>
              <w:rPr>
                <w:sz w:val="13"/>
                <w:szCs w:val="13"/>
                <w:color w:val="212529"/>
                <w:spacing w:val="4"/>
              </w:rPr>
              <w:t>60.</w:t>
            </w:r>
            <w:r>
              <w:rPr>
                <w:sz w:val="13"/>
                <w:szCs w:val="13"/>
                <w:color w:val="212529"/>
                <w:spacing w:val="11"/>
                <w:w w:val="101"/>
              </w:rPr>
              <w:t xml:space="preserve"> </w:t>
            </w:r>
            <w:r>
              <w:rPr>
                <w:sz w:val="13"/>
                <w:szCs w:val="13"/>
                <w:color w:val="212529"/>
                <w:spacing w:val="4"/>
              </w:rPr>
              <w:t>69</w:t>
            </w:r>
          </w:p>
        </w:tc>
      </w:tr>
      <w:tr>
        <w:trPr>
          <w:trHeight w:val="314" w:hRule="atLeast"/>
        </w:trPr>
        <w:tc>
          <w:tcPr>
            <w:tcW w:w="1776"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337" w:type="dxa"/>
            <w:vAlign w:val="top"/>
          </w:tcPr>
          <w:p>
            <w:pPr>
              <w:ind w:left="10"/>
              <w:spacing w:before="83"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404"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586.05</w:t>
            </w:r>
          </w:p>
        </w:tc>
        <w:tc>
          <w:tcPr>
            <w:tcW w:w="1361"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574.83</w:t>
            </w:r>
          </w:p>
        </w:tc>
        <w:tc>
          <w:tcPr>
            <w:tcW w:w="1280"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11.23</w:t>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337" w:type="dxa"/>
            <w:vAlign w:val="top"/>
          </w:tcPr>
          <w:p>
            <w:pPr>
              <w:ind w:left="2"/>
              <w:spacing w:before="84"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404" w:type="dxa"/>
            <w:vAlign w:val="top"/>
          </w:tcPr>
          <w:p>
            <w:pPr>
              <w:ind w:right="19"/>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49.46</w:t>
            </w:r>
          </w:p>
        </w:tc>
        <w:tc>
          <w:tcPr>
            <w:tcW w:w="1361" w:type="dxa"/>
            <w:vAlign w:val="top"/>
          </w:tcPr>
          <w:p>
            <w:pPr>
              <w:pStyle w:val="TableText"/>
              <w:rPr/>
            </w:pPr>
            <w:r/>
          </w:p>
        </w:tc>
        <w:tc>
          <w:tcPr>
            <w:tcW w:w="1280" w:type="dxa"/>
            <w:vAlign w:val="top"/>
          </w:tcPr>
          <w:p>
            <w:pPr>
              <w:ind w:right="24"/>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49.46</w:t>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337" w:type="dxa"/>
            <w:vAlign w:val="top"/>
          </w:tcPr>
          <w:p>
            <w:pPr>
              <w:ind w:left="3"/>
              <w:spacing w:before="8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04"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28.25</w:t>
            </w:r>
          </w:p>
        </w:tc>
        <w:tc>
          <w:tcPr>
            <w:tcW w:w="1361" w:type="dxa"/>
            <w:vAlign w:val="top"/>
          </w:tcPr>
          <w:p>
            <w:pPr>
              <w:pStyle w:val="TableText"/>
              <w:rPr/>
            </w:pPr>
            <w:r/>
          </w:p>
        </w:tc>
        <w:tc>
          <w:tcPr>
            <w:tcW w:w="1280" w:type="dxa"/>
            <w:vAlign w:val="top"/>
          </w:tcPr>
          <w:p>
            <w:pPr>
              <w:pStyle w:val="TableText"/>
              <w:rPr/>
            </w:pPr>
            <w:r/>
          </w:p>
        </w:tc>
      </w:tr>
      <w:tr>
        <w:trPr>
          <w:trHeight w:val="314" w:hRule="atLeast"/>
        </w:trPr>
        <w:tc>
          <w:tcPr>
            <w:tcW w:w="1776"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337" w:type="dxa"/>
            <w:vAlign w:val="top"/>
          </w:tcPr>
          <w:p>
            <w:pPr>
              <w:ind w:left="4"/>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04"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28.25</w:t>
            </w:r>
          </w:p>
        </w:tc>
        <w:tc>
          <w:tcPr>
            <w:tcW w:w="1361"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28.25</w:t>
            </w:r>
          </w:p>
        </w:tc>
        <w:tc>
          <w:tcPr>
            <w:tcW w:w="1280" w:type="dxa"/>
            <w:vAlign w:val="top"/>
          </w:tcPr>
          <w:p>
            <w:pPr>
              <w:pStyle w:val="TableText"/>
              <w:rPr/>
            </w:pPr>
            <w:r/>
          </w:p>
        </w:tc>
      </w:tr>
      <w:tr>
        <w:trPr>
          <w:trHeight w:val="314" w:hRule="atLeast"/>
        </w:trPr>
        <w:tc>
          <w:tcPr>
            <w:tcW w:w="1776"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04" w:type="dxa"/>
            <w:vAlign w:val="top"/>
          </w:tcPr>
          <w:p>
            <w:pPr>
              <w:ind w:right="19"/>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54.54</w:t>
            </w:r>
          </w:p>
        </w:tc>
        <w:tc>
          <w:tcPr>
            <w:tcW w:w="1361" w:type="dxa"/>
            <w:vAlign w:val="top"/>
          </w:tcPr>
          <w:p>
            <w:pPr>
              <w:pStyle w:val="TableText"/>
              <w:ind w:left="933"/>
              <w:spacing w:before="104" w:line="186" w:lineRule="auto"/>
              <w:rPr>
                <w:sz w:val="13"/>
                <w:szCs w:val="13"/>
              </w:rPr>
            </w:pPr>
            <w:r>
              <w:rPr>
                <w:sz w:val="13"/>
                <w:szCs w:val="13"/>
                <w:color w:val="212529"/>
                <w:spacing w:val="4"/>
              </w:rPr>
              <w:t>54.</w:t>
            </w:r>
            <w:r>
              <w:rPr>
                <w:sz w:val="13"/>
                <w:szCs w:val="13"/>
                <w:color w:val="212529"/>
                <w:spacing w:val="12"/>
                <w:w w:val="102"/>
              </w:rPr>
              <w:t xml:space="preserve"> </w:t>
            </w:r>
            <w:r>
              <w:rPr>
                <w:sz w:val="13"/>
                <w:szCs w:val="13"/>
                <w:color w:val="212529"/>
                <w:spacing w:val="4"/>
              </w:rPr>
              <w:t>54</w:t>
            </w:r>
          </w:p>
        </w:tc>
        <w:tc>
          <w:tcPr>
            <w:tcW w:w="1280" w:type="dxa"/>
            <w:vAlign w:val="top"/>
          </w:tcPr>
          <w:p>
            <w:pPr>
              <w:pStyle w:val="TableText"/>
              <w:rPr/>
            </w:pPr>
            <w:r/>
          </w:p>
        </w:tc>
      </w:tr>
      <w:tr>
        <w:trPr>
          <w:trHeight w:val="314" w:hRule="atLeast"/>
        </w:trPr>
        <w:tc>
          <w:tcPr>
            <w:tcW w:w="177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04" w:type="dxa"/>
            <w:vAlign w:val="top"/>
          </w:tcPr>
          <w:p>
            <w:pPr>
              <w:ind w:right="19"/>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54.54</w:t>
            </w:r>
          </w:p>
        </w:tc>
        <w:tc>
          <w:tcPr>
            <w:tcW w:w="1361" w:type="dxa"/>
            <w:vAlign w:val="top"/>
          </w:tcPr>
          <w:p>
            <w:pPr>
              <w:pStyle w:val="TableText"/>
              <w:ind w:left="933"/>
              <w:spacing w:before="104" w:line="186" w:lineRule="auto"/>
              <w:rPr>
                <w:sz w:val="13"/>
                <w:szCs w:val="13"/>
              </w:rPr>
            </w:pPr>
            <w:r>
              <w:rPr>
                <w:sz w:val="13"/>
                <w:szCs w:val="13"/>
                <w:color w:val="212529"/>
                <w:spacing w:val="4"/>
              </w:rPr>
              <w:t>54.</w:t>
            </w:r>
            <w:r>
              <w:rPr>
                <w:sz w:val="13"/>
                <w:szCs w:val="13"/>
                <w:color w:val="212529"/>
                <w:spacing w:val="12"/>
                <w:w w:val="102"/>
              </w:rPr>
              <w:t xml:space="preserve"> </w:t>
            </w:r>
            <w:r>
              <w:rPr>
                <w:sz w:val="13"/>
                <w:szCs w:val="13"/>
                <w:color w:val="212529"/>
                <w:spacing w:val="4"/>
              </w:rPr>
              <w:t>54</w:t>
            </w:r>
          </w:p>
        </w:tc>
        <w:tc>
          <w:tcPr>
            <w:tcW w:w="1280" w:type="dxa"/>
            <w:vAlign w:val="top"/>
          </w:tcPr>
          <w:p>
            <w:pPr>
              <w:pStyle w:val="TableText"/>
              <w:rPr/>
            </w:pPr>
            <w:r/>
          </w:p>
        </w:tc>
      </w:tr>
      <w:tr>
        <w:trPr>
          <w:trHeight w:val="319" w:hRule="atLeast"/>
        </w:trPr>
        <w:tc>
          <w:tcPr>
            <w:tcW w:w="1776"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337" w:type="dxa"/>
            <w:vAlign w:val="top"/>
          </w:tcPr>
          <w:p>
            <w:pPr>
              <w:ind w:left="3"/>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04" w:type="dxa"/>
            <w:vAlign w:val="top"/>
          </w:tcPr>
          <w:p>
            <w:pPr>
              <w:ind w:right="19"/>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54.54</w:t>
            </w:r>
          </w:p>
        </w:tc>
        <w:tc>
          <w:tcPr>
            <w:tcW w:w="1361"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54.54</w:t>
            </w:r>
          </w:p>
        </w:tc>
        <w:tc>
          <w:tcPr>
            <w:tcW w:w="1280" w:type="dxa"/>
            <w:vAlign w:val="top"/>
          </w:tcPr>
          <w:p>
            <w:pPr>
              <w:pStyle w:val="TableText"/>
              <w:rPr/>
            </w:pPr>
            <w:r/>
          </w:p>
        </w:tc>
      </w:tr>
    </w:tbl>
    <w:p>
      <w:pPr>
        <w:pStyle w:val="BodyText"/>
        <w:rPr/>
      </w:pPr>
      <w:r/>
    </w:p>
    <w:p>
      <w:pPr>
        <w:sectPr>
          <w:headerReference w:type="default" r:id="rId12"/>
          <w:footerReference w:type="default" r:id="rId13"/>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left="1198"/>
              <w:spacing w:before="115" w:line="225" w:lineRule="auto"/>
              <w:rPr>
                <w:rFonts w:ascii="SimSun" w:hAnsi="SimSun" w:eastAsia="SimSun" w:cs="SimSun"/>
                <w:sz w:val="14"/>
                <w:szCs w:val="14"/>
              </w:rPr>
            </w:pPr>
            <w:r>
              <w:rPr>
                <w:rFonts w:ascii="SimSun" w:hAnsi="SimSun" w:eastAsia="SimSun" w:cs="SimSun"/>
                <w:sz w:val="14"/>
                <w:szCs w:val="14"/>
                <w:color w:val="212529"/>
              </w:rPr>
              <w:t>预</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57"/>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97"/>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预算</w:t>
            </w:r>
          </w:p>
        </w:tc>
        <w:tc>
          <w:tcPr>
            <w:tcW w:w="1074" w:type="dxa"/>
            <w:vAlign w:val="top"/>
          </w:tcPr>
          <w:p>
            <w:pPr>
              <w:ind w:left="56"/>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61"/>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792.86</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74.55</w:t>
            </w:r>
          </w:p>
        </w:tc>
        <w:tc>
          <w:tcPr>
            <w:tcW w:w="106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.55</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663.77</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663.77</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54.54</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54.54</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74"/>
              <w:spacing w:before="137" w:line="186" w:lineRule="auto"/>
              <w:rPr>
                <w:sz w:val="13"/>
                <w:szCs w:val="13"/>
              </w:rPr>
            </w:pPr>
            <w:r>
              <w:rPr>
                <w:sz w:val="13"/>
                <w:szCs w:val="13"/>
                <w:color w:val="212529"/>
                <w:spacing w:val="4"/>
              </w:rPr>
              <w:t>792.</w:t>
            </w:r>
            <w:r>
              <w:rPr>
                <w:sz w:val="13"/>
                <w:szCs w:val="13"/>
                <w:color w:val="212529"/>
                <w:spacing w:val="15"/>
              </w:rPr>
              <w:t xml:space="preserve"> </w:t>
            </w:r>
            <w:r>
              <w:rPr>
                <w:sz w:val="13"/>
                <w:szCs w:val="13"/>
                <w:color w:val="212529"/>
                <w:spacing w:val="4"/>
              </w:rPr>
              <w:t>86</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72"/>
              <w:spacing w:before="138" w:line="172" w:lineRule="auto"/>
              <w:rPr>
                <w:sz w:val="14"/>
                <w:szCs w:val="14"/>
              </w:rPr>
            </w:pPr>
            <w:r>
              <w:rPr>
                <w:sz w:val="14"/>
                <w:szCs w:val="14"/>
                <w:color w:val="212529"/>
              </w:rPr>
              <w:t>792.</w:t>
            </w:r>
            <w:r>
              <w:rPr>
                <w:sz w:val="14"/>
                <w:szCs w:val="14"/>
                <w:color w:val="212529"/>
                <w:spacing w:val="6"/>
              </w:rPr>
              <w:t xml:space="preserve"> </w:t>
            </w:r>
            <w:r>
              <w:rPr>
                <w:sz w:val="14"/>
                <w:szCs w:val="14"/>
                <w:color w:val="212529"/>
              </w:rPr>
              <w:t>86</w:t>
            </w:r>
          </w:p>
        </w:tc>
        <w:tc>
          <w:tcPr>
            <w:tcW w:w="1069" w:type="dxa"/>
            <w:vAlign w:val="top"/>
          </w:tcPr>
          <w:p>
            <w:pPr>
              <w:pStyle w:val="TableText"/>
              <w:ind w:left="287"/>
              <w:spacing w:before="138" w:line="172" w:lineRule="auto"/>
              <w:rPr>
                <w:sz w:val="14"/>
                <w:szCs w:val="14"/>
              </w:rPr>
            </w:pPr>
            <w:r>
              <w:rPr>
                <w:sz w:val="14"/>
                <w:szCs w:val="14"/>
                <w:color w:val="212529"/>
              </w:rPr>
              <w:t>792.</w:t>
            </w:r>
            <w:r>
              <w:rPr>
                <w:sz w:val="14"/>
                <w:szCs w:val="14"/>
                <w:color w:val="212529"/>
                <w:spacing w:val="6"/>
              </w:rPr>
              <w:t xml:space="preserve"> </w:t>
            </w:r>
            <w:r>
              <w:rPr>
                <w:sz w:val="14"/>
                <w:szCs w:val="14"/>
                <w:color w:val="212529"/>
              </w:rPr>
              <w:t>86</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4"/>
          <w:footerReference w:type="default" r:id="rId15"/>
          <w:pgSz w:w="11900" w:h="16840"/>
          <w:pgMar w:top="642" w:right="0" w:bottom="340" w:left="0" w:header="326" w:footer="111"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8"/>
              </w:rPr>
              <w:t>上年财</w:t>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74"/>
              <w:spacing w:before="136" w:line="186" w:lineRule="auto"/>
              <w:rPr>
                <w:sz w:val="13"/>
                <w:szCs w:val="13"/>
              </w:rPr>
            </w:pPr>
            <w:r>
              <w:rPr>
                <w:sz w:val="13"/>
                <w:szCs w:val="13"/>
                <w:color w:val="212529"/>
                <w:spacing w:val="4"/>
              </w:rPr>
              <w:t>792.</w:t>
            </w:r>
            <w:r>
              <w:rPr>
                <w:sz w:val="13"/>
                <w:szCs w:val="13"/>
                <w:color w:val="212529"/>
                <w:spacing w:val="15"/>
              </w:rPr>
              <w:t xml:space="preserve"> </w:t>
            </w:r>
            <w:r>
              <w:rPr>
                <w:sz w:val="13"/>
                <w:szCs w:val="13"/>
                <w:color w:val="212529"/>
                <w:spacing w:val="4"/>
              </w:rPr>
              <w:t>86</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72"/>
              <w:spacing w:before="136" w:line="186" w:lineRule="auto"/>
              <w:rPr>
                <w:sz w:val="13"/>
                <w:szCs w:val="13"/>
              </w:rPr>
            </w:pPr>
            <w:r>
              <w:rPr>
                <w:sz w:val="13"/>
                <w:szCs w:val="13"/>
                <w:color w:val="212529"/>
                <w:spacing w:val="4"/>
              </w:rPr>
              <w:t>792.</w:t>
            </w:r>
            <w:r>
              <w:rPr>
                <w:sz w:val="13"/>
                <w:szCs w:val="13"/>
                <w:color w:val="212529"/>
                <w:spacing w:val="15"/>
              </w:rPr>
              <w:t xml:space="preserve"> </w:t>
            </w:r>
            <w:r>
              <w:rPr>
                <w:sz w:val="13"/>
                <w:szCs w:val="13"/>
                <w:color w:val="212529"/>
                <w:spacing w:val="4"/>
              </w:rPr>
              <w:t>86</w:t>
            </w:r>
          </w:p>
        </w:tc>
        <w:tc>
          <w:tcPr>
            <w:tcW w:w="1069" w:type="dxa"/>
            <w:vAlign w:val="top"/>
          </w:tcPr>
          <w:p>
            <w:pPr>
              <w:pStyle w:val="TableText"/>
              <w:ind w:left="287"/>
              <w:spacing w:before="136" w:line="172" w:lineRule="auto"/>
              <w:rPr>
                <w:sz w:val="14"/>
                <w:szCs w:val="14"/>
              </w:rPr>
            </w:pPr>
            <w:r>
              <w:rPr>
                <w:sz w:val="14"/>
                <w:szCs w:val="14"/>
                <w:color w:val="212529"/>
              </w:rPr>
              <w:t>792.</w:t>
            </w:r>
            <w:r>
              <w:rPr>
                <w:sz w:val="14"/>
                <w:szCs w:val="14"/>
                <w:color w:val="212529"/>
                <w:spacing w:val="6"/>
              </w:rPr>
              <w:t xml:space="preserve"> </w:t>
            </w:r>
            <w:r>
              <w:rPr>
                <w:sz w:val="14"/>
                <w:szCs w:val="14"/>
                <w:color w:val="212529"/>
              </w:rPr>
              <w:t>86</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6"/>
          <w:footerReference w:type="default" r:id="rId17"/>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9"/>
        <w:gridCol w:w="3143"/>
        <w:gridCol w:w="1544"/>
        <w:gridCol w:w="1415"/>
        <w:gridCol w:w="1377"/>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81"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w:t>
            </w:r>
          </w:p>
        </w:tc>
        <w:tc>
          <w:tcPr>
            <w:tcW w:w="1377" w:type="dxa"/>
            <w:vAlign w:val="top"/>
            <w:tcBorders>
              <w:top w:val="single" w:color="FFFFFF" w:sz="4" w:space="0"/>
              <w:left w:val="single" w:color="FFFFFF" w:sz="2" w:space="0"/>
              <w:right w:val="single" w:color="FFFFFF" w:sz="2" w:space="0"/>
            </w:tcBorders>
          </w:tcPr>
          <w:p>
            <w:pPr>
              <w:ind w:left="704"/>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822" w:type="dxa"/>
            <w:vAlign w:val="top"/>
            <w:gridSpan w:val="2"/>
          </w:tcPr>
          <w:p>
            <w:pPr>
              <w:ind w:left="2239"/>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36" w:type="dxa"/>
            <w:vAlign w:val="top"/>
            <w:gridSpan w:val="3"/>
          </w:tcPr>
          <w:p>
            <w:pPr>
              <w:ind w:left="167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79" w:type="dxa"/>
            <w:vAlign w:val="top"/>
          </w:tcPr>
          <w:p>
            <w:pPr>
              <w:ind w:left="498"/>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43" w:type="dxa"/>
            <w:vAlign w:val="top"/>
          </w:tcPr>
          <w:p>
            <w:pPr>
              <w:ind w:left="123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44" w:type="dxa"/>
            <w:vAlign w:val="top"/>
          </w:tcPr>
          <w:p>
            <w:pPr>
              <w:ind w:left="603"/>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15" w:type="dxa"/>
            <w:vAlign w:val="top"/>
          </w:tcPr>
          <w:p>
            <w:pPr>
              <w:ind w:left="369"/>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377" w:type="dxa"/>
            <w:vAlign w:val="top"/>
          </w:tcPr>
          <w:p>
            <w:pPr>
              <w:ind w:left="35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822" w:type="dxa"/>
            <w:vAlign w:val="top"/>
            <w:gridSpan w:val="2"/>
          </w:tcPr>
          <w:p>
            <w:pPr>
              <w:ind w:left="2241"/>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44" w:type="dxa"/>
            <w:vAlign w:val="top"/>
          </w:tcPr>
          <w:p>
            <w:pPr>
              <w:pStyle w:val="TableText"/>
              <w:ind w:left="1036"/>
              <w:spacing w:before="87" w:line="172" w:lineRule="auto"/>
              <w:rPr>
                <w:sz w:val="14"/>
                <w:szCs w:val="14"/>
              </w:rPr>
            </w:pPr>
            <w:r>
              <w:rPr>
                <w:sz w:val="14"/>
                <w:szCs w:val="14"/>
                <w:color w:val="212529"/>
              </w:rPr>
              <w:t>792.</w:t>
            </w:r>
            <w:r>
              <w:rPr>
                <w:sz w:val="14"/>
                <w:szCs w:val="14"/>
                <w:color w:val="212529"/>
                <w:spacing w:val="6"/>
              </w:rPr>
              <w:t xml:space="preserve"> </w:t>
            </w:r>
            <w:r>
              <w:rPr>
                <w:sz w:val="14"/>
                <w:szCs w:val="14"/>
                <w:color w:val="212529"/>
              </w:rPr>
              <w:t>86</w:t>
            </w:r>
          </w:p>
        </w:tc>
        <w:tc>
          <w:tcPr>
            <w:tcW w:w="1415" w:type="dxa"/>
            <w:vAlign w:val="top"/>
          </w:tcPr>
          <w:p>
            <w:pPr>
              <w:pStyle w:val="TableText"/>
              <w:ind w:left="905"/>
              <w:spacing w:before="87" w:line="186" w:lineRule="auto"/>
              <w:rPr>
                <w:sz w:val="13"/>
                <w:szCs w:val="13"/>
              </w:rPr>
            </w:pPr>
            <w:r>
              <w:rPr>
                <w:sz w:val="13"/>
                <w:szCs w:val="13"/>
                <w:color w:val="212529"/>
                <w:spacing w:val="4"/>
              </w:rPr>
              <w:t>732.</w:t>
            </w:r>
            <w:r>
              <w:rPr>
                <w:sz w:val="13"/>
                <w:szCs w:val="13"/>
                <w:color w:val="212529"/>
                <w:spacing w:val="14"/>
                <w:w w:val="101"/>
              </w:rPr>
              <w:t xml:space="preserve"> </w:t>
            </w:r>
            <w:r>
              <w:rPr>
                <w:sz w:val="13"/>
                <w:szCs w:val="13"/>
                <w:color w:val="212529"/>
                <w:spacing w:val="4"/>
              </w:rPr>
              <w:t>17</w:t>
            </w:r>
          </w:p>
        </w:tc>
        <w:tc>
          <w:tcPr>
            <w:tcW w:w="1377" w:type="dxa"/>
            <w:vAlign w:val="top"/>
          </w:tcPr>
          <w:p>
            <w:pPr>
              <w:pStyle w:val="TableText"/>
              <w:ind w:left="946"/>
              <w:spacing w:before="87" w:line="186" w:lineRule="auto"/>
              <w:rPr>
                <w:sz w:val="13"/>
                <w:szCs w:val="13"/>
              </w:rPr>
            </w:pPr>
            <w:r>
              <w:rPr>
                <w:sz w:val="13"/>
                <w:szCs w:val="13"/>
                <w:color w:val="212529"/>
                <w:spacing w:val="4"/>
              </w:rPr>
              <w:t>60.</w:t>
            </w:r>
            <w:r>
              <w:rPr>
                <w:sz w:val="13"/>
                <w:szCs w:val="13"/>
                <w:color w:val="212529"/>
                <w:spacing w:val="11"/>
                <w:w w:val="101"/>
              </w:rPr>
              <w:t xml:space="preserve"> </w:t>
            </w:r>
            <w:r>
              <w:rPr>
                <w:sz w:val="13"/>
                <w:szCs w:val="13"/>
                <w:color w:val="212529"/>
                <w:spacing w:val="4"/>
              </w:rPr>
              <w:t>69</w:t>
            </w:r>
          </w:p>
        </w:tc>
      </w:tr>
      <w:tr>
        <w:trPr>
          <w:trHeight w:val="292" w:hRule="atLeast"/>
        </w:trPr>
        <w:tc>
          <w:tcPr>
            <w:tcW w:w="1679"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43" w:type="dxa"/>
            <w:vAlign w:val="top"/>
          </w:tcPr>
          <w:p>
            <w:pPr>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44" w:type="dxa"/>
            <w:vAlign w:val="top"/>
          </w:tcPr>
          <w:p>
            <w:pPr>
              <w:ind w:right="22"/>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74.55</w:t>
            </w:r>
          </w:p>
        </w:tc>
        <w:tc>
          <w:tcPr>
            <w:tcW w:w="1415"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74.55</w:t>
            </w:r>
          </w:p>
        </w:tc>
        <w:tc>
          <w:tcPr>
            <w:tcW w:w="1377" w:type="dxa"/>
            <w:vAlign w:val="top"/>
          </w:tcPr>
          <w:p>
            <w:pPr>
              <w:pStyle w:val="TableText"/>
              <w:rPr/>
            </w:pPr>
            <w:r/>
          </w:p>
        </w:tc>
      </w:tr>
      <w:tr>
        <w:trPr>
          <w:trHeight w:val="292" w:hRule="atLeast"/>
        </w:trPr>
        <w:tc>
          <w:tcPr>
            <w:tcW w:w="1679"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43"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44" w:type="dxa"/>
            <w:vAlign w:val="top"/>
          </w:tcPr>
          <w:p>
            <w:pPr>
              <w:ind w:right="22"/>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74.55</w:t>
            </w:r>
          </w:p>
        </w:tc>
        <w:tc>
          <w:tcPr>
            <w:tcW w:w="1415"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74.55</w:t>
            </w:r>
          </w:p>
        </w:tc>
        <w:tc>
          <w:tcPr>
            <w:tcW w:w="1377" w:type="dxa"/>
            <w:vAlign w:val="top"/>
          </w:tcPr>
          <w:p>
            <w:pPr>
              <w:pStyle w:val="TableText"/>
              <w:rPr/>
            </w:pPr>
            <w:r/>
          </w:p>
        </w:tc>
      </w:tr>
      <w:tr>
        <w:trPr>
          <w:trHeight w:val="292" w:hRule="atLeast"/>
        </w:trPr>
        <w:tc>
          <w:tcPr>
            <w:tcW w:w="1679"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143" w:type="dxa"/>
            <w:vAlign w:val="top"/>
          </w:tcPr>
          <w:p>
            <w:pPr>
              <w:spacing w:before="70"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544"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5.64</w:t>
            </w:r>
          </w:p>
        </w:tc>
        <w:tc>
          <w:tcPr>
            <w:tcW w:w="1415"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5.64</w:t>
            </w:r>
          </w:p>
        </w:tc>
        <w:tc>
          <w:tcPr>
            <w:tcW w:w="1377" w:type="dxa"/>
            <w:vAlign w:val="top"/>
          </w:tcPr>
          <w:p>
            <w:pPr>
              <w:pStyle w:val="TableText"/>
              <w:rPr/>
            </w:pPr>
            <w:r/>
          </w:p>
        </w:tc>
      </w:tr>
      <w:tr>
        <w:trPr>
          <w:trHeight w:val="292" w:hRule="atLeast"/>
        </w:trPr>
        <w:tc>
          <w:tcPr>
            <w:tcW w:w="1679"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43" w:type="dxa"/>
            <w:vAlign w:val="top"/>
          </w:tcPr>
          <w:p>
            <w:pPr>
              <w:spacing w:before="71"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4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68.91</w:t>
            </w:r>
          </w:p>
        </w:tc>
        <w:tc>
          <w:tcPr>
            <w:tcW w:w="1415"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68.91</w:t>
            </w:r>
          </w:p>
        </w:tc>
        <w:tc>
          <w:tcPr>
            <w:tcW w:w="1377" w:type="dxa"/>
            <w:vAlign w:val="top"/>
          </w:tcPr>
          <w:p>
            <w:pPr>
              <w:pStyle w:val="TableText"/>
              <w:rPr/>
            </w:pPr>
            <w:r/>
          </w:p>
        </w:tc>
      </w:tr>
      <w:tr>
        <w:trPr>
          <w:trHeight w:val="292" w:hRule="atLeast"/>
        </w:trPr>
        <w:tc>
          <w:tcPr>
            <w:tcW w:w="1679"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43" w:type="dxa"/>
            <w:vAlign w:val="top"/>
          </w:tcPr>
          <w:p>
            <w:pPr>
              <w:spacing w:before="71"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4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663.77</w:t>
            </w:r>
          </w:p>
        </w:tc>
        <w:tc>
          <w:tcPr>
            <w:tcW w:w="1415"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603.08</w:t>
            </w:r>
          </w:p>
        </w:tc>
        <w:tc>
          <w:tcPr>
            <w:tcW w:w="1377"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60.69</w:t>
            </w:r>
          </w:p>
        </w:tc>
      </w:tr>
      <w:tr>
        <w:trPr>
          <w:trHeight w:val="292" w:hRule="atLeast"/>
        </w:trPr>
        <w:tc>
          <w:tcPr>
            <w:tcW w:w="1679"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143" w:type="dxa"/>
            <w:vAlign w:val="top"/>
          </w:tcPr>
          <w:p>
            <w:pPr>
              <w:spacing w:before="72" w:line="228" w:lineRule="auto"/>
              <w:rPr>
                <w:rFonts w:ascii="SimSun" w:hAnsi="SimSun" w:eastAsia="SimSun" w:cs="SimSun"/>
                <w:sz w:val="15"/>
                <w:szCs w:val="15"/>
              </w:rPr>
            </w:pPr>
            <w:r>
              <w:rPr>
                <w:rFonts w:ascii="SimSun" w:hAnsi="SimSun" w:eastAsia="SimSun" w:cs="SimSun"/>
                <w:sz w:val="15"/>
                <w:szCs w:val="15"/>
                <w:color w:val="212529"/>
                <w:spacing w:val="10"/>
              </w:rPr>
              <w:t>基层医疗卫生机构</w:t>
            </w:r>
          </w:p>
        </w:tc>
        <w:tc>
          <w:tcPr>
            <w:tcW w:w="1544"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635.51</w:t>
            </w:r>
          </w:p>
        </w:tc>
        <w:tc>
          <w:tcPr>
            <w:tcW w:w="1415"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574.83</w:t>
            </w:r>
          </w:p>
        </w:tc>
        <w:tc>
          <w:tcPr>
            <w:tcW w:w="1377"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60.69</w:t>
            </w:r>
          </w:p>
        </w:tc>
      </w:tr>
      <w:tr>
        <w:trPr>
          <w:trHeight w:val="292" w:hRule="atLeast"/>
        </w:trPr>
        <w:tc>
          <w:tcPr>
            <w:tcW w:w="1679"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143" w:type="dxa"/>
            <w:vAlign w:val="top"/>
          </w:tcPr>
          <w:p>
            <w:pPr>
              <w:ind w:left="5"/>
              <w:spacing w:before="73"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544"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586.05</w:t>
            </w:r>
          </w:p>
        </w:tc>
        <w:tc>
          <w:tcPr>
            <w:tcW w:w="1415"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574.83</w:t>
            </w:r>
          </w:p>
        </w:tc>
        <w:tc>
          <w:tcPr>
            <w:tcW w:w="1377"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11.23</w:t>
            </w:r>
          </w:p>
        </w:tc>
      </w:tr>
      <w:tr>
        <w:trPr>
          <w:trHeight w:val="292" w:hRule="atLeast"/>
        </w:trPr>
        <w:tc>
          <w:tcPr>
            <w:tcW w:w="1679"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3143" w:type="dxa"/>
            <w:vAlign w:val="top"/>
          </w:tcPr>
          <w:p>
            <w:pPr>
              <w:spacing w:before="74"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544" w:type="dxa"/>
            <w:vAlign w:val="top"/>
          </w:tcPr>
          <w:p>
            <w:pPr>
              <w:ind w:right="22"/>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49.46</w:t>
            </w:r>
          </w:p>
        </w:tc>
        <w:tc>
          <w:tcPr>
            <w:tcW w:w="1415" w:type="dxa"/>
            <w:vAlign w:val="top"/>
          </w:tcPr>
          <w:p>
            <w:pPr>
              <w:pStyle w:val="TableText"/>
              <w:rPr/>
            </w:pPr>
            <w:r/>
          </w:p>
        </w:tc>
        <w:tc>
          <w:tcPr>
            <w:tcW w:w="1377" w:type="dxa"/>
            <w:vAlign w:val="top"/>
          </w:tcPr>
          <w:p>
            <w:pPr>
              <w:ind w:right="24"/>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9.46</w:t>
            </w:r>
          </w:p>
        </w:tc>
      </w:tr>
      <w:tr>
        <w:trPr>
          <w:trHeight w:val="292" w:hRule="atLeast"/>
        </w:trPr>
        <w:tc>
          <w:tcPr>
            <w:tcW w:w="1679" w:type="dxa"/>
            <w:vAlign w:val="top"/>
          </w:tcPr>
          <w:p>
            <w:pPr>
              <w:ind w:left="261"/>
              <w:spacing w:before="74" w:line="204" w:lineRule="exact"/>
              <w:rPr>
                <w:rFonts w:ascii="SimSun" w:hAnsi="SimSun" w:eastAsia="SimSun" w:cs="SimSun"/>
                <w:sz w:val="15"/>
                <w:szCs w:val="15"/>
              </w:rPr>
            </w:pPr>
            <w:r>
              <w:rPr>
                <w:rFonts w:ascii="SimSun" w:hAnsi="SimSun" w:eastAsia="SimSun" w:cs="SimSun"/>
                <w:sz w:val="15"/>
                <w:szCs w:val="15"/>
                <w:color w:val="212529"/>
                <w:spacing w:val="-4"/>
                <w:position w:val="1"/>
              </w:rPr>
              <w:t>11</w:t>
            </w:r>
          </w:p>
        </w:tc>
        <w:tc>
          <w:tcPr>
            <w:tcW w:w="3143" w:type="dxa"/>
            <w:vAlign w:val="top"/>
          </w:tcPr>
          <w:p>
            <w:pPr>
              <w:spacing w:before="7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4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28.25</w:t>
            </w:r>
          </w:p>
        </w:tc>
        <w:tc>
          <w:tcPr>
            <w:tcW w:w="1415" w:type="dxa"/>
            <w:vAlign w:val="top"/>
          </w:tcPr>
          <w:p>
            <w:pPr>
              <w:ind w:left="985"/>
              <w:spacing w:before="74" w:line="202" w:lineRule="exact"/>
              <w:rPr>
                <w:rFonts w:ascii="SimSun" w:hAnsi="SimSun" w:eastAsia="SimSun" w:cs="SimSun"/>
                <w:sz w:val="15"/>
                <w:szCs w:val="15"/>
              </w:rPr>
            </w:pPr>
            <w:r>
              <w:rPr>
                <w:rFonts w:ascii="SimSun" w:hAnsi="SimSun" w:eastAsia="SimSun" w:cs="SimSun"/>
                <w:sz w:val="15"/>
                <w:szCs w:val="15"/>
                <w:color w:val="212529"/>
                <w:spacing w:val="2"/>
                <w:position w:val="1"/>
              </w:rPr>
              <w:t>28.</w:t>
            </w:r>
          </w:p>
        </w:tc>
        <w:tc>
          <w:tcPr>
            <w:tcW w:w="1377" w:type="dxa"/>
            <w:vAlign w:val="top"/>
          </w:tcPr>
          <w:p>
            <w:pPr>
              <w:pStyle w:val="TableText"/>
              <w:rPr/>
            </w:pPr>
            <w:r/>
          </w:p>
        </w:tc>
      </w:tr>
      <w:tr>
        <w:trPr>
          <w:trHeight w:val="293" w:hRule="atLeast"/>
        </w:trPr>
        <w:tc>
          <w:tcPr>
            <w:tcW w:w="1679"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28.25</w:t>
            </w:r>
          </w:p>
        </w:tc>
        <w:tc>
          <w:tcPr>
            <w:tcW w:w="1415" w:type="dxa"/>
            <w:vAlign w:val="top"/>
          </w:tcPr>
          <w:p>
            <w:pPr>
              <w:ind w:left="1149"/>
              <w:spacing w:before="191"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377" w:type="dxa"/>
            <w:vAlign w:val="top"/>
          </w:tcPr>
          <w:p>
            <w:pPr>
              <w:pStyle w:val="TableText"/>
              <w:rPr/>
            </w:pPr>
            <w:r/>
          </w:p>
        </w:tc>
      </w:tr>
      <w:tr>
        <w:trPr>
          <w:trHeight w:val="293" w:hRule="atLeast"/>
        </w:trPr>
        <w:tc>
          <w:tcPr>
            <w:tcW w:w="1679"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43"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54.54</w:t>
            </w:r>
          </w:p>
        </w:tc>
        <w:tc>
          <w:tcPr>
            <w:tcW w:w="1415"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.54</w:t>
            </w:r>
          </w:p>
        </w:tc>
        <w:tc>
          <w:tcPr>
            <w:tcW w:w="1377" w:type="dxa"/>
            <w:vAlign w:val="top"/>
          </w:tcPr>
          <w:p>
            <w:pPr>
              <w:pStyle w:val="TableText"/>
              <w:rPr/>
            </w:pPr>
            <w:r/>
          </w:p>
        </w:tc>
      </w:tr>
      <w:tr>
        <w:trPr>
          <w:trHeight w:val="292" w:hRule="atLeast"/>
        </w:trPr>
        <w:tc>
          <w:tcPr>
            <w:tcW w:w="1679"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43" w:type="dxa"/>
            <w:vAlign w:val="top"/>
          </w:tcPr>
          <w:p>
            <w:pPr>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4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54.54</w:t>
            </w:r>
          </w:p>
        </w:tc>
        <w:tc>
          <w:tcPr>
            <w:tcW w:w="1415"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54.54</w:t>
            </w:r>
          </w:p>
        </w:tc>
        <w:tc>
          <w:tcPr>
            <w:tcW w:w="1377" w:type="dxa"/>
            <w:vAlign w:val="top"/>
          </w:tcPr>
          <w:p>
            <w:pPr>
              <w:pStyle w:val="TableText"/>
              <w:rPr/>
            </w:pPr>
            <w:r/>
          </w:p>
        </w:tc>
      </w:tr>
      <w:tr>
        <w:trPr>
          <w:trHeight w:val="298" w:hRule="atLeast"/>
        </w:trPr>
        <w:tc>
          <w:tcPr>
            <w:tcW w:w="1679"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9"/>
              </w:rPr>
              <w:t>住房公积金</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54.54</w:t>
            </w:r>
          </w:p>
        </w:tc>
        <w:tc>
          <w:tcPr>
            <w:tcW w:w="1415"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54.54</w:t>
            </w:r>
          </w:p>
        </w:tc>
        <w:tc>
          <w:tcPr>
            <w:tcW w:w="1377" w:type="dxa"/>
            <w:vAlign w:val="top"/>
          </w:tcPr>
          <w:p>
            <w:pPr>
              <w:pStyle w:val="TableText"/>
              <w:rPr/>
            </w:pPr>
            <w:r/>
          </w:p>
        </w:tc>
      </w:tr>
    </w:tbl>
    <w:p>
      <w:pPr>
        <w:pStyle w:val="BodyText"/>
        <w:rPr/>
      </w:pPr>
      <w:r/>
    </w:p>
    <w:p>
      <w:pPr>
        <w:sectPr>
          <w:headerReference w:type="default" r:id="rId18"/>
          <w:footerReference w:type="default" r:id="rId19"/>
          <w:pgSz w:w="11900" w:h="16840"/>
          <w:pgMar w:top="642" w:right="0" w:bottom="340" w:left="0" w:header="326" w:footer="111"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83"/>
              <w:spacing w:before="87" w:line="186" w:lineRule="auto"/>
              <w:rPr>
                <w:sz w:val="13"/>
                <w:szCs w:val="13"/>
              </w:rPr>
            </w:pPr>
            <w:r>
              <w:rPr>
                <w:sz w:val="13"/>
                <w:szCs w:val="13"/>
                <w:color w:val="212529"/>
                <w:spacing w:val="4"/>
              </w:rPr>
              <w:t>732.</w:t>
            </w:r>
            <w:r>
              <w:rPr>
                <w:sz w:val="13"/>
                <w:szCs w:val="13"/>
                <w:color w:val="212529"/>
                <w:spacing w:val="14"/>
                <w:w w:val="101"/>
              </w:rPr>
              <w:t xml:space="preserve"> </w:t>
            </w:r>
            <w:r>
              <w:rPr>
                <w:sz w:val="13"/>
                <w:szCs w:val="13"/>
                <w:color w:val="212529"/>
                <w:spacing w:val="4"/>
              </w:rPr>
              <w:t>17</w:t>
            </w:r>
          </w:p>
        </w:tc>
        <w:tc>
          <w:tcPr>
            <w:tcW w:w="1188" w:type="dxa"/>
            <w:vAlign w:val="top"/>
          </w:tcPr>
          <w:p>
            <w:pPr>
              <w:pStyle w:val="TableText"/>
              <w:ind w:left="686"/>
              <w:spacing w:before="87" w:line="186" w:lineRule="auto"/>
              <w:rPr>
                <w:sz w:val="13"/>
                <w:szCs w:val="13"/>
              </w:rPr>
            </w:pPr>
            <w:r>
              <w:rPr>
                <w:sz w:val="13"/>
                <w:szCs w:val="13"/>
                <w:color w:val="212529"/>
                <w:spacing w:val="4"/>
              </w:rPr>
              <w:t>705.</w:t>
            </w:r>
            <w:r>
              <w:rPr>
                <w:sz w:val="13"/>
                <w:szCs w:val="13"/>
                <w:color w:val="212529"/>
                <w:spacing w:val="13"/>
                <w:w w:val="102"/>
              </w:rPr>
              <w:t xml:space="preserve"> </w:t>
            </w:r>
            <w:r>
              <w:rPr>
                <w:sz w:val="13"/>
                <w:szCs w:val="13"/>
                <w:color w:val="212529"/>
                <w:spacing w:val="4"/>
              </w:rPr>
              <w:t>58</w:t>
            </w:r>
          </w:p>
        </w:tc>
        <w:tc>
          <w:tcPr>
            <w:tcW w:w="1118" w:type="dxa"/>
            <w:vAlign w:val="top"/>
          </w:tcPr>
          <w:p>
            <w:pPr>
              <w:pStyle w:val="TableText"/>
              <w:ind w:left="689"/>
              <w:spacing w:before="87" w:line="186" w:lineRule="auto"/>
              <w:rPr>
                <w:sz w:val="13"/>
                <w:szCs w:val="13"/>
              </w:rPr>
            </w:pPr>
            <w:r>
              <w:rPr>
                <w:sz w:val="13"/>
                <w:szCs w:val="13"/>
                <w:color w:val="212529"/>
                <w:spacing w:val="4"/>
              </w:rPr>
              <w:t>26.</w:t>
            </w:r>
            <w:r>
              <w:rPr>
                <w:sz w:val="13"/>
                <w:szCs w:val="13"/>
                <w:color w:val="212529"/>
                <w:spacing w:val="11"/>
                <w:w w:val="101"/>
              </w:rPr>
              <w:t xml:space="preserve"> </w:t>
            </w:r>
            <w:r>
              <w:rPr>
                <w:sz w:val="13"/>
                <w:szCs w:val="13"/>
                <w:color w:val="212529"/>
                <w:spacing w:val="4"/>
              </w:rPr>
              <w:t>60</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699.95</w:t>
            </w:r>
          </w:p>
        </w:tc>
        <w:tc>
          <w:tcPr>
            <w:tcW w:w="1188"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699.95</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259.05</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259.05</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45.80</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45.80</w:t>
            </w:r>
          </w:p>
        </w:tc>
        <w:tc>
          <w:tcPr>
            <w:tcW w:w="1118" w:type="dxa"/>
            <w:vAlign w:val="top"/>
          </w:tcPr>
          <w:p>
            <w:pPr>
              <w:pStyle w:val="TableText"/>
              <w:rPr/>
            </w:pPr>
            <w:r/>
          </w:p>
        </w:tc>
      </w:tr>
      <w:tr>
        <w:trPr>
          <w:trHeight w:val="292" w:hRule="atLeast"/>
        </w:trPr>
        <w:tc>
          <w:tcPr>
            <w:tcW w:w="3310"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162.64</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162.64</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68.91</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68.91</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27.99</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27.99</w:t>
            </w:r>
          </w:p>
        </w:tc>
        <w:tc>
          <w:tcPr>
            <w:tcW w:w="1118" w:type="dxa"/>
            <w:vAlign w:val="top"/>
          </w:tcPr>
          <w:p>
            <w:pPr>
              <w:pStyle w:val="TableText"/>
              <w:rPr/>
            </w:pPr>
            <w:r/>
          </w:p>
        </w:tc>
      </w:tr>
      <w:tr>
        <w:trPr>
          <w:trHeight w:val="292"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1.57</w:t>
            </w:r>
          </w:p>
        </w:tc>
        <w:tc>
          <w:tcPr>
            <w:tcW w:w="1188"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1.57</w:t>
            </w:r>
          </w:p>
        </w:tc>
        <w:tc>
          <w:tcPr>
            <w:tcW w:w="1118" w:type="dxa"/>
            <w:vAlign w:val="top"/>
          </w:tcPr>
          <w:p>
            <w:pPr>
              <w:pStyle w:val="TableText"/>
              <w:rPr/>
            </w:pPr>
            <w:r/>
          </w:p>
        </w:tc>
      </w:tr>
      <w:tr>
        <w:trPr>
          <w:trHeight w:val="292" w:hRule="atLeast"/>
        </w:trPr>
        <w:tc>
          <w:tcPr>
            <w:tcW w:w="3310" w:type="dxa"/>
            <w:vAlign w:val="top"/>
          </w:tcPr>
          <w:p>
            <w:pPr>
              <w:ind w:left="660"/>
              <w:spacing w:before="73" w:line="230" w:lineRule="auto"/>
              <w:rPr>
                <w:rFonts w:ascii="SimSun" w:hAnsi="SimSun" w:eastAsia="SimSun" w:cs="SimSun"/>
                <w:sz w:val="15"/>
                <w:szCs w:val="15"/>
              </w:rPr>
            </w:pPr>
            <w:r>
              <w:rPr>
                <w:rFonts w:ascii="SimSun" w:hAnsi="SimSun" w:eastAsia="SimSun" w:cs="SimSun"/>
                <w:sz w:val="15"/>
                <w:szCs w:val="15"/>
                <w:color w:val="212529"/>
                <w:spacing w:val="7"/>
              </w:rPr>
              <w:t>公积金</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54.54</w:t>
            </w:r>
          </w:p>
        </w:tc>
        <w:tc>
          <w:tcPr>
            <w:tcW w:w="1188" w:type="dxa"/>
            <w:vAlign w:val="top"/>
          </w:tcPr>
          <w:p>
            <w:pPr>
              <w:ind w:right="1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54.54</w:t>
            </w:r>
          </w:p>
        </w:tc>
        <w:tc>
          <w:tcPr>
            <w:tcW w:w="1118" w:type="dxa"/>
            <w:vAlign w:val="top"/>
          </w:tcPr>
          <w:p>
            <w:pPr>
              <w:pStyle w:val="TableText"/>
              <w:rPr/>
            </w:pPr>
            <w:r/>
          </w:p>
        </w:tc>
      </w:tr>
      <w:tr>
        <w:trPr>
          <w:trHeight w:val="292" w:hRule="atLeast"/>
        </w:trPr>
        <w:tc>
          <w:tcPr>
            <w:tcW w:w="3310"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8"/>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79.44</w:t>
            </w:r>
          </w:p>
        </w:tc>
        <w:tc>
          <w:tcPr>
            <w:tcW w:w="1188" w:type="dxa"/>
            <w:vAlign w:val="top"/>
          </w:tcPr>
          <w:p>
            <w:pPr>
              <w:ind w:left="930"/>
              <w:spacing w:before="191" w:line="62"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18" w:type="dxa"/>
            <w:vAlign w:val="top"/>
          </w:tcPr>
          <w:p>
            <w:pPr>
              <w:pStyle w:val="TableText"/>
              <w:rPr/>
            </w:pPr>
            <w:r/>
          </w:p>
        </w:tc>
      </w:tr>
      <w:tr>
        <w:trPr>
          <w:trHeight w:val="293" w:hRule="atLeast"/>
        </w:trPr>
        <w:tc>
          <w:tcPr>
            <w:tcW w:w="3310"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26.60</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26.60</w:t>
            </w:r>
          </w:p>
        </w:tc>
      </w:tr>
      <w:tr>
        <w:trPr>
          <w:trHeight w:val="293" w:hRule="atLeast"/>
        </w:trPr>
        <w:tc>
          <w:tcPr>
            <w:tcW w:w="3310"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left="843"/>
              <w:spacing w:before="75" w:line="202" w:lineRule="exact"/>
              <w:rPr>
                <w:rFonts w:ascii="SimSun" w:hAnsi="SimSun" w:eastAsia="SimSun" w:cs="SimSun"/>
                <w:sz w:val="15"/>
                <w:szCs w:val="15"/>
              </w:rPr>
            </w:pPr>
            <w:r>
              <w:rPr>
                <w:rFonts w:ascii="SimSun" w:hAnsi="SimSun" w:eastAsia="SimSun" w:cs="SimSun"/>
                <w:sz w:val="15"/>
                <w:szCs w:val="15"/>
                <w:color w:val="212529"/>
                <w:spacing w:val="1"/>
                <w:position w:val="1"/>
              </w:rPr>
              <w:t>2.</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2.91</w:t>
            </w:r>
          </w:p>
        </w:tc>
      </w:tr>
      <w:tr>
        <w:trPr>
          <w:trHeight w:val="292" w:hRule="atLeast"/>
        </w:trPr>
        <w:tc>
          <w:tcPr>
            <w:tcW w:w="3310"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left="842"/>
              <w:spacing w:before="74" w:line="202" w:lineRule="exact"/>
              <w:rPr>
                <w:rFonts w:ascii="SimSun" w:hAnsi="SimSun" w:eastAsia="SimSun" w:cs="SimSun"/>
                <w:sz w:val="15"/>
                <w:szCs w:val="15"/>
              </w:rPr>
            </w:pPr>
            <w:r>
              <w:rPr>
                <w:rFonts w:ascii="SimSun" w:hAnsi="SimSun" w:eastAsia="SimSun" w:cs="SimSun"/>
                <w:sz w:val="15"/>
                <w:szCs w:val="15"/>
                <w:color w:val="212529"/>
                <w:spacing w:val="1"/>
                <w:position w:val="1"/>
              </w:rPr>
              <w:t>8.</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8.61</w:t>
            </w:r>
          </w:p>
        </w:tc>
      </w:tr>
      <w:tr>
        <w:trPr>
          <w:trHeight w:val="293" w:hRule="atLeast"/>
        </w:trPr>
        <w:tc>
          <w:tcPr>
            <w:tcW w:w="3310"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15.07</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15.07</w:t>
            </w:r>
          </w:p>
        </w:tc>
      </w:tr>
      <w:tr>
        <w:trPr>
          <w:trHeight w:val="292" w:hRule="atLeast"/>
        </w:trPr>
        <w:tc>
          <w:tcPr>
            <w:tcW w:w="3310"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78" w:type="dxa"/>
            <w:vAlign w:val="top"/>
          </w:tcPr>
          <w:p>
            <w:pPr>
              <w:pStyle w:val="TableText"/>
              <w:rPr/>
            </w:pPr>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5.63</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5.63</w:t>
            </w:r>
          </w:p>
        </w:tc>
        <w:tc>
          <w:tcPr>
            <w:tcW w:w="1118" w:type="dxa"/>
            <w:vAlign w:val="top"/>
          </w:tcPr>
          <w:p>
            <w:pPr>
              <w:pStyle w:val="TableText"/>
              <w:rPr/>
            </w:pPr>
            <w:r/>
          </w:p>
        </w:tc>
      </w:tr>
      <w:tr>
        <w:trPr>
          <w:trHeight w:val="298" w:hRule="atLeast"/>
        </w:trPr>
        <w:tc>
          <w:tcPr>
            <w:tcW w:w="3310" w:type="dxa"/>
            <w:vAlign w:val="top"/>
          </w:tcPr>
          <w:p>
            <w:pPr>
              <w:ind w:left="331"/>
              <w:spacing w:before="76"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278" w:type="dxa"/>
            <w:vAlign w:val="top"/>
          </w:tcPr>
          <w:p>
            <w:pPr>
              <w:ind w:left="328"/>
              <w:spacing w:before="76"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88" w:type="dxa"/>
            <w:vAlign w:val="top"/>
          </w:tcPr>
          <w:p>
            <w:pPr>
              <w:ind w:right="19"/>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5.63</w:t>
            </w:r>
          </w:p>
        </w:tc>
        <w:tc>
          <w:tcPr>
            <w:tcW w:w="1188" w:type="dxa"/>
            <w:vAlign w:val="top"/>
          </w:tcPr>
          <w:p>
            <w:pPr>
              <w:ind w:right="16"/>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5.63</w:t>
            </w:r>
          </w:p>
        </w:tc>
        <w:tc>
          <w:tcPr>
            <w:tcW w:w="1118" w:type="dxa"/>
            <w:vAlign w:val="top"/>
          </w:tcPr>
          <w:p>
            <w:pPr>
              <w:pStyle w:val="TableText"/>
              <w:rPr/>
            </w:pPr>
            <w:r/>
          </w:p>
        </w:tc>
      </w:tr>
    </w:tbl>
    <w:p>
      <w:pPr>
        <w:pStyle w:val="BodyText"/>
        <w:rPr/>
      </w:pPr>
      <w:r/>
    </w:p>
    <w:p>
      <w:pPr>
        <w:sectPr>
          <w:headerReference w:type="default" r:id="rId20"/>
          <w:footerReference w:type="default" r:id="rId21"/>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2"/>
          <w:footerReference w:type="default" r:id="rId23"/>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4"/>
          <w:footerReference w:type="default" r:id="rId25"/>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6"/>
          <w:footerReference w:type="default" r:id="rId27"/>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8"/>
          <w:footerReference w:type="default" r:id="rId29"/>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18"/>
        <w:gridCol w:w="1069"/>
        <w:gridCol w:w="1080"/>
        <w:gridCol w:w="832"/>
        <w:gridCol w:w="1242"/>
        <w:gridCol w:w="1069"/>
        <w:gridCol w:w="848"/>
      </w:tblGrid>
      <w:tr>
        <w:trPr>
          <w:trHeight w:val="384" w:hRule="atLeast"/>
        </w:trPr>
        <w:tc>
          <w:tcPr>
            <w:tcW w:w="301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8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3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4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17"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41"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w:t>
            </w:r>
          </w:p>
        </w:tc>
        <w:tc>
          <w:tcPr>
            <w:tcW w:w="1917" w:type="dxa"/>
            <w:vAlign w:val="top"/>
            <w:gridSpan w:val="2"/>
            <w:tcBorders>
              <w:top w:val="single" w:color="FFFFFF" w:sz="4" w:space="0"/>
              <w:left w:val="single" w:color="FFFFFF" w:sz="2" w:space="0"/>
              <w:right w:val="single" w:color="FFFFFF" w:sz="2" w:space="0"/>
            </w:tcBorders>
          </w:tcPr>
          <w:p>
            <w:pPr>
              <w:ind w:left="1244"/>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018" w:type="dxa"/>
            <w:vAlign w:val="top"/>
            <w:vMerge w:val="restart"/>
            <w:tcBorders>
              <w:bottom w:val="nil"/>
            </w:tcBorders>
          </w:tcPr>
          <w:p>
            <w:pPr>
              <w:ind w:left="1170"/>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069" w:type="dxa"/>
            <w:vAlign w:val="top"/>
            <w:vMerge w:val="restart"/>
            <w:tcBorders>
              <w:bottom w:val="nil"/>
            </w:tcBorders>
          </w:tcPr>
          <w:p>
            <w:pPr>
              <w:ind w:left="362"/>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154" w:type="dxa"/>
            <w:vAlign w:val="top"/>
            <w:gridSpan w:val="3"/>
          </w:tcPr>
          <w:p>
            <w:pPr>
              <w:ind w:left="1003"/>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69" w:type="dxa"/>
            <w:vAlign w:val="top"/>
            <w:vMerge w:val="restart"/>
            <w:tcBorders>
              <w:bottom w:val="nil"/>
            </w:tcBorders>
          </w:tcPr>
          <w:p>
            <w:pPr>
              <w:ind w:left="40"/>
              <w:spacing w:before="21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70"/>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48" w:type="dxa"/>
            <w:vAlign w:val="top"/>
            <w:vMerge w:val="restart"/>
            <w:tcBorders>
              <w:bottom w:val="nil"/>
            </w:tcBorders>
          </w:tcPr>
          <w:p>
            <w:pPr>
              <w:ind w:left="88"/>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3018" w:type="dxa"/>
            <w:vAlign w:val="top"/>
            <w:vMerge w:val="continue"/>
            <w:tcBorders>
              <w:top w:val="nil"/>
            </w:tcBorders>
          </w:tcPr>
          <w:p>
            <w:pPr>
              <w:pStyle w:val="TableText"/>
              <w:rPr/>
            </w:pPr>
            <w:r/>
          </w:p>
        </w:tc>
        <w:tc>
          <w:tcPr>
            <w:tcW w:w="1069" w:type="dxa"/>
            <w:vAlign w:val="top"/>
            <w:vMerge w:val="continue"/>
            <w:tcBorders>
              <w:top w:val="nil"/>
            </w:tcBorders>
          </w:tcPr>
          <w:p>
            <w:pPr>
              <w:pStyle w:val="TableText"/>
              <w:rPr/>
            </w:pPr>
            <w:r/>
          </w:p>
        </w:tc>
        <w:tc>
          <w:tcPr>
            <w:tcW w:w="1080" w:type="dxa"/>
            <w:vAlign w:val="top"/>
          </w:tcPr>
          <w:p>
            <w:pPr>
              <w:ind w:left="45"/>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32" w:type="dxa"/>
            <w:vAlign w:val="top"/>
          </w:tcPr>
          <w:p>
            <w:pPr>
              <w:ind w:left="160" w:right="97"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42" w:type="dxa"/>
            <w:vAlign w:val="top"/>
          </w:tcPr>
          <w:p>
            <w:pPr>
              <w:ind w:left="57"/>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23"/>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69" w:type="dxa"/>
            <w:vAlign w:val="top"/>
            <w:vMerge w:val="continue"/>
            <w:tcBorders>
              <w:top w:val="nil"/>
            </w:tcBorders>
          </w:tcPr>
          <w:p>
            <w:pPr>
              <w:pStyle w:val="TableText"/>
              <w:rPr/>
            </w:pPr>
            <w:r/>
          </w:p>
        </w:tc>
        <w:tc>
          <w:tcPr>
            <w:tcW w:w="848" w:type="dxa"/>
            <w:vAlign w:val="top"/>
            <w:vMerge w:val="continue"/>
            <w:tcBorders>
              <w:top w:val="nil"/>
            </w:tcBorders>
          </w:tcPr>
          <w:p>
            <w:pPr>
              <w:pStyle w:val="TableText"/>
              <w:rPr/>
            </w:pPr>
            <w:r/>
          </w:p>
        </w:tc>
      </w:tr>
      <w:tr>
        <w:trPr>
          <w:trHeight w:val="378" w:hRule="atLeast"/>
        </w:trPr>
        <w:tc>
          <w:tcPr>
            <w:tcW w:w="3018" w:type="dxa"/>
            <w:vAlign w:val="top"/>
          </w:tcPr>
          <w:p>
            <w:pPr>
              <w:ind w:left="1467"/>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069" w:type="dxa"/>
            <w:vAlign w:val="top"/>
          </w:tcPr>
          <w:p>
            <w:pPr>
              <w:ind w:left="485"/>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080" w:type="dxa"/>
            <w:vAlign w:val="top"/>
          </w:tcPr>
          <w:p>
            <w:pPr>
              <w:ind w:left="497"/>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32" w:type="dxa"/>
            <w:vAlign w:val="top"/>
          </w:tcPr>
          <w:p>
            <w:pPr>
              <w:ind w:left="366"/>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2" w:type="dxa"/>
            <w:vAlign w:val="top"/>
          </w:tcPr>
          <w:p>
            <w:pPr>
              <w:ind w:left="572"/>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69" w:type="dxa"/>
            <w:vAlign w:val="top"/>
          </w:tcPr>
          <w:p>
            <w:pPr>
              <w:ind w:left="487"/>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48" w:type="dxa"/>
            <w:vAlign w:val="top"/>
          </w:tcPr>
          <w:p>
            <w:pPr>
              <w:ind w:left="379"/>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8" w:hRule="atLeast"/>
        </w:trPr>
        <w:tc>
          <w:tcPr>
            <w:tcW w:w="3018" w:type="dxa"/>
            <w:vAlign w:val="top"/>
          </w:tcPr>
          <w:p>
            <w:pPr>
              <w:ind w:left="91"/>
              <w:spacing w:before="115" w:line="229" w:lineRule="auto"/>
              <w:rPr>
                <w:rFonts w:ascii="SimSun" w:hAnsi="SimSun" w:eastAsia="SimSun" w:cs="SimSun"/>
                <w:sz w:val="15"/>
                <w:szCs w:val="15"/>
              </w:rPr>
            </w:pPr>
            <w:r>
              <w:rPr>
                <w:rFonts w:ascii="SimSun" w:hAnsi="SimSun" w:eastAsia="SimSun" w:cs="SimSun"/>
                <w:sz w:val="15"/>
                <w:szCs w:val="15"/>
                <w:color w:val="212529"/>
                <w:spacing w:val="10"/>
              </w:rPr>
              <w:t>兴县蔚汾镇卫生院</w:t>
            </w:r>
          </w:p>
        </w:tc>
        <w:tc>
          <w:tcPr>
            <w:tcW w:w="1069"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60.69</w:t>
            </w:r>
          </w:p>
        </w:tc>
        <w:tc>
          <w:tcPr>
            <w:tcW w:w="1080"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60.69</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6" w:right="91" w:firstLine="164"/>
              <w:spacing w:before="29" w:line="209"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2025年中央财政基本药物制度（基层医</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9"/>
              </w:rPr>
              <w:t>疗卫生机构）晋财社【2024】208号</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21.60</w:t>
            </w:r>
          </w:p>
        </w:tc>
        <w:tc>
          <w:tcPr>
            <w:tcW w:w="1080"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21.60</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9" w:right="91" w:firstLine="161"/>
              <w:spacing w:before="29" w:line="209"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2025年中央财政基本药物制度（村卫生</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室）晋财社【2024】208号</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16.17</w:t>
            </w:r>
          </w:p>
        </w:tc>
        <w:tc>
          <w:tcPr>
            <w:tcW w:w="1080"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16.17</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551" w:hRule="atLeast"/>
        </w:trPr>
        <w:tc>
          <w:tcPr>
            <w:tcW w:w="3018" w:type="dxa"/>
            <w:vAlign w:val="top"/>
          </w:tcPr>
          <w:p>
            <w:pPr>
              <w:ind w:left="8" w:right="91" w:firstLine="162"/>
              <w:spacing w:before="19" w:line="226" w:lineRule="auto"/>
              <w:rPr>
                <w:rFonts w:ascii="SimSun" w:hAnsi="SimSun" w:eastAsia="SimSun" w:cs="SimSun"/>
                <w:sz w:val="15"/>
                <w:szCs w:val="15"/>
              </w:rPr>
            </w:pPr>
            <w:r>
              <w:rPr>
                <w:rFonts w:ascii="SimSun" w:hAnsi="SimSun" w:eastAsia="SimSun" w:cs="SimSun"/>
                <w:sz w:val="15"/>
                <w:szCs w:val="15"/>
                <w:color w:val="212529"/>
                <w:spacing w:val="10"/>
              </w:rPr>
              <w:t>2025年省级财政医疗卫生机构改革与发</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11"/>
              </w:rPr>
              <w:t>展补助资金（村卫生室运行维护费）晋财</w:t>
            </w:r>
          </w:p>
          <w:p>
            <w:pPr>
              <w:ind w:left="8"/>
              <w:spacing w:line="189" w:lineRule="auto"/>
              <w:rPr>
                <w:rFonts w:ascii="SimSun" w:hAnsi="SimSun" w:eastAsia="SimSun" w:cs="SimSun"/>
                <w:sz w:val="15"/>
                <w:szCs w:val="15"/>
              </w:rPr>
            </w:pPr>
            <w:r>
              <w:rPr>
                <w:rFonts w:ascii="SimSun" w:hAnsi="SimSun" w:eastAsia="SimSun" w:cs="SimSun"/>
                <w:sz w:val="15"/>
                <w:szCs w:val="15"/>
                <w:color w:val="212529"/>
                <w:spacing w:val="3"/>
              </w:rPr>
              <w:t>社</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3"/>
              </w:rPr>
              <w:t>209号</w:t>
            </w:r>
          </w:p>
        </w:tc>
        <w:tc>
          <w:tcPr>
            <w:tcW w:w="1069" w:type="dxa"/>
            <w:vAlign w:val="top"/>
          </w:tcPr>
          <w:p>
            <w:pPr>
              <w:ind w:right="18"/>
              <w:spacing w:before="20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0.86</w:t>
            </w:r>
          </w:p>
        </w:tc>
        <w:tc>
          <w:tcPr>
            <w:tcW w:w="1080" w:type="dxa"/>
            <w:vAlign w:val="top"/>
          </w:tcPr>
          <w:p>
            <w:pPr>
              <w:ind w:right="19"/>
              <w:spacing w:before="20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0.86</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338" w:right="91" w:firstLine="320"/>
              <w:spacing w:before="31" w:line="208" w:lineRule="auto"/>
              <w:rPr>
                <w:rFonts w:ascii="SimSun" w:hAnsi="SimSun" w:eastAsia="SimSun" w:cs="SimSun"/>
                <w:sz w:val="15"/>
                <w:szCs w:val="15"/>
              </w:rPr>
            </w:pPr>
            <w:r>
              <w:rPr>
                <w:rFonts w:ascii="SimSun" w:hAnsi="SimSun" w:eastAsia="SimSun" w:cs="SimSun"/>
                <w:sz w:val="15"/>
                <w:szCs w:val="15"/>
                <w:color w:val="212529"/>
                <w:spacing w:val="11"/>
              </w:rPr>
              <w:t>省级财政卫生健康人才培养（在</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9"/>
              </w:rPr>
              <w:t>医岗位补助）晋财社【2024】218号</w:t>
            </w:r>
          </w:p>
        </w:tc>
        <w:tc>
          <w:tcPr>
            <w:tcW w:w="1069" w:type="dxa"/>
            <w:vAlign w:val="top"/>
          </w:tcPr>
          <w:p>
            <w:pPr>
              <w:ind w:right="18"/>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9.00</w:t>
            </w:r>
          </w:p>
        </w:tc>
        <w:tc>
          <w:tcPr>
            <w:tcW w:w="1080" w:type="dxa"/>
            <w:vAlign w:val="top"/>
          </w:tcPr>
          <w:p>
            <w:pPr>
              <w:ind w:right="19"/>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9.00</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11" w:right="172" w:firstLine="181"/>
              <w:spacing w:before="31" w:line="208" w:lineRule="auto"/>
              <w:rPr>
                <w:rFonts w:ascii="SimSun" w:hAnsi="SimSun" w:eastAsia="SimSun" w:cs="SimSun"/>
                <w:sz w:val="15"/>
                <w:szCs w:val="15"/>
              </w:rPr>
            </w:pPr>
            <w:r>
              <w:rPr>
                <w:rFonts w:ascii="SimSun" w:hAnsi="SimSun" w:eastAsia="SimSun" w:cs="SimSun"/>
                <w:sz w:val="15"/>
                <w:szCs w:val="15"/>
                <w:color w:val="212529"/>
                <w:spacing w:val="7"/>
              </w:rPr>
              <w:t>吕财社〔2025〕6号预拨2025年驻村医</w:t>
            </w:r>
            <w:r>
              <w:rPr>
                <w:rFonts w:ascii="SimSun" w:hAnsi="SimSun" w:eastAsia="SimSun" w:cs="SimSun"/>
                <w:sz w:val="15"/>
                <w:szCs w:val="15"/>
                <w:color w:val="212529"/>
                <w:spacing w:val="18"/>
                <w:w w:val="101"/>
              </w:rPr>
              <w:t xml:space="preserve"> </w:t>
            </w:r>
            <w:r>
              <w:rPr>
                <w:rFonts w:ascii="SimSun" w:hAnsi="SimSun" w:eastAsia="SimSun" w:cs="SimSun"/>
                <w:sz w:val="15"/>
                <w:szCs w:val="15"/>
                <w:color w:val="212529"/>
                <w:spacing w:val="10"/>
              </w:rPr>
              <w:t>生岗位津贴市级补助资金</w:t>
            </w:r>
          </w:p>
        </w:tc>
        <w:tc>
          <w:tcPr>
            <w:tcW w:w="1069"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1.71</w:t>
            </w:r>
          </w:p>
        </w:tc>
        <w:tc>
          <w:tcPr>
            <w:tcW w:w="1080"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1.71</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7" w:right="172" w:firstLine="185"/>
              <w:spacing w:before="32" w:line="207" w:lineRule="auto"/>
              <w:rPr>
                <w:rFonts w:ascii="SimSun" w:hAnsi="SimSun" w:eastAsia="SimSun" w:cs="SimSun"/>
                <w:sz w:val="15"/>
                <w:szCs w:val="15"/>
              </w:rPr>
            </w:pPr>
            <w:r>
              <w:rPr>
                <w:rFonts w:ascii="SimSun" w:hAnsi="SimSun" w:eastAsia="SimSun" w:cs="SimSun"/>
                <w:sz w:val="15"/>
                <w:szCs w:val="15"/>
                <w:color w:val="212529"/>
                <w:spacing w:val="7"/>
              </w:rPr>
              <w:t>吕财社〔2025〕8号关于预拨2025年行</w:t>
            </w:r>
            <w:r>
              <w:rPr>
                <w:rFonts w:ascii="SimSun" w:hAnsi="SimSun" w:eastAsia="SimSun" w:cs="SimSun"/>
                <w:sz w:val="15"/>
                <w:szCs w:val="15"/>
                <w:color w:val="212529"/>
                <w:spacing w:val="18"/>
                <w:w w:val="101"/>
              </w:rPr>
              <w:t xml:space="preserve"> </w:t>
            </w:r>
            <w:r>
              <w:rPr>
                <w:rFonts w:ascii="SimSun" w:hAnsi="SimSun" w:eastAsia="SimSun" w:cs="SimSun"/>
                <w:sz w:val="15"/>
                <w:szCs w:val="15"/>
                <w:color w:val="212529"/>
                <w:spacing w:val="11"/>
              </w:rPr>
              <w:t>政村卫生室运行经费市级配套资金</w:t>
            </w:r>
          </w:p>
        </w:tc>
        <w:tc>
          <w:tcPr>
            <w:tcW w:w="1069"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080"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84" w:hRule="atLeast"/>
        </w:trPr>
        <w:tc>
          <w:tcPr>
            <w:tcW w:w="3018" w:type="dxa"/>
            <w:vAlign w:val="top"/>
          </w:tcPr>
          <w:p>
            <w:pPr>
              <w:ind w:left="172"/>
              <w:spacing w:before="118" w:line="229" w:lineRule="auto"/>
              <w:rPr>
                <w:rFonts w:ascii="SimSun" w:hAnsi="SimSun" w:eastAsia="SimSun" w:cs="SimSun"/>
                <w:sz w:val="15"/>
                <w:szCs w:val="15"/>
              </w:rPr>
            </w:pPr>
            <w:r>
              <w:rPr>
                <w:rFonts w:ascii="SimSun" w:hAnsi="SimSun" w:eastAsia="SimSun" w:cs="SimSun"/>
                <w:sz w:val="15"/>
                <w:szCs w:val="15"/>
                <w:color w:val="212529"/>
                <w:spacing w:val="10"/>
              </w:rPr>
              <w:t>副高职称补助</w:t>
            </w:r>
          </w:p>
        </w:tc>
        <w:tc>
          <w:tcPr>
            <w:tcW w:w="1069"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11.23</w:t>
            </w:r>
          </w:p>
        </w:tc>
        <w:tc>
          <w:tcPr>
            <w:tcW w:w="1080"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11.23</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bl>
    <w:p>
      <w:pPr>
        <w:pStyle w:val="BodyText"/>
        <w:rPr/>
      </w:pPr>
      <w:r/>
    </w:p>
    <w:p>
      <w:pPr>
        <w:sectPr>
          <w:headerReference w:type="default" r:id="rId30"/>
          <w:footerReference w:type="default" r:id="rId31"/>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32"/>
            <w:bookmarkEnd w:id="32"/>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269"/>
              <w:spacing w:before="2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510"/>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47" w:type="dxa"/>
            <w:vAlign w:val="top"/>
          </w:tcPr>
          <w:p>
            <w:pPr>
              <w:ind w:left="304"/>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8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96" w:type="dxa"/>
            <w:vAlign w:val="top"/>
          </w:tcPr>
          <w:p>
            <w:pPr>
              <w:ind w:left="600"/>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15" w:type="dxa"/>
            <w:vAlign w:val="top"/>
          </w:tcPr>
          <w:p>
            <w:pPr>
              <w:ind w:left="661"/>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72" w:type="dxa"/>
            <w:vAlign w:val="top"/>
          </w:tcPr>
          <w:p>
            <w:pPr>
              <w:ind w:left="635"/>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7" w:type="dxa"/>
            <w:vAlign w:val="top"/>
          </w:tcPr>
          <w:p>
            <w:pPr>
              <w:ind w:left="576"/>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32"/>
          <w:footerReference w:type="default" r:id="rId33"/>
          <w:pgSz w:w="11900" w:h="16840"/>
          <w:pgMar w:top="642" w:right="0" w:bottom="340" w:left="0" w:header="326" w:footer="111" w:gutter="0"/>
        </w:sectPr>
        <w:rPr/>
      </w:pPr>
    </w:p>
    <w:p>
      <w:pPr>
        <w:pStyle w:val="BodyText"/>
        <w:spacing w:line="334" w:lineRule="auto"/>
        <w:rPr/>
      </w:pPr>
      <w:r/>
    </w:p>
    <w:p>
      <w:pPr>
        <w:pStyle w:val="BodyText"/>
        <w:spacing w:line="335" w:lineRule="auto"/>
        <w:rPr/>
      </w:pPr>
      <w:r/>
    </w:p>
    <w:p>
      <w:pPr>
        <w:ind w:left="4064"/>
        <w:spacing w:before="94" w:line="230" w:lineRule="exact"/>
        <w:outlineLvl w:val="0"/>
        <w:rPr>
          <w:rFonts w:ascii="Microsoft YaHei" w:hAnsi="Microsoft YaHei" w:eastAsia="Microsoft YaHei" w:cs="Microsoft YaHei"/>
          <w:sz w:val="22"/>
          <w:szCs w:val="22"/>
        </w:rPr>
      </w:pPr>
      <w:bookmarkStart w:name="bookmark19" w:id="33"/>
      <w:bookmarkEnd w:id="33"/>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9"/>
          <w:position w:val="-1"/>
        </w:rPr>
        <w:t>一、单位预算收支数据变动情况及原因</w:t>
      </w:r>
    </w:p>
    <w:p>
      <w:pPr>
        <w:ind w:left="1264" w:right="1223" w:firstLine="455"/>
        <w:spacing w:before="187"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2025年度兴县蔚汾镇卫生院预算收入总计792.86万元，其</w:t>
      </w:r>
      <w:r>
        <w:rPr>
          <w:rFonts w:ascii="FangSong" w:hAnsi="FangSong" w:eastAsia="FangSong" w:cs="FangSong"/>
          <w:sz w:val="23"/>
          <w:szCs w:val="23"/>
          <w:spacing w:val="4"/>
        </w:rPr>
        <w:t>中：本年收入792.86万元，上</w:t>
      </w:r>
      <w:r>
        <w:rPr>
          <w:rFonts w:ascii="FangSong" w:hAnsi="FangSong" w:eastAsia="FangSong" w:cs="FangSong"/>
          <w:sz w:val="23"/>
          <w:szCs w:val="23"/>
        </w:rPr>
        <w:t xml:space="preserve"> </w:t>
      </w:r>
      <w:r>
        <w:rPr>
          <w:rFonts w:ascii="FangSong" w:hAnsi="FangSong" w:eastAsia="FangSong" w:cs="FangSong"/>
          <w:sz w:val="23"/>
          <w:szCs w:val="23"/>
          <w:spacing w:val="2"/>
        </w:rPr>
        <w:t>年结转0万元，比上年减少207.69万元，下降20.76%，主要原因是本年度基本公共卫生上级专</w:t>
      </w:r>
      <w:r>
        <w:rPr>
          <w:rFonts w:ascii="FangSong" w:hAnsi="FangSong" w:eastAsia="FangSong" w:cs="FangSong"/>
          <w:sz w:val="23"/>
          <w:szCs w:val="23"/>
          <w:spacing w:val="1"/>
        </w:rPr>
        <w:t xml:space="preserve"> </w:t>
      </w:r>
      <w:r>
        <w:rPr>
          <w:rFonts w:ascii="FangSong" w:hAnsi="FangSong" w:eastAsia="FangSong" w:cs="FangSong"/>
          <w:sz w:val="23"/>
          <w:szCs w:val="23"/>
          <w:spacing w:val="10"/>
        </w:rPr>
        <w:t>项资金未生成指标。；本年单位预算支出总计792.86万元，其中：本年预</w:t>
      </w:r>
      <w:r>
        <w:rPr>
          <w:rFonts w:ascii="FangSong" w:hAnsi="FangSong" w:eastAsia="FangSong" w:cs="FangSong"/>
          <w:sz w:val="23"/>
          <w:szCs w:val="23"/>
          <w:spacing w:val="9"/>
        </w:rPr>
        <w:t>算安排792.86万</w:t>
      </w:r>
      <w:r>
        <w:rPr>
          <w:rFonts w:ascii="FangSong" w:hAnsi="FangSong" w:eastAsia="FangSong" w:cs="FangSong"/>
          <w:sz w:val="23"/>
          <w:szCs w:val="23"/>
        </w:rPr>
        <w:t xml:space="preserve"> </w:t>
      </w:r>
      <w:r>
        <w:rPr>
          <w:rFonts w:ascii="FangSong" w:hAnsi="FangSong" w:eastAsia="FangSong" w:cs="FangSong"/>
          <w:sz w:val="23"/>
          <w:szCs w:val="23"/>
          <w:spacing w:val="2"/>
        </w:rPr>
        <w:t>元，上年结转0万元，比上年减少207.69万元，下降20.76%，主要原因是本年度基本公共卫生</w:t>
      </w:r>
      <w:r>
        <w:rPr>
          <w:rFonts w:ascii="FangSong" w:hAnsi="FangSong" w:eastAsia="FangSong" w:cs="FangSong"/>
          <w:sz w:val="23"/>
          <w:szCs w:val="23"/>
          <w:spacing w:val="1"/>
        </w:rPr>
        <w:t xml:space="preserve"> </w:t>
      </w:r>
      <w:r>
        <w:rPr>
          <w:rFonts w:ascii="FangSong" w:hAnsi="FangSong" w:eastAsia="FangSong" w:cs="FangSong"/>
          <w:sz w:val="23"/>
          <w:szCs w:val="23"/>
          <w:spacing w:val="-1"/>
        </w:rPr>
        <w:t>上级专项资金未生成指标。</w:t>
      </w:r>
    </w:p>
    <w:p>
      <w:pPr>
        <w:ind w:left="1261"/>
        <w:spacing w:line="229"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1262" w:right="1223" w:firstLine="458"/>
        <w:spacing w:before="183" w:line="321" w:lineRule="auto"/>
        <w:jc w:val="right"/>
        <w:rPr>
          <w:rFonts w:ascii="FangSong" w:hAnsi="FangSong" w:eastAsia="FangSong" w:cs="FangSong"/>
          <w:sz w:val="23"/>
          <w:szCs w:val="23"/>
        </w:rPr>
      </w:pPr>
      <w:r>
        <w:rPr>
          <w:rFonts w:ascii="FangSong" w:hAnsi="FangSong" w:eastAsia="FangSong" w:cs="FangSong"/>
          <w:sz w:val="23"/>
          <w:szCs w:val="23"/>
          <w:spacing w:val="15"/>
        </w:rPr>
        <w:t>2025年度兴县蔚汾镇卫生院预算收入792.86万元</w:t>
      </w:r>
      <w:r>
        <w:rPr>
          <w:rFonts w:ascii="FangSong" w:hAnsi="FangSong" w:eastAsia="FangSong" w:cs="FangSong"/>
          <w:sz w:val="23"/>
          <w:szCs w:val="23"/>
          <w:spacing w:val="-56"/>
        </w:rPr>
        <w:t xml:space="preserve"> </w:t>
      </w:r>
      <w:r>
        <w:rPr>
          <w:rFonts w:ascii="FangSong" w:hAnsi="FangSong" w:eastAsia="FangSong" w:cs="FangSong"/>
          <w:sz w:val="23"/>
          <w:szCs w:val="23"/>
          <w:spacing w:val="15"/>
        </w:rPr>
        <w:t>，主要包括一般公共预算拨款收入</w:t>
      </w:r>
      <w:r>
        <w:rPr>
          <w:rFonts w:ascii="FangSong" w:hAnsi="FangSong" w:eastAsia="FangSong" w:cs="FangSong"/>
          <w:sz w:val="23"/>
          <w:szCs w:val="23"/>
        </w:rPr>
        <w:t xml:space="preserve"> </w:t>
      </w:r>
      <w:r>
        <w:rPr>
          <w:rFonts w:ascii="FangSong" w:hAnsi="FangSong" w:eastAsia="FangSong" w:cs="FangSong"/>
          <w:sz w:val="23"/>
          <w:szCs w:val="23"/>
          <w:spacing w:val="1"/>
        </w:rPr>
        <w:t>792.</w:t>
      </w:r>
      <w:r>
        <w:rPr>
          <w:rFonts w:ascii="FangSong" w:hAnsi="FangSong" w:eastAsia="FangSong" w:cs="FangSong"/>
          <w:sz w:val="23"/>
          <w:szCs w:val="23"/>
          <w:spacing w:val="1"/>
        </w:rPr>
        <w:t xml:space="preserve">  </w:t>
      </w:r>
      <w:r>
        <w:rPr>
          <w:rFonts w:ascii="FangSong" w:hAnsi="FangSong" w:eastAsia="FangSong" w:cs="FangSong"/>
          <w:sz w:val="23"/>
          <w:szCs w:val="23"/>
          <w:spacing w:val="1"/>
        </w:rPr>
        <w:t>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占100.00%；政府性基金预算拨款收入0万元，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w:t>
      </w:r>
      <w:r>
        <w:rPr>
          <w:rFonts w:ascii="FangSong" w:hAnsi="FangSong" w:eastAsia="FangSong" w:cs="FangSong"/>
          <w:sz w:val="23"/>
          <w:szCs w:val="23"/>
          <w:spacing w:val="-66"/>
        </w:rPr>
        <w:t xml:space="preserve"> </w:t>
      </w:r>
      <w:r>
        <w:rPr>
          <w:rFonts w:ascii="FangSong" w:hAnsi="FangSong" w:eastAsia="FangSong" w:cs="FangSong"/>
          <w:sz w:val="23"/>
          <w:szCs w:val="23"/>
          <w:spacing w:val="1"/>
        </w:rPr>
        <w:t>国有资本</w:t>
      </w:r>
      <w:r>
        <w:rPr>
          <w:rFonts w:ascii="FangSong" w:hAnsi="FangSong" w:eastAsia="FangSong" w:cs="FangSong"/>
          <w:sz w:val="23"/>
          <w:szCs w:val="23"/>
        </w:rPr>
        <w:t>经营预</w:t>
      </w:r>
      <w:r>
        <w:rPr>
          <w:rFonts w:ascii="FangSong" w:hAnsi="FangSong" w:eastAsia="FangSong" w:cs="FangSong"/>
          <w:sz w:val="23"/>
          <w:szCs w:val="23"/>
        </w:rPr>
        <w:t xml:space="preserve">    </w:t>
      </w:r>
      <w:r>
        <w:rPr>
          <w:rFonts w:ascii="FangSong" w:hAnsi="FangSong" w:eastAsia="FangSong" w:cs="FangSong"/>
          <w:sz w:val="23"/>
          <w:szCs w:val="23"/>
        </w:rPr>
        <w:t>款收</w:t>
      </w:r>
      <w:r>
        <w:rPr>
          <w:rFonts w:ascii="FangSong" w:hAnsi="FangSong" w:eastAsia="FangSong" w:cs="FangSong"/>
          <w:sz w:val="23"/>
          <w:szCs w:val="23"/>
        </w:rPr>
        <w:t xml:space="preserve"> </w:t>
      </w:r>
      <w:r>
        <w:rPr>
          <w:rFonts w:ascii="FangSong" w:hAnsi="FangSong" w:eastAsia="FangSong" w:cs="FangSong"/>
          <w:sz w:val="23"/>
          <w:szCs w:val="23"/>
          <w:spacing w:val="-1"/>
        </w:rPr>
        <w:t>元，</w:t>
      </w:r>
      <w:r>
        <w:rPr>
          <w:rFonts w:ascii="FangSong" w:hAnsi="FangSong" w:eastAsia="FangSong" w:cs="FangSong"/>
          <w:sz w:val="23"/>
          <w:szCs w:val="23"/>
          <w:spacing w:val="-45"/>
        </w:rPr>
        <w:t xml:space="preserve"> </w:t>
      </w:r>
      <w:r>
        <w:rPr>
          <w:rFonts w:ascii="FangSong" w:hAnsi="FangSong" w:eastAsia="FangSong" w:cs="FangSong"/>
          <w:sz w:val="23"/>
          <w:szCs w:val="23"/>
          <w:spacing w:val="-1"/>
        </w:rPr>
        <w:t>占0%</w:t>
      </w:r>
      <w:r>
        <w:rPr>
          <w:rFonts w:ascii="FangSong" w:hAnsi="FangSong" w:eastAsia="FangSong" w:cs="FangSong"/>
          <w:sz w:val="23"/>
          <w:szCs w:val="23"/>
          <w:spacing w:val="-1"/>
        </w:rPr>
        <w:t xml:space="preserve">  </w:t>
      </w:r>
      <w:r>
        <w:rPr>
          <w:rFonts w:ascii="FangSong" w:hAnsi="FangSong" w:eastAsia="FangSong" w:cs="FangSong"/>
          <w:sz w:val="23"/>
          <w:szCs w:val="23"/>
          <w:spacing w:val="-1"/>
        </w:rPr>
        <w:t>财政专户管理资金收入0万元，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w:t>
      </w:r>
      <w:r>
        <w:rPr>
          <w:rFonts w:ascii="FangSong" w:hAnsi="FangSong" w:eastAsia="FangSong" w:cs="FangSong"/>
          <w:sz w:val="23"/>
          <w:szCs w:val="23"/>
          <w:spacing w:val="-1"/>
        </w:rPr>
        <w:t xml:space="preserve">  </w:t>
      </w:r>
      <w:r>
        <w:rPr>
          <w:rFonts w:ascii="FangSong" w:hAnsi="FangSong" w:eastAsia="FangSong" w:cs="FangSong"/>
          <w:sz w:val="23"/>
          <w:szCs w:val="23"/>
          <w:spacing w:val="-1"/>
        </w:rPr>
        <w:t>单位资金0万元，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w:t>
      </w:r>
      <w:r>
        <w:rPr>
          <w:rFonts w:ascii="FangSong" w:hAnsi="FangSong" w:eastAsia="FangSong" w:cs="FangSong"/>
          <w:sz w:val="23"/>
          <w:szCs w:val="23"/>
          <w:spacing w:val="5"/>
        </w:rPr>
        <w:t xml:space="preserve">       </w:t>
      </w:r>
      <w:r>
        <w:rPr>
          <w:rFonts w:ascii="FangSong" w:hAnsi="FangSong" w:eastAsia="FangSong" w:cs="FangSong"/>
          <w:sz w:val="23"/>
          <w:szCs w:val="23"/>
          <w:spacing w:val="-1"/>
        </w:rPr>
        <w:t>结转0万</w:t>
      </w:r>
    </w:p>
    <w:p>
      <w:pPr>
        <w:ind w:left="1267"/>
        <w:spacing w:before="13" w:line="227" w:lineRule="auto"/>
        <w:rPr>
          <w:rFonts w:ascii="FangSong" w:hAnsi="FangSong" w:eastAsia="FangSong" w:cs="FangSong"/>
          <w:sz w:val="23"/>
          <w:szCs w:val="23"/>
        </w:rPr>
      </w:pPr>
      <w:r>
        <w:rPr>
          <w:rFonts w:ascii="FangSong" w:hAnsi="FangSong" w:eastAsia="FangSong" w:cs="FangSong"/>
          <w:sz w:val="23"/>
          <w:szCs w:val="23"/>
          <w:spacing w:val="-12"/>
        </w:rPr>
        <w:t>元，</w:t>
      </w:r>
      <w:r>
        <w:rPr>
          <w:rFonts w:ascii="FangSong" w:hAnsi="FangSong" w:eastAsia="FangSong" w:cs="FangSong"/>
          <w:sz w:val="23"/>
          <w:szCs w:val="23"/>
          <w:spacing w:val="-60"/>
        </w:rPr>
        <w:t xml:space="preserve"> </w:t>
      </w:r>
      <w:r>
        <w:rPr>
          <w:rFonts w:ascii="FangSong" w:hAnsi="FangSong" w:eastAsia="FangSong" w:cs="FangSong"/>
          <w:sz w:val="23"/>
          <w:szCs w:val="23"/>
          <w:spacing w:val="-12"/>
        </w:rPr>
        <w:t>占0%。</w:t>
      </w:r>
    </w:p>
    <w:p>
      <w:pPr>
        <w:pStyle w:val="BodyText"/>
        <w:spacing w:line="430" w:lineRule="auto"/>
        <w:rPr/>
      </w:pPr>
      <w:r/>
    </w:p>
    <w:p>
      <w:pPr>
        <w:ind w:firstLine="3665"/>
        <w:spacing w:before="1" w:line="2934" w:lineRule="exact"/>
        <w:rPr/>
      </w:pPr>
      <w:r>
        <w:rPr>
          <w:position w:val="-58"/>
        </w:rPr>
        <w:drawing>
          <wp:inline distT="0" distB="0" distL="0" distR="0">
            <wp:extent cx="2346419" cy="1863136"/>
            <wp:effectExtent l="0" t="0" r="0" b="0"/>
            <wp:docPr id="4" name="IM 4"/>
            <wp:cNvGraphicFramePr/>
            <a:graphic>
              <a:graphicData uri="http://schemas.openxmlformats.org/drawingml/2006/picture">
                <pic:pic>
                  <pic:nvPicPr>
                    <pic:cNvPr id="4" name="IM 4"/>
                    <pic:cNvPicPr/>
                  </pic:nvPicPr>
                  <pic:blipFill>
                    <a:blip r:embed="rId36"/>
                    <a:stretch>
                      <a:fillRect/>
                    </a:stretch>
                  </pic:blipFill>
                  <pic:spPr>
                    <a:xfrm rot="0">
                      <a:off x="0" y="0"/>
                      <a:ext cx="2346419" cy="1863136"/>
                    </a:xfrm>
                    <a:prstGeom prst="rect">
                      <a:avLst/>
                    </a:prstGeom>
                  </pic:spPr>
                </pic:pic>
              </a:graphicData>
            </a:graphic>
          </wp:inline>
        </w:drawing>
      </w:r>
    </w:p>
    <w:p>
      <w:pPr>
        <w:pStyle w:val="BodyText"/>
        <w:spacing w:line="269" w:lineRule="auto"/>
        <w:rPr/>
      </w:pPr>
      <w:r/>
    </w:p>
    <w:p>
      <w:pPr>
        <w:pStyle w:val="BodyText"/>
        <w:spacing w:line="270" w:lineRule="auto"/>
        <w:rPr/>
      </w:pPr>
      <w:r/>
    </w:p>
    <w:p>
      <w:pPr>
        <w:ind w:left="1262"/>
        <w:spacing w:before="95"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1720"/>
        <w:spacing w:before="175" w:line="222" w:lineRule="auto"/>
        <w:rPr>
          <w:rFonts w:ascii="FangSong" w:hAnsi="FangSong" w:eastAsia="FangSong" w:cs="FangSong"/>
          <w:sz w:val="23"/>
          <w:szCs w:val="23"/>
        </w:rPr>
      </w:pPr>
      <w:r>
        <w:rPr>
          <w:rFonts w:ascii="FangSong" w:hAnsi="FangSong" w:eastAsia="FangSong" w:cs="FangSong"/>
          <w:sz w:val="23"/>
          <w:szCs w:val="23"/>
          <w:spacing w:val="2"/>
        </w:rPr>
        <w:t>2025年度</w:t>
      </w:r>
      <w:r>
        <w:rPr>
          <w:rFonts w:ascii="FangSong" w:hAnsi="FangSong" w:eastAsia="FangSong" w:cs="FangSong"/>
          <w:sz w:val="23"/>
          <w:szCs w:val="23"/>
          <w:spacing w:val="18"/>
        </w:rPr>
        <w:t xml:space="preserve">      </w:t>
      </w:r>
      <w:r>
        <w:rPr>
          <w:rFonts w:ascii="FangSong" w:hAnsi="FangSong" w:eastAsia="FangSong" w:cs="FangSong"/>
          <w:sz w:val="23"/>
          <w:szCs w:val="23"/>
          <w:spacing w:val="2"/>
        </w:rPr>
        <w:t>汾镇卫</w:t>
      </w:r>
      <w:r>
        <w:rPr>
          <w:rFonts w:ascii="FangSong" w:hAnsi="FangSong" w:eastAsia="FangSong" w:cs="FangSong"/>
          <w:sz w:val="23"/>
          <w:szCs w:val="23"/>
          <w:spacing w:val="-61"/>
        </w:rPr>
        <w:t xml:space="preserve"> </w:t>
      </w:r>
      <w:r>
        <w:rPr>
          <w:rFonts w:ascii="FangSong" w:hAnsi="FangSong" w:eastAsia="FangSong" w:cs="FangSong"/>
          <w:sz w:val="23"/>
          <w:szCs w:val="23"/>
          <w:spacing w:val="2"/>
        </w:rPr>
        <w:t>生</w:t>
      </w:r>
      <w:r>
        <w:rPr>
          <w:rFonts w:ascii="FangSong" w:hAnsi="FangSong" w:eastAsia="FangSong" w:cs="FangSong"/>
          <w:sz w:val="23"/>
          <w:szCs w:val="23"/>
          <w:spacing w:val="-64"/>
        </w:rPr>
        <w:t xml:space="preserve"> </w:t>
      </w:r>
      <w:r>
        <w:rPr>
          <w:rFonts w:ascii="FangSong" w:hAnsi="FangSong" w:eastAsia="FangSong" w:cs="FangSong"/>
          <w:sz w:val="23"/>
          <w:szCs w:val="23"/>
          <w:spacing w:val="2"/>
        </w:rPr>
        <w:t>院支</w:t>
      </w:r>
      <w:r>
        <w:rPr>
          <w:rFonts w:ascii="FangSong" w:hAnsi="FangSong" w:eastAsia="FangSong" w:cs="FangSong"/>
          <w:sz w:val="23"/>
          <w:szCs w:val="23"/>
          <w:spacing w:val="-55"/>
        </w:rPr>
        <w:t xml:space="preserve"> </w:t>
      </w:r>
      <w:r>
        <w:rPr>
          <w:rFonts w:ascii="FangSong" w:hAnsi="FangSong" w:eastAsia="FangSong" w:cs="FangSong"/>
          <w:sz w:val="23"/>
          <w:szCs w:val="23"/>
          <w:spacing w:val="2"/>
        </w:rPr>
        <w:t>出预算792.86万元</w:t>
      </w:r>
      <w:r>
        <w:rPr>
          <w:rFonts w:ascii="FangSong" w:hAnsi="FangSong" w:eastAsia="FangSong" w:cs="FangSong"/>
          <w:sz w:val="23"/>
          <w:szCs w:val="23"/>
          <w:spacing w:val="-61"/>
        </w:rPr>
        <w:t xml:space="preserve"> </w:t>
      </w:r>
      <w:r>
        <w:rPr>
          <w:rFonts w:ascii="FangSong" w:hAnsi="FangSong" w:eastAsia="FangSong" w:cs="FangSong"/>
          <w:sz w:val="23"/>
          <w:szCs w:val="23"/>
          <w:spacing w:val="2"/>
        </w:rPr>
        <w:t>，其</w:t>
      </w:r>
      <w:r>
        <w:rPr>
          <w:rFonts w:ascii="FangSong" w:hAnsi="FangSong" w:eastAsia="FangSong" w:cs="FangSong"/>
          <w:sz w:val="23"/>
          <w:szCs w:val="23"/>
          <w:spacing w:val="-48"/>
        </w:rPr>
        <w:t xml:space="preserve"> </w:t>
      </w:r>
      <w:r>
        <w:rPr>
          <w:rFonts w:ascii="FangSong" w:hAnsi="FangSong" w:eastAsia="FangSong" w:cs="FangSong"/>
          <w:sz w:val="23"/>
          <w:szCs w:val="23"/>
          <w:spacing w:val="2"/>
        </w:rPr>
        <w:t>中：</w:t>
      </w:r>
      <w:r>
        <w:rPr>
          <w:rFonts w:ascii="FangSong" w:hAnsi="FangSong" w:eastAsia="FangSong" w:cs="FangSong"/>
          <w:sz w:val="23"/>
          <w:szCs w:val="23"/>
          <w:spacing w:val="-55"/>
        </w:rPr>
        <w:t xml:space="preserve"> </w:t>
      </w:r>
      <w:r>
        <w:rPr>
          <w:rFonts w:ascii="FangSong" w:hAnsi="FangSong" w:eastAsia="FangSong" w:cs="FangSong"/>
          <w:sz w:val="23"/>
          <w:szCs w:val="23"/>
          <w:spacing w:val="2"/>
        </w:rPr>
        <w:t>基本支</w:t>
      </w:r>
      <w:r>
        <w:rPr>
          <w:rFonts w:ascii="FangSong" w:hAnsi="FangSong" w:eastAsia="FangSong" w:cs="FangSong"/>
          <w:sz w:val="23"/>
          <w:szCs w:val="23"/>
          <w:spacing w:val="-54"/>
        </w:rPr>
        <w:t xml:space="preserve"> </w:t>
      </w:r>
      <w:r>
        <w:rPr>
          <w:rFonts w:ascii="FangSong" w:hAnsi="FangSong" w:eastAsia="FangSong" w:cs="FangSong"/>
          <w:sz w:val="23"/>
          <w:szCs w:val="23"/>
          <w:spacing w:val="2"/>
        </w:rPr>
        <w:t>出732.17万元</w:t>
      </w:r>
      <w:r>
        <w:rPr>
          <w:rFonts w:ascii="FangSong" w:hAnsi="FangSong" w:eastAsia="FangSong" w:cs="FangSong"/>
          <w:sz w:val="23"/>
          <w:szCs w:val="23"/>
          <w:spacing w:val="-61"/>
        </w:rPr>
        <w:t xml:space="preserve"> </w:t>
      </w:r>
      <w:r>
        <w:rPr>
          <w:rFonts w:ascii="FangSong" w:hAnsi="FangSong" w:eastAsia="FangSong" w:cs="FangSong"/>
          <w:sz w:val="23"/>
          <w:szCs w:val="23"/>
          <w:spacing w:val="2"/>
        </w:rPr>
        <w:t>，</w:t>
      </w:r>
      <w:r>
        <w:rPr>
          <w:rFonts w:ascii="FangSong" w:hAnsi="FangSong" w:eastAsia="FangSong" w:cs="FangSong"/>
          <w:sz w:val="23"/>
          <w:szCs w:val="23"/>
          <w:spacing w:val="-37"/>
        </w:rPr>
        <w:t xml:space="preserve"> </w:t>
      </w:r>
      <w:r>
        <w:rPr>
          <w:rFonts w:ascii="FangSong" w:hAnsi="FangSong" w:eastAsia="FangSong" w:cs="FangSong"/>
          <w:sz w:val="23"/>
          <w:szCs w:val="23"/>
          <w:spacing w:val="2"/>
        </w:rPr>
        <w:t>占</w:t>
      </w:r>
    </w:p>
    <w:p>
      <w:pPr>
        <w:ind w:left="1257"/>
        <w:spacing w:before="134" w:line="226" w:lineRule="auto"/>
        <w:rPr>
          <w:rFonts w:ascii="FangSong" w:hAnsi="FangSong" w:eastAsia="FangSong" w:cs="FangSong"/>
          <w:sz w:val="23"/>
          <w:szCs w:val="23"/>
        </w:rPr>
      </w:pPr>
      <w:r>
        <w:rPr>
          <w:rFonts w:ascii="FangSong" w:hAnsi="FangSong" w:eastAsia="FangSong" w:cs="FangSong"/>
          <w:sz w:val="23"/>
          <w:szCs w:val="23"/>
          <w:spacing w:val="-5"/>
        </w:rPr>
        <w:t>92.35</w:t>
      </w:r>
      <w:r>
        <w:rPr>
          <w:rFonts w:ascii="FangSong" w:hAnsi="FangSong" w:eastAsia="FangSong" w:cs="FangSong"/>
          <w:sz w:val="23"/>
          <w:szCs w:val="23"/>
          <w:spacing w:val="5"/>
        </w:rPr>
        <w:t xml:space="preserve">         </w:t>
      </w:r>
      <w:r>
        <w:rPr>
          <w:rFonts w:ascii="FangSong" w:hAnsi="FangSong" w:eastAsia="FangSong" w:cs="FangSong"/>
          <w:sz w:val="23"/>
          <w:szCs w:val="23"/>
          <w:spacing w:val="-5"/>
        </w:rPr>
        <w:t>出60.69万元，</w:t>
      </w:r>
      <w:r>
        <w:rPr>
          <w:rFonts w:ascii="FangSong" w:hAnsi="FangSong" w:eastAsia="FangSong" w:cs="FangSong"/>
          <w:sz w:val="23"/>
          <w:szCs w:val="23"/>
          <w:spacing w:val="-55"/>
        </w:rPr>
        <w:t xml:space="preserve"> </w:t>
      </w:r>
      <w:r>
        <w:rPr>
          <w:rFonts w:ascii="FangSong" w:hAnsi="FangSong" w:eastAsia="FangSong" w:cs="FangSong"/>
          <w:sz w:val="23"/>
          <w:szCs w:val="23"/>
          <w:spacing w:val="-5"/>
        </w:rPr>
        <w:t>占7.65%。</w:t>
      </w:r>
    </w:p>
    <w:p>
      <w:pPr>
        <w:ind w:left="1271"/>
        <w:spacing w:before="114"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8"/>
          <w:position w:val="-1"/>
        </w:rPr>
        <w:t>四、财政拨款收支预算总体情况说明</w:t>
      </w:r>
    </w:p>
    <w:p>
      <w:pPr>
        <w:ind w:left="1262" w:right="1223" w:firstLine="458"/>
        <w:spacing w:before="175" w:line="324" w:lineRule="auto"/>
        <w:jc w:val="both"/>
        <w:rPr>
          <w:rFonts w:ascii="FangSong" w:hAnsi="FangSong" w:eastAsia="FangSong" w:cs="FangSong"/>
          <w:sz w:val="23"/>
          <w:szCs w:val="23"/>
        </w:rPr>
      </w:pPr>
      <w:r>
        <w:rPr>
          <w:rFonts w:ascii="FangSong" w:hAnsi="FangSong" w:eastAsia="FangSong" w:cs="FangSong"/>
          <w:sz w:val="23"/>
          <w:szCs w:val="23"/>
          <w:spacing w:val="5"/>
        </w:rPr>
        <w:t>2025年度兴县蔚汾镇卫生院财政拨款收支总预算792.86万元。其中：一般公共预算拨款</w:t>
      </w:r>
      <w:r>
        <w:rPr>
          <w:rFonts w:ascii="FangSong" w:hAnsi="FangSong" w:eastAsia="FangSong" w:cs="FangSong"/>
          <w:sz w:val="23"/>
          <w:szCs w:val="23"/>
        </w:rPr>
        <w:t xml:space="preserve"> </w:t>
      </w:r>
      <w:r>
        <w:rPr>
          <w:rFonts w:ascii="FangSong" w:hAnsi="FangSong" w:eastAsia="FangSong" w:cs="FangSong"/>
          <w:sz w:val="23"/>
          <w:szCs w:val="23"/>
          <w:spacing w:val="3"/>
        </w:rPr>
        <w:t>792.86万元，政府性基金预算拨款0万元，</w:t>
      </w:r>
      <w:r>
        <w:rPr>
          <w:rFonts w:ascii="FangSong" w:hAnsi="FangSong" w:eastAsia="FangSong" w:cs="FangSong"/>
          <w:sz w:val="23"/>
          <w:szCs w:val="23"/>
          <w:spacing w:val="-67"/>
        </w:rPr>
        <w:t xml:space="preserve"> </w:t>
      </w:r>
      <w:r>
        <w:rPr>
          <w:rFonts w:ascii="FangSong" w:hAnsi="FangSong" w:eastAsia="FangSong" w:cs="FangSong"/>
          <w:sz w:val="23"/>
          <w:szCs w:val="23"/>
          <w:spacing w:val="3"/>
        </w:rPr>
        <w:t>国有资本</w:t>
      </w:r>
      <w:r>
        <w:rPr>
          <w:rFonts w:ascii="FangSong" w:hAnsi="FangSong" w:eastAsia="FangSong" w:cs="FangSong"/>
          <w:sz w:val="23"/>
          <w:szCs w:val="23"/>
          <w:spacing w:val="2"/>
        </w:rPr>
        <w:t>经营预算拨款0万元。其中：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当年拨款收</w:t>
      </w:r>
      <w:r>
        <w:rPr>
          <w:rFonts w:ascii="FangSong" w:hAnsi="FangSong" w:eastAsia="FangSong" w:cs="FangSong"/>
          <w:sz w:val="23"/>
          <w:szCs w:val="23"/>
        </w:rPr>
        <w:t xml:space="preserve"> </w:t>
      </w:r>
      <w:r>
        <w:rPr>
          <w:rFonts w:ascii="FangSong" w:hAnsi="FangSong" w:eastAsia="FangSong" w:cs="FangSong"/>
          <w:sz w:val="23"/>
          <w:szCs w:val="23"/>
          <w:spacing w:val="5"/>
        </w:rPr>
        <w:t>入792.86万元，上年结转收入0万元。支出包括：社会保障</w:t>
      </w:r>
      <w:r>
        <w:rPr>
          <w:rFonts w:ascii="FangSong" w:hAnsi="FangSong" w:eastAsia="FangSong" w:cs="FangSong"/>
          <w:sz w:val="23"/>
          <w:szCs w:val="23"/>
          <w:spacing w:val="4"/>
        </w:rPr>
        <w:t>和就业支出74.55万元、卫生健康</w:t>
      </w:r>
      <w:r>
        <w:rPr>
          <w:rFonts w:ascii="FangSong" w:hAnsi="FangSong" w:eastAsia="FangSong" w:cs="FangSong"/>
          <w:sz w:val="23"/>
          <w:szCs w:val="23"/>
        </w:rPr>
        <w:t xml:space="preserve"> </w:t>
      </w:r>
      <w:r>
        <w:rPr>
          <w:rFonts w:ascii="FangSong" w:hAnsi="FangSong" w:eastAsia="FangSong" w:cs="FangSong"/>
          <w:sz w:val="23"/>
          <w:szCs w:val="23"/>
        </w:rPr>
        <w:t>支出663.77万元、住房保障支出54.54</w:t>
      </w:r>
      <w:r>
        <w:rPr>
          <w:rFonts w:ascii="FangSong" w:hAnsi="FangSong" w:eastAsia="FangSong" w:cs="FangSong"/>
          <w:sz w:val="23"/>
          <w:szCs w:val="23"/>
          <w:spacing w:val="-1"/>
        </w:rPr>
        <w:t>万元等。</w:t>
      </w:r>
    </w:p>
    <w:p>
      <w:pPr>
        <w:ind w:left="1264"/>
        <w:spacing w:before="2"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8"/>
          <w:position w:val="-1"/>
        </w:rPr>
        <w:t>五、一般公共预算支出情况说明</w:t>
      </w:r>
    </w:p>
    <w:p>
      <w:pPr>
        <w:ind w:left="1725"/>
        <w:spacing w:before="17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68" w:right="1271" w:firstLine="452"/>
        <w:spacing w:before="124" w:line="325" w:lineRule="auto"/>
        <w:rPr>
          <w:rFonts w:ascii="FangSong" w:hAnsi="FangSong" w:eastAsia="FangSong" w:cs="FangSong"/>
          <w:sz w:val="23"/>
          <w:szCs w:val="23"/>
        </w:rPr>
      </w:pPr>
      <w:r>
        <w:rPr>
          <w:rFonts w:ascii="FangSong" w:hAnsi="FangSong" w:eastAsia="FangSong" w:cs="FangSong"/>
          <w:sz w:val="23"/>
          <w:szCs w:val="23"/>
          <w:spacing w:val="1"/>
        </w:rPr>
        <w:t>2025年度兴县蔚汾镇卫生院一般公共预算当年支出792.86万元,比上年减少207.69万元，</w:t>
      </w:r>
      <w:r>
        <w:rPr>
          <w:rFonts w:ascii="FangSong" w:hAnsi="FangSong" w:eastAsia="FangSong" w:cs="FangSong"/>
          <w:sz w:val="23"/>
          <w:szCs w:val="23"/>
          <w:spacing w:val="4"/>
        </w:rPr>
        <w:t xml:space="preserve"> </w:t>
      </w:r>
      <w:r>
        <w:rPr>
          <w:rFonts w:ascii="FangSong" w:hAnsi="FangSong" w:eastAsia="FangSong" w:cs="FangSong"/>
          <w:sz w:val="23"/>
          <w:szCs w:val="23"/>
          <w:spacing w:val="-2"/>
        </w:rPr>
        <w:t>下降20.76%。</w:t>
      </w:r>
    </w:p>
    <w:p>
      <w:pPr>
        <w:ind w:left="2204"/>
        <w:spacing w:line="222" w:lineRule="auto"/>
        <w:rPr>
          <w:rFonts w:ascii="FangSong" w:hAnsi="FangSong" w:eastAsia="FangSong" w:cs="FangSong"/>
          <w:sz w:val="23"/>
          <w:szCs w:val="23"/>
        </w:rPr>
      </w:pPr>
      <w:r>
        <w:rPr>
          <w:rFonts w:ascii="FangSong" w:hAnsi="FangSong" w:eastAsia="FangSong" w:cs="FangSong"/>
          <w:sz w:val="23"/>
          <w:szCs w:val="23"/>
          <w:spacing w:val="-4"/>
        </w:rPr>
        <w:t>)</w:t>
      </w:r>
      <w:r>
        <w:rPr>
          <w:rFonts w:ascii="FangSong" w:hAnsi="FangSong" w:eastAsia="FangSong" w:cs="FangSong"/>
          <w:sz w:val="23"/>
          <w:szCs w:val="23"/>
          <w:spacing w:val="34"/>
        </w:rPr>
        <w:t xml:space="preserve"> </w:t>
      </w:r>
      <w:r>
        <w:rPr>
          <w:rFonts w:ascii="FangSong" w:hAnsi="FangSong" w:eastAsia="FangSong" w:cs="FangSong"/>
          <w:sz w:val="23"/>
          <w:szCs w:val="23"/>
          <w:spacing w:val="-4"/>
        </w:rPr>
        <w:t>一般公共预算当年支出结构情况</w:t>
      </w:r>
    </w:p>
    <w:p>
      <w:pPr>
        <w:ind w:left="1720"/>
        <w:spacing w:before="124" w:line="222" w:lineRule="auto"/>
        <w:rPr>
          <w:rFonts w:ascii="FangSong" w:hAnsi="FangSong" w:eastAsia="FangSong" w:cs="FangSong"/>
          <w:sz w:val="23"/>
          <w:szCs w:val="23"/>
        </w:rPr>
      </w:pPr>
      <w:r>
        <w:rPr>
          <w:rFonts w:ascii="FangSong" w:hAnsi="FangSong" w:eastAsia="FangSong" w:cs="FangSong"/>
          <w:sz w:val="23"/>
          <w:szCs w:val="23"/>
          <w:spacing w:val="2"/>
        </w:rPr>
        <w:t>2025年度兴县蔚汾镇卫生院一般公共预算当年支出792.86万元,主要</w:t>
      </w:r>
      <w:r>
        <w:rPr>
          <w:rFonts w:ascii="FangSong" w:hAnsi="FangSong" w:eastAsia="FangSong" w:cs="FangSong"/>
          <w:sz w:val="23"/>
          <w:szCs w:val="23"/>
          <w:spacing w:val="2"/>
        </w:rPr>
        <w:t xml:space="preserve">          </w:t>
      </w:r>
      <w:r>
        <w:rPr>
          <w:rFonts w:ascii="FangSong" w:hAnsi="FangSong" w:eastAsia="FangSong" w:cs="FangSong"/>
          <w:sz w:val="23"/>
          <w:szCs w:val="23"/>
          <w:spacing w:val="2"/>
        </w:rPr>
        <w:t>面：社会</w:t>
      </w:r>
    </w:p>
    <w:p>
      <w:pPr>
        <w:ind w:left="1264"/>
        <w:spacing w:before="134" w:line="221" w:lineRule="auto"/>
        <w:rPr>
          <w:rFonts w:ascii="FangSong" w:hAnsi="FangSong" w:eastAsia="FangSong" w:cs="FangSong"/>
          <w:sz w:val="23"/>
          <w:szCs w:val="23"/>
        </w:rPr>
      </w:pPr>
      <w:r>
        <w:rPr>
          <w:rFonts w:ascii="FangSong" w:hAnsi="FangSong" w:eastAsia="FangSong" w:cs="FangSong"/>
          <w:sz w:val="23"/>
          <w:szCs w:val="23"/>
          <w:spacing w:val="3"/>
        </w:rPr>
        <w:t>保障和就业支出74.55万元，</w:t>
      </w:r>
      <w:r>
        <w:rPr>
          <w:rFonts w:ascii="FangSong" w:hAnsi="FangSong" w:eastAsia="FangSong" w:cs="FangSong"/>
          <w:sz w:val="23"/>
          <w:szCs w:val="23"/>
          <w:spacing w:val="-53"/>
        </w:rPr>
        <w:t xml:space="preserve"> </w:t>
      </w:r>
      <w:r>
        <w:rPr>
          <w:rFonts w:ascii="FangSong" w:hAnsi="FangSong" w:eastAsia="FangSong" w:cs="FangSong"/>
          <w:sz w:val="23"/>
          <w:szCs w:val="23"/>
          <w:spacing w:val="3"/>
        </w:rPr>
        <w:t>占9.40%；卫生健康支出663.77万元，</w:t>
      </w:r>
      <w:r>
        <w:rPr>
          <w:rFonts w:ascii="FangSong" w:hAnsi="FangSong" w:eastAsia="FangSong" w:cs="FangSong"/>
          <w:sz w:val="23"/>
          <w:szCs w:val="23"/>
          <w:spacing w:val="3"/>
        </w:rPr>
        <w:t xml:space="preserve">    </w:t>
      </w:r>
      <w:r>
        <w:rPr>
          <w:rFonts w:ascii="FangSong" w:hAnsi="FangSong" w:eastAsia="FangSong" w:cs="FangSong"/>
          <w:sz w:val="23"/>
          <w:szCs w:val="23"/>
          <w:spacing w:val="3"/>
        </w:rPr>
        <w:t>.</w:t>
      </w:r>
      <w:r>
        <w:rPr>
          <w:rFonts w:ascii="FangSong" w:hAnsi="FangSong" w:eastAsia="FangSong" w:cs="FangSong"/>
          <w:sz w:val="23"/>
          <w:szCs w:val="23"/>
          <w:spacing w:val="2"/>
        </w:rPr>
        <w:t xml:space="preserve"> </w:t>
      </w:r>
      <w:r>
        <w:rPr>
          <w:rFonts w:ascii="FangSong" w:hAnsi="FangSong" w:eastAsia="FangSong" w:cs="FangSong"/>
          <w:sz w:val="23"/>
          <w:szCs w:val="23"/>
          <w:spacing w:val="2"/>
        </w:rPr>
        <w:t>2%</w:t>
      </w:r>
      <w:r>
        <w:rPr>
          <w:rFonts w:ascii="FangSong" w:hAnsi="FangSong" w:eastAsia="FangSong" w:cs="FangSong"/>
          <w:sz w:val="23"/>
          <w:szCs w:val="23"/>
          <w:spacing w:val="2"/>
        </w:rPr>
        <w:t xml:space="preserve">  </w:t>
      </w:r>
      <w:r>
        <w:rPr>
          <w:rFonts w:ascii="FangSong" w:hAnsi="FangSong" w:eastAsia="FangSong" w:cs="FangSong"/>
          <w:sz w:val="23"/>
          <w:szCs w:val="23"/>
          <w:spacing w:val="2"/>
        </w:rPr>
        <w:t>住房保障支出</w:t>
      </w:r>
    </w:p>
    <w:p>
      <w:pPr>
        <w:spacing w:line="221" w:lineRule="auto"/>
        <w:sectPr>
          <w:headerReference w:type="default" r:id="rId34"/>
          <w:footerReference w:type="default" r:id="rId35"/>
          <w:pgSz w:w="11900" w:h="16840"/>
          <w:pgMar w:top="642" w:right="0" w:bottom="340" w:left="0" w:header="326" w:footer="111" w:gutter="0"/>
        </w:sectPr>
        <w:rPr>
          <w:rFonts w:ascii="FangSong" w:hAnsi="FangSong" w:eastAsia="FangSong" w:cs="FangSong"/>
          <w:sz w:val="23"/>
          <w:szCs w:val="23"/>
        </w:rPr>
      </w:pPr>
    </w:p>
    <w:p>
      <w:pPr>
        <w:spacing w:before="56"/>
        <w:rPr/>
      </w:pPr>
      <w:r/>
    </w:p>
    <w:p>
      <w:pPr>
        <w:spacing w:before="56"/>
        <w:rPr/>
      </w:pPr>
      <w:r/>
    </w:p>
    <w:p>
      <w:pPr>
        <w:sectPr>
          <w:headerReference w:type="default" r:id="rId37"/>
          <w:footerReference w:type="default" r:id="rId38"/>
          <w:pgSz w:w="11900" w:h="16840"/>
          <w:pgMar w:top="642" w:right="0" w:bottom="340" w:left="0" w:header="326" w:footer="111" w:gutter="0"/>
          <w:cols w:equalWidth="0" w:num="1">
            <w:col w:w="11900" w:space="0"/>
          </w:cols>
        </w:sectPr>
        <w:rPr/>
      </w:pPr>
    </w:p>
    <w:p>
      <w:pPr>
        <w:ind w:left="1261"/>
        <w:spacing w:before="46" w:line="241" w:lineRule="auto"/>
        <w:rPr>
          <w:rFonts w:ascii="FangSong" w:hAnsi="FangSong" w:eastAsia="FangSong" w:cs="FangSong"/>
          <w:sz w:val="23"/>
          <w:szCs w:val="23"/>
        </w:rPr>
      </w:pPr>
      <w:r>
        <w:rPr>
          <w:rFonts w:ascii="FangSong" w:hAnsi="FangSong" w:eastAsia="FangSong" w:cs="FangSong"/>
          <w:sz w:val="23"/>
          <w:szCs w:val="23"/>
          <w:spacing w:val="-3"/>
        </w:rPr>
        <w:t>54.54</w:t>
      </w:r>
    </w:p>
    <w:p>
      <w:pPr>
        <w:spacing w:before="13"/>
        <w:rPr/>
      </w:pPr>
      <w:r/>
    </w:p>
    <w:p>
      <w:pPr>
        <w:spacing w:before="12"/>
        <w:rPr/>
      </w:pPr>
      <w:r/>
    </w:p>
    <w:p>
      <w:pPr>
        <w:spacing w:before="12"/>
        <w:rPr/>
      </w:pPr>
      <w:r/>
    </w:p>
    <w:p>
      <w:pPr>
        <w:spacing w:before="12"/>
        <w:rPr/>
      </w:pPr>
      <w:r/>
    </w:p>
    <w:p>
      <w:pPr>
        <w:spacing w:before="12"/>
        <w:rPr/>
      </w:pPr>
      <w:r/>
    </w:p>
    <w:p>
      <w:pPr>
        <w:spacing w:before="12"/>
        <w:rPr/>
      </w:pPr>
      <w:r/>
    </w:p>
    <w:p>
      <w:pPr>
        <w:spacing w:before="12"/>
        <w:rPr/>
      </w:pPr>
      <w:r/>
    </w:p>
    <w:p>
      <w:pPr>
        <w:spacing w:before="12"/>
        <w:rPr/>
      </w:pPr>
      <w:r/>
    </w:p>
    <w:p>
      <w:pPr>
        <w:spacing w:before="12"/>
        <w:rPr/>
      </w:pPr>
      <w:r/>
    </w:p>
    <w:p>
      <w:pPr>
        <w:spacing w:before="12"/>
        <w:rPr/>
      </w:pPr>
      <w:r/>
    </w:p>
    <w:p>
      <w:pPr>
        <w:spacing w:before="12"/>
        <w:rPr/>
      </w:pPr>
      <w:r/>
    </w:p>
    <w:p>
      <w:pPr>
        <w:pStyle w:val="BodyText"/>
        <w:spacing w:line="14" w:lineRule="auto"/>
        <w:rPr>
          <w:sz w:val="2"/>
        </w:rPr>
      </w:pPr>
      <w:r>
        <w:rPr>
          <w:sz w:val="2"/>
          <w:szCs w:val="2"/>
        </w:rPr>
        <w:br w:type="column"/>
      </w:r>
    </w:p>
    <w:p>
      <w:pPr>
        <w:ind w:left="280"/>
        <w:spacing w:before="202" w:line="104" w:lineRule="exact"/>
        <w:rPr>
          <w:rFonts w:ascii="FangSong" w:hAnsi="FangSong" w:eastAsia="FangSong" w:cs="FangSong"/>
          <w:sz w:val="23"/>
          <w:szCs w:val="23"/>
        </w:rPr>
      </w:pPr>
      <w:r>
        <w:rPr>
          <w:rFonts w:ascii="FangSong" w:hAnsi="FangSong" w:eastAsia="FangSong" w:cs="FangSong"/>
          <w:sz w:val="23"/>
          <w:szCs w:val="23"/>
          <w:position w:val="3"/>
        </w:rPr>
        <w:t>,</w:t>
      </w:r>
    </w:p>
    <w:p>
      <w:pPr>
        <w:pStyle w:val="BodyText"/>
        <w:spacing w:line="14" w:lineRule="auto"/>
        <w:rPr>
          <w:sz w:val="2"/>
        </w:rPr>
      </w:pPr>
      <w:r>
        <w:rPr>
          <w:sz w:val="2"/>
          <w:szCs w:val="2"/>
        </w:rPr>
        <w:br w:type="column"/>
      </w:r>
    </w:p>
    <w:p>
      <w:pPr>
        <w:spacing w:before="46" w:line="224" w:lineRule="auto"/>
        <w:rPr>
          <w:rFonts w:ascii="FangSong" w:hAnsi="FangSong" w:eastAsia="FangSong" w:cs="FangSong"/>
          <w:sz w:val="23"/>
          <w:szCs w:val="23"/>
        </w:rPr>
      </w:pPr>
      <w:r>
        <w:rPr>
          <w:rFonts w:ascii="FangSong" w:hAnsi="FangSong" w:eastAsia="FangSong" w:cs="FangSong"/>
          <w:sz w:val="23"/>
          <w:szCs w:val="23"/>
          <w:spacing w:val="-2"/>
        </w:rPr>
        <w:t>6.88%等。</w:t>
      </w:r>
    </w:p>
    <w:p>
      <w:pPr>
        <w:pStyle w:val="BodyText"/>
        <w:spacing w:line="14" w:lineRule="auto"/>
        <w:rPr>
          <w:sz w:val="2"/>
        </w:rPr>
      </w:pPr>
      <w:r>
        <w:rPr>
          <w:sz w:val="2"/>
          <w:szCs w:val="2"/>
        </w:rPr>
        <w:br w:type="column"/>
      </w:r>
    </w:p>
    <w:p>
      <w:pPr>
        <w:pStyle w:val="BodyText"/>
        <w:spacing w:line="269" w:lineRule="auto"/>
        <w:rPr/>
      </w:pPr>
      <w:r/>
    </w:p>
    <w:p>
      <w:pPr>
        <w:pStyle w:val="BodyText"/>
        <w:spacing w:line="269" w:lineRule="auto"/>
        <w:rPr/>
      </w:pPr>
      <w:r/>
    </w:p>
    <w:p>
      <w:pPr>
        <w:spacing w:line="2547" w:lineRule="exact"/>
        <w:rPr/>
      </w:pPr>
      <w:r>
        <w:rPr>
          <w:position w:val="-50"/>
        </w:rPr>
        <w:drawing>
          <wp:inline distT="0" distB="0" distL="0" distR="0">
            <wp:extent cx="1940551" cy="1617346"/>
            <wp:effectExtent l="0" t="0" r="0" b="0"/>
            <wp:docPr id="6" name="IM 6"/>
            <wp:cNvGraphicFramePr/>
            <a:graphic>
              <a:graphicData uri="http://schemas.openxmlformats.org/drawingml/2006/picture">
                <pic:pic>
                  <pic:nvPicPr>
                    <pic:cNvPr id="6" name="IM 6"/>
                    <pic:cNvPicPr/>
                  </pic:nvPicPr>
                  <pic:blipFill>
                    <a:blip r:embed="rId39"/>
                    <a:stretch>
                      <a:fillRect/>
                    </a:stretch>
                  </pic:blipFill>
                  <pic:spPr>
                    <a:xfrm rot="0">
                      <a:off x="0" y="0"/>
                      <a:ext cx="1940551" cy="1617346"/>
                    </a:xfrm>
                    <a:prstGeom prst="rect">
                      <a:avLst/>
                    </a:prstGeom>
                  </pic:spPr>
                </pic:pic>
              </a:graphicData>
            </a:graphic>
          </wp:inline>
        </w:drawing>
      </w:r>
    </w:p>
    <w:p>
      <w:pPr>
        <w:spacing w:line="2547" w:lineRule="exact"/>
        <w:sectPr>
          <w:type w:val="continuous"/>
          <w:pgSz w:w="11900" w:h="16840"/>
          <w:pgMar w:top="642" w:right="0" w:bottom="340" w:left="0" w:header="326" w:footer="111" w:gutter="0"/>
          <w:cols w:equalWidth="0" w:num="4">
            <w:col w:w="1938" w:space="100"/>
            <w:col w:w="720" w:space="0"/>
            <w:col w:w="1807" w:space="100"/>
            <w:col w:w="7236" w:space="0"/>
          </w:cols>
        </w:sectPr>
        <w:rPr/>
      </w:pPr>
    </w:p>
    <w:p>
      <w:pPr>
        <w:pStyle w:val="BodyText"/>
        <w:spacing w:line="451" w:lineRule="auto"/>
        <w:rPr/>
      </w:pPr>
      <w:r/>
    </w:p>
    <w:p>
      <w:pPr>
        <w:ind w:left="1262"/>
        <w:spacing w:before="95"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六、一般公共预算基本支出情况说明</w:t>
      </w:r>
    </w:p>
    <w:p>
      <w:pPr>
        <w:ind w:left="2190"/>
        <w:spacing w:before="185" w:line="222" w:lineRule="auto"/>
        <w:rPr>
          <w:rFonts w:ascii="FangSong" w:hAnsi="FangSong" w:eastAsia="FangSong" w:cs="FangSong"/>
          <w:sz w:val="23"/>
          <w:szCs w:val="23"/>
        </w:rPr>
      </w:pPr>
      <w:r>
        <w:rPr>
          <w:rFonts w:ascii="FangSong" w:hAnsi="FangSong" w:eastAsia="FangSong" w:cs="FangSong"/>
          <w:sz w:val="23"/>
          <w:szCs w:val="23"/>
        </w:rPr>
        <w:t>年度兴县蔚汾镇卫生院一般公共预算安排基本支出732.17万元</w:t>
      </w:r>
      <w:r>
        <w:rPr>
          <w:rFonts w:ascii="FangSong" w:hAnsi="FangSong" w:eastAsia="FangSong" w:cs="FangSong"/>
          <w:sz w:val="23"/>
          <w:szCs w:val="23"/>
          <w:spacing w:val="-1"/>
        </w:rPr>
        <w:t>，其中：</w:t>
      </w:r>
    </w:p>
    <w:p>
      <w:pPr>
        <w:ind w:left="1979"/>
        <w:spacing w:before="124" w:line="221" w:lineRule="auto"/>
        <w:rPr>
          <w:rFonts w:ascii="FangSong" w:hAnsi="FangSong" w:eastAsia="FangSong" w:cs="FangSong"/>
          <w:sz w:val="23"/>
          <w:szCs w:val="23"/>
        </w:rPr>
      </w:pPr>
      <w:r>
        <w:rPr>
          <w:rFonts w:ascii="FangSong" w:hAnsi="FangSong" w:eastAsia="FangSong" w:cs="FangSong"/>
          <w:sz w:val="23"/>
          <w:szCs w:val="23"/>
          <w:spacing w:val="3"/>
        </w:rPr>
        <w:t>员经费7</w:t>
      </w:r>
      <w:r>
        <w:rPr>
          <w:rFonts w:ascii="FangSong" w:hAnsi="FangSong" w:eastAsia="FangSong" w:cs="FangSong"/>
          <w:sz w:val="23"/>
          <w:szCs w:val="23"/>
          <w:spacing w:val="3"/>
        </w:rPr>
        <w:t xml:space="preserve"> </w:t>
      </w:r>
      <w:r>
        <w:rPr>
          <w:rFonts w:ascii="FangSong" w:hAnsi="FangSong" w:eastAsia="FangSong" w:cs="FangSong"/>
          <w:sz w:val="23"/>
          <w:szCs w:val="23"/>
          <w:spacing w:val="3"/>
        </w:rPr>
        <w:t>5.58万元，主要包括：其他工</w:t>
      </w:r>
      <w:r>
        <w:rPr>
          <w:rFonts w:ascii="FangSong" w:hAnsi="FangSong" w:eastAsia="FangSong" w:cs="FangSong"/>
          <w:sz w:val="23"/>
          <w:szCs w:val="23"/>
          <w:spacing w:val="2"/>
        </w:rPr>
        <w:t>资福利</w:t>
      </w:r>
      <w:r>
        <w:rPr>
          <w:rFonts w:ascii="FangSong" w:hAnsi="FangSong" w:eastAsia="FangSong" w:cs="FangSong"/>
          <w:sz w:val="23"/>
          <w:szCs w:val="23"/>
          <w:spacing w:val="2"/>
        </w:rPr>
        <w:t xml:space="preserve">  </w:t>
      </w:r>
      <w:r>
        <w:rPr>
          <w:rFonts w:ascii="FangSong" w:hAnsi="FangSong" w:eastAsia="FangSong" w:cs="FangSong"/>
          <w:sz w:val="23"/>
          <w:szCs w:val="23"/>
          <w:spacing w:val="2"/>
        </w:rPr>
        <w:t>出、其他社会保障</w:t>
      </w:r>
      <w:r>
        <w:rPr>
          <w:rFonts w:ascii="FangSong" w:hAnsi="FangSong" w:eastAsia="FangSong" w:cs="FangSong"/>
          <w:sz w:val="23"/>
          <w:szCs w:val="23"/>
          <w:spacing w:val="13"/>
        </w:rPr>
        <w:t xml:space="preserve">    </w:t>
      </w:r>
      <w:r>
        <w:rPr>
          <w:rFonts w:ascii="FangSong" w:hAnsi="FangSong" w:eastAsia="FangSong" w:cs="FangSong"/>
          <w:sz w:val="23"/>
          <w:szCs w:val="23"/>
          <w:spacing w:val="2"/>
        </w:rPr>
        <w:t>、</w:t>
      </w:r>
      <w:r>
        <w:rPr>
          <w:rFonts w:ascii="FangSong" w:hAnsi="FangSong" w:eastAsia="FangSong" w:cs="FangSong"/>
          <w:sz w:val="23"/>
          <w:szCs w:val="23"/>
          <w:spacing w:val="15"/>
        </w:rPr>
        <w:t xml:space="preserve">  </w:t>
      </w:r>
      <w:r>
        <w:rPr>
          <w:rFonts w:ascii="FangSong" w:hAnsi="FangSong" w:eastAsia="FangSong" w:cs="FangSong"/>
          <w:sz w:val="23"/>
          <w:szCs w:val="23"/>
          <w:spacing w:val="2"/>
        </w:rPr>
        <w:t>效工资、</w:t>
      </w:r>
    </w:p>
    <w:p>
      <w:pPr>
        <w:ind w:left="1263"/>
        <w:spacing w:before="124" w:line="221" w:lineRule="auto"/>
        <w:rPr>
          <w:rFonts w:ascii="FangSong" w:hAnsi="FangSong" w:eastAsia="FangSong" w:cs="FangSong"/>
          <w:sz w:val="23"/>
          <w:szCs w:val="23"/>
        </w:rPr>
      </w:pPr>
      <w:r>
        <w:rPr>
          <w:rFonts w:ascii="FangSong" w:hAnsi="FangSong" w:eastAsia="FangSong" w:cs="FangSong"/>
          <w:sz w:val="23"/>
          <w:szCs w:val="23"/>
          <w:spacing w:val="11"/>
        </w:rPr>
        <w:t>基本工资、住房公积金、机关事业单位基本养老</w:t>
      </w:r>
      <w:r>
        <w:rPr>
          <w:rFonts w:ascii="FangSong" w:hAnsi="FangSong" w:eastAsia="FangSong" w:cs="FangSong"/>
          <w:sz w:val="23"/>
          <w:szCs w:val="23"/>
          <w:spacing w:val="10"/>
        </w:rPr>
        <w:t>保险缴费、退休</w:t>
      </w:r>
      <w:r>
        <w:rPr>
          <w:rFonts w:ascii="FangSong" w:hAnsi="FangSong" w:eastAsia="FangSong" w:cs="FangSong"/>
          <w:sz w:val="23"/>
          <w:szCs w:val="23"/>
          <w:spacing w:val="10"/>
        </w:rPr>
        <w:t xml:space="preserve">  </w:t>
      </w:r>
      <w:r>
        <w:rPr>
          <w:rFonts w:ascii="FangSong" w:hAnsi="FangSong" w:eastAsia="FangSong" w:cs="FangSong"/>
          <w:sz w:val="23"/>
          <w:szCs w:val="23"/>
          <w:spacing w:val="10"/>
        </w:rPr>
        <w:t>、</w:t>
      </w:r>
      <w:r>
        <w:rPr>
          <w:rFonts w:ascii="FangSong" w:hAnsi="FangSong" w:eastAsia="FangSong" w:cs="FangSong"/>
          <w:sz w:val="23"/>
          <w:szCs w:val="23"/>
          <w:spacing w:val="10"/>
        </w:rPr>
        <w:t xml:space="preserve">    </w:t>
      </w:r>
      <w:r>
        <w:rPr>
          <w:rFonts w:ascii="FangSong" w:hAnsi="FangSong" w:eastAsia="FangSong" w:cs="FangSong"/>
          <w:sz w:val="23"/>
          <w:szCs w:val="23"/>
          <w:spacing w:val="10"/>
        </w:rPr>
        <w:t>基本医疗保险缴</w:t>
      </w:r>
    </w:p>
    <w:p>
      <w:pPr>
        <w:ind w:left="1271"/>
        <w:spacing w:before="136" w:line="222" w:lineRule="auto"/>
        <w:rPr>
          <w:rFonts w:ascii="FangSong" w:hAnsi="FangSong" w:eastAsia="FangSong" w:cs="FangSong"/>
          <w:sz w:val="23"/>
          <w:szCs w:val="23"/>
        </w:rPr>
      </w:pPr>
      <w:r>
        <w:rPr>
          <w:rFonts w:ascii="FangSong" w:hAnsi="FangSong" w:eastAsia="FangSong" w:cs="FangSong"/>
          <w:sz w:val="23"/>
          <w:szCs w:val="23"/>
          <w:spacing w:val="-3"/>
        </w:rPr>
        <w:t>费、津贴补贴等；</w:t>
      </w:r>
    </w:p>
    <w:p>
      <w:pPr>
        <w:ind w:left="1729"/>
        <w:spacing w:before="123" w:line="223" w:lineRule="auto"/>
        <w:rPr>
          <w:rFonts w:ascii="FangSong" w:hAnsi="FangSong" w:eastAsia="FangSong" w:cs="FangSong"/>
          <w:sz w:val="23"/>
          <w:szCs w:val="23"/>
        </w:rPr>
      </w:pPr>
      <w:r>
        <w:rPr>
          <w:rFonts w:ascii="FangSong" w:hAnsi="FangSong" w:eastAsia="FangSong" w:cs="FangSong"/>
          <w:sz w:val="23"/>
          <w:szCs w:val="23"/>
        </w:rPr>
        <w:t>公用经费26.60万元，主要包括：福利费、工会经费、</w:t>
      </w:r>
      <w:r>
        <w:rPr>
          <w:rFonts w:ascii="FangSong" w:hAnsi="FangSong" w:eastAsia="FangSong" w:cs="FangSong"/>
          <w:sz w:val="23"/>
          <w:szCs w:val="23"/>
          <w:spacing w:val="-1"/>
        </w:rPr>
        <w:t>取暖费等。</w:t>
      </w:r>
    </w:p>
    <w:p>
      <w:pPr>
        <w:ind w:left="1255"/>
        <w:spacing w:before="119" w:line="229"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85"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20" w:line="230"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spacing w:val="-1"/>
        </w:rPr>
        <w:t>本单位为一类公益类事业单位，无机关运行经费。</w:t>
      </w:r>
    </w:p>
    <w:p>
      <w:pPr>
        <w:ind w:left="1258"/>
        <w:spacing w:before="133" w:line="225" w:lineRule="exact"/>
        <w:outlineLvl w:val="1"/>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9"/>
          <w:position w:val="-1"/>
        </w:rPr>
        <w:t>九、政府采购情况</w:t>
      </w:r>
    </w:p>
    <w:p>
      <w:pPr>
        <w:ind w:left="1264" w:right="1223" w:firstLine="455"/>
        <w:spacing w:before="176" w:line="322" w:lineRule="auto"/>
        <w:rPr>
          <w:rFonts w:ascii="FangSong" w:hAnsi="FangSong" w:eastAsia="FangSong" w:cs="FangSong"/>
          <w:sz w:val="23"/>
          <w:szCs w:val="23"/>
        </w:rPr>
      </w:pPr>
      <w:r>
        <w:rPr>
          <w:rFonts w:ascii="FangSong" w:hAnsi="FangSong" w:eastAsia="FangSong" w:cs="FangSong"/>
          <w:sz w:val="23"/>
          <w:szCs w:val="23"/>
          <w:spacing w:val="5"/>
        </w:rPr>
        <w:t>2025年兴县蔚汾镇卫生院政府采购预算总额0万元。其中：政府采购货物预算0万元、政</w:t>
      </w:r>
      <w:r>
        <w:rPr>
          <w:rFonts w:ascii="FangSong" w:hAnsi="FangSong" w:eastAsia="FangSong" w:cs="FangSong"/>
          <w:sz w:val="23"/>
          <w:szCs w:val="23"/>
          <w:spacing w:val="9"/>
        </w:rPr>
        <w:t xml:space="preserve"> </w:t>
      </w:r>
      <w:r>
        <w:rPr>
          <w:rFonts w:ascii="FangSong" w:hAnsi="FangSong" w:eastAsia="FangSong" w:cs="FangSong"/>
          <w:sz w:val="23"/>
          <w:szCs w:val="23"/>
          <w:spacing w:val="-1"/>
        </w:rPr>
        <w:t>府采购工程预算0万元、政府采购服务预算0万元。</w:t>
      </w:r>
    </w:p>
    <w:p>
      <w:pPr>
        <w:ind w:left="1260"/>
        <w:spacing w:before="5" w:line="230" w:lineRule="exact"/>
        <w:outlineLvl w:val="1"/>
        <w:rPr>
          <w:rFonts w:ascii="Microsoft YaHei" w:hAnsi="Microsoft YaHei" w:eastAsia="Microsoft YaHei" w:cs="Microsoft YaHei"/>
          <w:sz w:val="22"/>
          <w:szCs w:val="22"/>
        </w:rPr>
      </w:pPr>
      <w:bookmarkStart w:name="bookmark29" w:id="43"/>
      <w:bookmarkEnd w:id="43"/>
      <w:r>
        <w:rPr>
          <w:rFonts w:ascii="Microsoft YaHei" w:hAnsi="Microsoft YaHei" w:eastAsia="Microsoft YaHei" w:cs="Microsoft YaHei"/>
          <w:sz w:val="22"/>
          <w:szCs w:val="22"/>
          <w:spacing w:val="9"/>
          <w:position w:val="-1"/>
        </w:rPr>
        <w:t>十、绩效管理情况</w:t>
      </w:r>
    </w:p>
    <w:p>
      <w:pPr>
        <w:ind w:left="1735"/>
        <w:spacing w:before="175" w:line="223" w:lineRule="auto"/>
        <w:rPr>
          <w:rFonts w:ascii="FangSong" w:hAnsi="FangSong" w:eastAsia="FangSong" w:cs="FangSong"/>
          <w:sz w:val="23"/>
          <w:szCs w:val="23"/>
        </w:rPr>
      </w:pPr>
      <w:r>
        <w:rPr>
          <w:rFonts w:ascii="FangSong" w:hAnsi="FangSong" w:eastAsia="FangSong" w:cs="FangSong"/>
          <w:sz w:val="23"/>
          <w:szCs w:val="23"/>
          <w:spacing w:val="-5"/>
        </w:rPr>
        <w:t>1、整体绩</w:t>
      </w:r>
    </w:p>
    <w:p>
      <w:pPr>
        <w:ind w:left="1259"/>
        <w:spacing w:before="122" w:line="222" w:lineRule="auto"/>
        <w:rPr>
          <w:rFonts w:ascii="FangSong" w:hAnsi="FangSong" w:eastAsia="FangSong" w:cs="FangSong"/>
          <w:sz w:val="23"/>
          <w:szCs w:val="23"/>
        </w:rPr>
      </w:pPr>
      <w:r>
        <w:rPr>
          <w:rFonts w:ascii="FangSong" w:hAnsi="FangSong" w:eastAsia="FangSong" w:cs="FangSong"/>
          <w:sz w:val="23"/>
          <w:szCs w:val="23"/>
          <w:spacing w:val="4"/>
        </w:rPr>
        <w:t>2025年</w:t>
      </w:r>
      <w:r>
        <w:rPr>
          <w:rFonts w:ascii="FangSong" w:hAnsi="FangSong" w:eastAsia="FangSong" w:cs="FangSong"/>
          <w:sz w:val="23"/>
          <w:szCs w:val="23"/>
          <w:spacing w:val="4"/>
        </w:rPr>
        <w:t xml:space="preserve">        </w:t>
      </w:r>
      <w:r>
        <w:rPr>
          <w:rFonts w:ascii="FangSong" w:hAnsi="FangSong" w:eastAsia="FangSong" w:cs="FangSong"/>
          <w:sz w:val="23"/>
          <w:szCs w:val="23"/>
          <w:spacing w:val="4"/>
        </w:rPr>
        <w:t>门整体支出绩效目标，涉及部门预算资金0万元，其中基本支出0万元，</w:t>
      </w:r>
    </w:p>
    <w:p>
      <w:pPr>
        <w:ind w:left="1265" w:right="1271" w:hanging="2"/>
        <w:spacing w:before="134" w:line="321" w:lineRule="auto"/>
        <w:rPr>
          <w:rFonts w:ascii="FangSong" w:hAnsi="FangSong" w:eastAsia="FangSong" w:cs="FangSong"/>
          <w:sz w:val="23"/>
          <w:szCs w:val="23"/>
        </w:rPr>
      </w:pPr>
      <w:r>
        <w:rPr>
          <w:rFonts w:ascii="FangSong" w:hAnsi="FangSong" w:eastAsia="FangSong" w:cs="FangSong"/>
          <w:sz w:val="23"/>
          <w:szCs w:val="23"/>
          <w:spacing w:val="1"/>
        </w:rPr>
        <w:t>支出0万元；机关及下属预算单位0个，其中0个单位（包括机关）编报了单位整体绩效</w:t>
      </w:r>
      <w:r>
        <w:rPr>
          <w:rFonts w:ascii="FangSong" w:hAnsi="FangSong" w:eastAsia="FangSong" w:cs="FangSong"/>
          <w:sz w:val="23"/>
          <w:szCs w:val="23"/>
          <w:spacing w:val="1"/>
        </w:rPr>
        <w:t xml:space="preserve">  </w:t>
      </w:r>
      <w:r>
        <w:rPr>
          <w:rFonts w:ascii="FangSong" w:hAnsi="FangSong" w:eastAsia="FangSong" w:cs="FangSong"/>
          <w:sz w:val="23"/>
          <w:szCs w:val="23"/>
          <w:spacing w:val="1"/>
        </w:rPr>
        <w:t>标，</w:t>
      </w:r>
      <w:r>
        <w:rPr>
          <w:rFonts w:ascii="FangSong" w:hAnsi="FangSong" w:eastAsia="FangSong" w:cs="FangSong"/>
          <w:sz w:val="23"/>
          <w:szCs w:val="23"/>
          <w:spacing w:val="5"/>
        </w:rPr>
        <w:t xml:space="preserve"> </w:t>
      </w:r>
      <w:r>
        <w:rPr>
          <w:rFonts w:ascii="FangSong" w:hAnsi="FangSong" w:eastAsia="FangSong" w:cs="FangSong"/>
          <w:sz w:val="23"/>
          <w:szCs w:val="23"/>
          <w:spacing w:val="-2"/>
        </w:rPr>
        <w:t>涉及资金0万元。</w:t>
      </w:r>
    </w:p>
    <w:p>
      <w:pPr>
        <w:ind w:left="1720"/>
        <w:spacing w:before="1" w:line="222"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64" w:right="1223" w:firstLine="455"/>
        <w:spacing w:before="135" w:line="323" w:lineRule="auto"/>
        <w:rPr>
          <w:rFonts w:ascii="FangSong" w:hAnsi="FangSong" w:eastAsia="FangSong" w:cs="FangSong"/>
          <w:sz w:val="23"/>
          <w:szCs w:val="23"/>
        </w:rPr>
      </w:pPr>
      <w:r>
        <w:rPr>
          <w:rFonts w:ascii="FangSong" w:hAnsi="FangSong" w:eastAsia="FangSong" w:cs="FangSong"/>
          <w:sz w:val="23"/>
          <w:szCs w:val="23"/>
          <w:spacing w:val="2"/>
        </w:rPr>
        <w:t>2025年兴县蔚汾镇卫生院纳入绩效目标管理的二级级项目7个，共计金额184.70万元。其</w:t>
      </w:r>
      <w:r>
        <w:rPr>
          <w:rFonts w:ascii="FangSong" w:hAnsi="FangSong" w:eastAsia="FangSong" w:cs="FangSong"/>
          <w:sz w:val="23"/>
          <w:szCs w:val="23"/>
          <w:spacing w:val="11"/>
        </w:rPr>
        <w:t xml:space="preserve"> </w:t>
      </w:r>
      <w:r>
        <w:rPr>
          <w:rFonts w:ascii="FangSong" w:hAnsi="FangSong" w:eastAsia="FangSong" w:cs="FangSong"/>
          <w:sz w:val="23"/>
          <w:szCs w:val="23"/>
          <w:spacing w:val="2"/>
        </w:rPr>
        <w:t>中：其他运转类项目0个，涉及金额0万元；特定目标类项目7个，涉及金额184.70万元。公开</w:t>
      </w:r>
      <w:r>
        <w:rPr>
          <w:rFonts w:ascii="FangSong" w:hAnsi="FangSong" w:eastAsia="FangSong" w:cs="FangSong"/>
          <w:sz w:val="23"/>
          <w:szCs w:val="23"/>
          <w:spacing w:val="5"/>
        </w:rPr>
        <w:t xml:space="preserve"> </w:t>
      </w:r>
      <w:r>
        <w:rPr>
          <w:rFonts w:ascii="FangSong" w:hAnsi="FangSong" w:eastAsia="FangSong" w:cs="FangSong"/>
          <w:sz w:val="23"/>
          <w:szCs w:val="23"/>
          <w:spacing w:val="1"/>
        </w:rPr>
        <w:t>项目绩效目标7个，涉及项目金额184.70万元，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占部门（单位）项目支</w:t>
      </w:r>
      <w:r>
        <w:rPr>
          <w:rFonts w:ascii="FangSong" w:hAnsi="FangSong" w:eastAsia="FangSong" w:cs="FangSong"/>
          <w:sz w:val="23"/>
          <w:szCs w:val="23"/>
        </w:rPr>
        <w:t>出总额的100%。其中：</w:t>
      </w:r>
      <w:r>
        <w:rPr>
          <w:rFonts w:ascii="FangSong" w:hAnsi="FangSong" w:eastAsia="FangSong" w:cs="FangSong"/>
          <w:sz w:val="23"/>
          <w:szCs w:val="23"/>
        </w:rPr>
        <w:t xml:space="preserve"> </w:t>
      </w:r>
      <w:r>
        <w:rPr>
          <w:rFonts w:ascii="FangSong" w:hAnsi="FangSong" w:eastAsia="FangSong" w:cs="FangSong"/>
          <w:sz w:val="23"/>
          <w:szCs w:val="23"/>
        </w:rPr>
        <w:t>其他运转类项目0个，涉及项目金额0万元；特定目标类项目7个，涉及项目金额184.70万元。</w:t>
      </w:r>
    </w:p>
    <w:p>
      <w:pPr>
        <w:ind w:left="1264"/>
        <w:spacing w:line="189"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189" w:lineRule="auto"/>
        <w:sectPr>
          <w:type w:val="continuous"/>
          <w:pgSz w:w="11900" w:h="16840"/>
          <w:pgMar w:top="642" w:right="0" w:bottom="340" w:left="0" w:header="326" w:footer="111" w:gutter="0"/>
          <w:cols w:equalWidth="0" w:num="1">
            <w:col w:w="11900" w:space="0"/>
          </w:cols>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2308"/>
        <w:spacing w:line="11190" w:lineRule="exact"/>
        <w:rPr/>
      </w:pPr>
      <w:r>
        <w:pict>
          <v:shape id="_x0000_s434" style="position:absolute;margin-left:86.92pt;margin-top:472.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436" style="position:absolute;margin-left:391.92pt;margin-top:228.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rPr>
          <w:position w:val="-223"/>
        </w:rPr>
        <w:drawing>
          <wp:inline distT="0" distB="0" distL="0" distR="0">
            <wp:extent cx="4640940" cy="7105582"/>
            <wp:effectExtent l="0" t="0" r="0" b="0"/>
            <wp:docPr id="8" name="IM 8"/>
            <wp:cNvGraphicFramePr/>
            <a:graphic>
              <a:graphicData uri="http://schemas.openxmlformats.org/drawingml/2006/picture">
                <pic:pic>
                  <pic:nvPicPr>
                    <pic:cNvPr id="8" name="IM 8"/>
                    <pic:cNvPicPr/>
                  </pic:nvPicPr>
                  <pic:blipFill>
                    <a:blip r:embed="rId42"/>
                    <a:stretch>
                      <a:fillRect/>
                    </a:stretch>
                  </pic:blipFill>
                  <pic:spPr>
                    <a:xfrm rot="0">
                      <a:off x="0" y="0"/>
                      <a:ext cx="4640940" cy="7105582"/>
                    </a:xfrm>
                    <a:prstGeom prst="rect">
                      <a:avLst/>
                    </a:prstGeom>
                  </pic:spPr>
                </pic:pic>
              </a:graphicData>
            </a:graphic>
          </wp:inline>
        </w:drawing>
      </w:r>
    </w:p>
    <w:p>
      <w:pPr>
        <w:spacing w:line="11190" w:lineRule="exact"/>
        <w:sectPr>
          <w:headerReference w:type="default" r:id="rId40"/>
          <w:footerReference w:type="default" r:id="rId41"/>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438" style="position:absolute;margin-left:86.92pt;margin-top:472.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440" style="position:absolute;margin-left:391.92pt;margin-top:228.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10" name="IM 10"/>
            <wp:cNvGraphicFramePr/>
            <a:graphic>
              <a:graphicData uri="http://schemas.openxmlformats.org/drawingml/2006/picture">
                <pic:pic>
                  <pic:nvPicPr>
                    <pic:cNvPr id="10" name="IM 10"/>
                    <pic:cNvPicPr/>
                  </pic:nvPicPr>
                  <pic:blipFill>
                    <a:blip r:embed="rId44"/>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43"/>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442" style="position:absolute;margin-left:86.92pt;margin-top:472.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pict>
          <v:shape id="_x0000_s444" style="position:absolute;margin-left:391.92pt;margin-top:228.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12" name="IM 12"/>
            <wp:cNvGraphicFramePr/>
            <a:graphic>
              <a:graphicData uri="http://schemas.openxmlformats.org/drawingml/2006/picture">
                <pic:pic>
                  <pic:nvPicPr>
                    <pic:cNvPr id="12" name="IM 12"/>
                    <pic:cNvPicPr/>
                  </pic:nvPicPr>
                  <pic:blipFill>
                    <a:blip r:embed="rId46"/>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45"/>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446" style="position:absolute;margin-left:391.92pt;margin-top:228.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448" style="position:absolute;margin-left:86.92pt;margin-top:472.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14" name="IM 14"/>
            <wp:cNvGraphicFramePr/>
            <a:graphic>
              <a:graphicData uri="http://schemas.openxmlformats.org/drawingml/2006/picture">
                <pic:pic>
                  <pic:nvPicPr>
                    <pic:cNvPr id="14" name="IM 14"/>
                    <pic:cNvPicPr/>
                  </pic:nvPicPr>
                  <pic:blipFill>
                    <a:blip r:embed="rId48"/>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47"/>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450" style="position:absolute;margin-left:86.92pt;margin-top:472.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452" style="position:absolute;margin-left:391.92pt;margin-top:228.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16" name="IM 16"/>
            <wp:cNvGraphicFramePr/>
            <a:graphic>
              <a:graphicData uri="http://schemas.openxmlformats.org/drawingml/2006/picture">
                <pic:pic>
                  <pic:nvPicPr>
                    <pic:cNvPr id="16" name="IM 16"/>
                    <pic:cNvPicPr/>
                  </pic:nvPicPr>
                  <pic:blipFill>
                    <a:blip r:embed="rId50"/>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49"/>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454" style="position:absolute;margin-left:391.92pt;margin-top:228.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456" style="position:absolute;margin-left:86.92pt;margin-top:472.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18" name="IM 18"/>
            <wp:cNvGraphicFramePr/>
            <a:graphic>
              <a:graphicData uri="http://schemas.openxmlformats.org/drawingml/2006/picture">
                <pic:pic>
                  <pic:nvPicPr>
                    <pic:cNvPr id="18" name="IM 18"/>
                    <pic:cNvPicPr/>
                  </pic:nvPicPr>
                  <pic:blipFill>
                    <a:blip r:embed="rId52"/>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51"/>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458" style="position:absolute;margin-left:391.92pt;margin-top:228.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460" style="position:absolute;margin-left:86.92pt;margin-top:472.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20" name="IM 20"/>
            <wp:cNvGraphicFramePr/>
            <a:graphic>
              <a:graphicData uri="http://schemas.openxmlformats.org/drawingml/2006/picture">
                <pic:pic>
                  <pic:nvPicPr>
                    <pic:cNvPr id="20" name="IM 20"/>
                    <pic:cNvPicPr/>
                  </pic:nvPicPr>
                  <pic:blipFill>
                    <a:blip r:embed="rId54"/>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53"/>
          <w:pgSz w:w="11900" w:h="16840"/>
          <w:pgMar w:top="642" w:right="0" w:bottom="340" w:left="0" w:header="326" w:footer="110"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45"/>
      <w:bookmarkEnd w:id="45"/>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日，兴县蔚汾镇卫生院共有公务用车编制0辆，实有2辆，其中：领导</w:t>
      </w:r>
      <w:r>
        <w:rPr>
          <w:rFonts w:ascii="FangSong" w:hAnsi="FangSong" w:eastAsia="FangSong" w:cs="FangSong"/>
          <w:sz w:val="23"/>
          <w:szCs w:val="23"/>
        </w:rPr>
        <w:t xml:space="preserve"> </w:t>
      </w:r>
      <w:r>
        <w:rPr>
          <w:rFonts w:ascii="FangSong" w:hAnsi="FangSong" w:eastAsia="FangSong" w:cs="FangSong"/>
          <w:sz w:val="23"/>
          <w:szCs w:val="23"/>
          <w:spacing w:val="2"/>
        </w:rPr>
        <w:t>用车0辆，机要通信用车0辆，应急保障用车0辆，执法执勤用车0辆，特种专业技术用车1辆，</w:t>
      </w:r>
      <w:r>
        <w:rPr>
          <w:rFonts w:ascii="FangSong" w:hAnsi="FangSong" w:eastAsia="FangSong" w:cs="FangSong"/>
          <w:sz w:val="23"/>
          <w:szCs w:val="23"/>
          <w:spacing w:val="10"/>
        </w:rPr>
        <w:t xml:space="preserve"> </w:t>
      </w:r>
      <w:r>
        <w:rPr>
          <w:rFonts w:ascii="FangSong" w:hAnsi="FangSong" w:eastAsia="FangSong" w:cs="FangSong"/>
          <w:sz w:val="23"/>
          <w:szCs w:val="23"/>
          <w:spacing w:val="-1"/>
        </w:rPr>
        <w:t>事业单位业务用车1辆，其他公务用车0辆。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rPr>
        <w:t>截至2024年12月31日，兴县蔚汾镇卫生院使用的办公用房建筑总面积1050平方米。</w:t>
      </w:r>
    </w:p>
    <w:p>
      <w:pPr>
        <w:ind w:left="17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85" w:right="1223" w:firstLine="439"/>
        <w:spacing w:before="135" w:line="320" w:lineRule="auto"/>
        <w:rPr>
          <w:rFonts w:ascii="FangSong" w:hAnsi="FangSong" w:eastAsia="FangSong" w:cs="FangSong"/>
          <w:sz w:val="23"/>
          <w:szCs w:val="23"/>
        </w:rPr>
      </w:pPr>
      <w:r>
        <w:rPr>
          <w:rFonts w:ascii="FangSong" w:hAnsi="FangSong" w:eastAsia="FangSong" w:cs="FangSong"/>
          <w:sz w:val="23"/>
          <w:szCs w:val="23"/>
          <w:spacing w:val="2"/>
        </w:rPr>
        <w:t>截至2024年12月31日，兴县蔚汾镇卫生院占有使用价值50万元（原值）以上的通用设备0</w:t>
      </w:r>
      <w:r>
        <w:rPr>
          <w:rFonts w:ascii="FangSong" w:hAnsi="FangSong" w:eastAsia="FangSong" w:cs="FangSong"/>
          <w:sz w:val="23"/>
          <w:szCs w:val="23"/>
          <w:spacing w:val="7"/>
        </w:rPr>
        <w:t xml:space="preserve"> </w:t>
      </w:r>
      <w:r>
        <w:rPr>
          <w:rFonts w:ascii="FangSong" w:hAnsi="FangSong" w:eastAsia="FangSong" w:cs="FangSong"/>
          <w:sz w:val="23"/>
          <w:szCs w:val="23"/>
          <w:spacing w:val="-1"/>
        </w:rPr>
        <w:t>台（套</w:t>
      </w:r>
      <w:r>
        <w:rPr>
          <w:rFonts w:ascii="FangSong" w:hAnsi="FangSong" w:eastAsia="FangSong" w:cs="FangSong"/>
          <w:sz w:val="23"/>
          <w:szCs w:val="23"/>
          <w:spacing w:val="11"/>
        </w:rPr>
        <w:t>）；</w:t>
      </w:r>
      <w:r>
        <w:rPr>
          <w:rFonts w:ascii="FangSong" w:hAnsi="FangSong" w:eastAsia="FangSong" w:cs="FangSong"/>
          <w:sz w:val="23"/>
          <w:szCs w:val="23"/>
          <w:spacing w:val="-1"/>
        </w:rPr>
        <w:t>兴县蔚汾镇卫生院占有使用价值100万元（原值）以上的通用设备0台（套）。</w:t>
      </w:r>
    </w:p>
    <w:p>
      <w:pPr>
        <w:ind w:left="1260"/>
        <w:spacing w:line="227" w:lineRule="exact"/>
        <w:outlineLvl w:val="1"/>
        <w:rPr>
          <w:rFonts w:ascii="Microsoft YaHei" w:hAnsi="Microsoft YaHei" w:eastAsia="Microsoft YaHei" w:cs="Microsoft YaHei"/>
          <w:sz w:val="22"/>
          <w:szCs w:val="22"/>
        </w:rPr>
      </w:pPr>
      <w:bookmarkStart w:name="bookmark31" w:id="46"/>
      <w:bookmarkEnd w:id="46"/>
      <w:r>
        <w:rPr>
          <w:rFonts w:ascii="Microsoft YaHei" w:hAnsi="Microsoft YaHei" w:eastAsia="Microsoft YaHei" w:cs="Microsoft YaHei"/>
          <w:sz w:val="22"/>
          <w:szCs w:val="22"/>
          <w:spacing w:val="7"/>
          <w:position w:val="-1"/>
        </w:rPr>
        <w:t>十二、其他说明</w:t>
      </w:r>
    </w:p>
    <w:p>
      <w:pPr>
        <w:ind w:left="1725"/>
        <w:spacing w:before="185" w:line="221" w:lineRule="auto"/>
        <w:outlineLvl w:val="2"/>
        <w:rPr>
          <w:rFonts w:ascii="FangSong" w:hAnsi="FangSong" w:eastAsia="FangSong" w:cs="FangSong"/>
          <w:sz w:val="23"/>
          <w:szCs w:val="23"/>
        </w:rPr>
      </w:pPr>
      <w:bookmarkStart w:name="bookmark32" w:id="47"/>
      <w:bookmarkEnd w:id="47"/>
      <w:r>
        <w:rPr>
          <w:rFonts w:ascii="FangSong" w:hAnsi="FangSong" w:eastAsia="FangSong" w:cs="FangSong"/>
          <w:sz w:val="23"/>
          <w:szCs w:val="23"/>
          <w:spacing w:val="-1"/>
        </w:rPr>
        <w:t>（一）政府购买服务指导性目录</w:t>
      </w:r>
    </w:p>
    <w:p>
      <w:pPr>
        <w:ind w:left="1733"/>
        <w:spacing w:before="255" w:line="221" w:lineRule="auto"/>
        <w:rPr>
          <w:rFonts w:ascii="FangSong" w:hAnsi="FangSong" w:eastAsia="FangSong" w:cs="FangSong"/>
          <w:sz w:val="23"/>
          <w:szCs w:val="23"/>
        </w:rPr>
      </w:pPr>
      <w:r>
        <w:rPr>
          <w:rFonts w:ascii="FangSong" w:hAnsi="FangSong" w:eastAsia="FangSong" w:cs="FangSong"/>
          <w:sz w:val="23"/>
          <w:szCs w:val="23"/>
          <w:spacing w:val="-1"/>
        </w:rPr>
        <w:t>我单位根据本单位实际情况无需进行修改和完善。</w:t>
      </w:r>
    </w:p>
    <w:p>
      <w:pPr>
        <w:ind w:left="1725"/>
        <w:spacing w:before="255" w:line="222" w:lineRule="auto"/>
        <w:outlineLvl w:val="2"/>
        <w:rPr>
          <w:rFonts w:ascii="FangSong" w:hAnsi="FangSong" w:eastAsia="FangSong" w:cs="FangSong"/>
          <w:sz w:val="23"/>
          <w:szCs w:val="23"/>
        </w:rPr>
      </w:pPr>
      <w:bookmarkStart w:name="bookmark33" w:id="48"/>
      <w:bookmarkEnd w:id="48"/>
      <w:r>
        <w:rPr>
          <w:rFonts w:ascii="FangSong" w:hAnsi="FangSong" w:eastAsia="FangSong" w:cs="FangSong"/>
          <w:sz w:val="23"/>
          <w:szCs w:val="23"/>
          <w:spacing w:val="-3"/>
        </w:rPr>
        <w:t>（二）其他</w:t>
      </w:r>
    </w:p>
    <w:p>
      <w:pPr>
        <w:ind w:left="1733"/>
        <w:spacing w:before="264" w:line="221" w:lineRule="auto"/>
        <w:rPr>
          <w:rFonts w:ascii="FangSong" w:hAnsi="FangSong" w:eastAsia="FangSong" w:cs="FangSong"/>
          <w:sz w:val="23"/>
          <w:szCs w:val="23"/>
        </w:rPr>
      </w:pPr>
      <w:r>
        <w:rPr>
          <w:rFonts w:ascii="FangSong" w:hAnsi="FangSong" w:eastAsia="FangSong" w:cs="FangSong"/>
          <w:sz w:val="23"/>
          <w:szCs w:val="23"/>
          <w:spacing w:val="-1"/>
        </w:rPr>
        <w:t>我单位根据本单位实际情况无需进行修改和完善。</w:t>
      </w:r>
    </w:p>
    <w:p>
      <w:pPr>
        <w:spacing w:line="221" w:lineRule="auto"/>
        <w:sectPr>
          <w:headerReference w:type="default" r:id="rId55"/>
          <w:footerReference w:type="default" r:id="rId56"/>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2210"/>
        <w:spacing w:line="13461" w:lineRule="exact"/>
        <w:rPr/>
      </w:pPr>
      <w:r>
        <w:pict>
          <v:shape id="_x0000_s480" style="position:absolute;margin-left:391.92pt;margin-top:228.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482" style="position:absolute;margin-left:86.92pt;margin-top:472.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4764516" cy="8547295"/>
            <wp:effectExtent l="0" t="0" r="0" b="0"/>
            <wp:docPr id="22" name="IM 22"/>
            <wp:cNvGraphicFramePr/>
            <a:graphic>
              <a:graphicData uri="http://schemas.openxmlformats.org/drawingml/2006/picture">
                <pic:pic>
                  <pic:nvPicPr>
                    <pic:cNvPr id="22" name="IM 22"/>
                    <pic:cNvPicPr/>
                  </pic:nvPicPr>
                  <pic:blipFill>
                    <a:blip r:embed="rId58"/>
                    <a:stretch>
                      <a:fillRect/>
                    </a:stretch>
                  </pic:blipFill>
                  <pic:spPr>
                    <a:xfrm rot="0">
                      <a:off x="0" y="0"/>
                      <a:ext cx="4764516" cy="8547295"/>
                    </a:xfrm>
                    <a:prstGeom prst="rect">
                      <a:avLst/>
                    </a:prstGeom>
                  </pic:spPr>
                </pic:pic>
              </a:graphicData>
            </a:graphic>
          </wp:inline>
        </w:drawing>
      </w:r>
    </w:p>
    <w:p>
      <w:pPr>
        <w:spacing w:line="13461" w:lineRule="exact"/>
        <w:sectPr>
          <w:headerReference w:type="default" r:id="rId40"/>
          <w:footerReference w:type="default" r:id="rId57"/>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05"/>
        <w:spacing w:line="13461" w:lineRule="exact"/>
        <w:rPr/>
      </w:pPr>
      <w:r>
        <w:pict>
          <v:shape id="_x0000_s496" style="position:absolute;margin-left:391.92pt;margin-top:228.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498" style="position:absolute;margin-left:86.92pt;margin-top:472.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pict>
          <v:shape id="_x0000_s500" style="position:absolute;margin-left:-13.08pt;margin-top:228.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025397" cy="8547295"/>
            <wp:effectExtent l="0" t="0" r="0" b="0"/>
            <wp:docPr id="24" name="IM 24"/>
            <wp:cNvGraphicFramePr/>
            <a:graphic>
              <a:graphicData uri="http://schemas.openxmlformats.org/drawingml/2006/picture">
                <pic:pic>
                  <pic:nvPicPr>
                    <pic:cNvPr id="24" name="IM 24"/>
                    <pic:cNvPicPr/>
                  </pic:nvPicPr>
                  <pic:blipFill>
                    <a:blip r:embed="rId61"/>
                    <a:stretch>
                      <a:fillRect/>
                    </a:stretch>
                  </pic:blipFill>
                  <pic:spPr>
                    <a:xfrm rot="0">
                      <a:off x="0" y="0"/>
                      <a:ext cx="5025397" cy="8547295"/>
                    </a:xfrm>
                    <a:prstGeom prst="rect">
                      <a:avLst/>
                    </a:prstGeom>
                  </pic:spPr>
                </pic:pic>
              </a:graphicData>
            </a:graphic>
          </wp:inline>
        </w:drawing>
      </w:r>
    </w:p>
    <w:p>
      <w:pPr>
        <w:spacing w:line="13461" w:lineRule="exact"/>
        <w:sectPr>
          <w:headerReference w:type="default" r:id="rId59"/>
          <w:footerReference w:type="default" r:id="rId6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91"/>
        <w:spacing w:line="13461" w:lineRule="exact"/>
        <w:rPr/>
      </w:pPr>
      <w:r>
        <w:pict>
          <v:shape id="_x0000_s502" style="position:absolute;margin-left:391.92pt;margin-top:228.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pict>
          <v:shape id="_x0000_s504" style="position:absolute;margin-left:86.92pt;margin-top:472.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4915553" cy="8547295"/>
            <wp:effectExtent l="0" t="0" r="0" b="0"/>
            <wp:docPr id="26" name="IM 26"/>
            <wp:cNvGraphicFramePr/>
            <a:graphic>
              <a:graphicData uri="http://schemas.openxmlformats.org/drawingml/2006/picture">
                <pic:pic>
                  <pic:nvPicPr>
                    <pic:cNvPr id="26" name="IM 26"/>
                    <pic:cNvPicPr/>
                  </pic:nvPicPr>
                  <pic:blipFill>
                    <a:blip r:embed="rId63"/>
                    <a:stretch>
                      <a:fillRect/>
                    </a:stretch>
                  </pic:blipFill>
                  <pic:spPr>
                    <a:xfrm rot="0">
                      <a:off x="0" y="0"/>
                      <a:ext cx="4915553" cy="8547295"/>
                    </a:xfrm>
                    <a:prstGeom prst="rect">
                      <a:avLst/>
                    </a:prstGeom>
                  </pic:spPr>
                </pic:pic>
              </a:graphicData>
            </a:graphic>
          </wp:inline>
        </w:drawing>
      </w:r>
    </w:p>
    <w:p>
      <w:pPr>
        <w:spacing w:line="13461" w:lineRule="exact"/>
        <w:sectPr>
          <w:headerReference w:type="default" r:id="rId40"/>
          <w:footerReference w:type="default" r:id="rId62"/>
          <w:pgSz w:w="11900" w:h="16840"/>
          <w:pgMar w:top="642" w:right="0" w:bottom="340" w:left="0" w:header="326" w:footer="111" w:gutter="0"/>
        </w:sectPr>
        <w:rPr/>
      </w:pPr>
    </w:p>
    <w:p>
      <w:pPr>
        <w:pStyle w:val="BodyText"/>
        <w:spacing w:line="277" w:lineRule="auto"/>
        <w:rPr/>
      </w:pPr>
      <w:r>
        <w:pict>
          <v:shape id="_x0000_s514" style="position:absolute;margin-left:491.92pt;margin-top:44.1055pt;mso-position-vertical-relative:page;mso-position-horizontal-relative:page;width:119.4pt;height:18.85pt;z-index:25168384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583"/>
        <w:spacing w:line="13461" w:lineRule="exact"/>
        <w:rPr/>
      </w:pPr>
      <w:r>
        <w:pict>
          <v:shape id="_x0000_s516" style="position:absolute;margin-left:-13.08pt;margin-top:228.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pict>
          <v:shape id="_x0000_s518" style="position:absolute;margin-left:491.92pt;margin-top:472.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520" style="position:absolute;margin-left:86.92pt;margin-top:472.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522" style="position:absolute;margin-left:391.92pt;margin-top:228.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560891" cy="8547295"/>
            <wp:effectExtent l="0" t="0" r="0" b="0"/>
            <wp:docPr id="28" name="IM 28"/>
            <wp:cNvGraphicFramePr/>
            <a:graphic>
              <a:graphicData uri="http://schemas.openxmlformats.org/drawingml/2006/picture">
                <pic:pic>
                  <pic:nvPicPr>
                    <pic:cNvPr id="28" name="IM 28"/>
                    <pic:cNvPicPr/>
                  </pic:nvPicPr>
                  <pic:blipFill>
                    <a:blip r:embed="rId66"/>
                    <a:stretch>
                      <a:fillRect/>
                    </a:stretch>
                  </pic:blipFill>
                  <pic:spPr>
                    <a:xfrm rot="0">
                      <a:off x="0" y="0"/>
                      <a:ext cx="5560891" cy="8547295"/>
                    </a:xfrm>
                    <a:prstGeom prst="rect">
                      <a:avLst/>
                    </a:prstGeom>
                  </pic:spPr>
                </pic:pic>
              </a:graphicData>
            </a:graphic>
          </wp:inline>
        </w:drawing>
      </w:r>
    </w:p>
    <w:p>
      <w:pPr>
        <w:spacing w:line="13461" w:lineRule="exact"/>
        <w:sectPr>
          <w:headerReference w:type="default" r:id="rId64"/>
          <w:footerReference w:type="default" r:id="rId65"/>
          <w:pgSz w:w="11900" w:h="16840"/>
          <w:pgMar w:top="642" w:right="0" w:bottom="340" w:left="0" w:header="326" w:footer="111" w:gutter="0"/>
        </w:sectPr>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50"/>
      <w:bookmarkEnd w:id="5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67"/>
      <w:footerReference w:type="default" r:id="rId68"/>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bookmarkStart w:name="bookmark48" w:id="44"/>
    <w:bookmarkEnd w:id="44"/>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9" w:id="49"/>
    <w:bookmarkEnd w:id="49"/>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62" style="position:absolute;margin-left:86.92pt;margin-top:27.7633pt;mso-position-vertical-relative:text;mso-position-horizontal-relative:text;width:119.4pt;height:18.85pt;z-index:-251560960;rotation:330;" fillcolor="#404040" filled="true" stroked="false" type="#_x0000_t136">
          <v:fill opacity="0.400000"/>
          <v:textpath style="font-family:&quot;SimSun&quot;;font-size:20;v-text-kern:t;mso-text-shadow:auto" string="仅供内部审核"/>
        </v:shape>
      </w:pict>
    </w:r>
    <w:r>
      <w:pict>
        <v:shape id="PowerPlusWaterMarkObject164" style="position:absolute;margin-left:490.282pt;margin-top:71.2915pt;mso-position-vertical-relative:page;mso-position-horizontal-relative:page;width:35.45pt;height:6.5pt;z-index:-251561984;" o:allowincell="f" fillcolor="#212529" filled="true" stroked="false" type="#_x0000_t136">
          <v:textpath style="font-family:&quot;SimSun&quot;;font-size:6;v-text-kern:t;mso-text-shadow:auto" string="预算公开表5"/>
        </v:shape>
      </w:pict>
    </w:r>
    <w:r>
      <w:pict>
        <v:shape id="PowerPlusWaterMarkObject166" style="position:absolute;margin-left:491.92pt;margin-top:44.105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74.4118pt;margin-top:267.372pt;mso-position-vertical-relative:page;mso-position-horizontal-relative:page;width:23.35pt;height:7.9pt;z-index:-251569152;" o:allowincell="f" fillcolor="#212529" filled="true" stroked="false" type="#_x0000_t136">
          <v:textpath style="font-family:&quot;SimSun&quot;;font-size:7.5;v-text-kern:t;mso-text-shadow:auto" string="100399"/>
        </v:shape>
      </w:pict>
    </w:r>
    <w:r>
      <w:pict>
        <v:shape id="PowerPlusWaterMarkObject170" style="position:absolute;margin-left:69.8661pt;margin-top:282.508pt;mso-position-vertical-relative:page;mso-position-horizontal-relative:page;width:11.7pt;height:7.9pt;z-index:-251570176;" o:allowincell="f" fillcolor="#212529" filled="true" stroked="false" type="#_x0000_t136">
          <v:textpath style="font-family:&quot;SimSun&quot;;font-size:7.5;v-text-kern:t;mso-text-shadow:auto" string="210"/>
        </v:shape>
      </w:pict>
    </w:r>
    <w:r>
      <w:pict>
        <v:shape id="PowerPlusWaterMarkObject172" style="position:absolute;margin-left:-13.08pt;margin-top:288.105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505.713pt;margin-top:267.372pt;mso-position-vertical-relative:page;mso-position-horizontal-relative:page;width:3.7pt;height:7.9pt;z-index:-251575296;" o:allowincell="f" fillcolor="#212529" filled="true" stroked="false" type="#_x0000_t136">
          <v:textpath style="font-family:&quot;SimSun&quot;;font-size:7.5;v-text-kern:t;mso-text-shadow:auto" string="4"/>
        </v:shape>
      </w:pict>
    </w:r>
    <w:r>
      <w:pict>
        <v:shape id="PowerPlusWaterMarkObject176" style="position:absolute;margin-left:449.147pt;margin-top:282.508pt;mso-position-vertical-relative:page;mso-position-horizontal-relative:page;width:7.65pt;height:7.9pt;z-index:-251572224;" o:allowincell="f" fillcolor="#212529" filled="true" stroked="false" type="#_x0000_t136">
          <v:textpath style="font-family:&quot;SimSun&quot;;font-size:7.5;v-text-kern:t;mso-text-shadow:auto" string="25"/>
        </v:shape>
      </w:pict>
    </w:r>
    <w:r>
      <w:pict>
        <v:shape id="PowerPlusWaterMarkObject178" style="position:absolute;margin-left:436.984pt;margin-top:297.644pt;mso-position-vertical-relative:page;mso-position-horizontal-relative:page;width:19.8pt;height:7.9pt;z-index:-251573248;" o:allowincell="f" fillcolor="#212529" filled="true" stroked="false" type="#_x0000_t136">
          <v:textpath style="font-family:&quot;SimSun&quot;;font-size:7.5;v-text-kern:t;mso-text-shadow:auto" string="28 25"/>
        </v:shape>
      </w:pict>
    </w:r>
    <w:r>
      <w:pict>
        <v:shape id="PowerPlusWaterMarkObject180" style="position:absolute;margin-left:437.047pt;margin-top:312.78pt;mso-position-vertical-relative:page;mso-position-horizontal-relative:page;width:7.55pt;height:7.9pt;z-index:-251574272;" o:allowincell="f" fillcolor="#212529" filled="true" stroked="false" type="#_x0000_t136">
          <v:textpath style="font-family:&quot;SimSun&quot;;font-size:7.5;v-text-kern:t;mso-text-shadow:auto" string="54"/>
        </v:shape>
      </w:pict>
    </w:r>
    <w:r>
      <w:pict>
        <v:shape id="PowerPlusWaterMarkObject182" style="position:absolute;margin-left:391.92pt;margin-top:288.105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86.92pt;margin-top:532.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491.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13.08pt;margin-top:776.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391.92pt;margin-top:776.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_x0000_s192" style="position:absolute;margin-left:30pt;margin-top:29.5pt;mso-position-vertical-relative:page;mso-position-horizontal-relative:page;width:535pt;height:1pt;z-index:-2515640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兴县蔚汾镇卫生院2025年单位预算公开报告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94" style="position:absolute;margin-left:86.02pt;margin-top:267.372pt;mso-position-vertical-relative:page;mso-position-horizontal-relative:page;width:15.7pt;height:7.9pt;z-index:-251558912;" o:allowincell="f" fillcolor="#212529" filled="true" stroked="false" type="#_x0000_t136">
          <v:textpath style="font-family:&quot;SimSun&quot;;font-size:7.5;v-text-kern:t;mso-text-shadow:auto" string="住房"/>
        </v:shape>
      </w:pict>
    </w:r>
    <w:r>
      <w:pict>
        <v:shape id="PowerPlusWaterMarkObject196" style="position:absolute;margin-left:86.92pt;margin-top:27.7633pt;mso-position-vertical-relative:text;mso-position-horizontal-relative:text;width:119.4pt;height:18.85pt;z-index:-251546624;rotation:330;" fillcolor="#404040" filled="true" stroked="false" type="#_x0000_t136">
          <v:fill opacity="0.400000"/>
          <v:textpath style="font-family:&quot;SimSun&quot;;font-size:20;v-text-kern:t;mso-text-shadow:auto" string="仅供内部审核"/>
        </v:shape>
      </w:pict>
    </w:r>
    <w:r>
      <w:pict>
        <v:shape id="PowerPlusWaterMarkObject198" style="position:absolute;margin-left:-13.08pt;margin-top:288.105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86.92pt;margin-top:532.106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13.08pt;margin-top:776.106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486.557pt;margin-top:71.2915pt;mso-position-vertical-relative:page;mso-position-horizontal-relative:page;width:35.45pt;height:6.5pt;z-index:-251547648;" o:allowincell="f" fillcolor="#212529" filled="true" stroked="false" type="#_x0000_t136">
          <v:textpath style="font-family:&quot;SimSun&quot;;font-size:6;v-text-kern:t;mso-text-shadow:auto" string="预算公开表6"/>
        </v:shape>
      </w:pict>
    </w:r>
    <w:r>
      <w:pict>
        <v:shape id="PowerPlusWaterMarkObject206" style="position:absolute;margin-left:446.615pt;margin-top:282.508pt;mso-position-vertical-relative:page;mso-position-horizontal-relative:page;width:19.7pt;height:7.9pt;z-index:-251555840;" o:allowincell="f" fillcolor="#212529" filled="true" stroked="false" type="#_x0000_t136">
          <v:textpath style="font-family:&quot;SimSun&quot;;font-size:7.5;v-text-kern:t;mso-text-shadow:auto" string="79 44"/>
        </v:shape>
      </w:pict>
    </w:r>
    <w:r>
      <w:pict>
        <v:shape id="PowerPlusWaterMarkObject208" style="position:absolute;margin-left:399.063pt;margin-top:312.78pt;mso-position-vertical-relative:page;mso-position-horizontal-relative:page;width:7.7pt;height:7.9pt;z-index:-251556864;" o:allowincell="f" fillcolor="#212529" filled="true" stroked="false" type="#_x0000_t136">
          <v:textpath style="font-family:&quot;SimSun&quot;;font-size:7.5;v-text-kern:t;mso-text-shadow:auto" string="91"/>
        </v:shape>
      </w:pict>
    </w:r>
    <w:r>
      <w:pict>
        <v:shape id="PowerPlusWaterMarkObject210" style="position:absolute;margin-left:399.095pt;margin-top:327.916pt;mso-position-vertical-relative:page;mso-position-horizontal-relative:page;width:7.65pt;height:7.9pt;z-index:-251554816;" o:allowincell="f" fillcolor="#212529" filled="true" stroked="false" type="#_x0000_t136">
          <v:textpath style="font-family:&quot;SimSun&quot;;font-size:7.5;v-text-kern:t;mso-text-shadow:auto" string="61"/>
        </v:shape>
      </w:pict>
    </w:r>
    <w:r>
      <w:pict>
        <v:shape id="PowerPlusWaterMarkObject212" style="position:absolute;margin-left:491.92pt;margin-top:44.1055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391.92pt;margin-top:288.105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491.92pt;margin-top:532.106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391.92pt;margin-top:776.106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_x0000_s220" style="position:absolute;margin-left:30pt;margin-top:29.5pt;mso-position-vertical-relative:page;mso-position-horizontal-relative:page;width:535pt;height:1pt;z-index:-25154969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兴县蔚汾镇卫生院2025年单位预算公开报告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22" style="position:absolute;margin-left:86.92pt;margin-top:27.7633pt;mso-position-vertical-relative:text;mso-position-horizontal-relative:text;width:119.4pt;height:18.85pt;z-index:-251536384;rotation:330;" fillcolor="#404040" filled="true" stroked="false" type="#_x0000_t136">
          <v:fill opacity="0.400000"/>
          <v:textpath style="font-family:&quot;SimSun&quot;;font-size:20;v-text-kern:t;mso-text-shadow:auto" string="仅供内部审核"/>
        </v:shape>
      </w:pict>
    </w:r>
    <w:r>
      <w:pict>
        <v:shape id="PowerPlusWaterMarkObject224" style="position:absolute;margin-left:490.334pt;margin-top:73.4279pt;mso-position-vertical-relative:page;mso-position-horizontal-relative:page;width:35.4pt;height:6.5pt;z-index:-251537408;" o:allowincell="f" fillcolor="#212529" filled="true" stroked="false" type="#_x0000_t136">
          <v:textpath style="font-family:&quot;SimSun&quot;;font-size:6;v-text-kern:t;mso-text-shadow:auto" string="预算公开表7"/>
        </v:shape>
      </w:pict>
    </w:r>
    <w:r>
      <w:pict>
        <v:shape id="PowerPlusWaterMarkObject226" style="position:absolute;margin-left:491.92pt;margin-top:44.1055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PowerPlusWaterMarkObject228" style="position:absolute;margin-left:-13.08pt;margin-top:288.105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30" style="position:absolute;margin-left:391.92pt;margin-top:288.105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86.92pt;margin-top:532.106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13.08pt;margin-top:776.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491.92pt;margin-top:532.106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391.92pt;margin-top:776.106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_x0000_s240" style="position:absolute;margin-left:30pt;margin-top:29.5pt;mso-position-vertical-relative:page;mso-position-horizontal-relative:page;width:535pt;height:1pt;z-index:-25153945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兴县蔚汾镇卫生院2025年单位预算公开报告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42" style="position:absolute;margin-left:86.92pt;margin-top:27.7633pt;mso-position-vertical-relative:text;mso-position-horizontal-relative:text;width:119.4pt;height:18.85pt;z-index:-251526144;rotation:330;" fillcolor="#404040" filled="true" stroked="false" type="#_x0000_t136">
          <v:fill opacity="0.400000"/>
          <v:textpath style="font-family:&quot;SimSun&quot;;font-size:20;v-text-kern:t;mso-text-shadow:auto" string="仅供内部审核"/>
        </v:shape>
      </w:pict>
    </w:r>
    <w:r>
      <w:pict>
        <v:shape id="PowerPlusWaterMarkObject244" style="position:absolute;margin-left:490.282pt;margin-top:73.4538pt;mso-position-vertical-relative:page;mso-position-horizontal-relative:page;width:35.45pt;height:6.5pt;z-index:-251527168;" o:allowincell="f" fillcolor="#212529" filled="true" stroked="false" type="#_x0000_t136">
          <v:textpath style="font-family:&quot;SimSun&quot;;font-size:6;v-text-kern:t;mso-text-shadow:auto" string="预算公开表8"/>
        </v:shape>
      </w:pict>
    </w:r>
    <w:r>
      <w:pict>
        <v:shape id="PowerPlusWaterMarkObject246" style="position:absolute;margin-left:491.92pt;margin-top:44.1055pt;mso-position-vertical-relative:page;mso-position-horizontal-relative:page;width:119.4pt;height:18.85pt;z-index:-251528192;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13.08pt;margin-top:288.105pt;mso-position-vertical-relative:page;mso-position-horizontal-relative:page;width:119.4pt;height:18.85pt;z-index:-251530240;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391.92pt;margin-top:288.105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86.92pt;margin-top:532.106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13.08pt;margin-top:776.106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491.92pt;margin-top:532.106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PowerPlusWaterMarkObject258" style="position:absolute;margin-left:391.92pt;margin-top:776.106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_x0000_s260" style="position:absolute;margin-left:30pt;margin-top:29.5pt;mso-position-vertical-relative:page;mso-position-horizontal-relative:page;width:535pt;height:1pt;z-index:-25152921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兴县蔚汾镇卫生院2025年单位预算公开报告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62" style="position:absolute;margin-left:86.92pt;margin-top:27.7633pt;mso-position-vertical-relative:text;mso-position-horizontal-relative:text;width:119.4pt;height:18.85pt;z-index:-251515904;rotation:330;" fillcolor="#404040" filled="true" stroked="false" type="#_x0000_t136">
          <v:fill opacity="0.400000"/>
          <v:textpath style="font-family:&quot;SimSun&quot;;font-size:20;v-text-kern:t;mso-text-shadow:auto" string="仅供内部审核"/>
        </v:shape>
      </w:pict>
    </w:r>
    <w:r>
      <w:pict>
        <v:shape id="PowerPlusWaterMarkObject264" style="position:absolute;margin-left:490.36pt;margin-top:78.8596pt;mso-position-vertical-relative:page;mso-position-horizontal-relative:page;width:35.35pt;height:6.5pt;z-index:-251516928;" o:allowincell="f" fillcolor="#212529" filled="true" stroked="false" type="#_x0000_t136">
          <v:textpath style="font-family:&quot;SimSun&quot;;font-size:6;v-text-kern:t;mso-text-shadow:auto" string="部门公开表9"/>
        </v:shape>
      </w:pict>
    </w:r>
    <w:r>
      <w:pict>
        <v:shape id="PowerPlusWaterMarkObject266" style="position:absolute;margin-left:491.92pt;margin-top:44.1055pt;mso-position-vertical-relative:page;mso-position-horizontal-relative:page;width:119.4pt;height:18.85pt;z-index:-251517952;rotation:330;" o:allowincell="f" fillcolor="#404040" filled="true" stroked="false" type="#_x0000_t136">
          <v:fill opacity="0.400000"/>
          <v:textpath style="font-family:&quot;SimSun&quot;;font-size:20;v-text-kern:t;mso-text-shadow:auto" string="仅供内部审核"/>
        </v:shape>
      </w:pict>
    </w:r>
    <w:r>
      <w:pict>
        <v:shape id="PowerPlusWaterMarkObject268" style="position:absolute;margin-left:-13.08pt;margin-top:288.105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PowerPlusWaterMarkObject270" style="position:absolute;margin-left:391.92pt;margin-top:288.105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86.92pt;margin-top:532.106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13.08pt;margin-top:776.106pt;mso-position-vertical-relative:page;mso-position-horizontal-relative:page;width:119.4pt;height:18.85pt;z-index:-251520000;rotation:330;" o:allowincell="f" fillcolor="#404040" filled="true" stroked="false" type="#_x0000_t136">
          <v:fill opacity="0.400000"/>
          <v:textpath style="font-family:&quot;SimSun&quot;;font-size:20;v-text-kern:t;mso-text-shadow:auto" string="仅供内部审核"/>
        </v:shape>
      </w:pict>
    </w:r>
    <w:r>
      <w:pict>
        <v:shape id="PowerPlusWaterMarkObject276" style="position:absolute;margin-left:491.92pt;margin-top:532.106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78" style="position:absolute;margin-left:391.92pt;margin-top:776.106pt;mso-position-vertical-relative:page;mso-position-horizontal-relative:page;width:119.4pt;height:18.85pt;z-index:-251521024;rotation:330;" o:allowincell="f" fillcolor="#404040" filled="true" stroked="false" type="#_x0000_t136">
          <v:fill opacity="0.400000"/>
          <v:textpath style="font-family:&quot;SimSun&quot;;font-size:20;v-text-kern:t;mso-text-shadow:auto" string="仅供内部审核"/>
        </v:shape>
      </w:pict>
    </w:r>
    <w:r>
      <w:pict>
        <v:shape id="_x0000_s280" style="position:absolute;margin-left:30pt;margin-top:29.5pt;mso-position-vertical-relative:page;mso-position-horizontal-relative:page;width:535pt;height:1pt;z-index:-25151897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兴县蔚汾镇卫生院2025年单位预算公开报告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82" style="position:absolute;margin-left:86.92pt;margin-top:27.7633pt;mso-position-vertical-relative:text;mso-position-horizontal-relative:text;width:119.4pt;height:18.85pt;z-index:-251505664;rotation:330;" fillcolor="#404040" filled="true" stroked="false" type="#_x0000_t136">
          <v:fill opacity="0.400000"/>
          <v:textpath style="font-family:&quot;SimSun&quot;;font-size:20;v-text-kern:t;mso-text-shadow:auto" string="仅供内部审核"/>
        </v:shape>
      </w:pict>
    </w:r>
    <w:r>
      <w:pict>
        <v:shape id="PowerPlusWaterMarkObject284" style="position:absolute;margin-left:-13.08pt;margin-top:288.105pt;mso-position-vertical-relative:page;mso-position-horizontal-relative:page;width:119.4pt;height:18.85pt;z-index:-251509760;rotation:330;" o:allowincell="f" fillcolor="#404040" filled="true" stroked="false" type="#_x0000_t136">
          <v:fill opacity="0.400000"/>
          <v:textpath style="font-family:&quot;SimSun&quot;;font-size:20;v-text-kern:t;mso-text-shadow:auto" string="仅供内部审核"/>
        </v:shape>
      </w:pict>
    </w:r>
    <w:r>
      <w:pict>
        <v:shape id="PowerPlusWaterMarkObject286" style="position:absolute;margin-left:86.92pt;margin-top:532.106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PowerPlusWaterMarkObject288" style="position:absolute;margin-left:-13.08pt;margin-top:776.106pt;mso-position-vertical-relative:page;mso-position-horizontal-relative:page;width:119.4pt;height:18.85pt;z-index:-251511808;rotation:330;" o:allowincell="f" fillcolor="#404040" filled="true" stroked="false" type="#_x0000_t136">
          <v:fill opacity="0.400000"/>
          <v:textpath style="font-family:&quot;SimSun&quot;;font-size:20;v-text-kern:t;mso-text-shadow:auto" string="仅供内部审核"/>
        </v:shape>
      </w:pict>
    </w:r>
    <w:r>
      <w:pict>
        <v:shape id="PowerPlusWaterMarkObject290" style="position:absolute;margin-left:487.09pt;margin-top:67.4816pt;mso-position-vertical-relative:page;mso-position-horizontal-relative:page;width:38.65pt;height:6.5pt;z-index:-251506688;" o:allowincell="f" fillcolor="#212529" filled="true" stroked="false" type="#_x0000_t136">
          <v:textpath style="font-family:&quot;SimSun&quot;;font-size:6;v-text-kern:t;mso-text-shadow:auto" string="预算公开表11"/>
        </v:shape>
      </w:pict>
    </w:r>
    <w:r>
      <w:pict>
        <v:shape id="PowerPlusWaterMarkObject292" style="position:absolute;margin-left:491.92pt;margin-top:44.1055pt;mso-position-vertical-relative:page;mso-position-horizontal-relative:page;width:119.4pt;height:18.85pt;z-index:-251507712;rotation:330;" o:allowincell="f" fillcolor="#404040" filled="true" stroked="false" type="#_x0000_t136">
          <v:fill opacity="0.400000"/>
          <v:textpath style="font-family:&quot;SimSun&quot;;font-size:20;v-text-kern:t;mso-text-shadow:auto" string="仅供内部审核"/>
        </v:shape>
      </w:pict>
    </w:r>
    <w:r>
      <w:pict>
        <v:shape id="PowerPlusWaterMarkObject294" style="position:absolute;margin-left:391.92pt;margin-top:288.105pt;mso-position-vertical-relative:page;mso-position-horizontal-relative:page;width:119.4pt;height:18.85pt;z-index:-251510784;rotation:330;" o:allowincell="f" fillcolor="#404040" filled="true" stroked="false" type="#_x0000_t136">
          <v:fill opacity="0.400000"/>
          <v:textpath style="font-family:&quot;SimSun&quot;;font-size:20;v-text-kern:t;mso-text-shadow:auto" string="仅供内部审核"/>
        </v:shape>
      </w:pict>
    </w:r>
    <w:r>
      <w:pict>
        <v:shape id="PowerPlusWaterMarkObject296" style="position:absolute;margin-left:491.92pt;margin-top:532.106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PowerPlusWaterMarkObject298" style="position:absolute;margin-left:391.92pt;margin-top:776.106pt;mso-position-vertical-relative:page;mso-position-horizontal-relative:page;width:119.4pt;height:18.85pt;z-index:-251512832;rotation:330;" o:allowincell="f" fillcolor="#404040" filled="true" stroked="false" type="#_x0000_t136">
          <v:fill opacity="0.400000"/>
          <v:textpath style="font-family:&quot;SimSun&quot;;font-size:20;v-text-kern:t;mso-text-shadow:auto" string="仅供内部审核"/>
        </v:shape>
      </w:pict>
    </w:r>
    <w:r>
      <w:pict>
        <v:shape id="_x0000_s300" style="position:absolute;margin-left:30pt;margin-top:29.5pt;mso-position-vertical-relative:page;mso-position-horizontal-relative:page;width:535pt;height:1pt;z-index:-25150873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兴县蔚汾镇卫生院2025年单位预算公开报告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02" style="position:absolute;margin-left:79.1159pt;margin-top:261.426pt;mso-position-vertical-relative:page;mso-position-horizontal-relative:page;width:22.7pt;height:7.9pt;z-index:-251502592;" o:allowincell="f" fillcolor="#212529" filled="true" stroked="false" type="#_x0000_t136">
          <v:textpath style="font-family:&quot;SimSun&quot;;font-size:7.5;v-text-kern:t;mso-text-shadow:auto" string="[2024]"/>
        </v:shape>
      </w:pict>
    </w:r>
    <w:r>
      <w:pict>
        <v:shape id="PowerPlusWaterMarkObject304" style="position:absolute;margin-left:77.9747pt;margin-top:271.696pt;mso-position-vertical-relative:page;mso-position-horizontal-relative:page;width:23.75pt;height:7.9pt;z-index:-251501568;" o:allowincell="f" fillcolor="#212529" filled="true" stroked="false" type="#_x0000_t136">
          <v:textpath style="font-family:&quot;SimSun&quot;;font-size:7.5;v-text-kern:t;mso-text-shadow:auto" string="2025年"/>
        </v:shape>
      </w:pict>
    </w:r>
    <w:r>
      <w:pict>
        <v:shape id="PowerPlusWaterMarkObject306" style="position:absolute;margin-left:70.6348pt;margin-top:280.886pt;mso-position-vertical-relative:page;mso-position-horizontal-relative:page;width:14.9pt;height:7.9pt;z-index:-251500544;" o:allowincell="f" fillcolor="#212529" filled="true" stroked="false" type="#_x0000_t136">
          <v:textpath style="font-family:&quot;SimSun&quot;;font-size:7.5;v-text-kern:t;mso-text-shadow:auto" string="岗村"/>
        </v:shape>
      </w:pict>
    </w:r>
    <w:r>
      <w:pict>
        <v:shape id="PowerPlusWaterMarkObject308" style="position:absolute;margin-left:86.92pt;margin-top:27.7633pt;mso-position-vertical-relative:text;mso-position-horizontal-relative:text;width:119.4pt;height:18.85pt;z-index:-251492352;rotation:330;" fillcolor="#404040" filled="true" stroked="false" type="#_x0000_t136">
          <v:fill opacity="0.400000"/>
          <v:textpath style="font-family:&quot;SimSun&quot;;font-size:20;v-text-kern:t;mso-text-shadow:auto" string="仅供内部审核"/>
        </v:shape>
      </w:pict>
    </w:r>
    <w:r>
      <w:pict>
        <v:shape id="PowerPlusWaterMarkObject310" style="position:absolute;margin-left:-13.08pt;margin-top:288.105pt;mso-position-vertical-relative:page;mso-position-horizontal-relative:page;width:119.4pt;height:18.85pt;z-index:-251503616;rotation:330;" o:allowincell="f" fillcolor="#404040" filled="true" stroked="false" type="#_x0000_t136">
          <v:fill opacity="0.400000"/>
          <v:textpath style="font-family:&quot;SimSun&quot;;font-size:20;v-text-kern:t;mso-text-shadow:auto" string="仅供内部审核"/>
        </v:shape>
      </w:pict>
    </w:r>
    <w:r>
      <w:pict>
        <v:shape id="PowerPlusWaterMarkObject312" style="position:absolute;margin-left:86.92pt;margin-top:532.106pt;mso-position-vertical-relative:page;mso-position-horizontal-relative:page;width:119.4pt;height:18.85pt;z-index:-251498496;rotation:330;" o:allowincell="f" fillcolor="#404040" filled="true" stroked="false" type="#_x0000_t136">
          <v:fill opacity="0.400000"/>
          <v:textpath style="font-family:&quot;SimSun&quot;;font-size:20;v-text-kern:t;mso-text-shadow:auto" string="仅供内部审核"/>
        </v:shape>
      </w:pict>
    </w:r>
    <w:r>
      <w:pict>
        <v:shape id="PowerPlusWaterMarkObject314" style="position:absolute;margin-left:-13.08pt;margin-top:776.106pt;mso-position-vertical-relative:page;mso-position-horizontal-relative:page;width:119.4pt;height:18.85pt;z-index:-251496448;rotation:330;" o:allowincell="f" fillcolor="#404040" filled="true" stroked="false" type="#_x0000_t136">
          <v:fill opacity="0.400000"/>
          <v:textpath style="font-family:&quot;SimSun&quot;;font-size:20;v-text-kern:t;mso-text-shadow:auto" string="仅供内部审核"/>
        </v:shape>
      </w:pict>
    </w:r>
    <w:r>
      <w:pict>
        <v:shape id="PowerPlusWaterMarkObject316" style="position:absolute;margin-left:487.09pt;margin-top:73.4279pt;mso-position-vertical-relative:page;mso-position-horizontal-relative:page;width:38.65pt;height:6.5pt;z-index:-251493376;" o:allowincell="f" fillcolor="#212529" filled="true" stroked="false" type="#_x0000_t136">
          <v:textpath style="font-family:&quot;SimSun&quot;;font-size:6;v-text-kern:t;mso-text-shadow:auto" string="预算公开表12"/>
        </v:shape>
      </w:pict>
    </w:r>
    <w:r>
      <w:pict>
        <v:shape id="PowerPlusWaterMarkObject318" style="position:absolute;margin-left:491.92pt;margin-top:44.1055pt;mso-position-vertical-relative:page;mso-position-horizontal-relative:page;width:119.4pt;height:18.85pt;z-index:-251494400;rotation:330;" o:allowincell="f" fillcolor="#404040" filled="true" stroked="false" type="#_x0000_t136">
          <v:fill opacity="0.400000"/>
          <v:textpath style="font-family:&quot;SimSun&quot;;font-size:20;v-text-kern:t;mso-text-shadow:auto" string="仅供内部审核"/>
        </v:shape>
      </w:pict>
    </w:r>
    <w:r>
      <w:pict>
        <v:shape id="PowerPlusWaterMarkObject320" style="position:absolute;margin-left:391.92pt;margin-top:288.105pt;mso-position-vertical-relative:page;mso-position-horizontal-relative:page;width:119.4pt;height:18.85pt;z-index:-251504640;rotation:330;" o:allowincell="f" fillcolor="#404040" filled="true" stroked="false" type="#_x0000_t136">
          <v:fill opacity="0.400000"/>
          <v:textpath style="font-family:&quot;SimSun&quot;;font-size:20;v-text-kern:t;mso-text-shadow:auto" string="仅供内部审核"/>
        </v:shape>
      </w:pict>
    </w:r>
    <w:r>
      <w:pict>
        <v:shape id="PowerPlusWaterMarkObject322" style="position:absolute;margin-left:491.92pt;margin-top:532.106pt;mso-position-vertical-relative:page;mso-position-horizontal-relative:page;width:119.4pt;height:18.85pt;z-index:-251499520;rotation:330;" o:allowincell="f" fillcolor="#404040" filled="true" stroked="false" type="#_x0000_t136">
          <v:fill opacity="0.400000"/>
          <v:textpath style="font-family:&quot;SimSun&quot;;font-size:20;v-text-kern:t;mso-text-shadow:auto" string="仅供内部审核"/>
        </v:shape>
      </w:pict>
    </w:r>
    <w:r>
      <w:pict>
        <v:shape id="PowerPlusWaterMarkObject324" style="position:absolute;margin-left:391.92pt;margin-top:776.106pt;mso-position-vertical-relative:page;mso-position-horizontal-relative:page;width:119.4pt;height:18.85pt;z-index:-251497472;rotation:330;" o:allowincell="f" fillcolor="#404040" filled="true" stroked="false" type="#_x0000_t136">
          <v:fill opacity="0.400000"/>
          <v:textpath style="font-family:&quot;SimSun&quot;;font-size:20;v-text-kern:t;mso-text-shadow:auto" string="仅供内部审核"/>
        </v:shape>
      </w:pict>
    </w:r>
    <w:r>
      <w:pict>
        <v:shape id="_x0000_s326" style="position:absolute;margin-left:30pt;margin-top:29.5pt;mso-position-vertical-relative:page;mso-position-horizontal-relative:page;width:535pt;height:1pt;z-index:-25149542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兴县蔚汾镇卫生院2025年单位预算公开报告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28" style="position:absolute;margin-left:86.92pt;margin-top:27.7633pt;mso-position-vertical-relative:text;mso-position-horizontal-relative:text;width:119.4pt;height:18.85pt;z-index:-251482112;rotation:330;" fillcolor="#404040" filled="true" stroked="false" type="#_x0000_t136">
          <v:fill opacity="0.400000"/>
          <v:textpath style="font-family:&quot;SimSun&quot;;font-size:20;v-text-kern:t;mso-text-shadow:auto" string="仅供内部审核"/>
        </v:shape>
      </w:pict>
    </w:r>
    <w:r>
      <w:pict>
        <v:shape id="PowerPlusWaterMarkObject330" style="position:absolute;margin-left:-13.08pt;margin-top:288.105pt;mso-position-vertical-relative:page;mso-position-horizontal-relative:page;width:119.4pt;height:18.85pt;z-index:-251486208;rotation:330;" o:allowincell="f" fillcolor="#404040" filled="true" stroked="false" type="#_x0000_t136">
          <v:fill opacity="0.400000"/>
          <v:textpath style="font-family:&quot;SimSun&quot;;font-size:20;v-text-kern:t;mso-text-shadow:auto" string="仅供内部审核"/>
        </v:shape>
      </w:pict>
    </w:r>
    <w:r>
      <w:pict>
        <v:shape id="PowerPlusWaterMarkObject332" style="position:absolute;margin-left:86.92pt;margin-top:532.106pt;mso-position-vertical-relative:page;mso-position-horizontal-relative:page;width:119.4pt;height:18.85pt;z-index:-251490304;rotation:330;" o:allowincell="f" fillcolor="#404040" filled="true" stroked="false" type="#_x0000_t136">
          <v:fill opacity="0.400000"/>
          <v:textpath style="font-family:&quot;SimSun&quot;;font-size:20;v-text-kern:t;mso-text-shadow:auto" string="仅供内部审核"/>
        </v:shape>
      </w:pict>
    </w:r>
    <w:r>
      <w:pict>
        <v:shape id="PowerPlusWaterMarkObject334" style="position:absolute;margin-left:-13.08pt;margin-top:776.106pt;mso-position-vertical-relative:page;mso-position-horizontal-relative:page;width:119.4pt;height:18.85pt;z-index:-251488256;rotation:330;" o:allowincell="f" fillcolor="#404040" filled="true" stroked="false" type="#_x0000_t136">
          <v:fill opacity="0.400000"/>
          <v:textpath style="font-family:&quot;SimSun&quot;;font-size:20;v-text-kern:t;mso-text-shadow:auto" string="仅供内部审核"/>
        </v:shape>
      </w:pict>
    </w:r>
    <w:r>
      <w:pict>
        <v:shape id="PowerPlusWaterMarkObject336" style="position:absolute;margin-left:487.09pt;margin-top:73.4279pt;mso-position-vertical-relative:page;mso-position-horizontal-relative:page;width:38.65pt;height:6.5pt;z-index:-251483136;" o:allowincell="f" fillcolor="#212529" filled="true" stroked="false" type="#_x0000_t136">
          <v:textpath style="font-family:&quot;SimSun&quot;;font-size:6;v-text-kern:t;mso-text-shadow:auto" string="预算公开表13"/>
        </v:shape>
      </w:pict>
    </w:r>
    <w:r>
      <w:pict>
        <v:shape id="PowerPlusWaterMarkObject338" style="position:absolute;margin-left:491.92pt;margin-top:44.1055pt;mso-position-vertical-relative:page;mso-position-horizontal-relative:page;width:119.4pt;height:18.85pt;z-index:-251484160;rotation:330;" o:allowincell="f" fillcolor="#404040" filled="true" stroked="false" type="#_x0000_t136">
          <v:fill opacity="0.400000"/>
          <v:textpath style="font-family:&quot;SimSun&quot;;font-size:20;v-text-kern:t;mso-text-shadow:auto" string="仅供内部审核"/>
        </v:shape>
      </w:pict>
    </w:r>
    <w:r>
      <w:pict>
        <v:shape id="PowerPlusWaterMarkObject340" style="position:absolute;margin-left:391.92pt;margin-top:288.105pt;mso-position-vertical-relative:page;mso-position-horizontal-relative:page;width:119.4pt;height:18.85pt;z-index:-251487232;rotation:330;" o:allowincell="f" fillcolor="#404040" filled="true" stroked="false" type="#_x0000_t136">
          <v:fill opacity="0.400000"/>
          <v:textpath style="font-family:&quot;SimSun&quot;;font-size:20;v-text-kern:t;mso-text-shadow:auto" string="仅供内部审核"/>
        </v:shape>
      </w:pict>
    </w:r>
    <w:r>
      <w:pict>
        <v:shape id="PowerPlusWaterMarkObject342" style="position:absolute;margin-left:491.92pt;margin-top:532.106pt;mso-position-vertical-relative:page;mso-position-horizontal-relative:page;width:119.4pt;height:18.85pt;z-index:-251491328;rotation:330;" o:allowincell="f" fillcolor="#404040" filled="true" stroked="false" type="#_x0000_t136">
          <v:fill opacity="0.400000"/>
          <v:textpath style="font-family:&quot;SimSun&quot;;font-size:20;v-text-kern:t;mso-text-shadow:auto" string="仅供内部审核"/>
        </v:shape>
      </w:pict>
    </w:r>
    <w:r>
      <w:pict>
        <v:shape id="PowerPlusWaterMarkObject344" style="position:absolute;margin-left:391.92pt;margin-top:776.106pt;mso-position-vertical-relative:page;mso-position-horizontal-relative:page;width:119.4pt;height:18.85pt;z-index:-251489280;rotation:330;" o:allowincell="f" fillcolor="#404040" filled="true" stroked="false" type="#_x0000_t136">
          <v:fill opacity="0.400000"/>
          <v:textpath style="font-family:&quot;SimSun&quot;;font-size:20;v-text-kern:t;mso-text-shadow:auto" string="仅供内部审核"/>
        </v:shape>
      </w:pict>
    </w:r>
    <w:r>
      <w:pict>
        <v:shape id="_x0000_s346" style="position:absolute;margin-left:30pt;margin-top:29.5pt;mso-position-vertical-relative:page;mso-position-horizontal-relative:page;width:535pt;height:1pt;z-index:-25148518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兴县蔚汾镇卫生院2025年单位预算公开报告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48" style="position:absolute;margin-left:86.92pt;margin-top:27.7633pt;mso-position-vertical-relative:text;mso-position-horizontal-relative:text;width:119.4pt;height:18.85pt;z-index:-251462656;rotation:330;" fillcolor="#404040" filled="true" stroked="false" type="#_x0000_t136">
          <v:fill opacity="0.400000"/>
          <v:textpath style="font-family:&quot;SimSun&quot;;font-size:20;v-text-kern:t;mso-text-shadow:auto" string="仅供内部审核"/>
        </v:shape>
      </w:pict>
    </w:r>
    <w:r>
      <w:pict>
        <v:shape id="PowerPlusWaterMarkObject350" style="position:absolute;margin-left:491.92pt;margin-top:44.1055pt;mso-position-vertical-relative:page;mso-position-horizontal-relative:page;width:119.4pt;height:18.85pt;z-index:-251463680;rotation:330;" o:allowincell="f" fillcolor="#404040" filled="true" stroked="false" type="#_x0000_t136">
          <v:fill opacity="0.400000"/>
          <v:textpath style="font-family:&quot;SimSun&quot;;font-size:20;v-text-kern:t;mso-text-shadow:auto" string="仅供内部审核"/>
        </v:shape>
      </w:pict>
    </w:r>
    <w:r>
      <w:pict>
        <v:shape id="PowerPlusWaterMarkObject352" style="position:absolute;margin-left:85.943pt;margin-top:258.837pt;mso-position-vertical-relative:page;mso-position-horizontal-relative:page;width:11.1pt;height:11.8pt;z-index:-251480064;" o:allowincell="f" fillcolor="#000000" filled="true" stroked="false" type="#_x0000_t136">
          <v:textpath style="font-family:&quot;FangSong&quot;;font-size:11.5;v-text-kern:t;mso-text-shadow:auto" string="86"/>
        </v:shape>
      </w:pict>
    </w:r>
    <w:r>
      <w:pict>
        <v:shape id="PowerPlusWaterMarkObject354" style="position:absolute;margin-left:63.1955pt;margin-top:278.838pt;mso-position-vertical-relative:page;mso-position-horizontal-relative:page;width:28.6pt;height:11.8pt;z-index:-251479040;" o:allowincell="f" fillcolor="#000000" filled="true" stroked="false" type="#_x0000_t136">
          <v:textpath style="font-family:&quot;FangSong&quot;;font-size:11.5;v-text-kern:t;mso-text-shadow:auto" string="入0万"/>
        </v:shape>
      </w:pict>
    </w:r>
    <w:r>
      <w:pict>
        <v:shape id="PowerPlusWaterMarkObject356" style="position:absolute;margin-left:-13.08pt;margin-top:288.105pt;mso-position-vertical-relative:page;mso-position-horizontal-relative:page;width:119.4pt;height:18.85pt;z-index:-251481088;rotation:330;" o:allowincell="f" fillcolor="#404040" filled="true" stroked="false" type="#_x0000_t136">
          <v:fill opacity="0.400000"/>
          <v:textpath style="font-family:&quot;SimSun&quot;;font-size:20;v-text-kern:t;mso-text-shadow:auto" string="仅供内部审核"/>
        </v:shape>
      </w:pict>
    </w:r>
    <w:r>
      <w:pict>
        <v:shape id="PowerPlusWaterMarkObject358" style="position:absolute;margin-left:140.564pt;margin-top:284.408pt;mso-position-vertical-relative:page;mso-position-horizontal-relative:page;width:196.2pt;height:5.6pt;z-index:-251465728;" o:allowincell="f" fillcolor="#000000" filled="true" stroked="false" type="#_x0000_t136">
          <v:textpath style="font-family:&quot;FangSong&quot;;font-size:11.5;v-text-kern:t;mso-text-shadow:auto" string=";                                 ;"/>
        </v:shape>
      </w:pict>
    </w:r>
    <w:r>
      <w:pict>
        <v:shape id="PowerPlusWaterMarkObject360" style="position:absolute;margin-left:487.535pt;margin-top:258.837pt;mso-position-vertical-relative:page;mso-position-horizontal-relative:page;width:22.65pt;height:11.8pt;z-index:-251476992;" o:allowincell="f" fillcolor="#000000" filled="true" stroked="false" type="#_x0000_t136">
          <v:textpath style="font-family:&quot;FangSong&quot;;font-size:11.5;v-text-kern:t;mso-text-shadow:auto" string="算拨"/>
        </v:shape>
      </w:pict>
    </w:r>
    <w:r>
      <w:pict>
        <v:shape id="PowerPlusWaterMarkObject362" style="position:absolute;margin-left:451.583pt;margin-top:278.838pt;mso-position-vertical-relative:page;mso-position-horizontal-relative:page;width:40.8pt;height:11.8pt;z-index:-251475968;" o:allowincell="f" fillcolor="#000000" filled="true" stroked="false" type="#_x0000_t136">
          <v:textpath style="font-family:&quot;FangSong&quot;;font-size:11.5;v-text-kern:t;mso-text-shadow:auto" string="%； 上年"/>
        </v:shape>
      </w:pict>
    </w:r>
    <w:r>
      <w:pict>
        <v:shape id="PowerPlusWaterMarkObject364" style="position:absolute;margin-left:391.92pt;margin-top:288.105pt;mso-position-vertical-relative:page;mso-position-horizontal-relative:page;width:119.4pt;height:18.85pt;z-index:-251478016;rotation:330;" o:allowincell="f" fillcolor="#404040" filled="true" stroked="false" type="#_x0000_t136">
          <v:fill opacity="0.400000"/>
          <v:textpath style="font-family:&quot;SimSun&quot;;font-size:20;v-text-kern:t;mso-text-shadow:auto" string="仅供内部审核"/>
        </v:shape>
      </w:pict>
    </w:r>
    <w:r>
      <w:pict>
        <v:shape id="PowerPlusWaterMarkObject366" style="position:absolute;margin-left:135.975pt;margin-top:533.99pt;mso-position-vertical-relative:page;mso-position-horizontal-relative:page;width:35.8pt;height:11.8pt;z-index:-251472896;" o:allowincell="f" fillcolor="#000000" filled="true" stroked="false" type="#_x0000_t136">
          <v:textpath style="font-family:&quot;FangSong&quot;;font-size:11.5;v-text-kern:t;mso-text-shadow:auto" string="兴县蔚"/>
        </v:shape>
      </w:pict>
    </w:r>
    <w:r>
      <w:pict>
        <v:shape id="PowerPlusWaterMarkObject368" style="position:absolute;margin-left:91.3503pt;margin-top:554.532pt;mso-position-vertical-relative:page;mso-position-horizontal-relative:page;width:51.8pt;height:11.8pt;z-index:-251473920;" o:allowincell="f" fillcolor="#000000" filled="true" stroked="false" type="#_x0000_t136">
          <v:textpath style="font-family:&quot;FangSong&quot;;font-size:11.5;v-text-kern:t;mso-text-shadow:auto" string="%； 项目支"/>
        </v:shape>
      </w:pict>
    </w:r>
    <w:r>
      <w:pict>
        <v:shape id="PowerPlusWaterMarkObject370" style="position:absolute;margin-left:86.92pt;margin-top:532.106pt;mso-position-vertical-relative:page;mso-position-horizontal-relative:page;width:119.4pt;height:18.85pt;z-index:-251474944;rotation:330;" o:allowincell="f" fillcolor="#404040" filled="true" stroked="false" type="#_x0000_t136">
          <v:fill opacity="0.400000"/>
          <v:textpath style="font-family:&quot;SimSun&quot;;font-size:20;v-text-kern:t;mso-text-shadow:auto" string="仅供内部审核"/>
        </v:shape>
      </w:pict>
    </w:r>
    <w:r>
      <w:pict>
        <v:shape id="PowerPlusWaterMarkObject372" style="position:absolute;margin-left:491.92pt;margin-top:532.106pt;mso-position-vertical-relative:page;mso-position-horizontal-relative:page;width:119.4pt;height:18.85pt;z-index:-251471872;rotation:330;" o:allowincell="f" fillcolor="#404040" filled="true" stroked="false" type="#_x0000_t136">
          <v:fill opacity="0.400000"/>
          <v:textpath style="font-family:&quot;SimSun&quot;;font-size:20;v-text-kern:t;mso-text-shadow:auto" string="仅供内部审核"/>
        </v:shape>
      </w:pict>
    </w:r>
    <w:r>
      <w:pict>
        <v:shape id="PowerPlusWaterMarkObject374" style="position:absolute;margin-left:86.2696pt;margin-top:756.166pt;mso-position-vertical-relative:page;mso-position-horizontal-relative:page;width:22.3pt;height:11.8pt;z-index:-251469824;" o:allowincell="f" fillcolor="#000000" filled="true" stroked="false" type="#_x0000_t136">
          <v:textpath style="font-family:&quot;FangSong&quot;;font-size:11.5;v-text-kern:t;mso-text-shadow:auto" string="（二"/>
        </v:shape>
      </w:pict>
    </w:r>
    <w:r>
      <w:pict>
        <v:shape id="PowerPlusWaterMarkObject376" style="position:absolute;margin-left:429.794pt;margin-top:776.167pt;mso-position-vertical-relative:page;mso-position-horizontal-relative:page;width:57.4pt;height:11.8pt;z-index:-251467776;" o:allowincell="f" fillcolor="#000000" filled="true" stroked="false" type="#_x0000_t136">
          <v:textpath style="font-family:&quot;FangSong&quot;;font-size:11.5;v-text-kern:t;mso-text-shadow:auto" string="用于以下方"/>
        </v:shape>
      </w:pict>
    </w:r>
    <w:r>
      <w:pict>
        <v:shape id="PowerPlusWaterMarkObject378" style="position:absolute;margin-left:407.356pt;margin-top:796.709pt;mso-position-vertical-relative:page;mso-position-horizontal-relative:page;width:52.75pt;height:11.8pt;z-index:-251466752;" o:allowincell="f" fillcolor="#000000" filled="true" stroked="false" type="#_x0000_t136">
          <v:textpath style="font-family:&quot;FangSong&quot;;font-size:11.5;v-text-kern:t;mso-text-shadow:auto" string="占83 7  ；"/>
        </v:shape>
      </w:pict>
    </w:r>
    <w:r>
      <w:pict>
        <v:shape id="PowerPlusWaterMarkObject380" style="position:absolute;margin-left:-13.08pt;margin-top:776.106pt;mso-position-vertical-relative:page;mso-position-horizontal-relative:page;width:119.4pt;height:18.85pt;z-index:-251470848;rotation:330;" o:allowincell="f" fillcolor="#404040" filled="true" stroked="false" type="#_x0000_t136">
          <v:fill opacity="0.400000"/>
          <v:textpath style="font-family:&quot;SimSun&quot;;font-size:20;v-text-kern:t;mso-text-shadow:auto" string="仅供内部审核"/>
        </v:shape>
      </w:pict>
    </w:r>
    <w:r>
      <w:pict>
        <v:shape id="PowerPlusWaterMarkObject382" style="position:absolute;margin-left:391.92pt;margin-top:776.106pt;mso-position-vertical-relative:page;mso-position-horizontal-relative:page;width:119.4pt;height:18.85pt;z-index:-251468800;rotation:330;" o:allowincell="f" fillcolor="#404040" filled="true" stroked="false" type="#_x0000_t136">
          <v:fill opacity="0.400000"/>
          <v:textpath style="font-family:&quot;SimSun&quot;;font-size:20;v-text-kern:t;mso-text-shadow:auto" string="仅供内部审核"/>
        </v:shape>
      </w:pict>
    </w:r>
    <w:r>
      <w:pict>
        <v:shape id="_x0000_s384" style="position:absolute;margin-left:30pt;margin-top:29.5pt;mso-position-vertical-relative:page;mso-position-horizontal-relative:page;width:535pt;height:1pt;z-index:-25146470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兴县蔚汾镇卫生院2025年单位预算公开报告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86" style="position:absolute;margin-left:92.1113pt;margin-top:64.2303pt;mso-position-vertical-relative:page;mso-position-horizontal-relative:page;width:45.3pt;height:11.8pt;z-index:-251448320;" o:allowincell="f" fillcolor="#000000" filled="true" stroked="false" type="#_x0000_t136">
          <v:textpath style="font-family:&quot;FangSong&quot;;font-size:11.5;v-text-kern:t;mso-text-shadow:auto" string="万元  占"/>
        </v:shape>
      </w:pict>
    </w:r>
    <w:r>
      <w:pict>
        <v:shape id="PowerPlusWaterMarkObject388" style="position:absolute;margin-left:86.92pt;margin-top:27.7633pt;mso-position-vertical-relative:text;mso-position-horizontal-relative:text;width:119.4pt;height:18.85pt;z-index:-251445248;rotation:330;" fillcolor="#404040" filled="true" stroked="false" type="#_x0000_t136">
          <v:fill opacity="0.400000"/>
          <v:textpath style="font-family:&quot;SimSun&quot;;font-size:20;v-text-kern:t;mso-text-shadow:auto" string="仅供内部审核"/>
        </v:shape>
      </w:pict>
    </w:r>
    <w:r>
      <w:pict>
        <v:shape id="PowerPlusWaterMarkObject390" style="position:absolute;margin-left:491.92pt;margin-top:44.1055pt;mso-position-vertical-relative:page;mso-position-horizontal-relative:page;width:119.4pt;height:18.85pt;z-index:-251446272;rotation:330;" o:allowincell="f" fillcolor="#404040" filled="true" stroked="false" type="#_x0000_t136">
          <v:fill opacity="0.400000"/>
          <v:textpath style="font-family:&quot;SimSun&quot;;font-size:20;v-text-kern:t;mso-text-shadow:auto" string="仅供内部审核"/>
        </v:shape>
      </w:pict>
    </w:r>
    <w:r>
      <w:pict>
        <v:shape id="PowerPlusWaterMarkObject392" style="position:absolute;margin-left:86.0353pt;margin-top:266.946pt;mso-position-vertical-relative:page;mso-position-horizontal-relative:page;width:22.55pt;height:11.8pt;z-index:-251457536;" o:allowincell="f" fillcolor="#000000" filled="true" stroked="false" type="#_x0000_t136">
          <v:textpath style="font-family:&quot;FangSong&quot;;font-size:11.5;v-text-kern:t;mso-text-shadow:auto" string="2025"/>
        </v:shape>
      </w:pict>
    </w:r>
    <w:r>
      <w:pict>
        <v:shape id="PowerPlusWaterMarkObject394" style="position:absolute;margin-left:86.4389pt;margin-top:286.947pt;mso-position-vertical-relative:page;mso-position-horizontal-relative:page;width:400.15pt;height:11.8pt;z-index:-251458560;" o:allowincell="f" fillcolor="#000000" filled="true" stroked="false" type="#_x0000_t136">
          <v:textpath style="font-family:&quot;FangSong&quot;;font-size:11.5;v-text-kern:t;mso-text-shadow:auto" string="人       0                                支                缴费  绩"/>
        </v:shape>
      </w:pict>
    </w:r>
    <w:r>
      <w:pict>
        <v:shape id="PowerPlusWaterMarkObject396" style="position:absolute;margin-left:402.415pt;margin-top:306.948pt;mso-position-vertical-relative:page;mso-position-horizontal-relative:page;width:46.75pt;height:11.8pt;z-index:-251460608;" o:allowincell="f" fillcolor="#000000" filled="true" stroked="false" type="#_x0000_t136">
          <v:textpath style="font-family:&quot;FangSong&quot;;font-size:11.5;v-text-kern:t;mso-text-shadow:auto" string="费  职工"/>
        </v:shape>
      </w:pict>
    </w:r>
    <w:r>
      <w:pict>
        <v:shape id="PowerPlusWaterMarkObject398" style="position:absolute;margin-left:-13.08pt;margin-top:288.105pt;mso-position-vertical-relative:page;mso-position-horizontal-relative:page;width:119.4pt;height:18.85pt;z-index:-251459584;rotation:330;" o:allowincell="f" fillcolor="#404040" filled="true" stroked="false" type="#_x0000_t136">
          <v:fill opacity="0.400000"/>
          <v:textpath style="font-family:&quot;SimSun&quot;;font-size:20;v-text-kern:t;mso-text-shadow:auto" string="仅供内部审核"/>
        </v:shape>
      </w:pict>
    </w:r>
    <w:r>
      <w:pict>
        <v:shape id="PowerPlusWaterMarkObject400" style="position:absolute;margin-left:391.92pt;margin-top:288.105pt;mso-position-vertical-relative:page;mso-position-horizontal-relative:page;width:119.4pt;height:18.85pt;z-index:-251461632;rotation:330;" o:allowincell="f" fillcolor="#404040" filled="true" stroked="false" type="#_x0000_t136">
          <v:fill opacity="0.400000"/>
          <v:textpath style="font-family:&quot;SimSun&quot;;font-size:20;v-text-kern:t;mso-text-shadow:auto" string="仅供内部审核"/>
        </v:shape>
      </w:pict>
    </w:r>
    <w:r>
      <w:pict>
        <v:shape id="PowerPlusWaterMarkObject402" style="position:absolute;margin-left:138.321pt;margin-top:529.125pt;mso-position-vertical-relative:page;mso-position-horizontal-relative:page;width:33.65pt;height:11.8pt;z-index:-251455488;" o:allowincell="f" fillcolor="#000000" filled="true" stroked="false" type="#_x0000_t136">
          <v:textpath style="font-family:&quot;FangSong&quot;;font-size:11.5;v-text-kern:t;mso-text-shadow:auto" string="效目标"/>
        </v:shape>
      </w:pict>
    </w:r>
    <w:r>
      <w:pict>
        <v:shape id="PowerPlusWaterMarkObject404" style="position:absolute;margin-left:98.3993pt;margin-top:549.126pt;mso-position-vertical-relative:page;mso-position-horizontal-relative:page;width:46.1pt;height:11.8pt;z-index:-251454464;" o:allowincell="f" fillcolor="#000000" filled="true" stroked="false" type="#_x0000_t136">
          <v:textpath style="font-family:&quot;FangSong&quot;;font-size:11.5;v-text-kern:t;mso-text-shadow:auto" string="未编报部"/>
        </v:shape>
      </w:pict>
    </w:r>
    <w:r>
      <w:pict>
        <v:shape id="PowerPlusWaterMarkObject406" style="position:absolute;margin-left:86.92pt;margin-top:532.106pt;mso-position-vertical-relative:page;mso-position-horizontal-relative:page;width:119.4pt;height:18.85pt;z-index:-251456512;rotation:330;" o:allowincell="f" fillcolor="#404040" filled="true" stroked="false" type="#_x0000_t136">
          <v:fill opacity="0.400000"/>
          <v:textpath style="font-family:&quot;SimSun&quot;;font-size:20;v-text-kern:t;mso-text-shadow:auto" string="仅供内部审核"/>
        </v:shape>
      </w:pict>
    </w:r>
    <w:r>
      <w:pict>
        <v:shape id="PowerPlusWaterMarkObject408" style="position:absolute;margin-left:511.302pt;margin-top:549.126pt;mso-position-vertical-relative:page;mso-position-horizontal-relative:page;width:22.55pt;height:11.8pt;z-index:-251452416;" o:allowincell="f" fillcolor="#000000" filled="true" stroked="false" type="#_x0000_t136">
          <v:textpath style="font-family:&quot;FangSong&quot;;font-size:11.5;v-text-kern:t;mso-text-shadow:auto" string="项目"/>
        </v:shape>
      </w:pict>
    </w:r>
    <w:r>
      <w:pict>
        <v:shape id="PowerPlusWaterMarkObject410" style="position:absolute;margin-left:501.797pt;margin-top:569.668pt;mso-position-vertical-relative:page;mso-position-horizontal-relative:page;width:8.75pt;height:11.8pt;z-index:-251451392;" o:allowincell="f" fillcolor="#000000" filled="true" stroked="false" type="#_x0000_t136">
          <v:textpath style="font-family:&quot;FangSong&quot;;font-size:11.5;v-text-kern:t;mso-text-shadow:auto" string="目"/>
        </v:shape>
      </w:pict>
    </w:r>
    <w:r>
      <w:pict>
        <v:shape id="PowerPlusWaterMarkObject412" style="position:absolute;margin-left:491.92pt;margin-top:532.106pt;mso-position-vertical-relative:page;mso-position-horizontal-relative:page;width:119.4pt;height:18.85pt;z-index:-251453440;rotation:330;" o:allowincell="f" fillcolor="#404040" filled="true" stroked="false" type="#_x0000_t136">
          <v:fill opacity="0.400000"/>
          <v:textpath style="font-family:&quot;SimSun&quot;;font-size:20;v-text-kern:t;mso-text-shadow:auto" string="仅供内部审核"/>
        </v:shape>
      </w:pict>
    </w:r>
    <w:r>
      <w:pict>
        <v:shape id="PowerPlusWaterMarkObject414" style="position:absolute;margin-left:-13.08pt;margin-top:776.106pt;mso-position-vertical-relative:page;mso-position-horizontal-relative:page;width:119.4pt;height:18.85pt;z-index:-251449344;rotation:330;" o:allowincell="f" fillcolor="#404040" filled="true" stroked="false" type="#_x0000_t136">
          <v:fill opacity="0.400000"/>
          <v:textpath style="font-family:&quot;SimSun&quot;;font-size:20;v-text-kern:t;mso-text-shadow:auto" string="仅供内部审核"/>
        </v:shape>
      </w:pict>
    </w:r>
    <w:r>
      <w:pict>
        <v:shape id="PowerPlusWaterMarkObject416" style="position:absolute;margin-left:391.92pt;margin-top:776.106pt;mso-position-vertical-relative:page;mso-position-horizontal-relative:page;width:119.4pt;height:18.85pt;z-index:-251450368;rotation:330;" o:allowincell="f" fillcolor="#404040" filled="true" stroked="false" type="#_x0000_t136">
          <v:fill opacity="0.400000"/>
          <v:textpath style="font-family:&quot;SimSun&quot;;font-size:20;v-text-kern:t;mso-text-shadow:auto" string="仅供内部审核"/>
        </v:shape>
      </w:pict>
    </w:r>
    <w:r>
      <w:pict>
        <v:shape id="_x0000_s418" style="position:absolute;margin-left:30pt;margin-top:29.5pt;mso-position-vertical-relative:page;mso-position-horizontal-relative:page;width:535pt;height:1pt;z-index:-25144729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391.92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13.08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20" style="position:absolute;margin-left:86.92pt;margin-top:27.7633pt;mso-position-vertical-relative:text;mso-position-horizontal-relative:text;width:119.4pt;height:18.85pt;z-index:-251438080;rotation:330;" fillcolor="#404040" filled="true" stroked="false" type="#_x0000_t136">
          <v:fill opacity="0.400000"/>
          <v:textpath style="font-family:&quot;SimSun&quot;;font-size:20;v-text-kern:t;mso-text-shadow:auto" string="仅供内部审核"/>
        </v:shape>
      </w:pict>
    </w:r>
    <w:r>
      <w:pict>
        <v:shape id="PowerPlusWaterMarkObject422" style="position:absolute;margin-left:-13.08pt;margin-top:288.105pt;mso-position-vertical-relative:page;mso-position-horizontal-relative:page;width:119.4pt;height:18.85pt;z-index:-251441152;rotation:330;" o:allowincell="f" fillcolor="#404040" filled="true" stroked="false" type="#_x0000_t136">
          <v:fill opacity="0.400000"/>
          <v:textpath style="font-family:&quot;SimSun&quot;;font-size:20;v-text-kern:t;mso-text-shadow:auto" string="仅供内部审核"/>
        </v:shape>
      </w:pict>
    </w:r>
    <w:r>
      <w:pict>
        <v:shape id="PowerPlusWaterMarkObject424" style="position:absolute;margin-left:491.92pt;margin-top:44.1055pt;mso-position-vertical-relative:page;mso-position-horizontal-relative:page;width:119.4pt;height:18.85pt;z-index:-251439104;rotation:330;" o:allowincell="f" fillcolor="#404040" filled="true" stroked="false" type="#_x0000_t136">
          <v:fill opacity="0.400000"/>
          <v:textpath style="font-family:&quot;SimSun&quot;;font-size:20;v-text-kern:t;mso-text-shadow:auto" string="仅供内部审核"/>
        </v:shape>
      </w:pict>
    </w:r>
    <w:r>
      <w:pict>
        <v:shape id="PowerPlusWaterMarkObject426" style="position:absolute;margin-left:-13.08pt;margin-top:776.106pt;mso-position-vertical-relative:page;mso-position-horizontal-relative:page;width:119.4pt;height:18.85pt;z-index:-251442176;rotation:330;" o:allowincell="f" fillcolor="#404040" filled="true" stroked="false" type="#_x0000_t136">
          <v:fill opacity="0.400000"/>
          <v:textpath style="font-family:&quot;SimSun&quot;;font-size:20;v-text-kern:t;mso-text-shadow:auto" string="仅供内部审核"/>
        </v:shape>
      </w:pict>
    </w:r>
    <w:r>
      <w:pict>
        <v:shape id="PowerPlusWaterMarkObject428" style="position:absolute;margin-left:491.92pt;margin-top:532.106pt;mso-position-vertical-relative:page;mso-position-horizontal-relative:page;width:119.4pt;height:18.85pt;z-index:-251444224;rotation:330;" o:allowincell="f" fillcolor="#404040" filled="true" stroked="false" type="#_x0000_t136">
          <v:fill opacity="0.400000"/>
          <v:textpath style="font-family:&quot;SimSun&quot;;font-size:20;v-text-kern:t;mso-text-shadow:auto" string="仅供内部审核"/>
        </v:shape>
      </w:pict>
    </w:r>
    <w:r>
      <w:pict>
        <v:shape id="PowerPlusWaterMarkObject430" style="position:absolute;margin-left:391.92pt;margin-top:776.106pt;mso-position-vertical-relative:page;mso-position-horizontal-relative:page;width:119.4pt;height:18.85pt;z-index:-251443200;rotation:330;" o:allowincell="f" fillcolor="#404040" filled="true" stroked="false" type="#_x0000_t136">
          <v:fill opacity="0.400000"/>
          <v:textpath style="font-family:&quot;SimSun&quot;;font-size:20;v-text-kern:t;mso-text-shadow:auto" string="仅供内部审核"/>
        </v:shape>
      </w:pict>
    </w:r>
    <w:r>
      <w:pict>
        <v:shape id="_x0000_s432" style="position:absolute;margin-left:30pt;margin-top:29.5pt;mso-position-vertical-relative:page;mso-position-horizontal-relative:page;width:535pt;height:1pt;z-index:-25144012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兴县蔚汾镇卫生院2025年单位预算公开报告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62" style="position:absolute;margin-left:86.92pt;margin-top:27.7633pt;mso-position-vertical-relative:text;mso-position-horizontal-relative:text;width:119.4pt;height:18.85pt;z-index:-251428864;rotation:330;" fillcolor="#404040" filled="true" stroked="false" type="#_x0000_t136">
          <v:fill opacity="0.400000"/>
          <v:textpath style="font-family:&quot;SimSun&quot;;font-size:20;v-text-kern:t;mso-text-shadow:auto" string="仅供内部审核"/>
        </v:shape>
      </w:pict>
    </w:r>
    <w:r>
      <w:pict>
        <v:shape id="PowerPlusWaterMarkObject464" style="position:absolute;margin-left:-13.08pt;margin-top:288.105pt;mso-position-vertical-relative:page;mso-position-horizontal-relative:page;width:119.4pt;height:18.85pt;z-index:-251437056;rotation:330;" o:allowincell="f" fillcolor="#404040" filled="true" stroked="false" type="#_x0000_t136">
          <v:fill opacity="0.400000"/>
          <v:textpath style="font-family:&quot;SimSun&quot;;font-size:20;v-text-kern:t;mso-text-shadow:auto" string="仅供内部审核"/>
        </v:shape>
      </w:pict>
    </w:r>
    <w:r>
      <w:pict>
        <v:shape id="PowerPlusWaterMarkObject466" style="position:absolute;margin-left:491.92pt;margin-top:44.1055pt;mso-position-vertical-relative:page;mso-position-horizontal-relative:page;width:119.4pt;height:18.85pt;z-index:-251429888;rotation:330;" o:allowincell="f" fillcolor="#404040" filled="true" stroked="false" type="#_x0000_t136">
          <v:fill opacity="0.400000"/>
          <v:textpath style="font-family:&quot;SimSun&quot;;font-size:20;v-text-kern:t;mso-text-shadow:auto" string="仅供内部审核"/>
        </v:shape>
      </w:pict>
    </w:r>
    <w:r>
      <w:pict>
        <v:shape id="PowerPlusWaterMarkObject468" style="position:absolute;margin-left:391.92pt;margin-top:288.105pt;mso-position-vertical-relative:page;mso-position-horizontal-relative:page;width:119.4pt;height:18.85pt;z-index:-251431936;rotation:330;" o:allowincell="f" fillcolor="#404040" filled="true" stroked="false" type="#_x0000_t136">
          <v:fill opacity="0.400000"/>
          <v:textpath style="font-family:&quot;SimSun&quot;;font-size:20;v-text-kern:t;mso-text-shadow:auto" string="仅供内部审核"/>
        </v:shape>
      </w:pict>
    </w:r>
    <w:r>
      <w:pict>
        <v:shape id="PowerPlusWaterMarkObject470" style="position:absolute;margin-left:86.92pt;margin-top:532.106pt;mso-position-vertical-relative:page;mso-position-horizontal-relative:page;width:119.4pt;height:18.85pt;z-index:-251435008;rotation:330;" o:allowincell="f" fillcolor="#404040" filled="true" stroked="false" type="#_x0000_t136">
          <v:fill opacity="0.400000"/>
          <v:textpath style="font-family:&quot;SimSun&quot;;font-size:20;v-text-kern:t;mso-text-shadow:auto" string="仅供内部审核"/>
        </v:shape>
      </w:pict>
    </w:r>
    <w:r>
      <w:pict>
        <v:shape id="PowerPlusWaterMarkObject472" style="position:absolute;margin-left:-13.08pt;margin-top:776.106pt;mso-position-vertical-relative:page;mso-position-horizontal-relative:page;width:119.4pt;height:18.85pt;z-index:-251432960;rotation:330;" o:allowincell="f" fillcolor="#404040" filled="true" stroked="false" type="#_x0000_t136">
          <v:fill opacity="0.400000"/>
          <v:textpath style="font-family:&quot;SimSun&quot;;font-size:20;v-text-kern:t;mso-text-shadow:auto" string="仅供内部审核"/>
        </v:shape>
      </w:pict>
    </w:r>
    <w:r>
      <w:pict>
        <v:shape id="PowerPlusWaterMarkObject474" style="position:absolute;margin-left:491.92pt;margin-top:532.106pt;mso-position-vertical-relative:page;mso-position-horizontal-relative:page;width:119.4pt;height:18.85pt;z-index:-251436032;rotation:330;" o:allowincell="f" fillcolor="#404040" filled="true" stroked="false" type="#_x0000_t136">
          <v:fill opacity="0.400000"/>
          <v:textpath style="font-family:&quot;SimSun&quot;;font-size:20;v-text-kern:t;mso-text-shadow:auto" string="仅供内部审核"/>
        </v:shape>
      </w:pict>
    </w:r>
    <w:r>
      <w:pict>
        <v:shape id="PowerPlusWaterMarkObject476" style="position:absolute;margin-left:391.92pt;margin-top:776.106pt;mso-position-vertical-relative:page;mso-position-horizontal-relative:page;width:119.4pt;height:18.85pt;z-index:-251433984;rotation:330;" o:allowincell="f" fillcolor="#404040" filled="true" stroked="false" type="#_x0000_t136">
          <v:fill opacity="0.400000"/>
          <v:textpath style="font-family:&quot;SimSun&quot;;font-size:20;v-text-kern:t;mso-text-shadow:auto" string="仅供内部审核"/>
        </v:shape>
      </w:pict>
    </w:r>
    <w:r>
      <w:pict>
        <v:shape id="_x0000_s478" style="position:absolute;margin-left:30pt;margin-top:29.5pt;mso-position-vertical-relative:page;mso-position-horizontal-relative:page;width:535pt;height:1pt;z-index:-25143091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兴县蔚汾镇卫生院2025年单位预算公开报告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84" style="position:absolute;margin-left:86.92pt;margin-top:27.7633pt;mso-position-vertical-relative:text;mso-position-horizontal-relative:text;width:119.4pt;height:18.85pt;z-index:-251422720;rotation:330;" fillcolor="#404040" filled="true" stroked="false" type="#_x0000_t136">
          <v:fill opacity="0.400000"/>
          <v:textpath style="font-family:&quot;SimSun&quot;;font-size:20;v-text-kern:t;mso-text-shadow:auto" string="仅供内部审核"/>
        </v:shape>
      </w:pict>
    </w:r>
    <w:r>
      <w:pict>
        <v:shape id="PowerPlusWaterMarkObject486" style="position:absolute;margin-left:491.92pt;margin-top:44.1055pt;mso-position-vertical-relative:page;mso-position-horizontal-relative:page;width:119.4pt;height:18.85pt;z-index:-251423744;rotation:330;" o:allowincell="f" fillcolor="#404040" filled="true" stroked="false" type="#_x0000_t136">
          <v:fill opacity="0.400000"/>
          <v:textpath style="font-family:&quot;SimSun&quot;;font-size:20;v-text-kern:t;mso-text-shadow:auto" string="仅供内部审核"/>
        </v:shape>
      </w:pict>
    </w:r>
    <w:r>
      <w:pict>
        <v:shape id="PowerPlusWaterMarkObject488" style="position:absolute;margin-left:-13.08pt;margin-top:776.106pt;mso-position-vertical-relative:page;mso-position-horizontal-relative:page;width:119.4pt;height:18.85pt;z-index:-251425792;rotation:330;" o:allowincell="f" fillcolor="#404040" filled="true" stroked="false" type="#_x0000_t136">
          <v:fill opacity="0.400000"/>
          <v:textpath style="font-family:&quot;SimSun&quot;;font-size:20;v-text-kern:t;mso-text-shadow:auto" string="仅供内部审核"/>
        </v:shape>
      </w:pict>
    </w:r>
    <w:r>
      <w:pict>
        <v:shape id="PowerPlusWaterMarkObject490" style="position:absolute;margin-left:491.92pt;margin-top:532.106pt;mso-position-vertical-relative:page;mso-position-horizontal-relative:page;width:119.4pt;height:18.85pt;z-index:-251427840;rotation:330;" o:allowincell="f" fillcolor="#404040" filled="true" stroked="false" type="#_x0000_t136">
          <v:fill opacity="0.400000"/>
          <v:textpath style="font-family:&quot;SimSun&quot;;font-size:20;v-text-kern:t;mso-text-shadow:auto" string="仅供内部审核"/>
        </v:shape>
      </w:pict>
    </w:r>
    <w:r>
      <w:pict>
        <v:shape id="PowerPlusWaterMarkObject492" style="position:absolute;margin-left:391.92pt;margin-top:776.106pt;mso-position-vertical-relative:page;mso-position-horizontal-relative:page;width:119.4pt;height:18.85pt;z-index:-251426816;rotation:330;" o:allowincell="f" fillcolor="#404040" filled="true" stroked="false" type="#_x0000_t136">
          <v:fill opacity="0.400000"/>
          <v:textpath style="font-family:&quot;SimSun&quot;;font-size:20;v-text-kern:t;mso-text-shadow:auto" string="仅供内部审核"/>
        </v:shape>
      </w:pict>
    </w:r>
    <w:r>
      <w:pict>
        <v:shape id="_x0000_s494" style="position:absolute;margin-left:30pt;margin-top:29.5pt;mso-position-vertical-relative:page;mso-position-horizontal-relative:page;width:535pt;height:1pt;z-index:-25142476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兴县蔚汾镇卫生院2025年单位预算公开报告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06" style="position:absolute;margin-left:86.92pt;margin-top:27.7633pt;mso-position-vertical-relative:text;mso-position-horizontal-relative:text;width:119.4pt;height:18.85pt;z-index:-251418624;rotation:330;" fillcolor="#404040" filled="true" stroked="false" type="#_x0000_t136">
          <v:fill opacity="0.400000"/>
          <v:textpath style="font-family:&quot;SimSun&quot;;font-size:20;v-text-kern:t;mso-text-shadow:auto" string="仅供内部审核"/>
        </v:shape>
      </w:pict>
    </w:r>
    <w:r>
      <w:pict>
        <v:shape id="PowerPlusWaterMarkObject508" style="position:absolute;margin-left:-13.08pt;margin-top:776.106pt;mso-position-vertical-relative:page;mso-position-horizontal-relative:page;width:119.4pt;height:18.85pt;z-index:-251420672;rotation:330;" o:allowincell="f" fillcolor="#404040" filled="true" stroked="false" type="#_x0000_t136">
          <v:fill opacity="0.400000"/>
          <v:textpath style="font-family:&quot;SimSun&quot;;font-size:20;v-text-kern:t;mso-text-shadow:auto" string="仅供内部审核"/>
        </v:shape>
      </w:pict>
    </w:r>
    <w:r>
      <w:pict>
        <v:shape id="PowerPlusWaterMarkObject510" style="position:absolute;margin-left:391.92pt;margin-top:776.106pt;mso-position-vertical-relative:page;mso-position-horizontal-relative:page;width:119.4pt;height:18.85pt;z-index:-251421696;rotation:330;" o:allowincell="f" fillcolor="#404040" filled="true" stroked="false" type="#_x0000_t136">
          <v:fill opacity="0.400000"/>
          <v:textpath style="font-family:&quot;SimSun&quot;;font-size:20;v-text-kern:t;mso-text-shadow:auto" string="仅供内部审核"/>
        </v:shape>
      </w:pict>
    </w:r>
    <w:r>
      <w:pict>
        <v:shape id="_x0000_s512" style="position:absolute;margin-left:30pt;margin-top:29.5pt;mso-position-vertical-relative:page;mso-position-horizontal-relative:page;width:535pt;height:1pt;z-index:-2514196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兴县蔚汾镇卫生院2025年单位预算公开报告</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24" style="position:absolute;margin-left:86.92pt;margin-top:27.7633pt;mso-position-vertical-relative:text;mso-position-horizontal-relative:text;width:119.4pt;height:18.85pt;z-index:-251409408;rotation:330;" fillcolor="#404040" filled="true" stroked="false" type="#_x0000_t136">
          <v:fill opacity="0.400000"/>
          <v:textpath style="font-family:&quot;SimSun&quot;;font-size:20;v-text-kern:t;mso-text-shadow:auto" string="仅供内部审核"/>
        </v:shape>
      </w:pict>
    </w:r>
    <w:r>
      <w:pict>
        <v:shape id="PowerPlusWaterMarkObject526" style="position:absolute;margin-left:-13.08pt;margin-top:288.105pt;mso-position-vertical-relative:page;mso-position-horizontal-relative:page;width:119.4pt;height:18.85pt;z-index:-251417600;rotation:330;" o:allowincell="f" fillcolor="#404040" filled="true" stroked="false" type="#_x0000_t136">
          <v:fill opacity="0.400000"/>
          <v:textpath style="font-family:&quot;SimSun&quot;;font-size:20;v-text-kern:t;mso-text-shadow:auto" string="仅供内部审核"/>
        </v:shape>
      </w:pict>
    </w:r>
    <w:r>
      <w:pict>
        <v:shape id="PowerPlusWaterMarkObject528" style="position:absolute;margin-left:491.92pt;margin-top:44.1055pt;mso-position-vertical-relative:page;mso-position-horizontal-relative:page;width:119.4pt;height:18.85pt;z-index:-251410432;rotation:330;" o:allowincell="f" fillcolor="#404040" filled="true" stroked="false" type="#_x0000_t136">
          <v:fill opacity="0.400000"/>
          <v:textpath style="font-family:&quot;SimSun&quot;;font-size:20;v-text-kern:t;mso-text-shadow:auto" string="仅供内部审核"/>
        </v:shape>
      </w:pict>
    </w:r>
    <w:r>
      <w:pict>
        <v:shape id="PowerPlusWaterMarkObject530" style="position:absolute;margin-left:391.92pt;margin-top:288.105pt;mso-position-vertical-relative:page;mso-position-horizontal-relative:page;width:119.4pt;height:18.85pt;z-index:-251416576;rotation:330;" o:allowincell="f" fillcolor="#404040" filled="true" stroked="false" type="#_x0000_t136">
          <v:fill opacity="0.400000"/>
          <v:textpath style="font-family:&quot;SimSun&quot;;font-size:20;v-text-kern:t;mso-text-shadow:auto" string="仅供内部审核"/>
        </v:shape>
      </w:pict>
    </w:r>
    <w:r>
      <w:pict>
        <v:shape id="PowerPlusWaterMarkObject532" style="position:absolute;margin-left:86.92pt;margin-top:532.106pt;mso-position-vertical-relative:page;mso-position-horizontal-relative:page;width:119.4pt;height:18.85pt;z-index:-251415552;rotation:330;" o:allowincell="f" fillcolor="#404040" filled="true" stroked="false" type="#_x0000_t136">
          <v:fill opacity="0.400000"/>
          <v:textpath style="font-family:&quot;SimSun&quot;;font-size:20;v-text-kern:t;mso-text-shadow:auto" string="仅供内部审核"/>
        </v:shape>
      </w:pict>
    </w:r>
    <w:r>
      <w:pict>
        <v:shape id="PowerPlusWaterMarkObject534" style="position:absolute;margin-left:-13.08pt;margin-top:776.106pt;mso-position-vertical-relative:page;mso-position-horizontal-relative:page;width:119.4pt;height:18.85pt;z-index:-251412480;rotation:330;" o:allowincell="f" fillcolor="#404040" filled="true" stroked="false" type="#_x0000_t136">
          <v:fill opacity="0.400000"/>
          <v:textpath style="font-family:&quot;SimSun&quot;;font-size:20;v-text-kern:t;mso-text-shadow:auto" string="仅供内部审核"/>
        </v:shape>
      </w:pict>
    </w:r>
    <w:r>
      <w:pict>
        <v:shape id="PowerPlusWaterMarkObject536" style="position:absolute;margin-left:491.92pt;margin-top:532.106pt;mso-position-vertical-relative:page;mso-position-horizontal-relative:page;width:119.4pt;height:18.85pt;z-index:-251414528;rotation:330;" o:allowincell="f" fillcolor="#404040" filled="true" stroked="false" type="#_x0000_t136">
          <v:fill opacity="0.400000"/>
          <v:textpath style="font-family:&quot;SimSun&quot;;font-size:20;v-text-kern:t;mso-text-shadow:auto" string="仅供内部审核"/>
        </v:shape>
      </w:pict>
    </w:r>
    <w:r>
      <w:pict>
        <v:shape id="PowerPlusWaterMarkObject538" style="position:absolute;margin-left:391.92pt;margin-top:776.106pt;mso-position-vertical-relative:page;mso-position-horizontal-relative:page;width:119.4pt;height:18.85pt;z-index:-251413504;rotation:330;" o:allowincell="f" fillcolor="#404040" filled="true" stroked="false" type="#_x0000_t136">
          <v:fill opacity="0.400000"/>
          <v:textpath style="font-family:&quot;SimSun&quot;;font-size:20;v-text-kern:t;mso-text-shadow:auto" string="仅供内部审核"/>
        </v:shape>
      </w:pict>
    </w:r>
    <w:r>
      <w:pict>
        <v:shape id="_x0000_s540" style="position:absolute;margin-left:30pt;margin-top:29.5pt;mso-position-vertical-relative:page;mso-position-horizontal-relative:page;width:535pt;height:1pt;z-index:-25141145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兴县蔚汾镇卫生院2025年单位预算公开报告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491.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兴县蔚汾镇卫生院2025年单位预算公开报告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兴县蔚汾镇卫生院2025年单位预算公开报告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6" style="position:absolute;margin-left:-13.08pt;margin-top:28.7633pt;mso-position-vertical-relative:text;mso-position-horizontal-relative:text;width:119.4pt;height:18.85pt;z-index:-251608064;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312.92pt;margin-top:45.1055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86.92pt;margin-top:287.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638.92pt;margin-top:45.1055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45.0434pt;margin-top:406.395pt;mso-position-vertical-relative:page;mso-position-horizontal-relative:page;width:609.35pt;height:22.25pt;z-index:-25161523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96" style="position:absolute;margin-left:280.957pt;margin-top:406.395pt;mso-position-vertical-relative:page;mso-position-horizontal-relative:page;width:609.35pt;height:22.25pt;z-index:-25161420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98" style="position:absolute;margin-left:638.92pt;margin-top:529.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_x0000_s100" style="position:absolute;margin-left:30pt;margin-top:29.5pt;mso-position-vertical-relative:page;mso-position-horizontal-relative:page;width:782pt;height:1pt;z-index:-251611136;"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兴县蔚汾镇卫生院2025年单位预算公开报告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2" style="position:absolute;margin-left:86.92pt;margin-top:27.7633pt;mso-position-vertical-relative:text;mso-position-horizontal-relative:text;width:119.4pt;height:18.85pt;z-index:-251598848;rotation:330;" fillcolor="#404040" filled="true" stroked="false" type="#_x0000_t136">
          <v:fill opacity="0.400000"/>
          <v:textpath style="font-family:&quot;SimSun&quot;;font-size:20;v-text-kern:t;mso-text-shadow:auto" string="仅供内部审核"/>
        </v:shape>
      </w:pict>
    </w:r>
    <w:r>
      <w:pict>
        <v:shape id="PowerPlusWaterMarkObject104" style="position:absolute;margin-left:491.92pt;margin-top:44.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06" style="position:absolute;margin-left:-13.08pt;margin-top:288.10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WordPictureWatermark108" style="position:absolute;margin-left:395.367pt;margin-top:259.52pt;mso-position-vertical-relative:page;mso-position-horizontal-relative:page;width:112.65pt;height:75.9pt;z-index:-251606016;" o:allowincell="f" filled="false" stroked="false" type="#_x0000_t75">
          <v:imagedata o:title="" r:id="rId1"/>
        </v:shape>
      </w:pict>
    </w:r>
    <w:r>
      <w:pict>
        <v:shape id="PowerPlusWaterMarkObject110" style="position:absolute;margin-left:86.92pt;margin-top:532.106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491.92pt;margin-top:532.106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13.08pt;margin-top:776.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391.92pt;margin-top:776.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18" style="position:absolute;margin-left:30pt;margin-top:29.5pt;mso-position-vertical-relative:page;mso-position-horizontal-relative:page;width:535pt;height:1pt;z-index:-25160089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兴县蔚汾镇卫生院2025年单位预算公开报告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0" style="position:absolute;margin-left:86.92pt;margin-top:27.7633pt;mso-position-vertical-relative:text;mso-position-horizontal-relative:text;width:119.4pt;height:18.85pt;z-index:-251587584;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493.62pt;margin-top:72.8103pt;mso-position-vertical-relative:page;mso-position-horizontal-relative:page;width:32.1pt;height:7.2pt;z-index:-251588608;" o:allowincell="f" fillcolor="#212529" filled="true" stroked="false" type="#_x0000_t136">
          <v:textpath style="font-family:&quot;SimSun&quot;;font-size:7;v-text-kern:t;mso-text-shadow:auto" string="算公开表4"/>
        </v:shape>
      </w:pict>
    </w:r>
    <w:r>
      <w:pict>
        <v:shape id="PowerPlusWaterMarkObject124" style="position:absolute;margin-left:491.92pt;margin-top:44.1055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405.515pt;margin-top:325.754pt;mso-position-vertical-relative:page;mso-position-horizontal-relative:page;width:7.55pt;height:7.9pt;z-index:-251594752;" o:allowincell="f" fillcolor="#212529" filled="true" stroked="false" type="#_x0000_t136">
          <v:textpath style="font-family:&quot;SimSun&quot;;font-size:7.5;v-text-kern:t;mso-text-shadow:auto" string="74"/>
        </v:shape>
      </w:pict>
    </w:r>
    <w:r>
      <w:pict>
        <v:shape id="PowerPlusWaterMarkObject128" style="position:absolute;margin-left:-13.08pt;margin-top:288.105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391.92pt;margin-top:288.105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86.92pt;margin-top:532.106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491.92pt;margin-top:532.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13.08pt;margin-top:776.106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391.92pt;margin-top:776.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_x0000_s140" style="position:absolute;margin-left:30pt;margin-top:29.5pt;mso-position-vertical-relative:page;mso-position-horizontal-relative:page;width:535pt;height:1pt;z-index:-25159065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兴县蔚汾镇卫生院2025年单位预算公开报告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42" style="position:absolute;margin-left:94.1286pt;margin-top:66.2782pt;mso-position-vertical-relative:page;mso-position-horizontal-relative:page;width:40.05pt;height:7.9pt;z-index:-251580416;" o:allowincell="f" fillcolor="#212529" filled="true" stroked="false" type="#_x0000_t136">
          <v:textpath style="font-family:&quot;SimSun&quot;;font-size:7.5;v-text-kern:t;mso-text-shadow:auto" string="政拨款结转"/>
        </v:shape>
      </w:pict>
    </w:r>
    <w:r>
      <w:pict>
        <v:shape id="PowerPlusWaterMarkObject144" style="position:absolute;margin-left:86.92pt;margin-top:27.7633pt;mso-position-vertical-relative:text;mso-position-horizontal-relative:text;width:119.4pt;height:18.85pt;z-index:-251577344;rotation:330;" fillcolor="#404040" filled="true" stroked="false" type="#_x0000_t136">
          <v:fill opacity="0.400000"/>
          <v:textpath style="font-family:&quot;SimSun&quot;;font-size:20;v-text-kern:t;mso-text-shadow:auto" string="仅供内部审核"/>
        </v:shape>
      </w:pict>
    </w:r>
    <w:r>
      <w:pict>
        <v:shape id="PowerPlusWaterMarkObject146" style="position:absolute;margin-left:-13.08pt;margin-top:288.10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491.92pt;margin-top:44.1055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391.92pt;margin-top:288.105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86.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13.08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491.92pt;margin-top:532.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58" style="position:absolute;margin-left:391.92pt;margin-top:776.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_x0000_s160" style="position:absolute;margin-left:30pt;margin-top:29.5pt;mso-position-vertical-relative:page;mso-position-horizontal-relative:page;width:535pt;height:1pt;z-index:-25157939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1" Type="http://schemas.openxmlformats.org/officeDocument/2006/relationships/fontTable" Target="fontTable.xml"/><Relationship Id="rId70" Type="http://schemas.openxmlformats.org/officeDocument/2006/relationships/styles" Target="styles.xml"/><Relationship Id="rId7" Type="http://schemas.openxmlformats.org/officeDocument/2006/relationships/header" Target="header5.xml"/><Relationship Id="rId69" Type="http://schemas.openxmlformats.org/officeDocument/2006/relationships/settings" Target="settings.xml"/><Relationship Id="rId68" Type="http://schemas.openxmlformats.org/officeDocument/2006/relationships/footer" Target="footer30.xml"/><Relationship Id="rId67" Type="http://schemas.openxmlformats.org/officeDocument/2006/relationships/header" Target="header24.xml"/><Relationship Id="rId66" Type="http://schemas.openxmlformats.org/officeDocument/2006/relationships/image" Target="media/image15.png"/><Relationship Id="rId65" Type="http://schemas.openxmlformats.org/officeDocument/2006/relationships/footer" Target="footer29.xml"/><Relationship Id="rId64" Type="http://schemas.openxmlformats.org/officeDocument/2006/relationships/header" Target="header23.xml"/><Relationship Id="rId63" Type="http://schemas.openxmlformats.org/officeDocument/2006/relationships/image" Target="media/image14.png"/><Relationship Id="rId62" Type="http://schemas.openxmlformats.org/officeDocument/2006/relationships/footer" Target="footer28.xml"/><Relationship Id="rId61" Type="http://schemas.openxmlformats.org/officeDocument/2006/relationships/image" Target="media/image13.png"/><Relationship Id="rId60" Type="http://schemas.openxmlformats.org/officeDocument/2006/relationships/footer" Target="footer27.xml"/><Relationship Id="rId6" Type="http://schemas.openxmlformats.org/officeDocument/2006/relationships/footer" Target="footer1.xml"/><Relationship Id="rId59" Type="http://schemas.openxmlformats.org/officeDocument/2006/relationships/header" Target="header22.xml"/><Relationship Id="rId58" Type="http://schemas.openxmlformats.org/officeDocument/2006/relationships/image" Target="media/image12.png"/><Relationship Id="rId57" Type="http://schemas.openxmlformats.org/officeDocument/2006/relationships/footer" Target="footer26.xml"/><Relationship Id="rId56" Type="http://schemas.openxmlformats.org/officeDocument/2006/relationships/footer" Target="footer25.xml"/><Relationship Id="rId55" Type="http://schemas.openxmlformats.org/officeDocument/2006/relationships/header" Target="header21.xml"/><Relationship Id="rId54" Type="http://schemas.openxmlformats.org/officeDocument/2006/relationships/image" Target="media/image11.png"/><Relationship Id="rId53" Type="http://schemas.openxmlformats.org/officeDocument/2006/relationships/footer" Target="footer24.xml"/><Relationship Id="rId52" Type="http://schemas.openxmlformats.org/officeDocument/2006/relationships/image" Target="media/image10.png"/><Relationship Id="rId51" Type="http://schemas.openxmlformats.org/officeDocument/2006/relationships/footer" Target="footer23.xml"/><Relationship Id="rId50" Type="http://schemas.openxmlformats.org/officeDocument/2006/relationships/image" Target="media/image9.png"/><Relationship Id="rId5" Type="http://schemas.openxmlformats.org/officeDocument/2006/relationships/header" Target="header4.xml"/><Relationship Id="rId49" Type="http://schemas.openxmlformats.org/officeDocument/2006/relationships/footer" Target="footer22.xml"/><Relationship Id="rId48" Type="http://schemas.openxmlformats.org/officeDocument/2006/relationships/image" Target="media/image8.png"/><Relationship Id="rId47" Type="http://schemas.openxmlformats.org/officeDocument/2006/relationships/footer" Target="footer21.xml"/><Relationship Id="rId46" Type="http://schemas.openxmlformats.org/officeDocument/2006/relationships/image" Target="media/image7.png"/><Relationship Id="rId45" Type="http://schemas.openxmlformats.org/officeDocument/2006/relationships/footer" Target="footer20.xml"/><Relationship Id="rId44" Type="http://schemas.openxmlformats.org/officeDocument/2006/relationships/image" Target="media/image6.png"/><Relationship Id="rId43" Type="http://schemas.openxmlformats.org/officeDocument/2006/relationships/footer" Target="footer19.xml"/><Relationship Id="rId42" Type="http://schemas.openxmlformats.org/officeDocument/2006/relationships/image" Target="media/image5.png"/><Relationship Id="rId41" Type="http://schemas.openxmlformats.org/officeDocument/2006/relationships/footer" Target="footer18.xml"/><Relationship Id="rId40" Type="http://schemas.openxmlformats.org/officeDocument/2006/relationships/header" Target="header20.xml"/><Relationship Id="rId4" Type="http://schemas.openxmlformats.org/officeDocument/2006/relationships/header" Target="header3.xml"/><Relationship Id="rId39" Type="http://schemas.openxmlformats.org/officeDocument/2006/relationships/image" Target="media/image4.png"/><Relationship Id="rId38" Type="http://schemas.openxmlformats.org/officeDocument/2006/relationships/footer" Target="footer17.xml"/><Relationship Id="rId37" Type="http://schemas.openxmlformats.org/officeDocument/2006/relationships/header" Target="header19.xml"/><Relationship Id="rId36" Type="http://schemas.openxmlformats.org/officeDocument/2006/relationships/image" Target="media/image3.png"/><Relationship Id="rId35" Type="http://schemas.openxmlformats.org/officeDocument/2006/relationships/footer" Target="footer16.xml"/><Relationship Id="rId34" Type="http://schemas.openxmlformats.org/officeDocument/2006/relationships/header" Target="header18.xml"/><Relationship Id="rId33" Type="http://schemas.openxmlformats.org/officeDocument/2006/relationships/footer" Target="footer15.xml"/><Relationship Id="rId32" Type="http://schemas.openxmlformats.org/officeDocument/2006/relationships/header" Target="header17.xml"/><Relationship Id="rId31" Type="http://schemas.openxmlformats.org/officeDocument/2006/relationships/footer" Target="footer14.xml"/><Relationship Id="rId30" Type="http://schemas.openxmlformats.org/officeDocument/2006/relationships/header" Target="header16.xml"/><Relationship Id="rId3" Type="http://schemas.openxmlformats.org/officeDocument/2006/relationships/image" Target="media/image1.png"/><Relationship Id="rId29" Type="http://schemas.openxmlformats.org/officeDocument/2006/relationships/footer" Target="footer13.xml"/><Relationship Id="rId28" Type="http://schemas.openxmlformats.org/officeDocument/2006/relationships/header" Target="header15.xml"/><Relationship Id="rId27" Type="http://schemas.openxmlformats.org/officeDocument/2006/relationships/footer" Target="footer12.xml"/><Relationship Id="rId26" Type="http://schemas.openxmlformats.org/officeDocument/2006/relationships/header" Target="header14.xml"/><Relationship Id="rId25" Type="http://schemas.openxmlformats.org/officeDocument/2006/relationships/footer" Target="footer11.xml"/><Relationship Id="rId24" Type="http://schemas.openxmlformats.org/officeDocument/2006/relationships/header" Target="header13.xml"/><Relationship Id="rId23" Type="http://schemas.openxmlformats.org/officeDocument/2006/relationships/footer" Target="footer10.xml"/><Relationship Id="rId22" Type="http://schemas.openxmlformats.org/officeDocument/2006/relationships/header" Target="header12.xml"/><Relationship Id="rId21" Type="http://schemas.openxmlformats.org/officeDocument/2006/relationships/footer" Target="footer9.xml"/><Relationship Id="rId20" Type="http://schemas.openxmlformats.org/officeDocument/2006/relationships/header" Target="header11.xml"/><Relationship Id="rId2" Type="http://schemas.openxmlformats.org/officeDocument/2006/relationships/header" Target="header2.xml"/><Relationship Id="rId19" Type="http://schemas.openxmlformats.org/officeDocument/2006/relationships/footer" Target="footer8.xml"/><Relationship Id="rId18" Type="http://schemas.openxmlformats.org/officeDocument/2006/relationships/header" Target="header10.xml"/><Relationship Id="rId17" Type="http://schemas.openxmlformats.org/officeDocument/2006/relationships/footer" Target="footer7.xml"/><Relationship Id="rId16" Type="http://schemas.openxmlformats.org/officeDocument/2006/relationships/header" Target="header9.xml"/><Relationship Id="rId15" Type="http://schemas.openxmlformats.org/officeDocument/2006/relationships/footer" Target="footer6.xml"/><Relationship Id="rId14" Type="http://schemas.openxmlformats.org/officeDocument/2006/relationships/header" Target="header8.xml"/><Relationship Id="rId13" Type="http://schemas.openxmlformats.org/officeDocument/2006/relationships/footer" Target="footer5.xml"/><Relationship Id="rId12" Type="http://schemas.openxmlformats.org/officeDocument/2006/relationships/header" Target="header7.xml"/><Relationship Id="rId11" Type="http://schemas.openxmlformats.org/officeDocument/2006/relationships/footer" Target="footer4.xml"/><Relationship Id="rId10" Type="http://schemas.openxmlformats.org/officeDocument/2006/relationships/header" Target="header6.xml"/><Relationship Id="rId1" Type="http://schemas.openxmlformats.org/officeDocument/2006/relationships/header" Target="header1.xml"/></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2025-09-25T18:25:48Z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2025-09-29T11:42:11</vt:filetime>
  </property>
</Properties>
</file>