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3002"/>
        <w:spacing w:before="140" w:line="219" w:lineRule="auto"/>
        <w:rPr>
          <w:rFonts w:ascii="SimSun" w:hAnsi="SimSun" w:eastAsia="SimSun" w:cs="SimSun"/>
          <w:sz w:val="43"/>
          <w:szCs w:val="43"/>
        </w:rPr>
      </w:pPr>
      <w:r>
        <w:rPr>
          <w:rFonts w:ascii="SimSun" w:hAnsi="SimSun" w:eastAsia="SimSun" w:cs="SimSun"/>
          <w:sz w:val="43"/>
          <w:szCs w:val="43"/>
          <w:spacing w:val="102"/>
        </w:rPr>
        <w:t>兴县蔡家会镇中心卫生院</w:t>
      </w:r>
    </w:p>
    <w:p>
      <w:pPr>
        <w:pStyle w:val="BodyText"/>
        <w:spacing w:line="378" w:lineRule="auto"/>
        <w:rPr/>
      </w:pPr>
      <w:r/>
    </w:p>
    <w:p>
      <w:pPr>
        <w:ind w:left="3079"/>
        <w:spacing w:before="139" w:line="583" w:lineRule="exact"/>
        <w:rPr>
          <w:rFonts w:ascii="SimSun" w:hAnsi="SimSun" w:eastAsia="SimSun" w:cs="SimSun"/>
          <w:sz w:val="43"/>
          <w:szCs w:val="43"/>
        </w:rPr>
      </w:pPr>
      <w:r>
        <w:rPr>
          <w:rFonts w:ascii="SimSun" w:hAnsi="SimSun" w:eastAsia="SimSun" w:cs="SimSun"/>
          <w:sz w:val="43"/>
          <w:szCs w:val="43"/>
          <w:spacing w:val="7"/>
          <w:position w:val="2"/>
        </w:rPr>
        <w:t>2</w:t>
      </w:r>
      <w:r>
        <w:rPr>
          <w:rFonts w:ascii="SimSun" w:hAnsi="SimSun" w:eastAsia="SimSun" w:cs="SimSun"/>
          <w:sz w:val="43"/>
          <w:szCs w:val="43"/>
          <w:spacing w:val="-88"/>
          <w:position w:val="2"/>
        </w:rPr>
        <w:t xml:space="preserve"> </w:t>
      </w:r>
      <w:r>
        <w:rPr>
          <w:rFonts w:ascii="SimSun" w:hAnsi="SimSun" w:eastAsia="SimSun" w:cs="SimSun"/>
          <w:sz w:val="43"/>
          <w:szCs w:val="43"/>
          <w:spacing w:val="7"/>
          <w:position w:val="2"/>
        </w:rPr>
        <w:t>0</w:t>
      </w:r>
      <w:r>
        <w:rPr>
          <w:rFonts w:ascii="SimSun" w:hAnsi="SimSun" w:eastAsia="SimSun" w:cs="SimSun"/>
          <w:sz w:val="43"/>
          <w:szCs w:val="43"/>
          <w:spacing w:val="-93"/>
          <w:position w:val="2"/>
        </w:rPr>
        <w:t xml:space="preserve"> </w:t>
      </w:r>
      <w:r>
        <w:rPr>
          <w:rFonts w:ascii="SimSun" w:hAnsi="SimSun" w:eastAsia="SimSun" w:cs="SimSun"/>
          <w:sz w:val="43"/>
          <w:szCs w:val="43"/>
          <w:spacing w:val="7"/>
          <w:position w:val="2"/>
        </w:rPr>
        <w:t>2</w:t>
      </w:r>
      <w:r>
        <w:rPr>
          <w:rFonts w:ascii="SimSun" w:hAnsi="SimSun" w:eastAsia="SimSun" w:cs="SimSun"/>
          <w:sz w:val="43"/>
          <w:szCs w:val="43"/>
          <w:spacing w:val="-77"/>
          <w:position w:val="2"/>
        </w:rPr>
        <w:t xml:space="preserve"> </w:t>
      </w:r>
      <w:r>
        <w:rPr>
          <w:rFonts w:ascii="SimSun" w:hAnsi="SimSun" w:eastAsia="SimSun" w:cs="SimSun"/>
          <w:sz w:val="43"/>
          <w:szCs w:val="43"/>
          <w:spacing w:val="7"/>
          <w:position w:val="2"/>
        </w:rPr>
        <w:t>5</w:t>
      </w:r>
      <w:r>
        <w:rPr>
          <w:rFonts w:ascii="SimSun" w:hAnsi="SimSun" w:eastAsia="SimSun" w:cs="SimSun"/>
          <w:sz w:val="43"/>
          <w:szCs w:val="43"/>
          <w:spacing w:val="-98"/>
          <w:position w:val="2"/>
        </w:rPr>
        <w:t xml:space="preserve"> </w:t>
      </w:r>
      <w:r>
        <w:rPr>
          <w:rFonts w:ascii="SimSun" w:hAnsi="SimSun" w:eastAsia="SimSun" w:cs="SimSun"/>
          <w:sz w:val="43"/>
          <w:szCs w:val="43"/>
          <w:spacing w:val="7"/>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7"/>
          <w:position w:val="2"/>
        </w:rPr>
        <w:t>度</w:t>
      </w:r>
      <w:r>
        <w:rPr>
          <w:rFonts w:ascii="SimSun" w:hAnsi="SimSun" w:eastAsia="SimSun" w:cs="SimSun"/>
          <w:sz w:val="43"/>
          <w:szCs w:val="43"/>
          <w:spacing w:val="-95"/>
          <w:position w:val="2"/>
        </w:rPr>
        <w:t xml:space="preserve"> </w:t>
      </w:r>
      <w:r>
        <w:rPr>
          <w:rFonts w:ascii="SimSun" w:hAnsi="SimSun" w:eastAsia="SimSun" w:cs="SimSun"/>
          <w:sz w:val="43"/>
          <w:szCs w:val="43"/>
          <w:spacing w:val="7"/>
          <w:position w:val="2"/>
        </w:rPr>
        <w:t>单</w:t>
      </w:r>
      <w:r>
        <w:rPr>
          <w:rFonts w:ascii="SimSun" w:hAnsi="SimSun" w:eastAsia="SimSun" w:cs="SimSun"/>
          <w:sz w:val="43"/>
          <w:szCs w:val="43"/>
          <w:spacing w:val="-104"/>
          <w:position w:val="2"/>
        </w:rPr>
        <w:t xml:space="preserve"> </w:t>
      </w:r>
      <w:r>
        <w:rPr>
          <w:rFonts w:ascii="SimSun" w:hAnsi="SimSun" w:eastAsia="SimSun" w:cs="SimSun"/>
          <w:sz w:val="43"/>
          <w:szCs w:val="43"/>
          <w:spacing w:val="7"/>
          <w:position w:val="2"/>
        </w:rPr>
        <w:t>位</w:t>
      </w:r>
      <w:r>
        <w:rPr>
          <w:rFonts w:ascii="SimSun" w:hAnsi="SimSun" w:eastAsia="SimSun" w:cs="SimSun"/>
          <w:sz w:val="43"/>
          <w:szCs w:val="43"/>
          <w:spacing w:val="-108"/>
          <w:position w:val="2"/>
        </w:rPr>
        <w:t xml:space="preserve"> </w:t>
      </w:r>
      <w:r>
        <w:rPr>
          <w:rFonts w:ascii="SimSun" w:hAnsi="SimSun" w:eastAsia="SimSun" w:cs="SimSun"/>
          <w:sz w:val="43"/>
          <w:szCs w:val="43"/>
          <w:spacing w:val="7"/>
          <w:position w:val="2"/>
        </w:rPr>
        <w:t>预</w:t>
      </w:r>
      <w:r>
        <w:rPr>
          <w:rFonts w:ascii="SimSun" w:hAnsi="SimSun" w:eastAsia="SimSun" w:cs="SimSun"/>
          <w:sz w:val="43"/>
          <w:szCs w:val="43"/>
          <w:spacing w:val="-94"/>
          <w:position w:val="2"/>
        </w:rPr>
        <w:t xml:space="preserve"> </w:t>
      </w:r>
      <w:r>
        <w:rPr>
          <w:rFonts w:ascii="SimSun" w:hAnsi="SimSun" w:eastAsia="SimSun" w:cs="SimSun"/>
          <w:sz w:val="43"/>
          <w:szCs w:val="43"/>
          <w:spacing w:val="7"/>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7"/>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7"/>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1"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8"/>
              </w:rPr>
              <w:t xml:space="preserve"> </w:t>
            </w:r>
            <w:r>
              <w:rPr>
                <w:rFonts w:ascii="FangSong" w:hAnsi="FangSong" w:eastAsia="FangSong" w:cs="FangSong"/>
                <w:sz w:val="32"/>
                <w:szCs w:val="32"/>
              </w:rPr>
              <w:t>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2"/>
              </w:rPr>
              <w:t xml:space="preserve"> </w:t>
            </w:r>
            <w:r>
              <w:rPr>
                <w:rFonts w:ascii="FangSong" w:hAnsi="FangSong" w:eastAsia="FangSong" w:cs="FangSong"/>
                <w:sz w:val="32"/>
                <w:szCs w:val="32"/>
              </w:rPr>
              <w:t>6</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8</w:t>
            </w:r>
          </w:hyperlink>
        </w:p>
        <w:p>
          <w:pPr>
            <w:ind w:left="1983"/>
            <w:spacing w:before="120"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7"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7"/>
              </w:rPr>
              <w:t>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10</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sdtContent>
    </w:sdt>
    <w:p>
      <w:pPr>
        <w:ind w:left="1354" w:right="1339" w:firstLine="628"/>
        <w:spacing w:before="122"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12</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12</w:t>
            </w:r>
          </w:hyperlink>
        </w:p>
        <w:p>
          <w:pPr>
            <w:ind w:left="1983"/>
            <w:spacing w:before="116" w:line="221"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13</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14</w:t>
            </w:r>
          </w:hyperlink>
        </w:p>
        <w:p>
          <w:pPr>
            <w:ind w:left="1983"/>
            <w:spacing w:before="116" w:line="219"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354"/>
            <w:spacing w:before="120" w:line="221"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16</w:t>
            </w:r>
          </w:hyperlink>
        </w:p>
        <w:p>
          <w:pPr>
            <w:ind w:left="1986"/>
            <w:spacing w:before="117" w:line="221"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16</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438"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3"/>
              </w:rPr>
              <w:t>25</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25</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25</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25</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b/>
                <w:bCs/>
                <w:spacing w:val="-8"/>
              </w:rPr>
              <w:t>30</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51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15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一、本单位职责</w:t>
      </w:r>
    </w:p>
    <w:p>
      <w:pPr>
        <w:ind w:left="1526"/>
        <w:spacing w:before="283" w:line="222" w:lineRule="auto"/>
        <w:rPr>
          <w:rFonts w:ascii="FangSong" w:hAnsi="FangSong" w:eastAsia="FangSong" w:cs="FangSong"/>
          <w:sz w:val="24"/>
          <w:szCs w:val="24"/>
        </w:rPr>
      </w:pPr>
      <w:r>
        <w:rPr>
          <w:rFonts w:ascii="FangSong" w:hAnsi="FangSong" w:eastAsia="FangSong" w:cs="FangSong"/>
          <w:sz w:val="24"/>
          <w:szCs w:val="24"/>
          <w:spacing w:val="-2"/>
        </w:rPr>
        <w:t>1、提供基本医疗服务，以常见病、多发病的诊疗、护理、康复等综合服务为主。</w:t>
      </w:r>
    </w:p>
    <w:p>
      <w:pPr>
        <w:ind w:left="1522" w:right="1475" w:hanging="11"/>
        <w:spacing w:before="115" w:line="267" w:lineRule="auto"/>
        <w:rPr>
          <w:rFonts w:ascii="FangSong" w:hAnsi="FangSong" w:eastAsia="FangSong" w:cs="FangSong"/>
          <w:sz w:val="24"/>
          <w:szCs w:val="24"/>
        </w:rPr>
      </w:pPr>
      <w:r>
        <w:rPr>
          <w:rFonts w:ascii="FangSong" w:hAnsi="FangSong" w:eastAsia="FangSong" w:cs="FangSong"/>
          <w:sz w:val="24"/>
          <w:szCs w:val="24"/>
          <w:spacing w:val="4"/>
        </w:rPr>
        <w:t>2、提供基本公共卫生服务，承担辖区内的公共卫生管理工作，负责对村卫生室的综</w:t>
      </w:r>
      <w:r>
        <w:rPr>
          <w:rFonts w:ascii="FangSong" w:hAnsi="FangSong" w:eastAsia="FangSong" w:cs="FangSong"/>
          <w:sz w:val="24"/>
          <w:szCs w:val="24"/>
          <w:spacing w:val="4"/>
        </w:rPr>
        <w:t xml:space="preserve"> </w:t>
      </w:r>
      <w:r>
        <w:rPr>
          <w:rFonts w:ascii="FangSong" w:hAnsi="FangSong" w:eastAsia="FangSong" w:cs="FangSong"/>
          <w:sz w:val="24"/>
          <w:szCs w:val="24"/>
          <w:spacing w:val="-4"/>
        </w:rPr>
        <w:t>合管理、技术指导的乡医的培训等。</w:t>
      </w:r>
    </w:p>
    <w:p>
      <w:pPr>
        <w:ind w:left="1517" w:right="1475" w:hanging="4"/>
        <w:spacing w:before="102" w:line="272" w:lineRule="auto"/>
        <w:rPr>
          <w:rFonts w:ascii="FangSong" w:hAnsi="FangSong" w:eastAsia="FangSong" w:cs="FangSong"/>
          <w:sz w:val="24"/>
          <w:szCs w:val="24"/>
        </w:rPr>
      </w:pPr>
      <w:r>
        <w:rPr>
          <w:rFonts w:ascii="FangSong" w:hAnsi="FangSong" w:eastAsia="FangSong" w:cs="FangSong"/>
          <w:sz w:val="24"/>
          <w:szCs w:val="24"/>
          <w:spacing w:val="4"/>
        </w:rPr>
        <w:t>3、实施国家基本药物制度和新型农村合作医疗制度，推行分级诊疗和乡村一体化管</w:t>
      </w:r>
      <w:r>
        <w:rPr>
          <w:rFonts w:ascii="FangSong" w:hAnsi="FangSong" w:eastAsia="FangSong" w:cs="FangSong"/>
          <w:sz w:val="24"/>
          <w:szCs w:val="24"/>
          <w:spacing w:val="2"/>
        </w:rPr>
        <w:t xml:space="preserve"> </w:t>
      </w:r>
      <w:r>
        <w:rPr>
          <w:rFonts w:ascii="FangSong" w:hAnsi="FangSong" w:eastAsia="FangSong" w:cs="FangSong"/>
          <w:sz w:val="24"/>
          <w:szCs w:val="24"/>
          <w:spacing w:val="-13"/>
        </w:rPr>
        <w:t>理。</w:t>
      </w:r>
    </w:p>
    <w:p>
      <w:pPr>
        <w:ind w:left="1513"/>
        <w:spacing w:before="281"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1519" w:right="1474" w:firstLine="1"/>
        <w:spacing w:before="101" w:line="308" w:lineRule="auto"/>
        <w:jc w:val="both"/>
        <w:rPr>
          <w:rFonts w:ascii="FangSong" w:hAnsi="FangSong" w:eastAsia="FangSong" w:cs="FangSong"/>
          <w:sz w:val="24"/>
          <w:szCs w:val="24"/>
        </w:rPr>
      </w:pPr>
      <w:r>
        <w:rPr>
          <w:rFonts w:ascii="FangSong" w:hAnsi="FangSong" w:eastAsia="FangSong" w:cs="FangSong"/>
          <w:sz w:val="24"/>
          <w:szCs w:val="24"/>
          <w:spacing w:val="7"/>
        </w:rPr>
        <w:t>兴县蔡家会镇中心卫生院人员情况：有在职人数12人，专业技术人员9人其</w:t>
      </w:r>
      <w:r>
        <w:rPr>
          <w:rFonts w:ascii="FangSong" w:hAnsi="FangSong" w:eastAsia="FangSong" w:cs="FangSong"/>
          <w:sz w:val="24"/>
          <w:szCs w:val="24"/>
          <w:spacing w:val="6"/>
        </w:rPr>
        <w:t>中中级3</w:t>
      </w:r>
      <w:r>
        <w:rPr>
          <w:rFonts w:ascii="FangSong" w:hAnsi="FangSong" w:eastAsia="FangSong" w:cs="FangSong"/>
          <w:sz w:val="24"/>
          <w:szCs w:val="24"/>
        </w:rPr>
        <w:t xml:space="preserve"> </w:t>
      </w:r>
      <w:r>
        <w:rPr>
          <w:rFonts w:ascii="FangSong" w:hAnsi="FangSong" w:eastAsia="FangSong" w:cs="FangSong"/>
          <w:sz w:val="24"/>
          <w:szCs w:val="24"/>
          <w:spacing w:val="2"/>
        </w:rPr>
        <w:t>人，助理级5人，员级1人；工人3人，其中高工2人，</w:t>
      </w:r>
      <w:r>
        <w:rPr>
          <w:rFonts w:ascii="FangSong" w:hAnsi="FangSong" w:eastAsia="FangSong" w:cs="FangSong"/>
          <w:sz w:val="24"/>
          <w:szCs w:val="24"/>
          <w:spacing w:val="-54"/>
        </w:rPr>
        <w:t xml:space="preserve"> </w:t>
      </w:r>
      <w:r>
        <w:rPr>
          <w:rFonts w:ascii="FangSong" w:hAnsi="FangSong" w:eastAsia="FangSong" w:cs="FangSong"/>
          <w:sz w:val="24"/>
          <w:szCs w:val="24"/>
          <w:spacing w:val="2"/>
        </w:rPr>
        <w:t>中工1人；兴县蔡家会镇中心卫</w:t>
      </w:r>
      <w:r>
        <w:rPr>
          <w:rFonts w:ascii="FangSong" w:hAnsi="FangSong" w:eastAsia="FangSong" w:cs="FangSong"/>
          <w:sz w:val="24"/>
          <w:szCs w:val="24"/>
        </w:rPr>
        <w:t xml:space="preserve"> </w:t>
      </w:r>
      <w:r>
        <w:rPr>
          <w:rFonts w:ascii="FangSong" w:hAnsi="FangSong" w:eastAsia="FangSong" w:cs="FangSong"/>
          <w:sz w:val="24"/>
          <w:szCs w:val="24"/>
          <w:spacing w:val="1"/>
        </w:rPr>
        <w:t>生院单位内设10个职能科室，无二级机构，职能科室</w:t>
      </w:r>
      <w:r>
        <w:rPr>
          <w:rFonts w:ascii="FangSong" w:hAnsi="FangSong" w:eastAsia="FangSong" w:cs="FangSong"/>
          <w:sz w:val="24"/>
          <w:szCs w:val="24"/>
        </w:rPr>
        <w:t>分别是：内科、外科、儿科、理</w:t>
      </w:r>
      <w:r>
        <w:rPr>
          <w:rFonts w:ascii="FangSong" w:hAnsi="FangSong" w:eastAsia="FangSong" w:cs="FangSong"/>
          <w:sz w:val="24"/>
          <w:szCs w:val="24"/>
        </w:rPr>
        <w:t xml:space="preserve"> </w:t>
      </w:r>
      <w:r>
        <w:rPr>
          <w:rFonts w:ascii="FangSong" w:hAnsi="FangSong" w:eastAsia="FangSong" w:cs="FangSong"/>
          <w:sz w:val="24"/>
          <w:szCs w:val="24"/>
          <w:spacing w:val="-3"/>
        </w:rPr>
        <w:t>疗科、公卫科、医技科、医保科、财务科、办公室。</w:t>
      </w:r>
    </w:p>
    <w:p>
      <w:pPr>
        <w:spacing w:line="308" w:lineRule="auto"/>
        <w:sectPr>
          <w:headerReference w:type="default" r:id="rId5"/>
          <w:footerReference w:type="default" r:id="rId6"/>
          <w:pgSz w:w="11900" w:h="16840"/>
          <w:pgMar w:top="642" w:right="0" w:bottom="340" w:left="0" w:header="326" w:footer="110" w:gutter="0"/>
        </w:sectPr>
        <w:rPr>
          <w:rFonts w:ascii="FangSong" w:hAnsi="FangSong" w:eastAsia="FangSong" w:cs="FangSong"/>
          <w:sz w:val="24"/>
          <w:szCs w:val="24"/>
        </w:rPr>
      </w:pPr>
    </w:p>
    <w:p>
      <w:pPr>
        <w:pStyle w:val="BodyText"/>
        <w:spacing w:line="303" w:lineRule="auto"/>
        <w:rPr/>
      </w:pPr>
      <w:r/>
    </w:p>
    <w:p>
      <w:pPr>
        <w:pStyle w:val="BodyText"/>
        <w:spacing w:line="303" w:lineRule="auto"/>
        <w:rPr/>
      </w:pPr>
      <w:r/>
    </w:p>
    <w:p>
      <w:pPr>
        <w:ind w:left="4347"/>
        <w:spacing w:before="98" w:line="238" w:lineRule="exact"/>
        <w:outlineLvl w:val="0"/>
        <w:rPr>
          <w:rFonts w:ascii="Microsoft YaHei" w:hAnsi="Microsoft YaHei" w:eastAsia="Microsoft YaHei" w:cs="Microsoft YaHei"/>
          <w:sz w:val="23"/>
          <w:szCs w:val="23"/>
        </w:rPr>
      </w:pPr>
      <w:bookmarkStart w:name="bookmark36" w:id="6"/>
      <w:bookmarkEnd w:id="6"/>
      <w:bookmarkStart w:name="bookmark5" w:id="7"/>
      <w:bookmarkEnd w:id="7"/>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2025年单位预算报表</w:t>
      </w:r>
    </w:p>
    <w:p>
      <w:pPr>
        <w:spacing w:before="23"/>
        <w:rPr/>
      </w:pPr>
      <w:r/>
    </w:p>
    <w:p>
      <w:pPr>
        <w:spacing w:before="22"/>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2"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8"/>
            <w:bookmarkEnd w:id="8"/>
            <w:r>
              <w:rPr>
                <w:rFonts w:ascii="Microsoft YaHei" w:hAnsi="Microsoft YaHei" w:eastAsia="Microsoft YaHei" w:cs="Microsoft YaHei"/>
                <w:sz w:val="23"/>
                <w:szCs w:val="23"/>
                <w:color w:val="212529"/>
                <w:position w:val="-1"/>
              </w:rPr>
              <w:t>2025年预算收支总表</w:t>
            </w:r>
          </w:p>
        </w:tc>
      </w:tr>
      <w:tr>
        <w:trPr>
          <w:trHeight w:val="524" w:hRule="atLeast"/>
        </w:trPr>
        <w:tc>
          <w:tcPr>
            <w:tcW w:w="5412" w:type="dxa"/>
            <w:vAlign w:val="top"/>
            <w:gridSpan w:val="3"/>
            <w:tcBorders>
              <w:top w:val="single" w:color="FFFFFF" w:sz="6" w:space="0"/>
              <w:left w:val="single" w:color="FFFFFF" w:sz="2" w:space="0"/>
              <w:right w:val="single" w:color="FFFFFF" w:sz="2" w:space="0"/>
            </w:tcBorders>
          </w:tcPr>
          <w:p>
            <w:pPr>
              <w:ind w:left="13"/>
              <w:spacing w:before="169" w:line="219" w:lineRule="auto"/>
              <w:rPr>
                <w:rFonts w:ascii="SimSun" w:hAnsi="SimSun" w:eastAsia="SimSun" w:cs="SimSun"/>
                <w:sz w:val="18"/>
                <w:szCs w:val="18"/>
              </w:rPr>
            </w:pPr>
            <w:r>
              <w:rPr>
                <w:rFonts w:ascii="SimSun" w:hAnsi="SimSun" w:eastAsia="SimSun" w:cs="SimSun"/>
                <w:sz w:val="18"/>
                <w:szCs w:val="18"/>
                <w:color w:val="212529"/>
                <w:spacing w:val="-1"/>
              </w:rPr>
              <w:t>单位名称：兴县蔡家会镇中心卫生院</w:t>
            </w:r>
          </w:p>
        </w:tc>
        <w:tc>
          <w:tcPr>
            <w:tcW w:w="3137" w:type="dxa"/>
            <w:vAlign w:val="top"/>
            <w:gridSpan w:val="3"/>
            <w:tcBorders>
              <w:top w:val="single" w:color="FFFFFF" w:sz="6" w:space="0"/>
              <w:left w:val="single" w:color="FFFFFF" w:sz="2" w:space="0"/>
              <w:right w:val="single" w:color="FFFFFF" w:sz="2" w:space="0"/>
            </w:tcBorders>
          </w:tcPr>
          <w:p>
            <w:pPr>
              <w:ind w:left="2206"/>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241" w:type="dxa"/>
            <w:vAlign w:val="top"/>
            <w:gridSpan w:val="2"/>
          </w:tcPr>
          <w:p>
            <w:pPr>
              <w:ind w:left="1427"/>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08" w:type="dxa"/>
            <w:vAlign w:val="top"/>
            <w:gridSpan w:val="4"/>
          </w:tcPr>
          <w:p>
            <w:pPr>
              <w:ind w:left="2455"/>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103" w:type="dxa"/>
            <w:vAlign w:val="top"/>
          </w:tcPr>
          <w:p>
            <w:pPr>
              <w:ind w:left="849"/>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tcPr>
          <w:p>
            <w:pPr>
              <w:ind w:left="279"/>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171" w:type="dxa"/>
            <w:vAlign w:val="top"/>
          </w:tcPr>
          <w:p>
            <w:pPr>
              <w:ind w:left="884"/>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53" w:type="dxa"/>
            <w:vAlign w:val="top"/>
          </w:tcPr>
          <w:p>
            <w:pPr>
              <w:ind w:left="115"/>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53" w:type="dxa"/>
            <w:vAlign w:val="top"/>
          </w:tcPr>
          <w:p>
            <w:pPr>
              <w:ind w:left="30"/>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831" w:type="dxa"/>
            <w:vAlign w:val="top"/>
          </w:tcPr>
          <w:p>
            <w:pPr>
              <w:ind w:left="36"/>
              <w:spacing w:before="6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p>
            <w:pPr>
              <w:ind w:left="218"/>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安排</w:t>
            </w:r>
          </w:p>
        </w:tc>
      </w:tr>
      <w:tr>
        <w:trPr>
          <w:trHeight w:val="524" w:hRule="atLeast"/>
        </w:trPr>
        <w:tc>
          <w:tcPr>
            <w:tcW w:w="2103"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38" w:type="dxa"/>
            <w:vAlign w:val="top"/>
          </w:tcPr>
          <w:p>
            <w:pPr>
              <w:ind w:right="32"/>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209.49</w:t>
            </w:r>
          </w:p>
        </w:tc>
        <w:tc>
          <w:tcPr>
            <w:tcW w:w="2171" w:type="dxa"/>
            <w:vAlign w:val="top"/>
          </w:tcPr>
          <w:p>
            <w:pPr>
              <w:ind w:left="4"/>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38" w:type="dxa"/>
            <w:vAlign w:val="top"/>
          </w:tcPr>
          <w:p>
            <w:pPr>
              <w:pStyle w:val="TableText"/>
              <w:rPr/>
            </w:pPr>
            <w:r/>
          </w:p>
        </w:tc>
        <w:tc>
          <w:tcPr>
            <w:tcW w:w="2171" w:type="dxa"/>
            <w:vAlign w:val="top"/>
          </w:tcPr>
          <w:p>
            <w:pPr>
              <w:ind w:left="5"/>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38" w:type="dxa"/>
            <w:vAlign w:val="top"/>
          </w:tcPr>
          <w:p>
            <w:pPr>
              <w:pStyle w:val="TableText"/>
              <w:rPr/>
            </w:pPr>
            <w:r/>
          </w:p>
        </w:tc>
        <w:tc>
          <w:tcPr>
            <w:tcW w:w="2171" w:type="dxa"/>
            <w:vAlign w:val="top"/>
          </w:tcPr>
          <w:p>
            <w:pPr>
              <w:ind w:left="2"/>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38" w:type="dxa"/>
            <w:vAlign w:val="top"/>
          </w:tcPr>
          <w:p>
            <w:pPr>
              <w:pStyle w:val="TableText"/>
              <w:rPr/>
            </w:pPr>
            <w:r/>
          </w:p>
        </w:tc>
        <w:tc>
          <w:tcPr>
            <w:tcW w:w="2171" w:type="dxa"/>
            <w:vAlign w:val="top"/>
          </w:tcPr>
          <w:p>
            <w:pPr>
              <w:ind w:left="19"/>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38" w:type="dxa"/>
            <w:vAlign w:val="top"/>
          </w:tcPr>
          <w:p>
            <w:pPr>
              <w:pStyle w:val="TableText"/>
              <w:rPr/>
            </w:pPr>
            <w:r/>
          </w:p>
        </w:tc>
        <w:tc>
          <w:tcPr>
            <w:tcW w:w="2171" w:type="dxa"/>
            <w:vAlign w:val="top"/>
          </w:tcPr>
          <w:p>
            <w:pPr>
              <w:ind w:left="5"/>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53" w:type="dxa"/>
            <w:vAlign w:val="top"/>
          </w:tcPr>
          <w:p>
            <w:pPr>
              <w:ind w:right="19"/>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4"/>
              </w:rPr>
              <w:t>15.95</w:t>
            </w:r>
          </w:p>
        </w:tc>
        <w:tc>
          <w:tcPr>
            <w:tcW w:w="1153" w:type="dxa"/>
            <w:vAlign w:val="top"/>
          </w:tcPr>
          <w:p>
            <w:pPr>
              <w:ind w:right="25"/>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4"/>
              </w:rPr>
              <w:t>15.95</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53" w:type="dxa"/>
            <w:vAlign w:val="top"/>
          </w:tcPr>
          <w:p>
            <w:pPr>
              <w:ind w:right="20"/>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3"/>
              </w:rPr>
              <w:t>180.27</w:t>
            </w:r>
          </w:p>
        </w:tc>
        <w:tc>
          <w:tcPr>
            <w:tcW w:w="1153" w:type="dxa"/>
            <w:vAlign w:val="top"/>
          </w:tcPr>
          <w:p>
            <w:pPr>
              <w:ind w:right="26"/>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3"/>
              </w:rPr>
              <w:t>180.27</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53" w:type="dxa"/>
            <w:vAlign w:val="top"/>
          </w:tcPr>
          <w:p>
            <w:pPr>
              <w:ind w:right="19"/>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4"/>
              </w:rPr>
              <w:t>13.27</w:t>
            </w:r>
          </w:p>
        </w:tc>
        <w:tc>
          <w:tcPr>
            <w:tcW w:w="1153" w:type="dxa"/>
            <w:vAlign w:val="top"/>
          </w:tcPr>
          <w:p>
            <w:pPr>
              <w:ind w:right="25"/>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4"/>
              </w:rPr>
              <w:t>13.27</w:t>
            </w:r>
          </w:p>
        </w:tc>
        <w:tc>
          <w:tcPr>
            <w:tcW w:w="831" w:type="dxa"/>
            <w:vAlign w:val="top"/>
          </w:tcPr>
          <w:p>
            <w:pPr>
              <w:pStyle w:val="TableText"/>
              <w:rPr/>
            </w:pPr>
            <w:r/>
          </w:p>
        </w:tc>
      </w:tr>
      <w:tr>
        <w:trPr>
          <w:trHeight w:val="532"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9"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bl>
    <w:p>
      <w:pPr>
        <w:pStyle w:val="BodyText"/>
        <w:rPr/>
      </w:pPr>
      <w:r/>
    </w:p>
    <w:p>
      <w:pPr>
        <w:sectPr>
          <w:headerReference w:type="default" r:id="rId7"/>
          <w:footerReference w:type="default" r:id="rId8"/>
          <w:pgSz w:w="11900" w:h="16840"/>
          <w:pgMar w:top="642" w:right="0" w:bottom="340" w:left="0" w:header="326" w:footer="110" w:gutter="0"/>
        </w:sectPr>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1"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firstLine="2"/>
              <w:spacing w:before="55" w:line="218" w:lineRule="auto"/>
              <w:rPr>
                <w:rFonts w:ascii="SimSun" w:hAnsi="SimSun" w:eastAsia="SimSun" w:cs="SimSun"/>
                <w:sz w:val="18"/>
                <w:szCs w:val="18"/>
              </w:rPr>
            </w:pPr>
            <w:bookmarkStart w:name="bookmark37" w:id="9"/>
            <w:bookmarkEnd w:id="9"/>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3"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50" w:line="215"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p>
          <w:p>
            <w:pPr>
              <w:ind w:left="6"/>
              <w:spacing w:line="218" w:lineRule="auto"/>
              <w:rPr>
                <w:rFonts w:ascii="SimSun" w:hAnsi="SimSun" w:eastAsia="SimSun" w:cs="SimSun"/>
                <w:sz w:val="18"/>
                <w:szCs w:val="18"/>
              </w:rPr>
            </w:pPr>
            <w:r>
              <w:rPr>
                <w:rFonts w:ascii="SimSun" w:hAnsi="SimSun" w:eastAsia="SimSun" w:cs="SimSun"/>
                <w:sz w:val="18"/>
                <w:szCs w:val="18"/>
                <w:color w:val="212529"/>
                <w:spacing w:val="-2"/>
              </w:rPr>
              <w:t>管理支出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pStyle w:val="TableText"/>
              <w:rPr/>
            </w:pPr>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38" w:type="dxa"/>
            <w:vAlign w:val="top"/>
          </w:tcPr>
          <w:p>
            <w:pPr>
              <w:pStyle w:val="TableText"/>
              <w:ind w:left="557"/>
              <w:spacing w:before="186" w:line="183" w:lineRule="auto"/>
              <w:rPr>
                <w:sz w:val="15"/>
                <w:szCs w:val="15"/>
              </w:rPr>
            </w:pPr>
            <w:r>
              <w:rPr>
                <w:sz w:val="15"/>
                <w:szCs w:val="15"/>
                <w:color w:val="212529"/>
                <w:spacing w:val="3"/>
              </w:rPr>
              <w:t>209.</w:t>
            </w:r>
            <w:r>
              <w:rPr>
                <w:sz w:val="15"/>
                <w:szCs w:val="15"/>
                <w:color w:val="212529"/>
                <w:spacing w:val="9"/>
              </w:rPr>
              <w:t xml:space="preserve"> </w:t>
            </w:r>
            <w:r>
              <w:rPr>
                <w:sz w:val="15"/>
                <w:szCs w:val="15"/>
                <w:color w:val="212529"/>
                <w:spacing w:val="3"/>
              </w:rPr>
              <w:t>49</w:t>
            </w:r>
          </w:p>
        </w:tc>
        <w:tc>
          <w:tcPr>
            <w:tcW w:w="2171" w:type="dxa"/>
            <w:vAlign w:val="top"/>
          </w:tcPr>
          <w:p>
            <w:pPr>
              <w:ind w:left="2"/>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53" w:type="dxa"/>
            <w:vAlign w:val="top"/>
          </w:tcPr>
          <w:p>
            <w:pPr>
              <w:pStyle w:val="TableText"/>
              <w:ind w:left="583"/>
              <w:spacing w:before="186" w:line="183" w:lineRule="auto"/>
              <w:rPr>
                <w:sz w:val="15"/>
                <w:szCs w:val="15"/>
              </w:rPr>
            </w:pPr>
            <w:r>
              <w:rPr>
                <w:sz w:val="15"/>
                <w:szCs w:val="15"/>
                <w:color w:val="212529"/>
                <w:spacing w:val="3"/>
              </w:rPr>
              <w:t>209.</w:t>
            </w:r>
            <w:r>
              <w:rPr>
                <w:sz w:val="15"/>
                <w:szCs w:val="15"/>
                <w:color w:val="212529"/>
                <w:spacing w:val="9"/>
              </w:rPr>
              <w:t xml:space="preserve"> </w:t>
            </w:r>
            <w:r>
              <w:rPr>
                <w:sz w:val="15"/>
                <w:szCs w:val="15"/>
                <w:color w:val="212529"/>
                <w:spacing w:val="3"/>
              </w:rPr>
              <w:t>49</w:t>
            </w:r>
          </w:p>
        </w:tc>
        <w:tc>
          <w:tcPr>
            <w:tcW w:w="1153" w:type="dxa"/>
            <w:vAlign w:val="top"/>
          </w:tcPr>
          <w:p>
            <w:pPr>
              <w:pStyle w:val="TableText"/>
              <w:ind w:left="577"/>
              <w:spacing w:before="187" w:line="161" w:lineRule="auto"/>
              <w:rPr>
                <w:sz w:val="17"/>
                <w:szCs w:val="17"/>
              </w:rPr>
            </w:pPr>
            <w:r>
              <w:rPr>
                <w:sz w:val="17"/>
                <w:szCs w:val="17"/>
                <w:color w:val="212529"/>
                <w:spacing w:val="1"/>
              </w:rPr>
              <w:t>209.49</w:t>
            </w:r>
          </w:p>
        </w:tc>
        <w:tc>
          <w:tcPr>
            <w:tcW w:w="831" w:type="dxa"/>
            <w:vAlign w:val="top"/>
          </w:tcPr>
          <w:p>
            <w:pPr>
              <w:pStyle w:val="TableText"/>
              <w:rPr/>
            </w:pPr>
            <w:r/>
          </w:p>
        </w:tc>
      </w:tr>
      <w:tr>
        <w:trPr>
          <w:trHeight w:val="524" w:hRule="atLeast"/>
        </w:trPr>
        <w:tc>
          <w:tcPr>
            <w:tcW w:w="2103"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38" w:type="dxa"/>
            <w:vAlign w:val="top"/>
          </w:tcPr>
          <w:p>
            <w:pPr>
              <w:pStyle w:val="TableText"/>
              <w:rPr/>
            </w:pPr>
            <w:r/>
          </w:p>
        </w:tc>
        <w:tc>
          <w:tcPr>
            <w:tcW w:w="2171" w:type="dxa"/>
            <w:vAlign w:val="top"/>
          </w:tcPr>
          <w:p>
            <w:pPr>
              <w:ind w:left="191"/>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31" w:hRule="atLeast"/>
        </w:trPr>
        <w:tc>
          <w:tcPr>
            <w:tcW w:w="2103"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38" w:type="dxa"/>
            <w:vAlign w:val="top"/>
          </w:tcPr>
          <w:p>
            <w:pPr>
              <w:pStyle w:val="TableText"/>
              <w:ind w:left="557"/>
              <w:spacing w:before="188" w:line="183" w:lineRule="auto"/>
              <w:rPr>
                <w:sz w:val="15"/>
                <w:szCs w:val="15"/>
              </w:rPr>
            </w:pPr>
            <w:r>
              <w:rPr>
                <w:sz w:val="15"/>
                <w:szCs w:val="15"/>
                <w:color w:val="212529"/>
                <w:spacing w:val="3"/>
              </w:rPr>
              <w:t>209.</w:t>
            </w:r>
            <w:r>
              <w:rPr>
                <w:sz w:val="15"/>
                <w:szCs w:val="15"/>
                <w:color w:val="212529"/>
                <w:spacing w:val="9"/>
              </w:rPr>
              <w:t xml:space="preserve"> </w:t>
            </w:r>
            <w:r>
              <w:rPr>
                <w:sz w:val="15"/>
                <w:szCs w:val="15"/>
                <w:color w:val="212529"/>
                <w:spacing w:val="3"/>
              </w:rPr>
              <w:t>49</w:t>
            </w:r>
          </w:p>
        </w:tc>
        <w:tc>
          <w:tcPr>
            <w:tcW w:w="2171" w:type="dxa"/>
            <w:vAlign w:val="top"/>
          </w:tcPr>
          <w:p>
            <w:pPr>
              <w:ind w:left="1"/>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53" w:type="dxa"/>
            <w:vAlign w:val="top"/>
          </w:tcPr>
          <w:p>
            <w:pPr>
              <w:pStyle w:val="TableText"/>
              <w:ind w:left="583"/>
              <w:spacing w:before="188" w:line="183" w:lineRule="auto"/>
              <w:rPr>
                <w:sz w:val="15"/>
                <w:szCs w:val="15"/>
              </w:rPr>
            </w:pPr>
            <w:r>
              <w:rPr>
                <w:sz w:val="15"/>
                <w:szCs w:val="15"/>
                <w:color w:val="212529"/>
                <w:spacing w:val="3"/>
              </w:rPr>
              <w:t>209.</w:t>
            </w:r>
            <w:r>
              <w:rPr>
                <w:sz w:val="15"/>
                <w:szCs w:val="15"/>
                <w:color w:val="212529"/>
                <w:spacing w:val="9"/>
              </w:rPr>
              <w:t xml:space="preserve"> </w:t>
            </w:r>
            <w:r>
              <w:rPr>
                <w:sz w:val="15"/>
                <w:szCs w:val="15"/>
                <w:color w:val="212529"/>
                <w:spacing w:val="3"/>
              </w:rPr>
              <w:t>49</w:t>
            </w:r>
          </w:p>
        </w:tc>
        <w:tc>
          <w:tcPr>
            <w:tcW w:w="1153" w:type="dxa"/>
            <w:vAlign w:val="top"/>
          </w:tcPr>
          <w:p>
            <w:pPr>
              <w:pStyle w:val="TableText"/>
              <w:ind w:left="577"/>
              <w:spacing w:before="189" w:line="161" w:lineRule="auto"/>
              <w:rPr>
                <w:sz w:val="17"/>
                <w:szCs w:val="17"/>
              </w:rPr>
            </w:pPr>
            <w:r>
              <w:rPr>
                <w:sz w:val="17"/>
                <w:szCs w:val="17"/>
                <w:color w:val="212529"/>
                <w:spacing w:val="1"/>
              </w:rPr>
              <w:t>209.49</w:t>
            </w:r>
          </w:p>
        </w:tc>
        <w:tc>
          <w:tcPr>
            <w:tcW w:w="831" w:type="dxa"/>
            <w:vAlign w:val="top"/>
          </w:tcPr>
          <w:p>
            <w:pPr>
              <w:pStyle w:val="TableText"/>
              <w:rPr/>
            </w:pPr>
            <w:r/>
          </w:p>
        </w:tc>
      </w:tr>
    </w:tbl>
    <w:p>
      <w:pPr>
        <w:pStyle w:val="BodyText"/>
        <w:rPr/>
      </w:pPr>
      <w:r/>
    </w:p>
    <w:p>
      <w:pPr>
        <w:sectPr>
          <w:headerReference w:type="default" r:id="rId9"/>
          <w:footerReference w:type="default" r:id="rId10"/>
          <w:pgSz w:w="11900" w:h="16840"/>
          <w:pgMar w:top="642" w:right="0" w:bottom="340" w:left="0" w:header="326" w:footer="111"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97"/>
        <w:gridCol w:w="1438"/>
        <w:gridCol w:w="1274"/>
        <w:gridCol w:w="1318"/>
        <w:gridCol w:w="1513"/>
        <w:gridCol w:w="1498"/>
        <w:gridCol w:w="974"/>
        <w:gridCol w:w="1026"/>
      </w:tblGrid>
      <w:tr>
        <w:trPr>
          <w:trHeight w:val="442" w:hRule="atLeast"/>
        </w:trPr>
        <w:tc>
          <w:tcPr>
            <w:tcW w:w="143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9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3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7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51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bottom w:val="single" w:color="FFFFFF" w:sz="6" w:space="0"/>
              <w:top w:val="single" w:color="FFFFFF" w:sz="6" w:space="0"/>
            </w:tcBorders>
          </w:tcPr>
          <w:p>
            <w:pPr>
              <w:ind w:left="97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7"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428" w:type="dxa"/>
            <w:vAlign w:val="top"/>
            <w:gridSpan w:val="2"/>
            <w:tcBorders>
              <w:left w:val="single" w:color="FFFFFF" w:sz="2" w:space="0"/>
              <w:right w:val="single" w:color="FFFFFF" w:sz="2" w:space="0"/>
              <w:top w:val="single" w:color="FFFFFF" w:sz="6" w:space="0"/>
            </w:tcBorders>
          </w:tcPr>
          <w:p>
            <w:pPr>
              <w:ind w:left="13"/>
              <w:spacing w:before="124" w:line="219" w:lineRule="auto"/>
              <w:rPr>
                <w:rFonts w:ascii="SimSun" w:hAnsi="SimSun" w:eastAsia="SimSun" w:cs="SimSun"/>
                <w:sz w:val="18"/>
                <w:szCs w:val="18"/>
              </w:rPr>
            </w:pPr>
            <w:r>
              <w:rPr>
                <w:rFonts w:ascii="SimSun" w:hAnsi="SimSun" w:eastAsia="SimSun" w:cs="SimSun"/>
                <w:sz w:val="18"/>
                <w:szCs w:val="18"/>
                <w:color w:val="212529"/>
                <w:spacing w:val="-1"/>
              </w:rPr>
              <w:t>单位名称：兴县蔡家会镇中心卫生院</w:t>
            </w:r>
          </w:p>
        </w:tc>
        <w:tc>
          <w:tcPr>
            <w:tcW w:w="1438" w:type="dxa"/>
            <w:vAlign w:val="top"/>
            <w:tcBorders>
              <w:left w:val="single" w:color="FFFFFF" w:sz="2" w:space="0"/>
              <w:right w:val="single" w:color="FFFFFF" w:sz="2" w:space="0"/>
              <w:top w:val="single" w:color="FFFFFF" w:sz="6" w:space="0"/>
            </w:tcBorders>
          </w:tcPr>
          <w:p>
            <w:pPr>
              <w:pStyle w:val="TableText"/>
              <w:rPr/>
            </w:pPr>
            <w:r/>
          </w:p>
        </w:tc>
        <w:tc>
          <w:tcPr>
            <w:tcW w:w="1274"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513"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top w:val="single" w:color="FFFFFF" w:sz="6" w:space="0"/>
            </w:tcBorders>
          </w:tcPr>
          <w:p>
            <w:pPr>
              <w:ind w:left="106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428" w:type="dxa"/>
            <w:vAlign w:val="top"/>
            <w:gridSpan w:val="2"/>
          </w:tcPr>
          <w:p>
            <w:pPr>
              <w:ind w:left="2014"/>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015" w:type="dxa"/>
            <w:vAlign w:val="top"/>
            <w:gridSpan w:val="6"/>
          </w:tcPr>
          <w:p>
            <w:pPr>
              <w:ind w:left="3636"/>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026" w:type="dxa"/>
            <w:vAlign w:val="top"/>
            <w:vMerge w:val="restart"/>
            <w:tcBorders>
              <w:bottom w:val="nil"/>
            </w:tcBorders>
          </w:tcPr>
          <w:p>
            <w:pPr>
              <w:pStyle w:val="TableText"/>
              <w:spacing w:line="273" w:lineRule="auto"/>
              <w:rPr/>
            </w:pPr>
            <w:r/>
          </w:p>
          <w:p>
            <w:pPr>
              <w:ind w:left="13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31" w:type="dxa"/>
            <w:vAlign w:val="top"/>
          </w:tcPr>
          <w:p>
            <w:pPr>
              <w:ind w:left="334"/>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97" w:type="dxa"/>
            <w:vAlign w:val="top"/>
          </w:tcPr>
          <w:p>
            <w:pPr>
              <w:ind w:left="111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38" w:type="dxa"/>
            <w:vAlign w:val="top"/>
          </w:tcPr>
          <w:p>
            <w:pPr>
              <w:ind w:left="523"/>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74" w:type="dxa"/>
            <w:vAlign w:val="top"/>
          </w:tcPr>
          <w:p>
            <w:pPr>
              <w:ind w:left="82"/>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18" w:type="dxa"/>
            <w:vAlign w:val="top"/>
          </w:tcPr>
          <w:p>
            <w:pPr>
              <w:ind w:left="197"/>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513" w:type="dxa"/>
            <w:vAlign w:val="top"/>
          </w:tcPr>
          <w:p>
            <w:pPr>
              <w:ind w:left="43"/>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98" w:type="dxa"/>
            <w:vAlign w:val="top"/>
          </w:tcPr>
          <w:p>
            <w:pPr>
              <w:ind w:left="20"/>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74" w:type="dxa"/>
            <w:vAlign w:val="top"/>
          </w:tcPr>
          <w:p>
            <w:pPr>
              <w:ind w:left="118"/>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026" w:type="dxa"/>
            <w:vAlign w:val="top"/>
            <w:vMerge w:val="continue"/>
            <w:tcBorders>
              <w:top w:val="nil"/>
            </w:tcBorders>
          </w:tcPr>
          <w:p>
            <w:pPr>
              <w:pStyle w:val="TableText"/>
              <w:rPr/>
            </w:pPr>
            <w:r/>
          </w:p>
        </w:tc>
      </w:tr>
      <w:tr>
        <w:trPr>
          <w:trHeight w:val="434" w:hRule="atLeast"/>
        </w:trPr>
        <w:tc>
          <w:tcPr>
            <w:tcW w:w="4428" w:type="dxa"/>
            <w:vAlign w:val="top"/>
            <w:gridSpan w:val="2"/>
          </w:tcPr>
          <w:p>
            <w:pPr>
              <w:ind w:left="2017"/>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38" w:type="dxa"/>
            <w:vAlign w:val="top"/>
          </w:tcPr>
          <w:p>
            <w:pPr>
              <w:pStyle w:val="TableText"/>
              <w:ind w:left="865"/>
              <w:spacing w:before="149" w:line="183" w:lineRule="auto"/>
              <w:rPr>
                <w:sz w:val="15"/>
                <w:szCs w:val="15"/>
              </w:rPr>
            </w:pPr>
            <w:r>
              <w:rPr>
                <w:sz w:val="15"/>
                <w:szCs w:val="15"/>
                <w:color w:val="212529"/>
                <w:spacing w:val="3"/>
              </w:rPr>
              <w:t>209.</w:t>
            </w:r>
            <w:r>
              <w:rPr>
                <w:sz w:val="15"/>
                <w:szCs w:val="15"/>
                <w:color w:val="212529"/>
                <w:spacing w:val="9"/>
              </w:rPr>
              <w:t xml:space="preserve"> </w:t>
            </w:r>
            <w:r>
              <w:rPr>
                <w:sz w:val="15"/>
                <w:szCs w:val="15"/>
                <w:color w:val="212529"/>
                <w:spacing w:val="3"/>
              </w:rPr>
              <w:t>49</w:t>
            </w:r>
          </w:p>
        </w:tc>
        <w:tc>
          <w:tcPr>
            <w:tcW w:w="1274" w:type="dxa"/>
            <w:vAlign w:val="top"/>
          </w:tcPr>
          <w:p>
            <w:pPr>
              <w:pStyle w:val="TableText"/>
              <w:ind w:left="702"/>
              <w:spacing w:before="149" w:line="183" w:lineRule="auto"/>
              <w:rPr>
                <w:sz w:val="15"/>
                <w:szCs w:val="15"/>
              </w:rPr>
            </w:pPr>
            <w:r>
              <w:rPr>
                <w:sz w:val="15"/>
                <w:szCs w:val="15"/>
                <w:color w:val="212529"/>
                <w:spacing w:val="3"/>
              </w:rPr>
              <w:t>209.</w:t>
            </w:r>
            <w:r>
              <w:rPr>
                <w:sz w:val="15"/>
                <w:szCs w:val="15"/>
                <w:color w:val="212529"/>
                <w:spacing w:val="9"/>
              </w:rPr>
              <w:t xml:space="preserve"> </w:t>
            </w:r>
            <w:r>
              <w:rPr>
                <w:sz w:val="15"/>
                <w:szCs w:val="15"/>
                <w:color w:val="212529"/>
                <w:spacing w:val="3"/>
              </w:rPr>
              <w:t>49</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97" w:type="dxa"/>
            <w:vAlign w:val="top"/>
          </w:tcPr>
          <w:p>
            <w:pPr>
              <w:ind w:left="5"/>
              <w:spacing w:before="128"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38" w:type="dxa"/>
            <w:vAlign w:val="top"/>
          </w:tcPr>
          <w:p>
            <w:pPr>
              <w:ind w:right="22"/>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4"/>
              </w:rPr>
              <w:t>15.95</w:t>
            </w:r>
          </w:p>
        </w:tc>
        <w:tc>
          <w:tcPr>
            <w:tcW w:w="1274" w:type="dxa"/>
            <w:vAlign w:val="top"/>
          </w:tcPr>
          <w:p>
            <w:pPr>
              <w:ind w:right="21"/>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4"/>
              </w:rPr>
              <w:t>15.95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97" w:type="dxa"/>
            <w:vAlign w:val="top"/>
          </w:tcPr>
          <w:p>
            <w:pPr>
              <w:ind w:left="4"/>
              <w:spacing w:before="129"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38" w:type="dxa"/>
            <w:vAlign w:val="top"/>
          </w:tcPr>
          <w:p>
            <w:pPr>
              <w:ind w:right="22"/>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4"/>
              </w:rPr>
              <w:t>15.95</w:t>
            </w:r>
          </w:p>
        </w:tc>
        <w:tc>
          <w:tcPr>
            <w:tcW w:w="1274" w:type="dxa"/>
            <w:vAlign w:val="top"/>
          </w:tcPr>
          <w:p>
            <w:pPr>
              <w:ind w:right="21"/>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4"/>
              </w:rPr>
              <w:t>15.95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2080502</w:t>
            </w:r>
          </w:p>
        </w:tc>
        <w:tc>
          <w:tcPr>
            <w:tcW w:w="2997" w:type="dxa"/>
            <w:vAlign w:val="top"/>
          </w:tcPr>
          <w:p>
            <w:pPr>
              <w:ind w:left="5"/>
              <w:spacing w:before="130" w:line="219" w:lineRule="auto"/>
              <w:rPr>
                <w:rFonts w:ascii="SimSun" w:hAnsi="SimSun" w:eastAsia="SimSun" w:cs="SimSun"/>
                <w:sz w:val="18"/>
                <w:szCs w:val="18"/>
              </w:rPr>
            </w:pPr>
            <w:r>
              <w:rPr>
                <w:rFonts w:ascii="SimSun" w:hAnsi="SimSun" w:eastAsia="SimSun" w:cs="SimSun"/>
                <w:sz w:val="18"/>
                <w:szCs w:val="18"/>
                <w:color w:val="212529"/>
                <w:spacing w:val="-2"/>
              </w:rPr>
              <w:t>事业单位离退休</w:t>
            </w:r>
          </w:p>
        </w:tc>
        <w:tc>
          <w:tcPr>
            <w:tcW w:w="1438" w:type="dxa"/>
            <w:vAlign w:val="top"/>
          </w:tcPr>
          <w:p>
            <w:pPr>
              <w:ind w:right="21"/>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4"/>
              </w:rPr>
              <w:t>1.54</w:t>
            </w:r>
          </w:p>
        </w:tc>
        <w:tc>
          <w:tcPr>
            <w:tcW w:w="1274" w:type="dxa"/>
            <w:vAlign w:val="top"/>
          </w:tcPr>
          <w:p>
            <w:pPr>
              <w:ind w:right="20"/>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4"/>
              </w:rPr>
              <w:t>1.54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97" w:type="dxa"/>
            <w:vAlign w:val="top"/>
          </w:tcPr>
          <w:p>
            <w:pPr>
              <w:ind w:left="3"/>
              <w:spacing w:before="131"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38" w:type="dxa"/>
            <w:vAlign w:val="top"/>
          </w:tcPr>
          <w:p>
            <w:pPr>
              <w:ind w:right="22"/>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4"/>
              </w:rPr>
              <w:t>14.41</w:t>
            </w:r>
          </w:p>
        </w:tc>
        <w:tc>
          <w:tcPr>
            <w:tcW w:w="1274" w:type="dxa"/>
            <w:vAlign w:val="top"/>
          </w:tcPr>
          <w:p>
            <w:pPr>
              <w:ind w:right="21"/>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4"/>
              </w:rPr>
              <w:t>14.41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97" w:type="dxa"/>
            <w:vAlign w:val="top"/>
          </w:tcPr>
          <w:p>
            <w:pPr>
              <w:ind w:left="5"/>
              <w:spacing w:before="132"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38" w:type="dxa"/>
            <w:vAlign w:val="top"/>
          </w:tcPr>
          <w:p>
            <w:pPr>
              <w:ind w:right="22"/>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3"/>
              </w:rPr>
              <w:t>180.27</w:t>
            </w:r>
          </w:p>
        </w:tc>
        <w:tc>
          <w:tcPr>
            <w:tcW w:w="1274" w:type="dxa"/>
            <w:vAlign w:val="top"/>
          </w:tcPr>
          <w:p>
            <w:pPr>
              <w:ind w:right="21"/>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3"/>
              </w:rPr>
              <w:t>180.27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21003</w:t>
            </w:r>
          </w:p>
        </w:tc>
        <w:tc>
          <w:tcPr>
            <w:tcW w:w="2997" w:type="dxa"/>
            <w:vAlign w:val="top"/>
          </w:tcPr>
          <w:p>
            <w:pPr>
              <w:ind w:left="3"/>
              <w:spacing w:before="133" w:line="218" w:lineRule="auto"/>
              <w:rPr>
                <w:rFonts w:ascii="SimSun" w:hAnsi="SimSun" w:eastAsia="SimSun" w:cs="SimSun"/>
                <w:sz w:val="18"/>
                <w:szCs w:val="18"/>
              </w:rPr>
            </w:pPr>
            <w:r>
              <w:rPr>
                <w:rFonts w:ascii="SimSun" w:hAnsi="SimSun" w:eastAsia="SimSun" w:cs="SimSun"/>
                <w:sz w:val="18"/>
                <w:szCs w:val="18"/>
                <w:color w:val="212529"/>
                <w:spacing w:val="-1"/>
              </w:rPr>
              <w:t>基层医疗卫生机构</w:t>
            </w:r>
          </w:p>
        </w:tc>
        <w:tc>
          <w:tcPr>
            <w:tcW w:w="1438" w:type="dxa"/>
            <w:vAlign w:val="top"/>
          </w:tcPr>
          <w:p>
            <w:pPr>
              <w:ind w:right="22"/>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3"/>
              </w:rPr>
              <w:t>174.36</w:t>
            </w:r>
          </w:p>
        </w:tc>
        <w:tc>
          <w:tcPr>
            <w:tcW w:w="1274" w:type="dxa"/>
            <w:vAlign w:val="top"/>
          </w:tcPr>
          <w:p>
            <w:pPr>
              <w:ind w:right="21"/>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3"/>
              </w:rPr>
              <w:t>174.36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2100302</w:t>
            </w:r>
          </w:p>
        </w:tc>
        <w:tc>
          <w:tcPr>
            <w:tcW w:w="2997" w:type="dxa"/>
            <w:vAlign w:val="top"/>
          </w:tcPr>
          <w:p>
            <w:pPr>
              <w:ind w:left="12"/>
              <w:spacing w:before="134" w:line="219" w:lineRule="auto"/>
              <w:rPr>
                <w:rFonts w:ascii="SimSun" w:hAnsi="SimSun" w:eastAsia="SimSun" w:cs="SimSun"/>
                <w:sz w:val="18"/>
                <w:szCs w:val="18"/>
              </w:rPr>
            </w:pPr>
            <w:r>
              <w:rPr>
                <w:rFonts w:ascii="SimSun" w:hAnsi="SimSun" w:eastAsia="SimSun" w:cs="SimSun"/>
                <w:sz w:val="18"/>
                <w:szCs w:val="18"/>
                <w:color w:val="212529"/>
                <w:spacing w:val="-3"/>
              </w:rPr>
              <w:t>乡镇卫生院</w:t>
            </w:r>
          </w:p>
        </w:tc>
        <w:tc>
          <w:tcPr>
            <w:tcW w:w="1438" w:type="dxa"/>
            <w:vAlign w:val="top"/>
          </w:tcPr>
          <w:p>
            <w:pPr>
              <w:ind w:right="22"/>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3"/>
              </w:rPr>
              <w:t>143.10</w:t>
            </w:r>
          </w:p>
        </w:tc>
        <w:tc>
          <w:tcPr>
            <w:tcW w:w="1274" w:type="dxa"/>
            <w:vAlign w:val="top"/>
          </w:tcPr>
          <w:p>
            <w:pPr>
              <w:ind w:right="21"/>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3"/>
              </w:rPr>
              <w:t>143.10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2100399</w:t>
            </w:r>
          </w:p>
        </w:tc>
        <w:tc>
          <w:tcPr>
            <w:tcW w:w="2997" w:type="dxa"/>
            <w:vAlign w:val="top"/>
          </w:tcPr>
          <w:p>
            <w:pPr>
              <w:ind w:left="3"/>
              <w:spacing w:before="135" w:line="218" w:lineRule="auto"/>
              <w:rPr>
                <w:rFonts w:ascii="SimSun" w:hAnsi="SimSun" w:eastAsia="SimSun" w:cs="SimSun"/>
                <w:sz w:val="18"/>
                <w:szCs w:val="18"/>
              </w:rPr>
            </w:pPr>
            <w:r>
              <w:rPr>
                <w:rFonts w:ascii="SimSun" w:hAnsi="SimSun" w:eastAsia="SimSun" w:cs="SimSun"/>
                <w:sz w:val="18"/>
                <w:szCs w:val="18"/>
                <w:color w:val="212529"/>
                <w:spacing w:val="-1"/>
              </w:rPr>
              <w:t>其他基层医疗卫生机构支出</w:t>
            </w:r>
          </w:p>
        </w:tc>
        <w:tc>
          <w:tcPr>
            <w:tcW w:w="1438" w:type="dxa"/>
            <w:vAlign w:val="top"/>
          </w:tcPr>
          <w:p>
            <w:pPr>
              <w:ind w:right="24"/>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31.26</w:t>
            </w:r>
          </w:p>
        </w:tc>
        <w:tc>
          <w:tcPr>
            <w:tcW w:w="1274" w:type="dxa"/>
            <w:vAlign w:val="top"/>
          </w:tcPr>
          <w:p>
            <w:pPr>
              <w:ind w:right="23"/>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31.26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97" w:type="dxa"/>
            <w:vAlign w:val="top"/>
          </w:tcPr>
          <w:p>
            <w:pPr>
              <w:ind w:left="4"/>
              <w:spacing w:before="137"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38" w:type="dxa"/>
            <w:vAlign w:val="top"/>
          </w:tcPr>
          <w:p>
            <w:pPr>
              <w:ind w:right="23"/>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5.91</w:t>
            </w:r>
          </w:p>
        </w:tc>
        <w:tc>
          <w:tcPr>
            <w:tcW w:w="1274" w:type="dxa"/>
            <w:vAlign w:val="top"/>
          </w:tcPr>
          <w:p>
            <w:pPr>
              <w:ind w:right="22"/>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5.91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38" w:type="dxa"/>
            <w:vAlign w:val="top"/>
          </w:tcPr>
          <w:p>
            <w:pPr>
              <w:ind w:right="23"/>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5.91</w:t>
            </w:r>
          </w:p>
        </w:tc>
        <w:tc>
          <w:tcPr>
            <w:tcW w:w="1274" w:type="dxa"/>
            <w:vAlign w:val="top"/>
          </w:tcPr>
          <w:p>
            <w:pPr>
              <w:ind w:right="22"/>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5.91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9"/>
              <w:rPr>
                <w:rFonts w:ascii="SimSun" w:hAnsi="SimSun" w:eastAsia="SimSun" w:cs="SimSun"/>
                <w:sz w:val="18"/>
                <w:szCs w:val="18"/>
              </w:rPr>
            </w:pPr>
            <w:r>
              <w:rPr>
                <w:rFonts w:ascii="SimSun" w:hAnsi="SimSun" w:eastAsia="SimSun" w:cs="SimSun"/>
                <w:sz w:val="18"/>
                <w:szCs w:val="18"/>
                <w:color w:val="212529"/>
                <w:spacing w:val="-3"/>
              </w:rPr>
              <w:t>221</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38"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13.27</w:t>
            </w:r>
          </w:p>
        </w:tc>
        <w:tc>
          <w:tcPr>
            <w:tcW w:w="1274" w:type="dxa"/>
            <w:vAlign w:val="top"/>
          </w:tcPr>
          <w:p>
            <w:pPr>
              <w:ind w:right="2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13.27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38"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13.27</w:t>
            </w:r>
          </w:p>
        </w:tc>
        <w:tc>
          <w:tcPr>
            <w:tcW w:w="1274" w:type="dxa"/>
            <w:vAlign w:val="top"/>
          </w:tcPr>
          <w:p>
            <w:pPr>
              <w:ind w:right="2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13.27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42"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97" w:type="dxa"/>
            <w:vAlign w:val="top"/>
          </w:tcPr>
          <w:p>
            <w:pPr>
              <w:ind w:left="5"/>
              <w:spacing w:before="139"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38"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13.27</w:t>
            </w:r>
          </w:p>
        </w:tc>
        <w:tc>
          <w:tcPr>
            <w:tcW w:w="1274" w:type="dxa"/>
            <w:vAlign w:val="top"/>
          </w:tcPr>
          <w:p>
            <w:pPr>
              <w:ind w:right="2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13.27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bl>
    <w:p>
      <w:pPr>
        <w:pStyle w:val="BodyText"/>
        <w:rPr/>
      </w:pPr>
      <w:r/>
    </w:p>
    <w:p>
      <w:pPr>
        <w:sectPr>
          <w:headerReference w:type="default" r:id="rId11"/>
          <w:footerReference w:type="default" r:id="rId12"/>
          <w:pgSz w:w="16840" w:h="1190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76"/>
        <w:gridCol w:w="3337"/>
        <w:gridCol w:w="1404"/>
        <w:gridCol w:w="1361"/>
        <w:gridCol w:w="1280"/>
      </w:tblGrid>
      <w:tr>
        <w:trPr>
          <w:trHeight w:val="319" w:hRule="atLeast"/>
        </w:trPr>
        <w:tc>
          <w:tcPr>
            <w:tcW w:w="177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33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80" w:type="dxa"/>
            <w:vAlign w:val="top"/>
            <w:tcBorders>
              <w:bottom w:val="single" w:color="FFFFFF" w:sz="4" w:space="0"/>
              <w:top w:val="single" w:color="FFFFFF" w:sz="4" w:space="0"/>
              <w:left w:val="single" w:color="FFFFFF" w:sz="2" w:space="0"/>
              <w:right w:val="single" w:color="FFFFFF" w:sz="2" w:space="0"/>
            </w:tcBorders>
          </w:tcPr>
          <w:p>
            <w:pPr>
              <w:ind w:left="541"/>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38" w:id="11"/>
            <w:bookmarkEnd w:id="11"/>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3" w:hRule="atLeast"/>
        </w:trPr>
        <w:tc>
          <w:tcPr>
            <w:tcW w:w="6517" w:type="dxa"/>
            <w:vAlign w:val="top"/>
            <w:gridSpan w:val="3"/>
            <w:tcBorders>
              <w:top w:val="single" w:color="FFFFFF" w:sz="4" w:space="0"/>
              <w:left w:val="single" w:color="FFFFFF" w:sz="2" w:space="0"/>
              <w:right w:val="single" w:color="FFFFFF" w:sz="2" w:space="0"/>
            </w:tcBorders>
          </w:tcPr>
          <w:p>
            <w:pPr>
              <w:ind w:left="9"/>
              <w:spacing w:before="90" w:line="233" w:lineRule="auto"/>
              <w:rPr>
                <w:rFonts w:ascii="SimSun" w:hAnsi="SimSun" w:eastAsia="SimSun" w:cs="SimSun"/>
                <w:sz w:val="12"/>
                <w:szCs w:val="12"/>
              </w:rPr>
            </w:pPr>
            <w:r>
              <w:rPr>
                <w:rFonts w:ascii="SimSun" w:hAnsi="SimSun" w:eastAsia="SimSun" w:cs="SimSun"/>
                <w:sz w:val="12"/>
                <w:szCs w:val="12"/>
                <w:color w:val="212529"/>
                <w:spacing w:val="9"/>
              </w:rPr>
              <w:t>单位名称：兴县蔡家会镇中心卫生院</w:t>
            </w:r>
          </w:p>
        </w:tc>
        <w:tc>
          <w:tcPr>
            <w:tcW w:w="1361" w:type="dxa"/>
            <w:vAlign w:val="top"/>
            <w:tcBorders>
              <w:top w:val="single" w:color="FFFFFF" w:sz="4" w:space="0"/>
              <w:left w:val="single" w:color="FFFFFF" w:sz="2" w:space="0"/>
              <w:right w:val="single" w:color="FFFFFF" w:sz="2" w:space="0"/>
            </w:tcBorders>
          </w:tcPr>
          <w:p>
            <w:pPr>
              <w:pStyle w:val="TableText"/>
              <w:rPr/>
            </w:pPr>
            <w:r/>
          </w:p>
        </w:tc>
        <w:tc>
          <w:tcPr>
            <w:tcW w:w="1280" w:type="dxa"/>
            <w:vAlign w:val="top"/>
            <w:tcBorders>
              <w:top w:val="single" w:color="FFFFFF" w:sz="4" w:space="0"/>
              <w:left w:val="single" w:color="FFFFFF" w:sz="2" w:space="0"/>
              <w:right w:val="single" w:color="FFFFFF" w:sz="2" w:space="0"/>
            </w:tcBorders>
          </w:tcPr>
          <w:p>
            <w:pPr>
              <w:ind w:left="607"/>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113" w:type="dxa"/>
            <w:vAlign w:val="top"/>
            <w:gridSpan w:val="2"/>
          </w:tcPr>
          <w:p>
            <w:pPr>
              <w:ind w:left="2382"/>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045" w:type="dxa"/>
            <w:vAlign w:val="top"/>
            <w:gridSpan w:val="3"/>
          </w:tcPr>
          <w:p>
            <w:pPr>
              <w:ind w:left="1527"/>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3" w:hRule="atLeast"/>
        </w:trPr>
        <w:tc>
          <w:tcPr>
            <w:tcW w:w="1776" w:type="dxa"/>
            <w:vAlign w:val="top"/>
          </w:tcPr>
          <w:p>
            <w:pPr>
              <w:ind w:left="549"/>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337" w:type="dxa"/>
            <w:vAlign w:val="top"/>
          </w:tcPr>
          <w:p>
            <w:pPr>
              <w:ind w:left="1328"/>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04" w:type="dxa"/>
            <w:vAlign w:val="top"/>
          </w:tcPr>
          <w:p>
            <w:pPr>
              <w:ind w:left="531"/>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61" w:type="dxa"/>
            <w:vAlign w:val="top"/>
          </w:tcPr>
          <w:p>
            <w:pPr>
              <w:ind w:left="343"/>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280" w:type="dxa"/>
            <w:vAlign w:val="top"/>
          </w:tcPr>
          <w:p>
            <w:pPr>
              <w:ind w:left="304"/>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113" w:type="dxa"/>
            <w:vAlign w:val="top"/>
            <w:gridSpan w:val="2"/>
          </w:tcPr>
          <w:p>
            <w:pPr>
              <w:ind w:left="2384"/>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ind w:left="897"/>
              <w:spacing w:before="99" w:line="172" w:lineRule="auto"/>
              <w:rPr>
                <w:sz w:val="14"/>
                <w:szCs w:val="14"/>
              </w:rPr>
            </w:pPr>
            <w:r>
              <w:rPr>
                <w:sz w:val="14"/>
                <w:szCs w:val="14"/>
                <w:color w:val="212529"/>
              </w:rPr>
              <w:t>209.</w:t>
            </w:r>
            <w:r>
              <w:rPr>
                <w:sz w:val="14"/>
                <w:szCs w:val="14"/>
                <w:color w:val="212529"/>
                <w:spacing w:val="6"/>
              </w:rPr>
              <w:t xml:space="preserve"> </w:t>
            </w:r>
            <w:r>
              <w:rPr>
                <w:sz w:val="14"/>
                <w:szCs w:val="14"/>
                <w:color w:val="212529"/>
              </w:rPr>
              <w:t>49</w:t>
            </w:r>
          </w:p>
        </w:tc>
        <w:tc>
          <w:tcPr>
            <w:tcW w:w="1361" w:type="dxa"/>
            <w:vAlign w:val="top"/>
          </w:tcPr>
          <w:p>
            <w:pPr>
              <w:pStyle w:val="TableText"/>
              <w:ind w:left="861"/>
              <w:spacing w:before="99" w:line="186" w:lineRule="auto"/>
              <w:rPr>
                <w:sz w:val="13"/>
                <w:szCs w:val="13"/>
              </w:rPr>
            </w:pPr>
            <w:r>
              <w:rPr>
                <w:sz w:val="13"/>
                <w:szCs w:val="13"/>
                <w:color w:val="212529"/>
                <w:spacing w:val="2"/>
              </w:rPr>
              <w:t>178.</w:t>
            </w:r>
            <w:r>
              <w:rPr>
                <w:sz w:val="13"/>
                <w:szCs w:val="13"/>
                <w:color w:val="212529"/>
                <w:spacing w:val="16"/>
                <w:w w:val="101"/>
              </w:rPr>
              <w:t xml:space="preserve"> </w:t>
            </w:r>
            <w:r>
              <w:rPr>
                <w:sz w:val="13"/>
                <w:szCs w:val="13"/>
                <w:color w:val="212529"/>
                <w:spacing w:val="2"/>
              </w:rPr>
              <w:t>23</w:t>
            </w:r>
          </w:p>
        </w:tc>
        <w:tc>
          <w:tcPr>
            <w:tcW w:w="1280" w:type="dxa"/>
            <w:vAlign w:val="top"/>
          </w:tcPr>
          <w:p>
            <w:pPr>
              <w:pStyle w:val="TableText"/>
              <w:ind w:left="851"/>
              <w:spacing w:before="99" w:line="186" w:lineRule="auto"/>
              <w:rPr>
                <w:sz w:val="13"/>
                <w:szCs w:val="13"/>
              </w:rPr>
            </w:pPr>
            <w:r>
              <w:rPr>
                <w:sz w:val="13"/>
                <w:szCs w:val="13"/>
                <w:color w:val="212529"/>
                <w:spacing w:val="3"/>
              </w:rPr>
              <w:t>31.</w:t>
            </w:r>
            <w:r>
              <w:rPr>
                <w:sz w:val="13"/>
                <w:szCs w:val="13"/>
                <w:color w:val="212529"/>
                <w:spacing w:val="15"/>
                <w:w w:val="101"/>
              </w:rPr>
              <w:t xml:space="preserve"> </w:t>
            </w:r>
            <w:r>
              <w:rPr>
                <w:sz w:val="13"/>
                <w:szCs w:val="13"/>
                <w:color w:val="212529"/>
                <w:spacing w:val="3"/>
              </w:rPr>
              <w:t>26</w:t>
            </w:r>
          </w:p>
        </w:tc>
      </w:tr>
      <w:tr>
        <w:trPr>
          <w:trHeight w:val="314" w:hRule="atLeast"/>
        </w:trPr>
        <w:tc>
          <w:tcPr>
            <w:tcW w:w="177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337" w:type="dxa"/>
            <w:vAlign w:val="top"/>
          </w:tcPr>
          <w:p>
            <w:pPr>
              <w:ind w:left="4"/>
              <w:spacing w:before="80"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04" w:type="dxa"/>
            <w:vAlign w:val="top"/>
          </w:tcPr>
          <w:p>
            <w:pPr>
              <w:ind w:right="19"/>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15.95</w:t>
            </w:r>
          </w:p>
        </w:tc>
        <w:tc>
          <w:tcPr>
            <w:tcW w:w="1361" w:type="dxa"/>
            <w:vAlign w:val="top"/>
          </w:tcPr>
          <w:p>
            <w:pPr>
              <w:pStyle w:val="TableText"/>
              <w:ind w:left="942"/>
              <w:spacing w:before="99" w:line="162" w:lineRule="auto"/>
              <w:rPr>
                <w:sz w:val="15"/>
                <w:szCs w:val="15"/>
              </w:rPr>
            </w:pPr>
            <w:r>
              <w:rPr>
                <w:sz w:val="15"/>
                <w:szCs w:val="15"/>
                <w:color w:val="212529"/>
                <w:spacing w:val="1"/>
              </w:rPr>
              <w:t>15.95</w:t>
            </w:r>
          </w:p>
        </w:tc>
        <w:tc>
          <w:tcPr>
            <w:tcW w:w="1280" w:type="dxa"/>
            <w:vAlign w:val="top"/>
          </w:tcPr>
          <w:p>
            <w:pPr>
              <w:pStyle w:val="TableText"/>
              <w:rPr/>
            </w:pPr>
            <w:r/>
          </w:p>
        </w:tc>
      </w:tr>
      <w:tr>
        <w:trPr>
          <w:trHeight w:val="313" w:hRule="atLeast"/>
        </w:trPr>
        <w:tc>
          <w:tcPr>
            <w:tcW w:w="177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337" w:type="dxa"/>
            <w:vAlign w:val="top"/>
          </w:tcPr>
          <w:p>
            <w:pPr>
              <w:ind w:left="3"/>
              <w:spacing w:before="80"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04" w:type="dxa"/>
            <w:vAlign w:val="top"/>
          </w:tcPr>
          <w:p>
            <w:pPr>
              <w:ind w:right="19"/>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15.95</w:t>
            </w:r>
          </w:p>
        </w:tc>
        <w:tc>
          <w:tcPr>
            <w:tcW w:w="1361" w:type="dxa"/>
            <w:vAlign w:val="top"/>
          </w:tcPr>
          <w:p>
            <w:pPr>
              <w:pStyle w:val="TableText"/>
              <w:ind w:left="942"/>
              <w:spacing w:before="99" w:line="162" w:lineRule="auto"/>
              <w:rPr>
                <w:sz w:val="15"/>
                <w:szCs w:val="15"/>
              </w:rPr>
            </w:pPr>
            <w:r>
              <w:rPr>
                <w:sz w:val="15"/>
                <w:szCs w:val="15"/>
                <w:color w:val="212529"/>
                <w:spacing w:val="1"/>
              </w:rPr>
              <w:t>15.95</w:t>
            </w:r>
          </w:p>
        </w:tc>
        <w:tc>
          <w:tcPr>
            <w:tcW w:w="1280" w:type="dxa"/>
            <w:vAlign w:val="top"/>
          </w:tcPr>
          <w:p>
            <w:pPr>
              <w:pStyle w:val="TableText"/>
              <w:rPr/>
            </w:pPr>
            <w:r/>
          </w:p>
        </w:tc>
      </w:tr>
      <w:tr>
        <w:trPr>
          <w:trHeight w:val="314" w:hRule="atLeast"/>
        </w:trPr>
        <w:tc>
          <w:tcPr>
            <w:tcW w:w="1776"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337" w:type="dxa"/>
            <w:vAlign w:val="top"/>
          </w:tcPr>
          <w:p>
            <w:pPr>
              <w:ind w:left="4"/>
              <w:spacing w:before="82"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1.54</w:t>
            </w:r>
          </w:p>
        </w:tc>
        <w:tc>
          <w:tcPr>
            <w:tcW w:w="1361"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1.54</w:t>
            </w:r>
          </w:p>
        </w:tc>
        <w:tc>
          <w:tcPr>
            <w:tcW w:w="1280" w:type="dxa"/>
            <w:vAlign w:val="top"/>
          </w:tcPr>
          <w:p>
            <w:pPr>
              <w:pStyle w:val="TableText"/>
              <w:rPr/>
            </w:pPr>
            <w:r/>
          </w:p>
        </w:tc>
      </w:tr>
      <w:tr>
        <w:trPr>
          <w:trHeight w:val="314" w:hRule="atLeast"/>
        </w:trPr>
        <w:tc>
          <w:tcPr>
            <w:tcW w:w="1776"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337" w:type="dxa"/>
            <w:vAlign w:val="top"/>
          </w:tcPr>
          <w:p>
            <w:pPr>
              <w:ind w:left="2"/>
              <w:spacing w:before="8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14.41</w:t>
            </w:r>
          </w:p>
        </w:tc>
        <w:tc>
          <w:tcPr>
            <w:tcW w:w="1361"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14.41</w:t>
            </w:r>
          </w:p>
        </w:tc>
        <w:tc>
          <w:tcPr>
            <w:tcW w:w="1280" w:type="dxa"/>
            <w:vAlign w:val="top"/>
          </w:tcPr>
          <w:p>
            <w:pPr>
              <w:pStyle w:val="TableText"/>
              <w:rPr/>
            </w:pPr>
            <w:r/>
          </w:p>
        </w:tc>
      </w:tr>
      <w:tr>
        <w:trPr>
          <w:trHeight w:val="314" w:hRule="atLeast"/>
        </w:trPr>
        <w:tc>
          <w:tcPr>
            <w:tcW w:w="1776"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337" w:type="dxa"/>
            <w:vAlign w:val="top"/>
          </w:tcPr>
          <w:p>
            <w:pPr>
              <w:ind w:left="4"/>
              <w:spacing w:before="82"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180.27</w:t>
            </w:r>
          </w:p>
        </w:tc>
        <w:tc>
          <w:tcPr>
            <w:tcW w:w="1361" w:type="dxa"/>
            <w:vAlign w:val="top"/>
          </w:tcPr>
          <w:p>
            <w:pPr>
              <w:pStyle w:val="TableText"/>
              <w:ind w:left="861"/>
              <w:spacing w:before="101" w:line="187" w:lineRule="auto"/>
              <w:rPr>
                <w:sz w:val="13"/>
                <w:szCs w:val="13"/>
              </w:rPr>
            </w:pPr>
            <w:r>
              <w:rPr>
                <w:sz w:val="13"/>
                <w:szCs w:val="13"/>
                <w:color w:val="212529"/>
                <w:spacing w:val="2"/>
              </w:rPr>
              <w:t>149.</w:t>
            </w:r>
            <w:r>
              <w:rPr>
                <w:sz w:val="13"/>
                <w:szCs w:val="13"/>
                <w:color w:val="212529"/>
                <w:spacing w:val="10"/>
                <w:w w:val="101"/>
              </w:rPr>
              <w:t xml:space="preserve"> </w:t>
            </w:r>
            <w:r>
              <w:rPr>
                <w:sz w:val="13"/>
                <w:szCs w:val="13"/>
                <w:color w:val="212529"/>
                <w:spacing w:val="2"/>
              </w:rPr>
              <w:t>01</w:t>
            </w:r>
          </w:p>
        </w:tc>
        <w:tc>
          <w:tcPr>
            <w:tcW w:w="1280" w:type="dxa"/>
            <w:vAlign w:val="top"/>
          </w:tcPr>
          <w:p>
            <w:pPr>
              <w:pStyle w:val="TableText"/>
              <w:ind w:left="851"/>
              <w:spacing w:before="101" w:line="187" w:lineRule="auto"/>
              <w:rPr>
                <w:sz w:val="13"/>
                <w:szCs w:val="13"/>
              </w:rPr>
            </w:pPr>
            <w:r>
              <w:rPr>
                <w:sz w:val="13"/>
                <w:szCs w:val="13"/>
                <w:color w:val="212529"/>
                <w:spacing w:val="3"/>
              </w:rPr>
              <w:t>31.</w:t>
            </w:r>
            <w:r>
              <w:rPr>
                <w:sz w:val="13"/>
                <w:szCs w:val="13"/>
                <w:color w:val="212529"/>
                <w:spacing w:val="15"/>
                <w:w w:val="101"/>
              </w:rPr>
              <w:t xml:space="preserve"> </w:t>
            </w:r>
            <w:r>
              <w:rPr>
                <w:sz w:val="13"/>
                <w:szCs w:val="13"/>
                <w:color w:val="212529"/>
                <w:spacing w:val="3"/>
              </w:rPr>
              <w:t>26</w:t>
            </w:r>
          </w:p>
        </w:tc>
      </w:tr>
      <w:tr>
        <w:trPr>
          <w:trHeight w:val="314" w:hRule="atLeast"/>
        </w:trPr>
        <w:tc>
          <w:tcPr>
            <w:tcW w:w="1776"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21003</w:t>
            </w:r>
          </w:p>
        </w:tc>
        <w:tc>
          <w:tcPr>
            <w:tcW w:w="3337" w:type="dxa"/>
            <w:vAlign w:val="top"/>
          </w:tcPr>
          <w:p>
            <w:pPr>
              <w:ind w:left="2"/>
              <w:spacing w:before="83" w:line="228" w:lineRule="auto"/>
              <w:rPr>
                <w:rFonts w:ascii="SimSun" w:hAnsi="SimSun" w:eastAsia="SimSun" w:cs="SimSun"/>
                <w:sz w:val="15"/>
                <w:szCs w:val="15"/>
              </w:rPr>
            </w:pPr>
            <w:r>
              <w:rPr>
                <w:rFonts w:ascii="SimSun" w:hAnsi="SimSun" w:eastAsia="SimSun" w:cs="SimSun"/>
                <w:sz w:val="15"/>
                <w:szCs w:val="15"/>
                <w:color w:val="212529"/>
                <w:spacing w:val="11"/>
              </w:rPr>
              <w:t>基层医疗卫生机构</w:t>
            </w:r>
          </w:p>
        </w:tc>
        <w:tc>
          <w:tcPr>
            <w:tcW w:w="1404" w:type="dxa"/>
            <w:vAlign w:val="top"/>
          </w:tcPr>
          <w:p>
            <w:pPr>
              <w:ind w:right="19"/>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174.36</w:t>
            </w:r>
          </w:p>
        </w:tc>
        <w:tc>
          <w:tcPr>
            <w:tcW w:w="1361" w:type="dxa"/>
            <w:vAlign w:val="top"/>
          </w:tcPr>
          <w:p>
            <w:pPr>
              <w:pStyle w:val="TableText"/>
              <w:ind w:left="861"/>
              <w:spacing w:before="102" w:line="186" w:lineRule="auto"/>
              <w:rPr>
                <w:sz w:val="13"/>
                <w:szCs w:val="13"/>
              </w:rPr>
            </w:pPr>
            <w:r>
              <w:rPr>
                <w:sz w:val="13"/>
                <w:szCs w:val="13"/>
                <w:color w:val="212529"/>
                <w:spacing w:val="2"/>
              </w:rPr>
              <w:t>143.</w:t>
            </w:r>
            <w:r>
              <w:rPr>
                <w:sz w:val="13"/>
                <w:szCs w:val="13"/>
                <w:color w:val="212529"/>
                <w:spacing w:val="18"/>
                <w:w w:val="101"/>
              </w:rPr>
              <w:t xml:space="preserve"> </w:t>
            </w:r>
            <w:r>
              <w:rPr>
                <w:sz w:val="13"/>
                <w:szCs w:val="13"/>
                <w:color w:val="212529"/>
                <w:spacing w:val="2"/>
              </w:rPr>
              <w:t>10</w:t>
            </w:r>
          </w:p>
        </w:tc>
        <w:tc>
          <w:tcPr>
            <w:tcW w:w="1280" w:type="dxa"/>
            <w:vAlign w:val="top"/>
          </w:tcPr>
          <w:p>
            <w:pPr>
              <w:pStyle w:val="TableText"/>
              <w:ind w:left="851"/>
              <w:spacing w:before="102" w:line="186" w:lineRule="auto"/>
              <w:rPr>
                <w:sz w:val="13"/>
                <w:szCs w:val="13"/>
              </w:rPr>
            </w:pPr>
            <w:r>
              <w:rPr>
                <w:sz w:val="13"/>
                <w:szCs w:val="13"/>
                <w:color w:val="212529"/>
                <w:spacing w:val="3"/>
              </w:rPr>
              <w:t>31.</w:t>
            </w:r>
            <w:r>
              <w:rPr>
                <w:sz w:val="13"/>
                <w:szCs w:val="13"/>
                <w:color w:val="212529"/>
                <w:spacing w:val="15"/>
                <w:w w:val="101"/>
              </w:rPr>
              <w:t xml:space="preserve"> </w:t>
            </w:r>
            <w:r>
              <w:rPr>
                <w:sz w:val="13"/>
                <w:szCs w:val="13"/>
                <w:color w:val="212529"/>
                <w:spacing w:val="3"/>
              </w:rPr>
              <w:t>26</w:t>
            </w:r>
          </w:p>
        </w:tc>
      </w:tr>
      <w:tr>
        <w:trPr>
          <w:trHeight w:val="314" w:hRule="atLeast"/>
        </w:trPr>
        <w:tc>
          <w:tcPr>
            <w:tcW w:w="1776"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2100302</w:t>
            </w:r>
          </w:p>
        </w:tc>
        <w:tc>
          <w:tcPr>
            <w:tcW w:w="3337" w:type="dxa"/>
            <w:vAlign w:val="top"/>
          </w:tcPr>
          <w:p>
            <w:pPr>
              <w:ind w:left="10"/>
              <w:spacing w:before="83"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404" w:type="dxa"/>
            <w:vAlign w:val="top"/>
          </w:tcPr>
          <w:p>
            <w:pPr>
              <w:ind w:right="19"/>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143.10</w:t>
            </w:r>
          </w:p>
        </w:tc>
        <w:tc>
          <w:tcPr>
            <w:tcW w:w="1361" w:type="dxa"/>
            <w:vAlign w:val="top"/>
          </w:tcPr>
          <w:p>
            <w:pPr>
              <w:ind w:right="22"/>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143.10</w:t>
            </w:r>
          </w:p>
        </w:tc>
        <w:tc>
          <w:tcPr>
            <w:tcW w:w="1280" w:type="dxa"/>
            <w:vAlign w:val="top"/>
          </w:tcPr>
          <w:p>
            <w:pPr>
              <w:pStyle w:val="TableText"/>
              <w:rPr/>
            </w:pPr>
            <w:r/>
          </w:p>
        </w:tc>
      </w:tr>
      <w:tr>
        <w:trPr>
          <w:trHeight w:val="314" w:hRule="atLeast"/>
        </w:trPr>
        <w:tc>
          <w:tcPr>
            <w:tcW w:w="177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2100399</w:t>
            </w:r>
          </w:p>
        </w:tc>
        <w:tc>
          <w:tcPr>
            <w:tcW w:w="3337" w:type="dxa"/>
            <w:vAlign w:val="top"/>
          </w:tcPr>
          <w:p>
            <w:pPr>
              <w:ind w:left="2"/>
              <w:spacing w:before="84"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404" w:type="dxa"/>
            <w:vAlign w:val="top"/>
          </w:tcPr>
          <w:p>
            <w:pPr>
              <w:ind w:right="19"/>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31.26</w:t>
            </w:r>
          </w:p>
        </w:tc>
        <w:tc>
          <w:tcPr>
            <w:tcW w:w="1361" w:type="dxa"/>
            <w:vAlign w:val="top"/>
          </w:tcPr>
          <w:p>
            <w:pPr>
              <w:pStyle w:val="TableText"/>
              <w:rPr/>
            </w:pPr>
            <w:r/>
          </w:p>
        </w:tc>
        <w:tc>
          <w:tcPr>
            <w:tcW w:w="1280" w:type="dxa"/>
            <w:vAlign w:val="top"/>
          </w:tcPr>
          <w:p>
            <w:pPr>
              <w:ind w:right="24"/>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31.26</w:t>
            </w:r>
          </w:p>
        </w:tc>
      </w:tr>
      <w:tr>
        <w:trPr>
          <w:trHeight w:val="314" w:hRule="atLeast"/>
        </w:trPr>
        <w:tc>
          <w:tcPr>
            <w:tcW w:w="177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337" w:type="dxa"/>
            <w:vAlign w:val="top"/>
          </w:tcPr>
          <w:p>
            <w:pPr>
              <w:ind w:left="3"/>
              <w:spacing w:before="8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04" w:type="dxa"/>
            <w:vAlign w:val="top"/>
          </w:tcPr>
          <w:p>
            <w:pPr>
              <w:ind w:right="19"/>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5.91</w:t>
            </w:r>
          </w:p>
        </w:tc>
        <w:tc>
          <w:tcPr>
            <w:tcW w:w="1361" w:type="dxa"/>
            <w:vAlign w:val="top"/>
          </w:tcPr>
          <w:p>
            <w:pPr>
              <w:pStyle w:val="TableText"/>
              <w:rPr/>
            </w:pPr>
            <w:r/>
          </w:p>
        </w:tc>
        <w:tc>
          <w:tcPr>
            <w:tcW w:w="1280" w:type="dxa"/>
            <w:vAlign w:val="top"/>
          </w:tcPr>
          <w:p>
            <w:pPr>
              <w:pStyle w:val="TableText"/>
              <w:rPr/>
            </w:pPr>
            <w:r/>
          </w:p>
        </w:tc>
      </w:tr>
      <w:tr>
        <w:trPr>
          <w:trHeight w:val="314" w:hRule="atLeast"/>
        </w:trPr>
        <w:tc>
          <w:tcPr>
            <w:tcW w:w="1776"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337" w:type="dxa"/>
            <w:vAlign w:val="top"/>
          </w:tcPr>
          <w:p>
            <w:pPr>
              <w:ind w:left="4"/>
              <w:spacing w:before="8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04" w:type="dxa"/>
            <w:vAlign w:val="top"/>
          </w:tcPr>
          <w:p>
            <w:pPr>
              <w:ind w:right="19"/>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5.91</w:t>
            </w:r>
          </w:p>
        </w:tc>
        <w:tc>
          <w:tcPr>
            <w:tcW w:w="1361"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5.91</w:t>
            </w:r>
          </w:p>
        </w:tc>
        <w:tc>
          <w:tcPr>
            <w:tcW w:w="1280" w:type="dxa"/>
            <w:vAlign w:val="top"/>
          </w:tcPr>
          <w:p>
            <w:pPr>
              <w:pStyle w:val="TableText"/>
              <w:rPr/>
            </w:pPr>
            <w:r/>
          </w:p>
        </w:tc>
      </w:tr>
      <w:tr>
        <w:trPr>
          <w:trHeight w:val="314" w:hRule="atLeast"/>
        </w:trPr>
        <w:tc>
          <w:tcPr>
            <w:tcW w:w="1776"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337" w:type="dxa"/>
            <w:vAlign w:val="top"/>
          </w:tcPr>
          <w:p>
            <w:pPr>
              <w:ind w:left="3"/>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04" w:type="dxa"/>
            <w:vAlign w:val="top"/>
          </w:tcPr>
          <w:p>
            <w:pPr>
              <w:ind w:right="19"/>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13.27</w:t>
            </w:r>
          </w:p>
        </w:tc>
        <w:tc>
          <w:tcPr>
            <w:tcW w:w="1361" w:type="dxa"/>
            <w:vAlign w:val="top"/>
          </w:tcPr>
          <w:p>
            <w:pPr>
              <w:pStyle w:val="TableText"/>
              <w:ind w:left="942"/>
              <w:spacing w:before="104" w:line="186" w:lineRule="auto"/>
              <w:rPr>
                <w:sz w:val="13"/>
                <w:szCs w:val="13"/>
              </w:rPr>
            </w:pPr>
            <w:r>
              <w:rPr>
                <w:sz w:val="13"/>
                <w:szCs w:val="13"/>
                <w:color w:val="212529"/>
                <w:spacing w:val="1"/>
              </w:rPr>
              <w:t>13.</w:t>
            </w:r>
            <w:r>
              <w:rPr>
                <w:sz w:val="13"/>
                <w:szCs w:val="13"/>
                <w:color w:val="212529"/>
                <w:spacing w:val="15"/>
                <w:w w:val="101"/>
              </w:rPr>
              <w:t xml:space="preserve"> </w:t>
            </w:r>
            <w:r>
              <w:rPr>
                <w:sz w:val="13"/>
                <w:szCs w:val="13"/>
                <w:color w:val="212529"/>
                <w:spacing w:val="1"/>
              </w:rPr>
              <w:t>27</w:t>
            </w:r>
          </w:p>
        </w:tc>
        <w:tc>
          <w:tcPr>
            <w:tcW w:w="1280" w:type="dxa"/>
            <w:vAlign w:val="top"/>
          </w:tcPr>
          <w:p>
            <w:pPr>
              <w:pStyle w:val="TableText"/>
              <w:rPr/>
            </w:pPr>
            <w:r/>
          </w:p>
        </w:tc>
      </w:tr>
      <w:tr>
        <w:trPr>
          <w:trHeight w:val="314" w:hRule="atLeast"/>
        </w:trPr>
        <w:tc>
          <w:tcPr>
            <w:tcW w:w="1776"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337" w:type="dxa"/>
            <w:vAlign w:val="top"/>
          </w:tcPr>
          <w:p>
            <w:pPr>
              <w:ind w:left="3"/>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04" w:type="dxa"/>
            <w:vAlign w:val="top"/>
          </w:tcPr>
          <w:p>
            <w:pPr>
              <w:ind w:right="19"/>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13.27</w:t>
            </w:r>
          </w:p>
        </w:tc>
        <w:tc>
          <w:tcPr>
            <w:tcW w:w="1361" w:type="dxa"/>
            <w:vAlign w:val="top"/>
          </w:tcPr>
          <w:p>
            <w:pPr>
              <w:pStyle w:val="TableText"/>
              <w:ind w:left="942"/>
              <w:spacing w:before="104" w:line="186" w:lineRule="auto"/>
              <w:rPr>
                <w:sz w:val="13"/>
                <w:szCs w:val="13"/>
              </w:rPr>
            </w:pPr>
            <w:r>
              <w:rPr>
                <w:sz w:val="13"/>
                <w:szCs w:val="13"/>
                <w:color w:val="212529"/>
                <w:spacing w:val="1"/>
              </w:rPr>
              <w:t>13.</w:t>
            </w:r>
            <w:r>
              <w:rPr>
                <w:sz w:val="13"/>
                <w:szCs w:val="13"/>
                <w:color w:val="212529"/>
                <w:spacing w:val="15"/>
                <w:w w:val="101"/>
              </w:rPr>
              <w:t xml:space="preserve"> </w:t>
            </w:r>
            <w:r>
              <w:rPr>
                <w:sz w:val="13"/>
                <w:szCs w:val="13"/>
                <w:color w:val="212529"/>
                <w:spacing w:val="1"/>
              </w:rPr>
              <w:t>27</w:t>
            </w:r>
          </w:p>
        </w:tc>
        <w:tc>
          <w:tcPr>
            <w:tcW w:w="1280" w:type="dxa"/>
            <w:vAlign w:val="top"/>
          </w:tcPr>
          <w:p>
            <w:pPr>
              <w:pStyle w:val="TableText"/>
              <w:rPr/>
            </w:pPr>
            <w:r/>
          </w:p>
        </w:tc>
      </w:tr>
      <w:tr>
        <w:trPr>
          <w:trHeight w:val="319" w:hRule="atLeast"/>
        </w:trPr>
        <w:tc>
          <w:tcPr>
            <w:tcW w:w="1776"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337" w:type="dxa"/>
            <w:vAlign w:val="top"/>
          </w:tcPr>
          <w:p>
            <w:pPr>
              <w:ind w:left="3"/>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04" w:type="dxa"/>
            <w:vAlign w:val="top"/>
          </w:tcPr>
          <w:p>
            <w:pPr>
              <w:ind w:right="19"/>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13.27</w:t>
            </w:r>
          </w:p>
        </w:tc>
        <w:tc>
          <w:tcPr>
            <w:tcW w:w="1361" w:type="dxa"/>
            <w:vAlign w:val="top"/>
          </w:tcPr>
          <w:p>
            <w:pPr>
              <w:ind w:right="22"/>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13.27</w:t>
            </w:r>
          </w:p>
        </w:tc>
        <w:tc>
          <w:tcPr>
            <w:tcW w:w="1280" w:type="dxa"/>
            <w:vAlign w:val="top"/>
          </w:tcPr>
          <w:p>
            <w:pPr>
              <w:pStyle w:val="TableText"/>
              <w:rPr/>
            </w:pPr>
            <w:r/>
          </w:p>
        </w:tc>
      </w:tr>
    </w:tbl>
    <w:p>
      <w:pPr>
        <w:pStyle w:val="BodyText"/>
        <w:rPr/>
      </w:pPr>
      <w:r/>
    </w:p>
    <w:p>
      <w:pPr>
        <w:sectPr>
          <w:headerReference w:type="default" r:id="rId13"/>
          <w:footerReference w:type="default" r:id="rId14"/>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4" w:hRule="atLeast"/>
        </w:trPr>
        <w:tc>
          <w:tcPr>
            <w:tcW w:w="194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3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ind w:left="1198"/>
              <w:spacing w:before="115" w:line="225" w:lineRule="auto"/>
              <w:rPr>
                <w:rFonts w:ascii="SimSun" w:hAnsi="SimSun" w:eastAsia="SimSun" w:cs="SimSun"/>
                <w:sz w:val="14"/>
                <w:szCs w:val="14"/>
              </w:rPr>
            </w:pPr>
            <w:r>
              <w:rPr>
                <w:rFonts w:ascii="SimSun" w:hAnsi="SimSun" w:eastAsia="SimSun" w:cs="SimSun"/>
                <w:sz w:val="14"/>
                <w:szCs w:val="14"/>
                <w:color w:val="212529"/>
              </w:rPr>
              <w:t>预</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3"/>
            <w:bookmarkEnd w:id="13"/>
            <w:bookmarkStart w:name="bookmark9"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84" w:type="dxa"/>
            <w:vAlign w:val="top"/>
            <w:gridSpan w:val="6"/>
            <w:tcBorders>
              <w:top w:val="single" w:color="FFFFFF" w:sz="4" w:space="0"/>
              <w:left w:val="single" w:color="FFFFFF" w:sz="2" w:space="0"/>
              <w:right w:val="single" w:color="FFFFFF" w:sz="2" w:space="0"/>
            </w:tcBorders>
          </w:tcPr>
          <w:p>
            <w:pPr>
              <w:ind w:left="9"/>
              <w:spacing w:before="123" w:line="233" w:lineRule="auto"/>
              <w:rPr>
                <w:rFonts w:ascii="SimSun" w:hAnsi="SimSun" w:eastAsia="SimSun" w:cs="SimSun"/>
                <w:sz w:val="12"/>
                <w:szCs w:val="12"/>
              </w:rPr>
            </w:pPr>
            <w:r>
              <w:rPr>
                <w:rFonts w:ascii="SimSun" w:hAnsi="SimSun" w:eastAsia="SimSun" w:cs="SimSun"/>
                <w:sz w:val="12"/>
                <w:szCs w:val="12"/>
                <w:color w:val="212529"/>
                <w:spacing w:val="9"/>
              </w:rPr>
              <w:t>单位名称：兴县蔡家会镇中心卫生院</w:t>
            </w:r>
          </w:p>
        </w:tc>
        <w:tc>
          <w:tcPr>
            <w:tcW w:w="1074" w:type="dxa"/>
            <w:vAlign w:val="top"/>
            <w:tcBorders>
              <w:top w:val="single" w:color="FFFFFF" w:sz="4" w:space="0"/>
              <w:left w:val="single" w:color="FFFFFF" w:sz="2" w:space="0"/>
              <w:right w:val="single" w:color="FFFFFF" w:sz="2" w:space="0"/>
            </w:tcBorders>
          </w:tcPr>
          <w:p>
            <w:pPr>
              <w:ind w:left="401"/>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49" w:type="dxa"/>
            <w:vAlign w:val="top"/>
            <w:vMerge w:val="restart"/>
            <w:tcBorders>
              <w:bottom w:val="nil"/>
            </w:tcBorders>
          </w:tcPr>
          <w:p>
            <w:pPr>
              <w:ind w:left="80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48" w:type="dxa"/>
            <w:vAlign w:val="top"/>
            <w:vMerge w:val="restart"/>
            <w:tcBorders>
              <w:bottom w:val="nil"/>
            </w:tcBorders>
          </w:tcPr>
          <w:p>
            <w:pPr>
              <w:ind w:left="349"/>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2030" w:type="dxa"/>
            <w:vAlign w:val="top"/>
            <w:vMerge w:val="restart"/>
            <w:tcBorders>
              <w:bottom w:val="nil"/>
            </w:tcBorders>
          </w:tcPr>
          <w:p>
            <w:pPr>
              <w:ind w:left="84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31" w:type="dxa"/>
            <w:vAlign w:val="top"/>
            <w:gridSpan w:val="4"/>
          </w:tcPr>
          <w:p>
            <w:pPr>
              <w:ind w:left="188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49" w:type="dxa"/>
            <w:vAlign w:val="top"/>
            <w:vMerge w:val="continue"/>
            <w:tcBorders>
              <w:top w:val="nil"/>
            </w:tcBorders>
          </w:tcPr>
          <w:p>
            <w:pPr>
              <w:pStyle w:val="TableText"/>
              <w:rPr/>
            </w:pPr>
            <w:r/>
          </w:p>
        </w:tc>
        <w:tc>
          <w:tcPr>
            <w:tcW w:w="1048" w:type="dxa"/>
            <w:vAlign w:val="top"/>
            <w:vMerge w:val="continue"/>
            <w:tcBorders>
              <w:top w:val="nil"/>
            </w:tcBorders>
          </w:tcPr>
          <w:p>
            <w:pPr>
              <w:pStyle w:val="TableText"/>
              <w:rPr/>
            </w:pPr>
            <w:r/>
          </w:p>
        </w:tc>
        <w:tc>
          <w:tcPr>
            <w:tcW w:w="2030" w:type="dxa"/>
            <w:vAlign w:val="top"/>
            <w:vMerge w:val="continue"/>
            <w:tcBorders>
              <w:top w:val="nil"/>
            </w:tcBorders>
          </w:tcPr>
          <w:p>
            <w:pPr>
              <w:pStyle w:val="TableText"/>
              <w:rPr/>
            </w:pPr>
            <w:r/>
          </w:p>
        </w:tc>
        <w:tc>
          <w:tcPr>
            <w:tcW w:w="1048" w:type="dxa"/>
            <w:vAlign w:val="top"/>
          </w:tcPr>
          <w:p>
            <w:pPr>
              <w:ind w:left="354"/>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69" w:type="dxa"/>
            <w:vAlign w:val="top"/>
          </w:tcPr>
          <w:p>
            <w:pPr>
              <w:ind w:left="38"/>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40" w:type="dxa"/>
            <w:vAlign w:val="top"/>
          </w:tcPr>
          <w:p>
            <w:pPr>
              <w:ind w:left="57"/>
              <w:spacing w:before="2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297"/>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预算</w:t>
            </w:r>
          </w:p>
        </w:tc>
        <w:tc>
          <w:tcPr>
            <w:tcW w:w="1074" w:type="dxa"/>
            <w:vAlign w:val="top"/>
          </w:tcPr>
          <w:p>
            <w:pPr>
              <w:ind w:left="56"/>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61"/>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r>
      <w:tr>
        <w:trPr>
          <w:trHeight w:val="379"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209.49</w:t>
            </w:r>
          </w:p>
        </w:tc>
        <w:tc>
          <w:tcPr>
            <w:tcW w:w="2030" w:type="dxa"/>
            <w:vAlign w:val="top"/>
          </w:tcPr>
          <w:p>
            <w:pPr>
              <w:ind w:left="10"/>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ind w:left="7"/>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3"/>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1" w:right="75"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spacing w:val="3"/>
              </w:rPr>
              <w:t xml:space="preserve"> </w:t>
            </w:r>
            <w:r>
              <w:rPr>
                <w:rFonts w:ascii="SimSun" w:hAnsi="SimSun" w:eastAsia="SimSun" w:cs="SimSun"/>
                <w:sz w:val="15"/>
                <w:szCs w:val="15"/>
                <w:color w:val="212529"/>
              </w:rPr>
              <w:t>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48" w:type="dxa"/>
            <w:vAlign w:val="top"/>
          </w:tcPr>
          <w:p>
            <w:pPr>
              <w:ind w:right="23"/>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15.95</w:t>
            </w:r>
          </w:p>
        </w:tc>
        <w:tc>
          <w:tcPr>
            <w:tcW w:w="1069" w:type="dxa"/>
            <w:vAlign w:val="top"/>
          </w:tcPr>
          <w:p>
            <w:pPr>
              <w:ind w:right="1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.95</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48"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180.27</w:t>
            </w:r>
          </w:p>
        </w:tc>
        <w:tc>
          <w:tcPr>
            <w:tcW w:w="1069"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180.27</w:t>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48"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13.27</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13.27</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0" w:right="75"/>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理支出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right="75"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4" w:hRule="atLeast"/>
        </w:trPr>
        <w:tc>
          <w:tcPr>
            <w:tcW w:w="1949" w:type="dxa"/>
            <w:vAlign w:val="top"/>
          </w:tcPr>
          <w:p>
            <w:pPr>
              <w:ind w:left="478"/>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48" w:type="dxa"/>
            <w:vAlign w:val="top"/>
          </w:tcPr>
          <w:p>
            <w:pPr>
              <w:pStyle w:val="TableText"/>
              <w:ind w:left="273"/>
              <w:spacing w:before="138" w:line="172" w:lineRule="auto"/>
              <w:rPr>
                <w:sz w:val="14"/>
                <w:szCs w:val="14"/>
              </w:rPr>
            </w:pPr>
            <w:r>
              <w:rPr>
                <w:sz w:val="14"/>
                <w:szCs w:val="14"/>
                <w:color w:val="212529"/>
              </w:rPr>
              <w:t>209.</w:t>
            </w:r>
            <w:r>
              <w:rPr>
                <w:sz w:val="14"/>
                <w:szCs w:val="14"/>
                <w:color w:val="212529"/>
                <w:spacing w:val="6"/>
              </w:rPr>
              <w:t xml:space="preserve"> </w:t>
            </w:r>
            <w:r>
              <w:rPr>
                <w:sz w:val="14"/>
                <w:szCs w:val="14"/>
                <w:color w:val="212529"/>
              </w:rPr>
              <w:t>49</w:t>
            </w:r>
          </w:p>
        </w:tc>
        <w:tc>
          <w:tcPr>
            <w:tcW w:w="2030" w:type="dxa"/>
            <w:vAlign w:val="top"/>
          </w:tcPr>
          <w:p>
            <w:pPr>
              <w:ind w:left="51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48" w:type="dxa"/>
            <w:vAlign w:val="top"/>
          </w:tcPr>
          <w:p>
            <w:pPr>
              <w:pStyle w:val="TableText"/>
              <w:ind w:left="271"/>
              <w:spacing w:before="138" w:line="172" w:lineRule="auto"/>
              <w:rPr>
                <w:sz w:val="14"/>
                <w:szCs w:val="14"/>
              </w:rPr>
            </w:pPr>
            <w:r>
              <w:rPr>
                <w:sz w:val="14"/>
                <w:szCs w:val="14"/>
                <w:color w:val="212529"/>
              </w:rPr>
              <w:t>209.</w:t>
            </w:r>
            <w:r>
              <w:rPr>
                <w:sz w:val="14"/>
                <w:szCs w:val="14"/>
                <w:color w:val="212529"/>
                <w:spacing w:val="6"/>
              </w:rPr>
              <w:t xml:space="preserve"> </w:t>
            </w:r>
            <w:r>
              <w:rPr>
                <w:sz w:val="14"/>
                <w:szCs w:val="14"/>
                <w:color w:val="212529"/>
              </w:rPr>
              <w:t>49</w:t>
            </w:r>
          </w:p>
        </w:tc>
        <w:tc>
          <w:tcPr>
            <w:tcW w:w="1069" w:type="dxa"/>
            <w:vAlign w:val="top"/>
          </w:tcPr>
          <w:p>
            <w:pPr>
              <w:pStyle w:val="TableText"/>
              <w:ind w:left="286"/>
              <w:spacing w:before="138" w:line="172" w:lineRule="auto"/>
              <w:rPr>
                <w:sz w:val="14"/>
                <w:szCs w:val="14"/>
              </w:rPr>
            </w:pPr>
            <w:r>
              <w:rPr>
                <w:sz w:val="14"/>
                <w:szCs w:val="14"/>
                <w:color w:val="212529"/>
              </w:rPr>
              <w:t>209.</w:t>
            </w:r>
            <w:r>
              <w:rPr>
                <w:sz w:val="14"/>
                <w:szCs w:val="14"/>
                <w:color w:val="212529"/>
                <w:spacing w:val="6"/>
              </w:rPr>
              <w:t xml:space="preserve"> </w:t>
            </w:r>
            <w:r>
              <w:rPr>
                <w:sz w:val="14"/>
                <w:szCs w:val="14"/>
                <w:color w:val="212529"/>
              </w:rPr>
              <w:t>49</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15"/>
          <w:footerReference w:type="default" r:id="rId16"/>
          <w:pgSz w:w="11900" w:h="16840"/>
          <w:pgMar w:top="642" w:right="0" w:bottom="340" w:left="0" w:header="326" w:footer="111"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3" w:hRule="atLeast"/>
        </w:trPr>
        <w:tc>
          <w:tcPr>
            <w:tcW w:w="1949" w:type="dxa"/>
            <w:vAlign w:val="top"/>
          </w:tcPr>
          <w:p>
            <w:pPr>
              <w:ind w:left="7"/>
              <w:spacing w:before="113" w:line="229" w:lineRule="auto"/>
              <w:rPr>
                <w:rFonts w:ascii="SimSun" w:hAnsi="SimSun" w:eastAsia="SimSun" w:cs="SimSun"/>
                <w:sz w:val="15"/>
                <w:szCs w:val="15"/>
              </w:rPr>
            </w:pPr>
            <w:bookmarkStart w:name="bookmark40" w:id="15"/>
            <w:bookmarkEnd w:id="15"/>
            <w:r>
              <w:rPr>
                <w:rFonts w:ascii="SimSun" w:hAnsi="SimSun" w:eastAsia="SimSun" w:cs="SimSun"/>
                <w:sz w:val="15"/>
                <w:szCs w:val="15"/>
                <w:color w:val="212529"/>
                <w:spacing w:val="8"/>
              </w:rPr>
              <w:t>上年财</w:t>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3" w:hRule="atLeast"/>
        </w:trPr>
        <w:tc>
          <w:tcPr>
            <w:tcW w:w="1949" w:type="dxa"/>
            <w:vAlign w:val="top"/>
          </w:tcPr>
          <w:p>
            <w:pPr>
              <w:ind w:left="643"/>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48" w:type="dxa"/>
            <w:vAlign w:val="top"/>
          </w:tcPr>
          <w:p>
            <w:pPr>
              <w:pStyle w:val="TableText"/>
              <w:ind w:left="273"/>
              <w:spacing w:before="136" w:line="172" w:lineRule="auto"/>
              <w:rPr>
                <w:sz w:val="14"/>
                <w:szCs w:val="14"/>
              </w:rPr>
            </w:pPr>
            <w:r>
              <w:rPr>
                <w:sz w:val="14"/>
                <w:szCs w:val="14"/>
                <w:color w:val="212529"/>
              </w:rPr>
              <w:t>209.</w:t>
            </w:r>
            <w:r>
              <w:rPr>
                <w:sz w:val="14"/>
                <w:szCs w:val="14"/>
                <w:color w:val="212529"/>
                <w:spacing w:val="6"/>
              </w:rPr>
              <w:t xml:space="preserve"> </w:t>
            </w:r>
            <w:r>
              <w:rPr>
                <w:sz w:val="14"/>
                <w:szCs w:val="14"/>
                <w:color w:val="212529"/>
              </w:rPr>
              <w:t>49</w:t>
            </w:r>
          </w:p>
        </w:tc>
        <w:tc>
          <w:tcPr>
            <w:tcW w:w="2030" w:type="dxa"/>
            <w:vAlign w:val="top"/>
          </w:tcPr>
          <w:p>
            <w:pPr>
              <w:ind w:left="67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48" w:type="dxa"/>
            <w:vAlign w:val="top"/>
          </w:tcPr>
          <w:p>
            <w:pPr>
              <w:pStyle w:val="TableText"/>
              <w:ind w:left="271"/>
              <w:spacing w:before="136" w:line="186" w:lineRule="auto"/>
              <w:rPr>
                <w:sz w:val="13"/>
                <w:szCs w:val="13"/>
              </w:rPr>
            </w:pPr>
            <w:r>
              <w:rPr>
                <w:sz w:val="13"/>
                <w:szCs w:val="13"/>
                <w:color w:val="212529"/>
                <w:spacing w:val="4"/>
              </w:rPr>
              <w:t>209.</w:t>
            </w:r>
            <w:r>
              <w:rPr>
                <w:sz w:val="13"/>
                <w:szCs w:val="13"/>
                <w:color w:val="212529"/>
                <w:spacing w:val="15"/>
                <w:w w:val="102"/>
              </w:rPr>
              <w:t xml:space="preserve"> </w:t>
            </w:r>
            <w:r>
              <w:rPr>
                <w:sz w:val="13"/>
                <w:szCs w:val="13"/>
                <w:color w:val="212529"/>
                <w:spacing w:val="4"/>
              </w:rPr>
              <w:t>49</w:t>
            </w:r>
          </w:p>
        </w:tc>
        <w:tc>
          <w:tcPr>
            <w:tcW w:w="1069" w:type="dxa"/>
            <w:vAlign w:val="top"/>
          </w:tcPr>
          <w:p>
            <w:pPr>
              <w:pStyle w:val="TableText"/>
              <w:ind w:left="286"/>
              <w:spacing w:before="136" w:line="172" w:lineRule="auto"/>
              <w:rPr>
                <w:sz w:val="14"/>
                <w:szCs w:val="14"/>
              </w:rPr>
            </w:pPr>
            <w:r>
              <w:rPr>
                <w:sz w:val="14"/>
                <w:szCs w:val="14"/>
                <w:color w:val="212529"/>
              </w:rPr>
              <w:t>209.</w:t>
            </w:r>
            <w:r>
              <w:rPr>
                <w:sz w:val="14"/>
                <w:szCs w:val="14"/>
                <w:color w:val="212529"/>
                <w:spacing w:val="6"/>
              </w:rPr>
              <w:t xml:space="preserve"> </w:t>
            </w:r>
            <w:r>
              <w:rPr>
                <w:sz w:val="14"/>
                <w:szCs w:val="14"/>
                <w:color w:val="212529"/>
              </w:rPr>
              <w:t>49</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17"/>
          <w:footerReference w:type="default" r:id="rId18"/>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79"/>
        <w:gridCol w:w="3143"/>
        <w:gridCol w:w="1544"/>
        <w:gridCol w:w="1415"/>
        <w:gridCol w:w="1377"/>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6"/>
            <w:bookmarkEnd w:id="16"/>
            <w:bookmarkStart w:name="bookmark10"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81"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单位名称：兴县蔡家会镇中心卫生院</w:t>
            </w:r>
          </w:p>
        </w:tc>
        <w:tc>
          <w:tcPr>
            <w:tcW w:w="1377" w:type="dxa"/>
            <w:vAlign w:val="top"/>
            <w:tcBorders>
              <w:top w:val="single" w:color="FFFFFF" w:sz="4" w:space="0"/>
              <w:left w:val="single" w:color="FFFFFF" w:sz="2" w:space="0"/>
              <w:right w:val="single" w:color="FFFFFF" w:sz="2" w:space="0"/>
            </w:tcBorders>
          </w:tcPr>
          <w:p>
            <w:pPr>
              <w:ind w:left="704"/>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822" w:type="dxa"/>
            <w:vAlign w:val="top"/>
            <w:gridSpan w:val="2"/>
          </w:tcPr>
          <w:p>
            <w:pPr>
              <w:ind w:left="2239"/>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36" w:type="dxa"/>
            <w:vAlign w:val="top"/>
            <w:gridSpan w:val="3"/>
          </w:tcPr>
          <w:p>
            <w:pPr>
              <w:ind w:left="1675"/>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79" w:type="dxa"/>
            <w:vAlign w:val="top"/>
          </w:tcPr>
          <w:p>
            <w:pPr>
              <w:ind w:left="498"/>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43" w:type="dxa"/>
            <w:vAlign w:val="top"/>
          </w:tcPr>
          <w:p>
            <w:pPr>
              <w:ind w:left="123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44" w:type="dxa"/>
            <w:vAlign w:val="top"/>
          </w:tcPr>
          <w:p>
            <w:pPr>
              <w:ind w:left="603"/>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15" w:type="dxa"/>
            <w:vAlign w:val="top"/>
          </w:tcPr>
          <w:p>
            <w:pPr>
              <w:ind w:left="369"/>
              <w:spacing w:before="64"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377" w:type="dxa"/>
            <w:vAlign w:val="top"/>
          </w:tcPr>
          <w:p>
            <w:pPr>
              <w:ind w:left="35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822" w:type="dxa"/>
            <w:vAlign w:val="top"/>
            <w:gridSpan w:val="2"/>
          </w:tcPr>
          <w:p>
            <w:pPr>
              <w:ind w:left="2241"/>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44" w:type="dxa"/>
            <w:vAlign w:val="top"/>
          </w:tcPr>
          <w:p>
            <w:pPr>
              <w:pStyle w:val="TableText"/>
              <w:ind w:left="1035"/>
              <w:spacing w:before="87" w:line="172" w:lineRule="auto"/>
              <w:rPr>
                <w:sz w:val="14"/>
                <w:szCs w:val="14"/>
              </w:rPr>
            </w:pPr>
            <w:r>
              <w:rPr>
                <w:sz w:val="14"/>
                <w:szCs w:val="14"/>
                <w:color w:val="212529"/>
              </w:rPr>
              <w:t>209.</w:t>
            </w:r>
            <w:r>
              <w:rPr>
                <w:sz w:val="14"/>
                <w:szCs w:val="14"/>
                <w:color w:val="212529"/>
                <w:spacing w:val="6"/>
              </w:rPr>
              <w:t xml:space="preserve"> </w:t>
            </w:r>
            <w:r>
              <w:rPr>
                <w:sz w:val="14"/>
                <w:szCs w:val="14"/>
                <w:color w:val="212529"/>
              </w:rPr>
              <w:t>49</w:t>
            </w:r>
          </w:p>
        </w:tc>
        <w:tc>
          <w:tcPr>
            <w:tcW w:w="1415" w:type="dxa"/>
            <w:vAlign w:val="top"/>
          </w:tcPr>
          <w:p>
            <w:pPr>
              <w:pStyle w:val="TableText"/>
              <w:ind w:left="914"/>
              <w:spacing w:before="86" w:line="162" w:lineRule="auto"/>
              <w:rPr>
                <w:sz w:val="15"/>
                <w:szCs w:val="15"/>
              </w:rPr>
            </w:pPr>
            <w:r>
              <w:rPr>
                <w:sz w:val="15"/>
                <w:szCs w:val="15"/>
                <w:color w:val="212529"/>
              </w:rPr>
              <w:t>178.23</w:t>
            </w:r>
          </w:p>
        </w:tc>
        <w:tc>
          <w:tcPr>
            <w:tcW w:w="1377" w:type="dxa"/>
            <w:vAlign w:val="top"/>
          </w:tcPr>
          <w:p>
            <w:pPr>
              <w:pStyle w:val="TableText"/>
              <w:ind w:left="948"/>
              <w:spacing w:before="87" w:line="186" w:lineRule="auto"/>
              <w:rPr>
                <w:sz w:val="13"/>
                <w:szCs w:val="13"/>
              </w:rPr>
            </w:pPr>
            <w:r>
              <w:rPr>
                <w:sz w:val="13"/>
                <w:szCs w:val="13"/>
                <w:color w:val="212529"/>
                <w:spacing w:val="3"/>
              </w:rPr>
              <w:t>31.</w:t>
            </w:r>
            <w:r>
              <w:rPr>
                <w:sz w:val="13"/>
                <w:szCs w:val="13"/>
                <w:color w:val="212529"/>
                <w:spacing w:val="15"/>
                <w:w w:val="101"/>
              </w:rPr>
              <w:t xml:space="preserve"> </w:t>
            </w:r>
            <w:r>
              <w:rPr>
                <w:sz w:val="13"/>
                <w:szCs w:val="13"/>
                <w:color w:val="212529"/>
                <w:spacing w:val="3"/>
              </w:rPr>
              <w:t>26</w:t>
            </w:r>
          </w:p>
        </w:tc>
      </w:tr>
      <w:tr>
        <w:trPr>
          <w:trHeight w:val="292" w:hRule="atLeast"/>
        </w:trPr>
        <w:tc>
          <w:tcPr>
            <w:tcW w:w="1679"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143" w:type="dxa"/>
            <w:vAlign w:val="top"/>
          </w:tcPr>
          <w:p>
            <w:pPr>
              <w:spacing w:before="69"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44" w:type="dxa"/>
            <w:vAlign w:val="top"/>
          </w:tcPr>
          <w:p>
            <w:pPr>
              <w:ind w:right="22"/>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15.95</w:t>
            </w:r>
          </w:p>
        </w:tc>
        <w:tc>
          <w:tcPr>
            <w:tcW w:w="1415"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15.95</w:t>
            </w:r>
          </w:p>
        </w:tc>
        <w:tc>
          <w:tcPr>
            <w:tcW w:w="1377" w:type="dxa"/>
            <w:vAlign w:val="top"/>
          </w:tcPr>
          <w:p>
            <w:pPr>
              <w:pStyle w:val="TableText"/>
              <w:rPr/>
            </w:pPr>
            <w:r/>
          </w:p>
        </w:tc>
      </w:tr>
      <w:tr>
        <w:trPr>
          <w:trHeight w:val="292" w:hRule="atLeast"/>
        </w:trPr>
        <w:tc>
          <w:tcPr>
            <w:tcW w:w="1679"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143" w:type="dxa"/>
            <w:vAlign w:val="top"/>
          </w:tcPr>
          <w:p>
            <w:pPr>
              <w:spacing w:before="69"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44" w:type="dxa"/>
            <w:vAlign w:val="top"/>
          </w:tcPr>
          <w:p>
            <w:pPr>
              <w:ind w:right="22"/>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15.95</w:t>
            </w:r>
          </w:p>
        </w:tc>
        <w:tc>
          <w:tcPr>
            <w:tcW w:w="1415"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15.95</w:t>
            </w:r>
          </w:p>
        </w:tc>
        <w:tc>
          <w:tcPr>
            <w:tcW w:w="1377" w:type="dxa"/>
            <w:vAlign w:val="top"/>
          </w:tcPr>
          <w:p>
            <w:pPr>
              <w:pStyle w:val="TableText"/>
              <w:rPr/>
            </w:pPr>
            <w:r/>
          </w:p>
        </w:tc>
      </w:tr>
      <w:tr>
        <w:trPr>
          <w:trHeight w:val="292" w:hRule="atLeast"/>
        </w:trPr>
        <w:tc>
          <w:tcPr>
            <w:tcW w:w="1679"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143" w:type="dxa"/>
            <w:vAlign w:val="top"/>
          </w:tcPr>
          <w:p>
            <w:pPr>
              <w:spacing w:before="70"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544"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1.54</w:t>
            </w:r>
          </w:p>
        </w:tc>
        <w:tc>
          <w:tcPr>
            <w:tcW w:w="1415"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1.54</w:t>
            </w:r>
          </w:p>
        </w:tc>
        <w:tc>
          <w:tcPr>
            <w:tcW w:w="1377" w:type="dxa"/>
            <w:vAlign w:val="top"/>
          </w:tcPr>
          <w:p>
            <w:pPr>
              <w:pStyle w:val="TableText"/>
              <w:rPr/>
            </w:pPr>
            <w:r/>
          </w:p>
        </w:tc>
      </w:tr>
      <w:tr>
        <w:trPr>
          <w:trHeight w:val="292" w:hRule="atLeast"/>
        </w:trPr>
        <w:tc>
          <w:tcPr>
            <w:tcW w:w="1679"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143" w:type="dxa"/>
            <w:vAlign w:val="top"/>
          </w:tcPr>
          <w:p>
            <w:pPr>
              <w:spacing w:before="71"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4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14.41</w:t>
            </w:r>
          </w:p>
        </w:tc>
        <w:tc>
          <w:tcPr>
            <w:tcW w:w="1415"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14.41</w:t>
            </w:r>
          </w:p>
        </w:tc>
        <w:tc>
          <w:tcPr>
            <w:tcW w:w="1377" w:type="dxa"/>
            <w:vAlign w:val="top"/>
          </w:tcPr>
          <w:p>
            <w:pPr>
              <w:pStyle w:val="TableText"/>
              <w:rPr/>
            </w:pPr>
            <w:r/>
          </w:p>
        </w:tc>
      </w:tr>
      <w:tr>
        <w:trPr>
          <w:trHeight w:val="292" w:hRule="atLeast"/>
        </w:trPr>
        <w:tc>
          <w:tcPr>
            <w:tcW w:w="1679"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143" w:type="dxa"/>
            <w:vAlign w:val="top"/>
          </w:tcPr>
          <w:p>
            <w:pPr>
              <w:spacing w:before="71"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4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180.27</w:t>
            </w:r>
          </w:p>
        </w:tc>
        <w:tc>
          <w:tcPr>
            <w:tcW w:w="1415"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149.01</w:t>
            </w:r>
          </w:p>
        </w:tc>
        <w:tc>
          <w:tcPr>
            <w:tcW w:w="1377"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31.26</w:t>
            </w:r>
          </w:p>
        </w:tc>
      </w:tr>
      <w:tr>
        <w:trPr>
          <w:trHeight w:val="292" w:hRule="atLeast"/>
        </w:trPr>
        <w:tc>
          <w:tcPr>
            <w:tcW w:w="1679"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21003</w:t>
            </w:r>
          </w:p>
        </w:tc>
        <w:tc>
          <w:tcPr>
            <w:tcW w:w="3143" w:type="dxa"/>
            <w:vAlign w:val="top"/>
          </w:tcPr>
          <w:p>
            <w:pPr>
              <w:spacing w:before="72" w:line="228" w:lineRule="auto"/>
              <w:rPr>
                <w:rFonts w:ascii="SimSun" w:hAnsi="SimSun" w:eastAsia="SimSun" w:cs="SimSun"/>
                <w:sz w:val="15"/>
                <w:szCs w:val="15"/>
              </w:rPr>
            </w:pPr>
            <w:r>
              <w:rPr>
                <w:rFonts w:ascii="SimSun" w:hAnsi="SimSun" w:eastAsia="SimSun" w:cs="SimSun"/>
                <w:sz w:val="15"/>
                <w:szCs w:val="15"/>
                <w:color w:val="212529"/>
                <w:spacing w:val="10"/>
              </w:rPr>
              <w:t>基层医疗卫生机构</w:t>
            </w:r>
          </w:p>
        </w:tc>
        <w:tc>
          <w:tcPr>
            <w:tcW w:w="1544"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174.36</w:t>
            </w:r>
          </w:p>
        </w:tc>
        <w:tc>
          <w:tcPr>
            <w:tcW w:w="1415"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143.10</w:t>
            </w:r>
          </w:p>
        </w:tc>
        <w:tc>
          <w:tcPr>
            <w:tcW w:w="1377"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31.26</w:t>
            </w:r>
          </w:p>
        </w:tc>
      </w:tr>
      <w:tr>
        <w:trPr>
          <w:trHeight w:val="292" w:hRule="atLeast"/>
        </w:trPr>
        <w:tc>
          <w:tcPr>
            <w:tcW w:w="1679"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2100302</w:t>
            </w:r>
          </w:p>
        </w:tc>
        <w:tc>
          <w:tcPr>
            <w:tcW w:w="3143" w:type="dxa"/>
            <w:vAlign w:val="top"/>
          </w:tcPr>
          <w:p>
            <w:pPr>
              <w:ind w:left="5"/>
              <w:spacing w:before="73"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544"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143.10</w:t>
            </w:r>
          </w:p>
        </w:tc>
        <w:tc>
          <w:tcPr>
            <w:tcW w:w="1415"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143.10</w:t>
            </w:r>
          </w:p>
        </w:tc>
        <w:tc>
          <w:tcPr>
            <w:tcW w:w="1377" w:type="dxa"/>
            <w:vAlign w:val="top"/>
          </w:tcPr>
          <w:p>
            <w:pPr>
              <w:pStyle w:val="TableText"/>
              <w:rPr/>
            </w:pPr>
            <w:r/>
          </w:p>
        </w:tc>
      </w:tr>
      <w:tr>
        <w:trPr>
          <w:trHeight w:val="292" w:hRule="atLeast"/>
        </w:trPr>
        <w:tc>
          <w:tcPr>
            <w:tcW w:w="1679"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3143" w:type="dxa"/>
            <w:vAlign w:val="top"/>
          </w:tcPr>
          <w:p>
            <w:pPr>
              <w:spacing w:before="74"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544" w:type="dxa"/>
            <w:vAlign w:val="top"/>
          </w:tcPr>
          <w:p>
            <w:pPr>
              <w:ind w:right="22"/>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31.26</w:t>
            </w:r>
          </w:p>
        </w:tc>
        <w:tc>
          <w:tcPr>
            <w:tcW w:w="1415" w:type="dxa"/>
            <w:vAlign w:val="top"/>
          </w:tcPr>
          <w:p>
            <w:pPr>
              <w:pStyle w:val="TableText"/>
              <w:rPr/>
            </w:pPr>
            <w:r/>
          </w:p>
        </w:tc>
        <w:tc>
          <w:tcPr>
            <w:tcW w:w="1377" w:type="dxa"/>
            <w:vAlign w:val="top"/>
          </w:tcPr>
          <w:p>
            <w:pPr>
              <w:ind w:right="24"/>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1.26</w:t>
            </w:r>
          </w:p>
        </w:tc>
      </w:tr>
      <w:tr>
        <w:trPr>
          <w:trHeight w:val="292" w:hRule="atLeast"/>
        </w:trPr>
        <w:tc>
          <w:tcPr>
            <w:tcW w:w="1679" w:type="dxa"/>
            <w:vAlign w:val="top"/>
          </w:tcPr>
          <w:p>
            <w:pPr>
              <w:ind w:left="261"/>
              <w:spacing w:before="74" w:line="204" w:lineRule="exact"/>
              <w:rPr>
                <w:rFonts w:ascii="SimSun" w:hAnsi="SimSun" w:eastAsia="SimSun" w:cs="SimSun"/>
                <w:sz w:val="15"/>
                <w:szCs w:val="15"/>
              </w:rPr>
            </w:pPr>
            <w:r>
              <w:rPr>
                <w:rFonts w:ascii="SimSun" w:hAnsi="SimSun" w:eastAsia="SimSun" w:cs="SimSun"/>
                <w:sz w:val="15"/>
                <w:szCs w:val="15"/>
                <w:color w:val="212529"/>
                <w:spacing w:val="-4"/>
                <w:position w:val="1"/>
              </w:rPr>
              <w:t>11</w:t>
            </w:r>
          </w:p>
        </w:tc>
        <w:tc>
          <w:tcPr>
            <w:tcW w:w="3143" w:type="dxa"/>
            <w:vAlign w:val="top"/>
          </w:tcPr>
          <w:p>
            <w:pPr>
              <w:spacing w:before="7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44"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5.91</w:t>
            </w:r>
          </w:p>
        </w:tc>
        <w:tc>
          <w:tcPr>
            <w:tcW w:w="1415" w:type="dxa"/>
            <w:vAlign w:val="top"/>
          </w:tcPr>
          <w:p>
            <w:pPr>
              <w:ind w:left="1067"/>
              <w:spacing w:before="74"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377" w:type="dxa"/>
            <w:vAlign w:val="top"/>
          </w:tcPr>
          <w:p>
            <w:pPr>
              <w:pStyle w:val="TableText"/>
              <w:rPr/>
            </w:pPr>
            <w:r/>
          </w:p>
        </w:tc>
      </w:tr>
      <w:tr>
        <w:trPr>
          <w:trHeight w:val="293" w:hRule="atLeast"/>
        </w:trPr>
        <w:tc>
          <w:tcPr>
            <w:tcW w:w="1679"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143"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4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5.91</w:t>
            </w:r>
          </w:p>
        </w:tc>
        <w:tc>
          <w:tcPr>
            <w:tcW w:w="1415" w:type="dxa"/>
            <w:vAlign w:val="top"/>
          </w:tcPr>
          <w:p>
            <w:pPr>
              <w:ind w:left="1149"/>
              <w:spacing w:before="191"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377" w:type="dxa"/>
            <w:vAlign w:val="top"/>
          </w:tcPr>
          <w:p>
            <w:pPr>
              <w:pStyle w:val="TableText"/>
              <w:rPr/>
            </w:pPr>
            <w:r/>
          </w:p>
        </w:tc>
      </w:tr>
      <w:tr>
        <w:trPr>
          <w:trHeight w:val="293" w:hRule="atLeast"/>
        </w:trPr>
        <w:tc>
          <w:tcPr>
            <w:tcW w:w="1679"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143" w:type="dxa"/>
            <w:vAlign w:val="top"/>
          </w:tcPr>
          <w:p>
            <w:pPr>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4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13.27</w:t>
            </w:r>
          </w:p>
        </w:tc>
        <w:tc>
          <w:tcPr>
            <w:tcW w:w="1415"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.27</w:t>
            </w:r>
          </w:p>
        </w:tc>
        <w:tc>
          <w:tcPr>
            <w:tcW w:w="1377" w:type="dxa"/>
            <w:vAlign w:val="top"/>
          </w:tcPr>
          <w:p>
            <w:pPr>
              <w:pStyle w:val="TableText"/>
              <w:rPr/>
            </w:pPr>
            <w:r/>
          </w:p>
        </w:tc>
      </w:tr>
      <w:tr>
        <w:trPr>
          <w:trHeight w:val="292" w:hRule="atLeast"/>
        </w:trPr>
        <w:tc>
          <w:tcPr>
            <w:tcW w:w="1679"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143" w:type="dxa"/>
            <w:vAlign w:val="top"/>
          </w:tcPr>
          <w:p>
            <w:pPr>
              <w:spacing w:before="74"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44"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13.27</w:t>
            </w:r>
          </w:p>
        </w:tc>
        <w:tc>
          <w:tcPr>
            <w:tcW w:w="1415"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13.27</w:t>
            </w:r>
          </w:p>
        </w:tc>
        <w:tc>
          <w:tcPr>
            <w:tcW w:w="1377" w:type="dxa"/>
            <w:vAlign w:val="top"/>
          </w:tcPr>
          <w:p>
            <w:pPr>
              <w:pStyle w:val="TableText"/>
              <w:rPr/>
            </w:pPr>
            <w:r/>
          </w:p>
        </w:tc>
      </w:tr>
      <w:tr>
        <w:trPr>
          <w:trHeight w:val="298" w:hRule="atLeast"/>
        </w:trPr>
        <w:tc>
          <w:tcPr>
            <w:tcW w:w="1679"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143"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9"/>
              </w:rPr>
              <w:t>住房公积金</w:t>
            </w:r>
          </w:p>
        </w:tc>
        <w:tc>
          <w:tcPr>
            <w:tcW w:w="154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13.27</w:t>
            </w:r>
          </w:p>
        </w:tc>
        <w:tc>
          <w:tcPr>
            <w:tcW w:w="1415"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13.27</w:t>
            </w:r>
          </w:p>
        </w:tc>
        <w:tc>
          <w:tcPr>
            <w:tcW w:w="1377" w:type="dxa"/>
            <w:vAlign w:val="top"/>
          </w:tcPr>
          <w:p>
            <w:pPr>
              <w:pStyle w:val="TableText"/>
              <w:rPr/>
            </w:pPr>
            <w:r/>
          </w:p>
        </w:tc>
      </w:tr>
    </w:tbl>
    <w:p>
      <w:pPr>
        <w:pStyle w:val="BodyText"/>
        <w:rPr/>
      </w:pPr>
      <w:r/>
    </w:p>
    <w:p>
      <w:pPr>
        <w:sectPr>
          <w:headerReference w:type="default" r:id="rId19"/>
          <w:footerReference w:type="default" r:id="rId20"/>
          <w:pgSz w:w="11900" w:h="16840"/>
          <w:pgMar w:top="642" w:right="0" w:bottom="340" w:left="0" w:header="326" w:footer="111" w:gutter="0"/>
        </w:sectPr>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10"/>
        <w:gridCol w:w="2278"/>
        <w:gridCol w:w="1188"/>
        <w:gridCol w:w="1188"/>
        <w:gridCol w:w="1118"/>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776" w:type="dxa"/>
            <w:vAlign w:val="top"/>
            <w:gridSpan w:val="3"/>
            <w:tcBorders>
              <w:top w:val="single" w:color="FFFFFF" w:sz="4" w:space="0"/>
              <w:left w:val="single" w:color="FFFFFF" w:sz="2" w:space="0"/>
              <w:right w:val="single" w:color="FFFFFF" w:sz="2" w:space="0"/>
            </w:tcBorders>
          </w:tcPr>
          <w:p>
            <w:pPr>
              <w:ind w:left="9"/>
              <w:spacing w:before="79" w:line="233" w:lineRule="auto"/>
              <w:rPr>
                <w:rFonts w:ascii="SimSun" w:hAnsi="SimSun" w:eastAsia="SimSun" w:cs="SimSun"/>
                <w:sz w:val="12"/>
                <w:szCs w:val="12"/>
              </w:rPr>
            </w:pPr>
            <w:r>
              <w:rPr>
                <w:rFonts w:ascii="SimSun" w:hAnsi="SimSun" w:eastAsia="SimSun" w:cs="SimSun"/>
                <w:sz w:val="12"/>
                <w:szCs w:val="12"/>
                <w:color w:val="212529"/>
                <w:spacing w:val="9"/>
              </w:rPr>
              <w:t>单位名称：兴县蔡家会镇中心卫生院</w:t>
            </w:r>
          </w:p>
        </w:tc>
        <w:tc>
          <w:tcPr>
            <w:tcW w:w="1188" w:type="dxa"/>
            <w:vAlign w:val="top"/>
            <w:tcBorders>
              <w:top w:val="single" w:color="FFFFFF" w:sz="4" w:space="0"/>
              <w:left w:val="single" w:color="FFFFFF" w:sz="2" w:space="0"/>
              <w:right w:val="single" w:color="FFFFFF" w:sz="2" w:space="0"/>
            </w:tcBorders>
          </w:tcPr>
          <w:p>
            <w:pPr>
              <w:pStyle w:val="TableText"/>
              <w:rPr/>
            </w:pPr>
            <w:r/>
          </w:p>
        </w:tc>
        <w:tc>
          <w:tcPr>
            <w:tcW w:w="1118" w:type="dxa"/>
            <w:vAlign w:val="top"/>
            <w:tcBorders>
              <w:top w:val="single" w:color="FFFFFF" w:sz="4" w:space="0"/>
              <w:left w:val="single" w:color="FFFFFF" w:sz="2" w:space="0"/>
              <w:right w:val="single" w:color="FFFFFF" w:sz="2" w:space="0"/>
            </w:tcBorders>
          </w:tcPr>
          <w:p>
            <w:pPr>
              <w:ind w:left="447"/>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10" w:type="dxa"/>
            <w:vAlign w:val="top"/>
            <w:vMerge w:val="restart"/>
            <w:tcBorders>
              <w:bottom w:val="nil"/>
            </w:tcBorders>
          </w:tcPr>
          <w:p>
            <w:pPr>
              <w:ind w:left="66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78" w:type="dxa"/>
            <w:vAlign w:val="top"/>
            <w:vMerge w:val="restart"/>
            <w:tcBorders>
              <w:bottom w:val="nil"/>
            </w:tcBorders>
          </w:tcPr>
          <w:p>
            <w:pPr>
              <w:ind w:left="152"/>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94" w:type="dxa"/>
            <w:vAlign w:val="top"/>
            <w:gridSpan w:val="3"/>
          </w:tcPr>
          <w:p>
            <w:pPr>
              <w:ind w:left="1253"/>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10" w:type="dxa"/>
            <w:vAlign w:val="top"/>
            <w:vMerge w:val="continue"/>
            <w:tcBorders>
              <w:top w:val="nil"/>
            </w:tcBorders>
          </w:tcPr>
          <w:p>
            <w:pPr>
              <w:pStyle w:val="TableText"/>
              <w:rPr/>
            </w:pPr>
            <w:r/>
          </w:p>
        </w:tc>
        <w:tc>
          <w:tcPr>
            <w:tcW w:w="2278" w:type="dxa"/>
            <w:vAlign w:val="top"/>
            <w:vMerge w:val="continue"/>
            <w:tcBorders>
              <w:top w:val="nil"/>
            </w:tcBorders>
          </w:tcPr>
          <w:p>
            <w:pPr>
              <w:pStyle w:val="TableText"/>
              <w:rPr/>
            </w:pPr>
            <w:r/>
          </w:p>
        </w:tc>
        <w:tc>
          <w:tcPr>
            <w:tcW w:w="1188" w:type="dxa"/>
            <w:vAlign w:val="top"/>
          </w:tcPr>
          <w:p>
            <w:pPr>
              <w:ind w:left="424"/>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88" w:type="dxa"/>
            <w:vAlign w:val="top"/>
          </w:tcPr>
          <w:p>
            <w:pPr>
              <w:ind w:left="264"/>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18" w:type="dxa"/>
            <w:vAlign w:val="top"/>
          </w:tcPr>
          <w:p>
            <w:pPr>
              <w:ind w:left="233"/>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588" w:type="dxa"/>
            <w:vAlign w:val="top"/>
            <w:gridSpan w:val="2"/>
          </w:tcPr>
          <w:p>
            <w:pPr>
              <w:ind w:left="2634"/>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88" w:type="dxa"/>
            <w:vAlign w:val="top"/>
          </w:tcPr>
          <w:p>
            <w:pPr>
              <w:pStyle w:val="TableText"/>
              <w:ind w:left="691"/>
              <w:spacing w:before="86" w:line="162" w:lineRule="auto"/>
              <w:rPr>
                <w:sz w:val="15"/>
                <w:szCs w:val="15"/>
              </w:rPr>
            </w:pPr>
            <w:r>
              <w:rPr>
                <w:sz w:val="15"/>
                <w:szCs w:val="15"/>
                <w:color w:val="212529"/>
              </w:rPr>
              <w:t>178.23</w:t>
            </w:r>
          </w:p>
        </w:tc>
        <w:tc>
          <w:tcPr>
            <w:tcW w:w="1188" w:type="dxa"/>
            <w:vAlign w:val="top"/>
          </w:tcPr>
          <w:p>
            <w:pPr>
              <w:pStyle w:val="TableText"/>
              <w:ind w:left="694"/>
              <w:spacing w:before="87" w:line="186" w:lineRule="auto"/>
              <w:rPr>
                <w:sz w:val="13"/>
                <w:szCs w:val="13"/>
              </w:rPr>
            </w:pPr>
            <w:r>
              <w:rPr>
                <w:sz w:val="13"/>
                <w:szCs w:val="13"/>
                <w:color w:val="212529"/>
                <w:spacing w:val="2"/>
              </w:rPr>
              <w:t>163.</w:t>
            </w:r>
            <w:r>
              <w:rPr>
                <w:sz w:val="13"/>
                <w:szCs w:val="13"/>
                <w:color w:val="212529"/>
                <w:spacing w:val="17"/>
              </w:rPr>
              <w:t xml:space="preserve"> </w:t>
            </w:r>
            <w:r>
              <w:rPr>
                <w:sz w:val="13"/>
                <w:szCs w:val="13"/>
                <w:color w:val="212529"/>
                <w:spacing w:val="2"/>
              </w:rPr>
              <w:t>02</w:t>
            </w:r>
          </w:p>
        </w:tc>
        <w:tc>
          <w:tcPr>
            <w:tcW w:w="1118" w:type="dxa"/>
            <w:vAlign w:val="top"/>
          </w:tcPr>
          <w:p>
            <w:pPr>
              <w:pStyle w:val="TableText"/>
              <w:ind w:left="699"/>
              <w:spacing w:before="87" w:line="186" w:lineRule="auto"/>
              <w:rPr>
                <w:sz w:val="13"/>
                <w:szCs w:val="13"/>
              </w:rPr>
            </w:pPr>
            <w:r>
              <w:rPr>
                <w:sz w:val="13"/>
                <w:szCs w:val="13"/>
                <w:color w:val="212529"/>
              </w:rPr>
              <w:t>15.</w:t>
            </w:r>
            <w:r>
              <w:rPr>
                <w:sz w:val="13"/>
                <w:szCs w:val="13"/>
                <w:color w:val="212529"/>
                <w:spacing w:val="14"/>
                <w:w w:val="101"/>
              </w:rPr>
              <w:t xml:space="preserve"> </w:t>
            </w:r>
            <w:r>
              <w:rPr>
                <w:sz w:val="13"/>
                <w:szCs w:val="13"/>
                <w:color w:val="212529"/>
              </w:rPr>
              <w:t>21</w:t>
            </w:r>
          </w:p>
        </w:tc>
      </w:tr>
      <w:tr>
        <w:trPr>
          <w:trHeight w:val="292" w:hRule="atLeast"/>
        </w:trPr>
        <w:tc>
          <w:tcPr>
            <w:tcW w:w="3310"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78" w:type="dxa"/>
            <w:vAlign w:val="top"/>
          </w:tcPr>
          <w:p>
            <w:pPr>
              <w:pStyle w:val="TableText"/>
              <w:rPr/>
            </w:pPr>
            <w:r/>
          </w:p>
        </w:tc>
        <w:tc>
          <w:tcPr>
            <w:tcW w:w="1188" w:type="dxa"/>
            <w:vAlign w:val="top"/>
          </w:tcPr>
          <w:p>
            <w:pPr>
              <w:ind w:right="19"/>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161.48</w:t>
            </w:r>
          </w:p>
        </w:tc>
        <w:tc>
          <w:tcPr>
            <w:tcW w:w="1188" w:type="dxa"/>
            <w:vAlign w:val="top"/>
          </w:tcPr>
          <w:p>
            <w:pPr>
              <w:ind w:right="1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161.48</w:t>
            </w:r>
          </w:p>
        </w:tc>
        <w:tc>
          <w:tcPr>
            <w:tcW w:w="1118" w:type="dxa"/>
            <w:vAlign w:val="top"/>
          </w:tcPr>
          <w:p>
            <w:pPr>
              <w:pStyle w:val="TableText"/>
              <w:rPr/>
            </w:pPr>
            <w:r/>
          </w:p>
        </w:tc>
      </w:tr>
      <w:tr>
        <w:trPr>
          <w:trHeight w:val="292" w:hRule="atLeast"/>
        </w:trPr>
        <w:tc>
          <w:tcPr>
            <w:tcW w:w="3310"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78" w:type="dxa"/>
            <w:vAlign w:val="top"/>
          </w:tcPr>
          <w:p>
            <w:pPr>
              <w:ind w:left="328"/>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52.07</w:t>
            </w:r>
          </w:p>
        </w:tc>
        <w:tc>
          <w:tcPr>
            <w:tcW w:w="1188"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52.07</w:t>
            </w:r>
          </w:p>
        </w:tc>
        <w:tc>
          <w:tcPr>
            <w:tcW w:w="1118" w:type="dxa"/>
            <w:vAlign w:val="top"/>
          </w:tcPr>
          <w:p>
            <w:pPr>
              <w:pStyle w:val="TableText"/>
              <w:rPr/>
            </w:pPr>
            <w:r/>
          </w:p>
        </w:tc>
      </w:tr>
      <w:tr>
        <w:trPr>
          <w:trHeight w:val="292" w:hRule="atLeast"/>
        </w:trPr>
        <w:tc>
          <w:tcPr>
            <w:tcW w:w="3310"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25.44</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25.44</w:t>
            </w:r>
          </w:p>
        </w:tc>
        <w:tc>
          <w:tcPr>
            <w:tcW w:w="1118" w:type="dxa"/>
            <w:vAlign w:val="top"/>
          </w:tcPr>
          <w:p>
            <w:pPr>
              <w:pStyle w:val="TableText"/>
              <w:rPr/>
            </w:pPr>
            <w:r/>
          </w:p>
        </w:tc>
      </w:tr>
      <w:tr>
        <w:trPr>
          <w:trHeight w:val="292" w:hRule="atLeast"/>
        </w:trPr>
        <w:tc>
          <w:tcPr>
            <w:tcW w:w="3310"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35.93</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35.93</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14.41</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14.41</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5.86</w:t>
            </w:r>
          </w:p>
        </w:tc>
        <w:tc>
          <w:tcPr>
            <w:tcW w:w="1188"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5.86</w:t>
            </w:r>
          </w:p>
        </w:tc>
        <w:tc>
          <w:tcPr>
            <w:tcW w:w="1118" w:type="dxa"/>
            <w:vAlign w:val="top"/>
          </w:tcPr>
          <w:p>
            <w:pPr>
              <w:pStyle w:val="TableText"/>
              <w:rPr/>
            </w:pPr>
            <w:r/>
          </w:p>
        </w:tc>
      </w:tr>
      <w:tr>
        <w:trPr>
          <w:trHeight w:val="292" w:hRule="atLeast"/>
        </w:trPr>
        <w:tc>
          <w:tcPr>
            <w:tcW w:w="3310"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0.33</w:t>
            </w:r>
          </w:p>
        </w:tc>
        <w:tc>
          <w:tcPr>
            <w:tcW w:w="1188"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0.33</w:t>
            </w:r>
          </w:p>
        </w:tc>
        <w:tc>
          <w:tcPr>
            <w:tcW w:w="1118" w:type="dxa"/>
            <w:vAlign w:val="top"/>
          </w:tcPr>
          <w:p>
            <w:pPr>
              <w:pStyle w:val="TableText"/>
              <w:rPr/>
            </w:pPr>
            <w:r/>
          </w:p>
        </w:tc>
      </w:tr>
      <w:tr>
        <w:trPr>
          <w:trHeight w:val="292" w:hRule="atLeast"/>
        </w:trPr>
        <w:tc>
          <w:tcPr>
            <w:tcW w:w="3310" w:type="dxa"/>
            <w:vAlign w:val="top"/>
          </w:tcPr>
          <w:p>
            <w:pPr>
              <w:ind w:left="660"/>
              <w:spacing w:before="73" w:line="230" w:lineRule="auto"/>
              <w:rPr>
                <w:rFonts w:ascii="SimSun" w:hAnsi="SimSun" w:eastAsia="SimSun" w:cs="SimSun"/>
                <w:sz w:val="15"/>
                <w:szCs w:val="15"/>
              </w:rPr>
            </w:pPr>
            <w:r>
              <w:rPr>
                <w:rFonts w:ascii="SimSun" w:hAnsi="SimSun" w:eastAsia="SimSun" w:cs="SimSun"/>
                <w:sz w:val="15"/>
                <w:szCs w:val="15"/>
                <w:color w:val="212529"/>
                <w:spacing w:val="7"/>
              </w:rPr>
              <w:t>公积金</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13.27</w:t>
            </w:r>
          </w:p>
        </w:tc>
        <w:tc>
          <w:tcPr>
            <w:tcW w:w="1188" w:type="dxa"/>
            <w:vAlign w:val="top"/>
          </w:tcPr>
          <w:p>
            <w:pPr>
              <w:ind w:right="16"/>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13.27</w:t>
            </w:r>
          </w:p>
        </w:tc>
        <w:tc>
          <w:tcPr>
            <w:tcW w:w="1118" w:type="dxa"/>
            <w:vAlign w:val="top"/>
          </w:tcPr>
          <w:p>
            <w:pPr>
              <w:pStyle w:val="TableText"/>
              <w:rPr/>
            </w:pPr>
            <w:r/>
          </w:p>
        </w:tc>
      </w:tr>
      <w:tr>
        <w:trPr>
          <w:trHeight w:val="292" w:hRule="atLeast"/>
        </w:trPr>
        <w:tc>
          <w:tcPr>
            <w:tcW w:w="3310"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78" w:type="dxa"/>
            <w:vAlign w:val="top"/>
          </w:tcPr>
          <w:p>
            <w:pPr>
              <w:ind w:left="328"/>
              <w:spacing w:before="74"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14.17</w:t>
            </w:r>
          </w:p>
        </w:tc>
        <w:tc>
          <w:tcPr>
            <w:tcW w:w="1188" w:type="dxa"/>
            <w:vAlign w:val="top"/>
          </w:tcPr>
          <w:p>
            <w:pPr>
              <w:ind w:left="930"/>
              <w:spacing w:before="191" w:line="62" w:lineRule="exact"/>
              <w:rPr>
                <w:rFonts w:ascii="SimSun" w:hAnsi="SimSun" w:eastAsia="SimSun" w:cs="SimSun"/>
                <w:sz w:val="15"/>
                <w:szCs w:val="15"/>
              </w:rPr>
            </w:pPr>
            <w:r>
              <w:rPr>
                <w:rFonts w:ascii="SimSun" w:hAnsi="SimSun" w:eastAsia="SimSun" w:cs="SimSun"/>
                <w:sz w:val="15"/>
                <w:szCs w:val="15"/>
                <w:color w:val="212529"/>
                <w:position w:val="1"/>
              </w:rPr>
              <w:t>.</w:t>
            </w:r>
          </w:p>
        </w:tc>
        <w:tc>
          <w:tcPr>
            <w:tcW w:w="1118" w:type="dxa"/>
            <w:vAlign w:val="top"/>
          </w:tcPr>
          <w:p>
            <w:pPr>
              <w:pStyle w:val="TableText"/>
              <w:rPr/>
            </w:pPr>
            <w:r/>
          </w:p>
        </w:tc>
      </w:tr>
      <w:tr>
        <w:trPr>
          <w:trHeight w:val="293" w:hRule="atLeast"/>
        </w:trPr>
        <w:tc>
          <w:tcPr>
            <w:tcW w:w="3310" w:type="dxa"/>
            <w:vAlign w:val="top"/>
          </w:tcPr>
          <w:p>
            <w:pPr>
              <w:ind w:left="9"/>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78" w:type="dxa"/>
            <w:vAlign w:val="top"/>
          </w:tcPr>
          <w:p>
            <w:pPr>
              <w:pStyle w:val="TableText"/>
              <w:rPr/>
            </w:pPr>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15.21</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15.21</w:t>
            </w:r>
          </w:p>
        </w:tc>
      </w:tr>
      <w:tr>
        <w:trPr>
          <w:trHeight w:val="293" w:hRule="atLeast"/>
        </w:trPr>
        <w:tc>
          <w:tcPr>
            <w:tcW w:w="3310" w:type="dxa"/>
            <w:vAlign w:val="top"/>
          </w:tcPr>
          <w:p>
            <w:pPr>
              <w:ind w:left="331"/>
              <w:spacing w:before="75"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left="772"/>
              <w:spacing w:before="75" w:line="202" w:lineRule="exact"/>
              <w:rPr>
                <w:rFonts w:ascii="SimSun" w:hAnsi="SimSun" w:eastAsia="SimSun" w:cs="SimSun"/>
                <w:sz w:val="15"/>
                <w:szCs w:val="15"/>
              </w:rPr>
            </w:pPr>
            <w:r>
              <w:rPr>
                <w:rFonts w:ascii="SimSun" w:hAnsi="SimSun" w:eastAsia="SimSun" w:cs="SimSun"/>
                <w:sz w:val="15"/>
                <w:szCs w:val="15"/>
                <w:color w:val="212529"/>
                <w:spacing w:val="-1"/>
                <w:position w:val="1"/>
              </w:rPr>
              <w:t>10.</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10.26</w:t>
            </w:r>
          </w:p>
        </w:tc>
      </w:tr>
      <w:tr>
        <w:trPr>
          <w:trHeight w:val="292" w:hRule="atLeast"/>
        </w:trPr>
        <w:tc>
          <w:tcPr>
            <w:tcW w:w="3310" w:type="dxa"/>
            <w:vAlign w:val="top"/>
          </w:tcPr>
          <w:p>
            <w:pPr>
              <w:ind w:left="333"/>
              <w:spacing w:before="75"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78" w:type="dxa"/>
            <w:vAlign w:val="top"/>
          </w:tcPr>
          <w:p>
            <w:pPr>
              <w:ind w:left="328"/>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left="853"/>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1.</w:t>
            </w:r>
          </w:p>
        </w:tc>
        <w:tc>
          <w:tcPr>
            <w:tcW w:w="1188" w:type="dxa"/>
            <w:vAlign w:val="top"/>
          </w:tcPr>
          <w:p>
            <w:pPr>
              <w:pStyle w:val="TableText"/>
              <w:rPr/>
            </w:pPr>
            <w:r/>
          </w:p>
        </w:tc>
        <w:tc>
          <w:tcPr>
            <w:tcW w:w="1118"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1.80</w:t>
            </w:r>
          </w:p>
        </w:tc>
      </w:tr>
      <w:tr>
        <w:trPr>
          <w:trHeight w:val="293" w:hRule="atLeast"/>
        </w:trPr>
        <w:tc>
          <w:tcPr>
            <w:tcW w:w="3310" w:type="dxa"/>
            <w:vAlign w:val="top"/>
          </w:tcPr>
          <w:p>
            <w:pPr>
              <w:ind w:left="330"/>
              <w:spacing w:before="75"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3.15</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3.15</w:t>
            </w:r>
          </w:p>
        </w:tc>
      </w:tr>
      <w:tr>
        <w:trPr>
          <w:trHeight w:val="292" w:hRule="atLeast"/>
        </w:trPr>
        <w:tc>
          <w:tcPr>
            <w:tcW w:w="3310" w:type="dxa"/>
            <w:vAlign w:val="top"/>
          </w:tcPr>
          <w:p>
            <w:pPr>
              <w:ind w:left="6"/>
              <w:spacing w:before="75"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278" w:type="dxa"/>
            <w:vAlign w:val="top"/>
          </w:tcPr>
          <w:p>
            <w:pPr>
              <w:pStyle w:val="TableText"/>
              <w:rPr/>
            </w:pPr>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1.54</w:t>
            </w:r>
          </w:p>
        </w:tc>
        <w:tc>
          <w:tcPr>
            <w:tcW w:w="1188"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1.54</w:t>
            </w:r>
          </w:p>
        </w:tc>
        <w:tc>
          <w:tcPr>
            <w:tcW w:w="1118" w:type="dxa"/>
            <w:vAlign w:val="top"/>
          </w:tcPr>
          <w:p>
            <w:pPr>
              <w:pStyle w:val="TableText"/>
              <w:rPr/>
            </w:pPr>
            <w:r/>
          </w:p>
        </w:tc>
      </w:tr>
      <w:tr>
        <w:trPr>
          <w:trHeight w:val="298" w:hRule="atLeast"/>
        </w:trPr>
        <w:tc>
          <w:tcPr>
            <w:tcW w:w="3310" w:type="dxa"/>
            <w:vAlign w:val="top"/>
          </w:tcPr>
          <w:p>
            <w:pPr>
              <w:ind w:left="331"/>
              <w:spacing w:before="76" w:line="229" w:lineRule="auto"/>
              <w:rPr>
                <w:rFonts w:ascii="SimSun" w:hAnsi="SimSun" w:eastAsia="SimSun" w:cs="SimSun"/>
                <w:sz w:val="15"/>
                <w:szCs w:val="15"/>
              </w:rPr>
            </w:pPr>
            <w:r>
              <w:rPr>
                <w:rFonts w:ascii="SimSun" w:hAnsi="SimSun" w:eastAsia="SimSun" w:cs="SimSun"/>
                <w:sz w:val="15"/>
                <w:szCs w:val="15"/>
                <w:color w:val="212529"/>
                <w:spacing w:val="8"/>
              </w:rPr>
              <w:t>退休费</w:t>
            </w:r>
          </w:p>
        </w:tc>
        <w:tc>
          <w:tcPr>
            <w:tcW w:w="2278" w:type="dxa"/>
            <w:vAlign w:val="top"/>
          </w:tcPr>
          <w:p>
            <w:pPr>
              <w:ind w:left="328"/>
              <w:spacing w:before="76"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188" w:type="dxa"/>
            <w:vAlign w:val="top"/>
          </w:tcPr>
          <w:p>
            <w:pPr>
              <w:ind w:right="19"/>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1.54</w:t>
            </w:r>
          </w:p>
        </w:tc>
        <w:tc>
          <w:tcPr>
            <w:tcW w:w="1188" w:type="dxa"/>
            <w:vAlign w:val="top"/>
          </w:tcPr>
          <w:p>
            <w:pPr>
              <w:ind w:right="16"/>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1.54</w:t>
            </w:r>
          </w:p>
        </w:tc>
        <w:tc>
          <w:tcPr>
            <w:tcW w:w="1118" w:type="dxa"/>
            <w:vAlign w:val="top"/>
          </w:tcPr>
          <w:p>
            <w:pPr>
              <w:pStyle w:val="TableText"/>
              <w:rPr/>
            </w:pPr>
            <w:r/>
          </w:p>
        </w:tc>
      </w:tr>
    </w:tbl>
    <w:p>
      <w:pPr>
        <w:pStyle w:val="BodyText"/>
        <w:rPr/>
      </w:pPr>
      <w:r/>
    </w:p>
    <w:p>
      <w:pPr>
        <w:sectPr>
          <w:headerReference w:type="default" r:id="rId21"/>
          <w:footerReference w:type="default" r:id="rId22"/>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2"/>
            <w:bookmarkEnd w:id="22"/>
            <w:bookmarkStart w:name="bookmark13" w:id="23"/>
            <w:bookmarkEnd w:id="23"/>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单位名称：兴县蔡家会镇中心卫生院</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3"/>
          <w:footerReference w:type="default" r:id="rId24"/>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4"/>
            <w:bookmarkEnd w:id="24"/>
            <w:bookmarkStart w:name="bookmark14" w:id="25"/>
            <w:bookmarkEnd w:id="25"/>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单位名称：兴县蔡家会镇中心卫生院</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5"/>
          <w:footerReference w:type="default" r:id="rId26"/>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5" w:id="26"/>
            <w:bookmarkEnd w:id="26"/>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单位名称：兴县蔡家会镇中心卫生院</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90"/>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7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op w:val="single" w:color="FFFFFF" w:sz="4"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27"/>
            <w:bookmarkEnd w:id="27"/>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left w:val="single" w:color="FFFFFF" w:sz="2" w:space="0"/>
              <w:right w:val="single" w:color="FFFFFF" w:sz="2" w:space="0"/>
              <w:top w:val="single" w:color="FFFFFF" w:sz="4" w:space="0"/>
            </w:tcBorders>
          </w:tcPr>
          <w:p>
            <w:pPr>
              <w:ind w:left="9"/>
              <w:spacing w:before="124" w:line="233" w:lineRule="auto"/>
              <w:rPr>
                <w:rFonts w:ascii="SimSun" w:hAnsi="SimSun" w:eastAsia="SimSun" w:cs="SimSun"/>
                <w:sz w:val="12"/>
                <w:szCs w:val="12"/>
              </w:rPr>
            </w:pPr>
            <w:r>
              <w:rPr>
                <w:rFonts w:ascii="SimSun" w:hAnsi="SimSun" w:eastAsia="SimSun" w:cs="SimSun"/>
                <w:sz w:val="12"/>
                <w:szCs w:val="12"/>
                <w:color w:val="212529"/>
                <w:spacing w:val="9"/>
              </w:rPr>
              <w:t>单位名称：兴县蔡家会镇中心卫生院</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442" w:type="dxa"/>
            <w:vAlign w:val="top"/>
            <w:tcBorders>
              <w:left w:val="single" w:color="FFFFFF" w:sz="2" w:space="0"/>
              <w:right w:val="single" w:color="FFFFFF" w:sz="2" w:space="0"/>
              <w:top w:val="single" w:color="FFFFFF" w:sz="4"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6"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610"/>
              <w:spacing w:before="11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Borders>
              <w:left w:val="single" w:color="FFFFFF" w:sz="4" w:space="0"/>
              <w:bottom w:val="single" w:color="FFFFFF" w:sz="4" w:space="0"/>
              <w:right w:val="single" w:color="000000" w:sz="2" w:space="0"/>
            </w:tcBorders>
          </w:tcPr>
          <w:p>
            <w:pPr>
              <w:ind w:left="5"/>
              <w:spacing w:before="1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left w:val="single" w:color="FFFFFF" w:sz="2" w:space="0"/>
              <w:right w:val="single" w:color="FFFFFF" w:sz="2" w:space="0"/>
              <w:bottom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27"/>
          <w:footerReference w:type="default" r:id="rId28"/>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85"/>
        <w:gridCol w:w="1512"/>
        <w:gridCol w:w="1620"/>
        <w:gridCol w:w="1593"/>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8"/>
            <w:bookmarkEnd w:id="28"/>
            <w:bookmarkStart w:name="bookmark16" w:id="29"/>
            <w:bookmarkEnd w:id="29"/>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9"/>
              <w:spacing w:before="125" w:line="233" w:lineRule="auto"/>
              <w:rPr>
                <w:rFonts w:ascii="SimSun" w:hAnsi="SimSun" w:eastAsia="SimSun" w:cs="SimSun"/>
                <w:sz w:val="12"/>
                <w:szCs w:val="12"/>
              </w:rPr>
            </w:pPr>
            <w:r>
              <w:rPr>
                <w:rFonts w:ascii="SimSun" w:hAnsi="SimSun" w:eastAsia="SimSun" w:cs="SimSun"/>
                <w:sz w:val="12"/>
                <w:szCs w:val="12"/>
                <w:color w:val="212529"/>
                <w:spacing w:val="9"/>
              </w:rPr>
              <w:t>单位名称：兴县蔡家会镇中心卫生院</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48" w:type="dxa"/>
            <w:vAlign w:val="top"/>
            <w:vMerge w:val="restart"/>
            <w:tcBorders>
              <w:bottom w:val="nil"/>
            </w:tcBorders>
          </w:tcPr>
          <w:p>
            <w:pPr>
              <w:ind w:left="1236"/>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10" w:type="dxa"/>
            <w:vAlign w:val="top"/>
            <w:gridSpan w:val="4"/>
          </w:tcPr>
          <w:p>
            <w:pPr>
              <w:ind w:left="259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148" w:type="dxa"/>
            <w:vAlign w:val="top"/>
            <w:vMerge w:val="continue"/>
            <w:tcBorders>
              <w:top w:val="nil"/>
            </w:tcBorders>
          </w:tcPr>
          <w:p>
            <w:pPr>
              <w:pStyle w:val="TableText"/>
              <w:rPr/>
            </w:pPr>
            <w:r/>
          </w:p>
        </w:tc>
        <w:tc>
          <w:tcPr>
            <w:tcW w:w="1285" w:type="dxa"/>
            <w:vAlign w:val="top"/>
          </w:tcPr>
          <w:p>
            <w:pPr>
              <w:ind w:left="46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8"/>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620" w:type="dxa"/>
            <w:vAlign w:val="top"/>
          </w:tcPr>
          <w:p>
            <w:pPr>
              <w:ind w:left="23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3"/>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48" w:type="dxa"/>
            <w:vAlign w:val="top"/>
          </w:tcPr>
          <w:p>
            <w:pPr>
              <w:ind w:left="1237"/>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78" w:hRule="atLeast"/>
        </w:trPr>
        <w:tc>
          <w:tcPr>
            <w:tcW w:w="3148" w:type="dxa"/>
            <w:vAlign w:val="top"/>
          </w:tcPr>
          <w:p>
            <w:pPr>
              <w:pStyle w:val="TableText"/>
              <w:rPr/>
            </w:pPr>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512" w:type="dxa"/>
            <w:vAlign w:val="top"/>
            <w:tcBorders>
              <w:left w:val="single" w:color="FFFFFF" w:sz="2" w:space="0"/>
              <w:right w:val="single" w:color="FFFFFF" w:sz="2" w:space="0"/>
              <w:bottom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29"/>
          <w:footerReference w:type="default" r:id="rId30"/>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64"/>
        <w:gridCol w:w="1091"/>
        <w:gridCol w:w="1080"/>
        <w:gridCol w:w="832"/>
        <w:gridCol w:w="1253"/>
        <w:gridCol w:w="1080"/>
        <w:gridCol w:w="858"/>
      </w:tblGrid>
      <w:tr>
        <w:trPr>
          <w:trHeight w:val="384" w:hRule="atLeast"/>
        </w:trPr>
        <w:tc>
          <w:tcPr>
            <w:tcW w:w="296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9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8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3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5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38" w:type="dxa"/>
            <w:vAlign w:val="top"/>
            <w:gridSpan w:val="2"/>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30"/>
            <w:bookmarkEnd w:id="30"/>
            <w:bookmarkStart w:name="bookmark17" w:id="31"/>
            <w:bookmarkEnd w:id="31"/>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220" w:type="dxa"/>
            <w:vAlign w:val="top"/>
            <w:gridSpan w:val="5"/>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单位名称：兴县蔡家会镇中心卫生院</w:t>
            </w:r>
          </w:p>
        </w:tc>
        <w:tc>
          <w:tcPr>
            <w:tcW w:w="1938" w:type="dxa"/>
            <w:vAlign w:val="top"/>
            <w:gridSpan w:val="2"/>
            <w:tcBorders>
              <w:top w:val="single" w:color="FFFFFF" w:sz="4" w:space="0"/>
              <w:left w:val="single" w:color="FFFFFF" w:sz="2" w:space="0"/>
              <w:right w:val="single" w:color="FFFFFF" w:sz="2" w:space="0"/>
            </w:tcBorders>
          </w:tcPr>
          <w:p>
            <w:pPr>
              <w:ind w:left="1265"/>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2964" w:type="dxa"/>
            <w:vAlign w:val="top"/>
            <w:vMerge w:val="restart"/>
            <w:tcBorders>
              <w:bottom w:val="nil"/>
            </w:tcBorders>
          </w:tcPr>
          <w:p>
            <w:pPr>
              <w:ind w:left="1145"/>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091" w:type="dxa"/>
            <w:vAlign w:val="top"/>
            <w:vMerge w:val="restart"/>
            <w:tcBorders>
              <w:bottom w:val="nil"/>
            </w:tcBorders>
          </w:tcPr>
          <w:p>
            <w:pPr>
              <w:ind w:left="37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165" w:type="dxa"/>
            <w:vAlign w:val="top"/>
            <w:gridSpan w:val="3"/>
          </w:tcPr>
          <w:p>
            <w:pPr>
              <w:ind w:left="100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80" w:type="dxa"/>
            <w:vAlign w:val="top"/>
            <w:vMerge w:val="restart"/>
            <w:tcBorders>
              <w:bottom w:val="nil"/>
            </w:tcBorders>
          </w:tcPr>
          <w:p>
            <w:pPr>
              <w:ind w:left="48"/>
              <w:spacing w:before="21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78"/>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58" w:type="dxa"/>
            <w:vAlign w:val="top"/>
            <w:vMerge w:val="restart"/>
            <w:tcBorders>
              <w:bottom w:val="nil"/>
            </w:tcBorders>
          </w:tcPr>
          <w:p>
            <w:pPr>
              <w:ind w:left="95"/>
              <w:spacing w:before="30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8" w:hRule="atLeast"/>
        </w:trPr>
        <w:tc>
          <w:tcPr>
            <w:tcW w:w="2964" w:type="dxa"/>
            <w:vAlign w:val="top"/>
            <w:vMerge w:val="continue"/>
            <w:tcBorders>
              <w:top w:val="nil"/>
            </w:tcBorders>
          </w:tcPr>
          <w:p>
            <w:pPr>
              <w:pStyle w:val="TableText"/>
              <w:rPr/>
            </w:pPr>
            <w:r/>
          </w:p>
        </w:tc>
        <w:tc>
          <w:tcPr>
            <w:tcW w:w="1091" w:type="dxa"/>
            <w:vAlign w:val="top"/>
            <w:vMerge w:val="continue"/>
            <w:tcBorders>
              <w:top w:val="nil"/>
            </w:tcBorders>
          </w:tcPr>
          <w:p>
            <w:pPr>
              <w:pStyle w:val="TableText"/>
              <w:rPr/>
            </w:pPr>
            <w:r/>
          </w:p>
        </w:tc>
        <w:tc>
          <w:tcPr>
            <w:tcW w:w="1080" w:type="dxa"/>
            <w:vAlign w:val="top"/>
          </w:tcPr>
          <w:p>
            <w:pPr>
              <w:ind w:left="39"/>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32" w:type="dxa"/>
            <w:vAlign w:val="top"/>
          </w:tcPr>
          <w:p>
            <w:pPr>
              <w:ind w:left="161" w:right="96" w:hanging="79"/>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1"/>
              </w:rPr>
              <w:t>金预算</w:t>
            </w:r>
          </w:p>
        </w:tc>
        <w:tc>
          <w:tcPr>
            <w:tcW w:w="1253" w:type="dxa"/>
            <w:vAlign w:val="top"/>
          </w:tcPr>
          <w:p>
            <w:pPr>
              <w:ind w:left="66"/>
              <w:spacing w:before="2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w:t>
            </w:r>
          </w:p>
          <w:p>
            <w:pPr>
              <w:ind w:left="532"/>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80" w:type="dxa"/>
            <w:vAlign w:val="top"/>
            <w:vMerge w:val="continue"/>
            <w:tcBorders>
              <w:top w:val="nil"/>
            </w:tcBorders>
          </w:tcPr>
          <w:p>
            <w:pPr>
              <w:pStyle w:val="TableText"/>
              <w:rPr/>
            </w:pPr>
            <w:r/>
          </w:p>
        </w:tc>
        <w:tc>
          <w:tcPr>
            <w:tcW w:w="858" w:type="dxa"/>
            <w:vAlign w:val="top"/>
            <w:vMerge w:val="continue"/>
            <w:tcBorders>
              <w:top w:val="nil"/>
            </w:tcBorders>
          </w:tcPr>
          <w:p>
            <w:pPr>
              <w:pStyle w:val="TableText"/>
              <w:rPr/>
            </w:pPr>
            <w:r/>
          </w:p>
        </w:tc>
      </w:tr>
      <w:tr>
        <w:trPr>
          <w:trHeight w:val="378" w:hRule="atLeast"/>
        </w:trPr>
        <w:tc>
          <w:tcPr>
            <w:tcW w:w="2964" w:type="dxa"/>
            <w:vAlign w:val="top"/>
          </w:tcPr>
          <w:p>
            <w:pPr>
              <w:ind w:left="1442"/>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091" w:type="dxa"/>
            <w:vAlign w:val="top"/>
          </w:tcPr>
          <w:p>
            <w:pPr>
              <w:ind w:left="493"/>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080" w:type="dxa"/>
            <w:vAlign w:val="top"/>
          </w:tcPr>
          <w:p>
            <w:pPr>
              <w:ind w:left="491"/>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832" w:type="dxa"/>
            <w:vAlign w:val="top"/>
          </w:tcPr>
          <w:p>
            <w:pPr>
              <w:ind w:left="366"/>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53" w:type="dxa"/>
            <w:vAlign w:val="top"/>
          </w:tcPr>
          <w:p>
            <w:pPr>
              <w:ind w:left="581"/>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80" w:type="dxa"/>
            <w:vAlign w:val="top"/>
          </w:tcPr>
          <w:p>
            <w:pPr>
              <w:ind w:left="495"/>
              <w:spacing w:before="114"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58" w:type="dxa"/>
            <w:vAlign w:val="top"/>
          </w:tcPr>
          <w:p>
            <w:pPr>
              <w:ind w:left="386"/>
              <w:spacing w:before="114"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8" w:hRule="atLeast"/>
        </w:trPr>
        <w:tc>
          <w:tcPr>
            <w:tcW w:w="2964" w:type="dxa"/>
            <w:vAlign w:val="top"/>
          </w:tcPr>
          <w:p>
            <w:pPr>
              <w:ind w:left="91"/>
              <w:spacing w:before="115" w:line="228" w:lineRule="auto"/>
              <w:rPr>
                <w:rFonts w:ascii="SimSun" w:hAnsi="SimSun" w:eastAsia="SimSun" w:cs="SimSun"/>
                <w:sz w:val="15"/>
                <w:szCs w:val="15"/>
              </w:rPr>
            </w:pPr>
            <w:r>
              <w:rPr>
                <w:rFonts w:ascii="SimSun" w:hAnsi="SimSun" w:eastAsia="SimSun" w:cs="SimSun"/>
                <w:sz w:val="15"/>
                <w:szCs w:val="15"/>
                <w:color w:val="212529"/>
                <w:spacing w:val="10"/>
              </w:rPr>
              <w:t>兴县蔡家会镇中心卫生院</w:t>
            </w:r>
          </w:p>
        </w:tc>
        <w:tc>
          <w:tcPr>
            <w:tcW w:w="1091" w:type="dxa"/>
            <w:vAlign w:val="top"/>
          </w:tcPr>
          <w:p>
            <w:pPr>
              <w:ind w:right="2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31.26</w:t>
            </w:r>
          </w:p>
        </w:tc>
        <w:tc>
          <w:tcPr>
            <w:tcW w:w="1080" w:type="dxa"/>
            <w:vAlign w:val="top"/>
          </w:tcPr>
          <w:p>
            <w:pPr>
              <w:ind w:right="21"/>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31.26</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8" w:type="dxa"/>
            <w:vAlign w:val="top"/>
          </w:tcPr>
          <w:p>
            <w:pPr>
              <w:pStyle w:val="TableText"/>
              <w:rPr/>
            </w:pPr>
            <w:r/>
          </w:p>
        </w:tc>
      </w:tr>
      <w:tr>
        <w:trPr>
          <w:trHeight w:val="378" w:hRule="atLeast"/>
        </w:trPr>
        <w:tc>
          <w:tcPr>
            <w:tcW w:w="2964" w:type="dxa"/>
            <w:vAlign w:val="top"/>
          </w:tcPr>
          <w:p>
            <w:pPr>
              <w:ind w:left="169"/>
              <w:spacing w:before="116" w:line="229" w:lineRule="auto"/>
              <w:rPr>
                <w:rFonts w:ascii="SimSun" w:hAnsi="SimSun" w:eastAsia="SimSun" w:cs="SimSun"/>
                <w:sz w:val="15"/>
                <w:szCs w:val="15"/>
              </w:rPr>
            </w:pPr>
            <w:r>
              <w:rPr>
                <w:rFonts w:ascii="SimSun" w:hAnsi="SimSun" w:eastAsia="SimSun" w:cs="SimSun"/>
                <w:sz w:val="15"/>
                <w:szCs w:val="15"/>
                <w:color w:val="212529"/>
                <w:spacing w:val="11"/>
              </w:rPr>
              <w:t>法院执行基层卫生院欠配送企业药款</w:t>
            </w:r>
          </w:p>
        </w:tc>
        <w:tc>
          <w:tcPr>
            <w:tcW w:w="1091" w:type="dxa"/>
            <w:vAlign w:val="top"/>
          </w:tcPr>
          <w:p>
            <w:pPr>
              <w:ind w:right="2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7.89</w:t>
            </w:r>
          </w:p>
        </w:tc>
        <w:tc>
          <w:tcPr>
            <w:tcW w:w="1080" w:type="dxa"/>
            <w:vAlign w:val="top"/>
          </w:tcPr>
          <w:p>
            <w:pPr>
              <w:ind w:right="21"/>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7.89</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8" w:type="dxa"/>
            <w:vAlign w:val="top"/>
          </w:tcPr>
          <w:p>
            <w:pPr>
              <w:pStyle w:val="TableText"/>
              <w:rPr/>
            </w:pPr>
            <w:r/>
          </w:p>
        </w:tc>
      </w:tr>
      <w:tr>
        <w:trPr>
          <w:trHeight w:val="379" w:hRule="atLeast"/>
        </w:trPr>
        <w:tc>
          <w:tcPr>
            <w:tcW w:w="2964" w:type="dxa"/>
            <w:vAlign w:val="top"/>
          </w:tcPr>
          <w:p>
            <w:pPr>
              <w:ind w:left="6" w:right="37" w:firstLine="164"/>
              <w:spacing w:before="31" w:line="208" w:lineRule="auto"/>
              <w:rPr>
                <w:rFonts w:ascii="SimSun" w:hAnsi="SimSun" w:eastAsia="SimSun" w:cs="SimSun"/>
                <w:sz w:val="15"/>
                <w:szCs w:val="15"/>
              </w:rPr>
            </w:pPr>
            <w:r>
              <w:rPr>
                <w:rFonts w:ascii="SimSun" w:hAnsi="SimSun" w:eastAsia="SimSun" w:cs="SimSun"/>
                <w:sz w:val="15"/>
                <w:szCs w:val="15"/>
                <w:color w:val="212529"/>
                <w:spacing w:val="10"/>
              </w:rPr>
              <w:t>2025年中央财政基本药物制度（基层医</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9"/>
              </w:rPr>
              <w:t>疗卫生机构）晋财社【2024】208号</w:t>
            </w:r>
          </w:p>
        </w:tc>
        <w:tc>
          <w:tcPr>
            <w:tcW w:w="1091" w:type="dxa"/>
            <w:vAlign w:val="top"/>
          </w:tcPr>
          <w:p>
            <w:pPr>
              <w:ind w:right="2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10.79</w:t>
            </w:r>
          </w:p>
        </w:tc>
        <w:tc>
          <w:tcPr>
            <w:tcW w:w="1080"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10.79</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8" w:type="dxa"/>
            <w:vAlign w:val="top"/>
          </w:tcPr>
          <w:p>
            <w:pPr>
              <w:pStyle w:val="TableText"/>
              <w:rPr/>
            </w:pPr>
            <w:r/>
          </w:p>
        </w:tc>
      </w:tr>
      <w:tr>
        <w:trPr>
          <w:trHeight w:val="379" w:hRule="atLeast"/>
        </w:trPr>
        <w:tc>
          <w:tcPr>
            <w:tcW w:w="2964" w:type="dxa"/>
            <w:vAlign w:val="top"/>
          </w:tcPr>
          <w:p>
            <w:pPr>
              <w:ind w:left="9" w:right="37" w:firstLine="161"/>
              <w:spacing w:before="31" w:line="208" w:lineRule="auto"/>
              <w:rPr>
                <w:rFonts w:ascii="SimSun" w:hAnsi="SimSun" w:eastAsia="SimSun" w:cs="SimSun"/>
                <w:sz w:val="15"/>
                <w:szCs w:val="15"/>
              </w:rPr>
            </w:pPr>
            <w:r>
              <w:rPr>
                <w:rFonts w:ascii="SimSun" w:hAnsi="SimSun" w:eastAsia="SimSun" w:cs="SimSun"/>
                <w:sz w:val="15"/>
                <w:szCs w:val="15"/>
                <w:color w:val="212529"/>
                <w:spacing w:val="10"/>
              </w:rPr>
              <w:t>2025年中央财政基本药物制度（村卫生</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8"/>
              </w:rPr>
              <w:t>室）晋财社【2024】208号</w:t>
            </w:r>
          </w:p>
        </w:tc>
        <w:tc>
          <w:tcPr>
            <w:tcW w:w="1091" w:type="dxa"/>
            <w:vAlign w:val="top"/>
          </w:tcPr>
          <w:p>
            <w:pPr>
              <w:ind w:right="2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3.30</w:t>
            </w:r>
          </w:p>
        </w:tc>
        <w:tc>
          <w:tcPr>
            <w:tcW w:w="1080"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8" w:type="dxa"/>
            <w:vAlign w:val="top"/>
          </w:tcPr>
          <w:p>
            <w:pPr>
              <w:pStyle w:val="TableText"/>
              <w:rPr/>
            </w:pPr>
            <w:r/>
          </w:p>
        </w:tc>
      </w:tr>
      <w:tr>
        <w:trPr>
          <w:trHeight w:val="379" w:hRule="atLeast"/>
        </w:trPr>
        <w:tc>
          <w:tcPr>
            <w:tcW w:w="2964" w:type="dxa"/>
            <w:vAlign w:val="top"/>
          </w:tcPr>
          <w:p>
            <w:pPr>
              <w:ind w:left="654" w:right="37" w:firstLine="4"/>
              <w:spacing w:before="31" w:line="208" w:lineRule="auto"/>
              <w:rPr>
                <w:rFonts w:ascii="SimSun" w:hAnsi="SimSun" w:eastAsia="SimSun" w:cs="SimSun"/>
                <w:sz w:val="15"/>
                <w:szCs w:val="15"/>
              </w:rPr>
            </w:pPr>
            <w:r>
              <w:rPr>
                <w:rFonts w:ascii="SimSun" w:hAnsi="SimSun" w:eastAsia="SimSun" w:cs="SimSun"/>
                <w:sz w:val="15"/>
                <w:szCs w:val="15"/>
                <w:color w:val="212529"/>
                <w:spacing w:val="11"/>
              </w:rPr>
              <w:t>省级财政卫生健康人才培养（在</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9"/>
              </w:rPr>
              <w:t>位补助）晋财社【2024】218号</w:t>
            </w:r>
          </w:p>
        </w:tc>
        <w:tc>
          <w:tcPr>
            <w:tcW w:w="1091" w:type="dxa"/>
            <w:vAlign w:val="top"/>
          </w:tcPr>
          <w:p>
            <w:pPr>
              <w:ind w:right="29"/>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7.20</w:t>
            </w:r>
          </w:p>
        </w:tc>
        <w:tc>
          <w:tcPr>
            <w:tcW w:w="1080" w:type="dxa"/>
            <w:vAlign w:val="top"/>
          </w:tcPr>
          <w:p>
            <w:pPr>
              <w:ind w:right="21"/>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7.20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8" w:type="dxa"/>
            <w:vAlign w:val="top"/>
          </w:tcPr>
          <w:p>
            <w:pPr>
              <w:pStyle w:val="TableText"/>
              <w:rPr/>
            </w:pPr>
            <w:r/>
          </w:p>
        </w:tc>
      </w:tr>
      <w:tr>
        <w:trPr>
          <w:trHeight w:val="379" w:hRule="atLeast"/>
        </w:trPr>
        <w:tc>
          <w:tcPr>
            <w:tcW w:w="2964" w:type="dxa"/>
            <w:vAlign w:val="top"/>
          </w:tcPr>
          <w:p>
            <w:pPr>
              <w:ind w:left="11" w:right="118" w:firstLine="320"/>
              <w:spacing w:before="32" w:line="207" w:lineRule="auto"/>
              <w:rPr>
                <w:rFonts w:ascii="SimSun" w:hAnsi="SimSun" w:eastAsia="SimSun" w:cs="SimSun"/>
                <w:sz w:val="15"/>
                <w:szCs w:val="15"/>
              </w:rPr>
            </w:pPr>
            <w:r>
              <w:rPr>
                <w:rFonts w:ascii="SimSun" w:hAnsi="SimSun" w:eastAsia="SimSun" w:cs="SimSun"/>
                <w:sz w:val="15"/>
                <w:szCs w:val="15"/>
                <w:color w:val="212529"/>
                <w:spacing w:val="8"/>
              </w:rPr>
              <w:t>财社〔2025〕6号预拨2025年驻村医</w:t>
            </w:r>
            <w:r>
              <w:rPr>
                <w:rFonts w:ascii="SimSun" w:hAnsi="SimSun" w:eastAsia="SimSun" w:cs="SimSun"/>
                <w:sz w:val="15"/>
                <w:szCs w:val="15"/>
                <w:color w:val="212529"/>
                <w:spacing w:val="17"/>
              </w:rPr>
              <w:t xml:space="preserve"> </w:t>
            </w:r>
            <w:r>
              <w:rPr>
                <w:rFonts w:ascii="SimSun" w:hAnsi="SimSun" w:eastAsia="SimSun" w:cs="SimSun"/>
                <w:sz w:val="15"/>
                <w:szCs w:val="15"/>
                <w:color w:val="212529"/>
                <w:spacing w:val="10"/>
              </w:rPr>
              <w:t>生岗位津贴市级补助资金</w:t>
            </w:r>
          </w:p>
        </w:tc>
        <w:tc>
          <w:tcPr>
            <w:tcW w:w="1091" w:type="dxa"/>
            <w:vAlign w:val="top"/>
          </w:tcPr>
          <w:p>
            <w:pPr>
              <w:ind w:right="2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1.24</w:t>
            </w:r>
          </w:p>
        </w:tc>
        <w:tc>
          <w:tcPr>
            <w:tcW w:w="1080" w:type="dxa"/>
            <w:vAlign w:val="top"/>
          </w:tcPr>
          <w:p>
            <w:pPr>
              <w:ind w:right="21"/>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1.24</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8" w:type="dxa"/>
            <w:vAlign w:val="top"/>
          </w:tcPr>
          <w:p>
            <w:pPr>
              <w:pStyle w:val="TableText"/>
              <w:rPr/>
            </w:pPr>
            <w:r/>
          </w:p>
        </w:tc>
      </w:tr>
      <w:tr>
        <w:trPr>
          <w:trHeight w:val="384" w:hRule="atLeast"/>
        </w:trPr>
        <w:tc>
          <w:tcPr>
            <w:tcW w:w="2964" w:type="dxa"/>
            <w:vAlign w:val="top"/>
          </w:tcPr>
          <w:p>
            <w:pPr>
              <w:ind w:left="7" w:right="118" w:firstLine="185"/>
              <w:spacing w:before="32" w:line="210" w:lineRule="auto"/>
              <w:rPr>
                <w:rFonts w:ascii="SimSun" w:hAnsi="SimSun" w:eastAsia="SimSun" w:cs="SimSun"/>
                <w:sz w:val="15"/>
                <w:szCs w:val="15"/>
              </w:rPr>
            </w:pPr>
            <w:r>
              <w:rPr>
                <w:rFonts w:ascii="SimSun" w:hAnsi="SimSun" w:eastAsia="SimSun" w:cs="SimSun"/>
                <w:sz w:val="15"/>
                <w:szCs w:val="15"/>
                <w:color w:val="212529"/>
                <w:spacing w:val="7"/>
              </w:rPr>
              <w:t>吕财社〔2025〕8号关于预拨2025年行</w:t>
            </w:r>
            <w:r>
              <w:rPr>
                <w:rFonts w:ascii="SimSun" w:hAnsi="SimSun" w:eastAsia="SimSun" w:cs="SimSun"/>
                <w:sz w:val="15"/>
                <w:szCs w:val="15"/>
                <w:color w:val="212529"/>
                <w:spacing w:val="18"/>
                <w:w w:val="101"/>
              </w:rPr>
              <w:t xml:space="preserve"> </w:t>
            </w:r>
            <w:r>
              <w:rPr>
                <w:rFonts w:ascii="SimSun" w:hAnsi="SimSun" w:eastAsia="SimSun" w:cs="SimSun"/>
                <w:sz w:val="15"/>
                <w:szCs w:val="15"/>
                <w:color w:val="212529"/>
                <w:spacing w:val="11"/>
              </w:rPr>
              <w:t>政村卫生室运行经费市级配套资金</w:t>
            </w:r>
          </w:p>
        </w:tc>
        <w:tc>
          <w:tcPr>
            <w:tcW w:w="1091" w:type="dxa"/>
            <w:vAlign w:val="top"/>
          </w:tcPr>
          <w:p>
            <w:pPr>
              <w:ind w:right="2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0.84</w:t>
            </w:r>
          </w:p>
        </w:tc>
        <w:tc>
          <w:tcPr>
            <w:tcW w:w="1080" w:type="dxa"/>
            <w:vAlign w:val="top"/>
          </w:tcPr>
          <w:p>
            <w:pPr>
              <w:ind w:right="21"/>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0.84</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8" w:type="dxa"/>
            <w:vAlign w:val="top"/>
          </w:tcPr>
          <w:p>
            <w:pPr>
              <w:pStyle w:val="TableText"/>
              <w:rPr/>
            </w:pPr>
            <w:r/>
          </w:p>
        </w:tc>
      </w:tr>
    </w:tbl>
    <w:p>
      <w:pPr>
        <w:pStyle w:val="BodyText"/>
        <w:rPr/>
      </w:pPr>
      <w:r/>
    </w:p>
    <w:p>
      <w:pPr>
        <w:sectPr>
          <w:headerReference w:type="default" r:id="rId31"/>
          <w:footerReference w:type="default" r:id="rId32"/>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28"/>
        <w:gridCol w:w="1296"/>
        <w:gridCol w:w="1415"/>
        <w:gridCol w:w="1372"/>
        <w:gridCol w:w="1247"/>
      </w:tblGrid>
      <w:tr>
        <w:trPr>
          <w:trHeight w:val="383" w:hRule="atLeast"/>
        </w:trPr>
        <w:tc>
          <w:tcPr>
            <w:tcW w:w="38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9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18" w:id="32"/>
            <w:bookmarkEnd w:id="32"/>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11" w:type="dxa"/>
            <w:vAlign w:val="top"/>
            <w:gridSpan w:val="4"/>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单位名称：兴县蔡家会镇中心卫生院</w:t>
            </w:r>
          </w:p>
        </w:tc>
        <w:tc>
          <w:tcPr>
            <w:tcW w:w="1247" w:type="dxa"/>
            <w:vAlign w:val="top"/>
            <w:tcBorders>
              <w:left w:val="single" w:color="FFFFFF" w:sz="2" w:space="0"/>
              <w:right w:val="single" w:color="FFFFFF" w:sz="2" w:space="0"/>
              <w:top w:val="single" w:color="FFFFFF" w:sz="4" w:space="0"/>
            </w:tcBorders>
          </w:tcPr>
          <w:p>
            <w:pPr>
              <w:ind w:left="574"/>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28" w:type="dxa"/>
            <w:vAlign w:val="top"/>
            <w:vMerge w:val="restart"/>
            <w:tcBorders>
              <w:bottom w:val="nil"/>
            </w:tcBorders>
          </w:tcPr>
          <w:p>
            <w:pPr>
              <w:ind w:left="1577"/>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96" w:type="dxa"/>
            <w:vAlign w:val="top"/>
            <w:vMerge w:val="restart"/>
            <w:tcBorders>
              <w:bottom w:val="nil"/>
            </w:tcBorders>
          </w:tcPr>
          <w:p>
            <w:pPr>
              <w:ind w:left="477"/>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4034" w:type="dxa"/>
            <w:vAlign w:val="top"/>
            <w:gridSpan w:val="3"/>
          </w:tcPr>
          <w:p>
            <w:pPr>
              <w:ind w:left="144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828" w:type="dxa"/>
            <w:vAlign w:val="top"/>
            <w:vMerge w:val="continue"/>
            <w:tcBorders>
              <w:top w:val="nil"/>
            </w:tcBorders>
          </w:tcPr>
          <w:p>
            <w:pPr>
              <w:pStyle w:val="TableText"/>
              <w:rPr/>
            </w:pPr>
            <w:r/>
          </w:p>
        </w:tc>
        <w:tc>
          <w:tcPr>
            <w:tcW w:w="1296" w:type="dxa"/>
            <w:vAlign w:val="top"/>
            <w:vMerge w:val="continue"/>
            <w:tcBorders>
              <w:top w:val="nil"/>
            </w:tcBorders>
          </w:tcPr>
          <w:p>
            <w:pPr>
              <w:pStyle w:val="TableText"/>
              <w:rPr/>
            </w:pPr>
            <w:r/>
          </w:p>
        </w:tc>
        <w:tc>
          <w:tcPr>
            <w:tcW w:w="1415" w:type="dxa"/>
            <w:vAlign w:val="top"/>
          </w:tcPr>
          <w:p>
            <w:pPr>
              <w:ind w:left="209"/>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72" w:type="dxa"/>
            <w:vAlign w:val="top"/>
          </w:tcPr>
          <w:p>
            <w:pPr>
              <w:ind w:left="269"/>
              <w:spacing w:before="2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510"/>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247" w:type="dxa"/>
            <w:vAlign w:val="top"/>
          </w:tcPr>
          <w:p>
            <w:pPr>
              <w:ind w:left="304"/>
              <w:spacing w:before="2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8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828" w:type="dxa"/>
            <w:vAlign w:val="top"/>
          </w:tcPr>
          <w:p>
            <w:pPr>
              <w:ind w:left="1875"/>
              <w:spacing w:before="115"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96" w:type="dxa"/>
            <w:vAlign w:val="top"/>
          </w:tcPr>
          <w:p>
            <w:pPr>
              <w:ind w:left="600"/>
              <w:spacing w:before="115"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415" w:type="dxa"/>
            <w:vAlign w:val="top"/>
          </w:tcPr>
          <w:p>
            <w:pPr>
              <w:ind w:left="661"/>
              <w:spacing w:before="11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72" w:type="dxa"/>
            <w:vAlign w:val="top"/>
          </w:tcPr>
          <w:p>
            <w:pPr>
              <w:ind w:left="635"/>
              <w:spacing w:before="115"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7" w:type="dxa"/>
            <w:vAlign w:val="top"/>
          </w:tcPr>
          <w:p>
            <w:pPr>
              <w:ind w:left="576"/>
              <w:spacing w:before="115"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3828" w:type="dxa"/>
            <w:vAlign w:val="top"/>
          </w:tcPr>
          <w:p>
            <w:pPr>
              <w:pStyle w:val="TableText"/>
              <w:rPr/>
            </w:pPr>
            <w:r/>
          </w:p>
        </w:tc>
        <w:tc>
          <w:tcPr>
            <w:tcW w:w="1296" w:type="dxa"/>
            <w:vAlign w:val="top"/>
          </w:tcPr>
          <w:p>
            <w:pPr>
              <w:pStyle w:val="TableText"/>
              <w:rPr/>
            </w:pPr>
            <w:r/>
          </w:p>
        </w:tc>
        <w:tc>
          <w:tcPr>
            <w:tcW w:w="1415" w:type="dxa"/>
            <w:vAlign w:val="top"/>
          </w:tcPr>
          <w:p>
            <w:pPr>
              <w:pStyle w:val="TableText"/>
              <w:rPr/>
            </w:pPr>
            <w:r/>
          </w:p>
        </w:tc>
        <w:tc>
          <w:tcPr>
            <w:tcW w:w="1372" w:type="dxa"/>
            <w:vAlign w:val="top"/>
          </w:tcPr>
          <w:p>
            <w:pPr>
              <w:pStyle w:val="TableText"/>
              <w:rPr/>
            </w:pPr>
            <w:r/>
          </w:p>
        </w:tc>
        <w:tc>
          <w:tcPr>
            <w:tcW w:w="1247" w:type="dxa"/>
            <w:vAlign w:val="top"/>
          </w:tcPr>
          <w:p>
            <w:pPr>
              <w:pStyle w:val="TableText"/>
              <w:rPr/>
            </w:pPr>
            <w:r/>
          </w:p>
        </w:tc>
      </w:tr>
      <w:tr>
        <w:trPr>
          <w:trHeight w:val="383" w:hRule="atLeast"/>
        </w:trPr>
        <w:tc>
          <w:tcPr>
            <w:tcW w:w="3828" w:type="dxa"/>
            <w:vAlign w:val="top"/>
            <w:tcBorders>
              <w:left w:val="single" w:color="FFFFFF" w:sz="4" w:space="0"/>
              <w:bottom w:val="single" w:color="FFFFFF" w:sz="4" w:space="0"/>
              <w:right w:val="single" w:color="000000" w:sz="2"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296"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33"/>
          <w:footerReference w:type="default" r:id="rId34"/>
          <w:pgSz w:w="11900" w:h="16840"/>
          <w:pgMar w:top="642" w:right="0" w:bottom="340" w:left="0" w:header="326" w:footer="111" w:gutter="0"/>
        </w:sectPr>
        <w:rPr/>
      </w:pPr>
    </w:p>
    <w:p>
      <w:pPr>
        <w:pStyle w:val="BodyText"/>
        <w:spacing w:line="334" w:lineRule="auto"/>
        <w:rPr/>
      </w:pPr>
      <w:r/>
    </w:p>
    <w:p>
      <w:pPr>
        <w:pStyle w:val="BodyText"/>
        <w:spacing w:line="335" w:lineRule="auto"/>
        <w:rPr/>
      </w:pPr>
      <w:r/>
    </w:p>
    <w:p>
      <w:pPr>
        <w:ind w:left="4064"/>
        <w:spacing w:before="94" w:line="230" w:lineRule="exact"/>
        <w:outlineLvl w:val="0"/>
        <w:rPr>
          <w:rFonts w:ascii="Microsoft YaHei" w:hAnsi="Microsoft YaHei" w:eastAsia="Microsoft YaHei" w:cs="Microsoft YaHei"/>
          <w:sz w:val="22"/>
          <w:szCs w:val="22"/>
        </w:rPr>
      </w:pPr>
      <w:bookmarkStart w:name="bookmark19" w:id="33"/>
      <w:bookmarkEnd w:id="33"/>
      <w:r>
        <w:rPr>
          <w:rFonts w:ascii="Microsoft YaHei" w:hAnsi="Microsoft YaHei" w:eastAsia="Microsoft YaHei" w:cs="Microsoft YaHei"/>
          <w:sz w:val="22"/>
          <w:szCs w:val="22"/>
          <w:spacing w:val="4"/>
          <w:position w:val="-1"/>
        </w:rPr>
        <w:t>第三部分</w:t>
      </w:r>
      <w:r>
        <w:rPr>
          <w:rFonts w:ascii="Microsoft YaHei" w:hAnsi="Microsoft YaHei" w:eastAsia="Microsoft YaHei" w:cs="Microsoft YaHei"/>
          <w:sz w:val="22"/>
          <w:szCs w:val="22"/>
          <w:spacing w:val="53"/>
          <w:position w:val="-1"/>
        </w:rPr>
        <w:t xml:space="preserve"> </w:t>
      </w:r>
      <w:r>
        <w:rPr>
          <w:rFonts w:ascii="Microsoft YaHei" w:hAnsi="Microsoft YaHei" w:eastAsia="Microsoft YaHei" w:cs="Microsoft YaHei"/>
          <w:sz w:val="22"/>
          <w:szCs w:val="22"/>
          <w:spacing w:val="4"/>
          <w:position w:val="-1"/>
        </w:rPr>
        <w:t>2025年度单位预算情况说明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34"/>
      <w:bookmarkEnd w:id="34"/>
      <w:r>
        <w:rPr>
          <w:rFonts w:ascii="Microsoft YaHei" w:hAnsi="Microsoft YaHei" w:eastAsia="Microsoft YaHei" w:cs="Microsoft YaHei"/>
          <w:sz w:val="22"/>
          <w:szCs w:val="22"/>
          <w:spacing w:val="9"/>
          <w:position w:val="-1"/>
        </w:rPr>
        <w:t>一、单位预算收支数据变动情况及原因</w:t>
      </w:r>
    </w:p>
    <w:p>
      <w:pPr>
        <w:ind w:left="1255" w:right="1223" w:firstLine="464"/>
        <w:spacing w:before="189" w:line="323" w:lineRule="auto"/>
        <w:jc w:val="both"/>
        <w:rPr>
          <w:rFonts w:ascii="FangSong" w:hAnsi="FangSong" w:eastAsia="FangSong" w:cs="FangSong"/>
          <w:sz w:val="23"/>
          <w:szCs w:val="23"/>
        </w:rPr>
      </w:pPr>
      <w:r>
        <w:rPr>
          <w:rFonts w:ascii="FangSong" w:hAnsi="FangSong" w:eastAsia="FangSong" w:cs="FangSong"/>
          <w:sz w:val="23"/>
          <w:szCs w:val="23"/>
          <w:spacing w:val="5"/>
        </w:rPr>
        <w:t>2025年度兴县蔡家会镇中心卫生院预算收入总计209.49万</w:t>
      </w:r>
      <w:r>
        <w:rPr>
          <w:rFonts w:ascii="FangSong" w:hAnsi="FangSong" w:eastAsia="FangSong" w:cs="FangSong"/>
          <w:sz w:val="23"/>
          <w:szCs w:val="23"/>
          <w:spacing w:val="4"/>
        </w:rPr>
        <w:t>元，其中：本年收入209.49万</w:t>
      </w:r>
      <w:r>
        <w:rPr>
          <w:rFonts w:ascii="FangSong" w:hAnsi="FangSong" w:eastAsia="FangSong" w:cs="FangSong"/>
          <w:sz w:val="23"/>
          <w:szCs w:val="23"/>
        </w:rPr>
        <w:t xml:space="preserve"> </w:t>
      </w:r>
      <w:r>
        <w:rPr>
          <w:rFonts w:ascii="FangSong" w:hAnsi="FangSong" w:eastAsia="FangSong" w:cs="FangSong"/>
          <w:sz w:val="23"/>
          <w:szCs w:val="23"/>
          <w:spacing w:val="2"/>
        </w:rPr>
        <w:t>元，上年结转0万元，比上年减少140.88万元，下降40.21%，主要原因是本年度上级基本公共</w:t>
      </w:r>
      <w:r>
        <w:rPr>
          <w:rFonts w:ascii="FangSong" w:hAnsi="FangSong" w:eastAsia="FangSong" w:cs="FangSong"/>
          <w:sz w:val="23"/>
          <w:szCs w:val="23"/>
          <w:spacing w:val="10"/>
        </w:rPr>
        <w:t xml:space="preserve"> </w:t>
      </w:r>
      <w:r>
        <w:rPr>
          <w:rFonts w:ascii="FangSong" w:hAnsi="FangSong" w:eastAsia="FangSong" w:cs="FangSong"/>
          <w:sz w:val="23"/>
          <w:szCs w:val="23"/>
          <w:spacing w:val="4"/>
        </w:rPr>
        <w:t>卫生专项资金未下达，人员调出2人，</w:t>
      </w:r>
      <w:r>
        <w:rPr>
          <w:rFonts w:ascii="FangSong" w:hAnsi="FangSong" w:eastAsia="FangSong" w:cs="FangSong"/>
          <w:sz w:val="23"/>
          <w:szCs w:val="23"/>
          <w:spacing w:val="-68"/>
        </w:rPr>
        <w:t xml:space="preserve"> </w:t>
      </w:r>
      <w:r>
        <w:rPr>
          <w:rFonts w:ascii="FangSong" w:hAnsi="FangSong" w:eastAsia="FangSong" w:cs="FangSong"/>
          <w:sz w:val="23"/>
          <w:szCs w:val="23"/>
          <w:spacing w:val="4"/>
        </w:rPr>
        <w:t>比上年度减少2人。；本年单位预算支出总计209</w:t>
      </w:r>
      <w:r>
        <w:rPr>
          <w:rFonts w:ascii="FangSong" w:hAnsi="FangSong" w:eastAsia="FangSong" w:cs="FangSong"/>
          <w:sz w:val="23"/>
          <w:szCs w:val="23"/>
          <w:spacing w:val="3"/>
        </w:rPr>
        <w:t>.49万</w:t>
      </w:r>
      <w:r>
        <w:rPr>
          <w:rFonts w:ascii="FangSong" w:hAnsi="FangSong" w:eastAsia="FangSong" w:cs="FangSong"/>
          <w:sz w:val="23"/>
          <w:szCs w:val="23"/>
        </w:rPr>
        <w:t xml:space="preserve"> </w:t>
      </w:r>
      <w:r>
        <w:rPr>
          <w:rFonts w:ascii="FangSong" w:hAnsi="FangSong" w:eastAsia="FangSong" w:cs="FangSong"/>
          <w:sz w:val="23"/>
          <w:szCs w:val="23"/>
          <w:spacing w:val="8"/>
        </w:rPr>
        <w:t>元</w:t>
      </w:r>
      <w:r>
        <w:rPr>
          <w:rFonts w:ascii="FangSong" w:hAnsi="FangSong" w:eastAsia="FangSong" w:cs="FangSong"/>
          <w:sz w:val="23"/>
          <w:szCs w:val="23"/>
          <w:spacing w:val="-60"/>
        </w:rPr>
        <w:t xml:space="preserve"> </w:t>
      </w:r>
      <w:r>
        <w:rPr>
          <w:rFonts w:ascii="FangSong" w:hAnsi="FangSong" w:eastAsia="FangSong" w:cs="FangSong"/>
          <w:sz w:val="23"/>
          <w:szCs w:val="23"/>
          <w:spacing w:val="8"/>
        </w:rPr>
        <w:t>，其</w:t>
      </w:r>
      <w:r>
        <w:rPr>
          <w:rFonts w:ascii="FangSong" w:hAnsi="FangSong" w:eastAsia="FangSong" w:cs="FangSong"/>
          <w:sz w:val="23"/>
          <w:szCs w:val="23"/>
          <w:spacing w:val="-46"/>
        </w:rPr>
        <w:t xml:space="preserve"> </w:t>
      </w:r>
      <w:r>
        <w:rPr>
          <w:rFonts w:ascii="FangSong" w:hAnsi="FangSong" w:eastAsia="FangSong" w:cs="FangSong"/>
          <w:sz w:val="23"/>
          <w:szCs w:val="23"/>
          <w:spacing w:val="8"/>
        </w:rPr>
        <w:t>中</w:t>
      </w:r>
      <w:r>
        <w:rPr>
          <w:rFonts w:ascii="FangSong" w:hAnsi="FangSong" w:eastAsia="FangSong" w:cs="FangSong"/>
          <w:sz w:val="23"/>
          <w:szCs w:val="23"/>
          <w:spacing w:val="-59"/>
        </w:rPr>
        <w:t xml:space="preserve"> </w:t>
      </w:r>
      <w:r>
        <w:rPr>
          <w:rFonts w:ascii="FangSong" w:hAnsi="FangSong" w:eastAsia="FangSong" w:cs="FangSong"/>
          <w:sz w:val="23"/>
          <w:szCs w:val="23"/>
          <w:spacing w:val="8"/>
        </w:rPr>
        <w:t>：本年预算安排209.49万元</w:t>
      </w:r>
      <w:r>
        <w:rPr>
          <w:rFonts w:ascii="FangSong" w:hAnsi="FangSong" w:eastAsia="FangSong" w:cs="FangSong"/>
          <w:sz w:val="23"/>
          <w:szCs w:val="23"/>
          <w:spacing w:val="-60"/>
        </w:rPr>
        <w:t xml:space="preserve"> </w:t>
      </w:r>
      <w:r>
        <w:rPr>
          <w:rFonts w:ascii="FangSong" w:hAnsi="FangSong" w:eastAsia="FangSong" w:cs="FangSong"/>
          <w:sz w:val="23"/>
          <w:szCs w:val="23"/>
          <w:spacing w:val="8"/>
        </w:rPr>
        <w:t>，上年结转</w:t>
      </w:r>
      <w:r>
        <w:rPr>
          <w:rFonts w:ascii="FangSong" w:hAnsi="FangSong" w:eastAsia="FangSong" w:cs="FangSong"/>
          <w:sz w:val="23"/>
          <w:szCs w:val="23"/>
          <w:spacing w:val="7"/>
        </w:rPr>
        <w:t>0万元</w:t>
      </w:r>
      <w:r>
        <w:rPr>
          <w:rFonts w:ascii="FangSong" w:hAnsi="FangSong" w:eastAsia="FangSong" w:cs="FangSong"/>
          <w:sz w:val="23"/>
          <w:szCs w:val="23"/>
          <w:spacing w:val="-59"/>
        </w:rPr>
        <w:t xml:space="preserve"> </w:t>
      </w:r>
      <w:r>
        <w:rPr>
          <w:rFonts w:ascii="FangSong" w:hAnsi="FangSong" w:eastAsia="FangSong" w:cs="FangSong"/>
          <w:sz w:val="23"/>
          <w:szCs w:val="23"/>
          <w:spacing w:val="7"/>
        </w:rPr>
        <w:t>，</w:t>
      </w:r>
      <w:r>
        <w:rPr>
          <w:rFonts w:ascii="FangSong" w:hAnsi="FangSong" w:eastAsia="FangSong" w:cs="FangSong"/>
          <w:sz w:val="23"/>
          <w:szCs w:val="23"/>
          <w:spacing w:val="-50"/>
        </w:rPr>
        <w:t xml:space="preserve"> </w:t>
      </w:r>
      <w:r>
        <w:rPr>
          <w:rFonts w:ascii="FangSong" w:hAnsi="FangSong" w:eastAsia="FangSong" w:cs="FangSong"/>
          <w:sz w:val="23"/>
          <w:szCs w:val="23"/>
          <w:spacing w:val="7"/>
        </w:rPr>
        <w:t>比上年减少140.88万元</w:t>
      </w:r>
      <w:r>
        <w:rPr>
          <w:rFonts w:ascii="FangSong" w:hAnsi="FangSong" w:eastAsia="FangSong" w:cs="FangSong"/>
          <w:sz w:val="23"/>
          <w:szCs w:val="23"/>
          <w:spacing w:val="-60"/>
        </w:rPr>
        <w:t xml:space="preserve"> </w:t>
      </w:r>
      <w:r>
        <w:rPr>
          <w:rFonts w:ascii="FangSong" w:hAnsi="FangSong" w:eastAsia="FangSong" w:cs="FangSong"/>
          <w:sz w:val="23"/>
          <w:szCs w:val="23"/>
          <w:spacing w:val="7"/>
        </w:rPr>
        <w:t>，下</w:t>
      </w:r>
      <w:r>
        <w:rPr>
          <w:rFonts w:ascii="FangSong" w:hAnsi="FangSong" w:eastAsia="FangSong" w:cs="FangSong"/>
          <w:sz w:val="23"/>
          <w:szCs w:val="23"/>
          <w:spacing w:val="-64"/>
        </w:rPr>
        <w:t xml:space="preserve"> </w:t>
      </w:r>
      <w:r>
        <w:rPr>
          <w:rFonts w:ascii="FangSong" w:hAnsi="FangSong" w:eastAsia="FangSong" w:cs="FangSong"/>
          <w:sz w:val="23"/>
          <w:szCs w:val="23"/>
          <w:spacing w:val="7"/>
        </w:rPr>
        <w:t>降</w:t>
      </w:r>
      <w:r>
        <w:rPr>
          <w:rFonts w:ascii="FangSong" w:hAnsi="FangSong" w:eastAsia="FangSong" w:cs="FangSong"/>
          <w:sz w:val="23"/>
          <w:szCs w:val="23"/>
        </w:rPr>
        <w:t xml:space="preserve"> </w:t>
      </w:r>
      <w:r>
        <w:rPr>
          <w:rFonts w:ascii="FangSong" w:hAnsi="FangSong" w:eastAsia="FangSong" w:cs="FangSong"/>
          <w:sz w:val="23"/>
          <w:szCs w:val="23"/>
          <w:spacing w:val="2"/>
        </w:rPr>
        <w:t>40.21%，主要原因是本年度上级基本公共卫生专项资金未下达，人员调出2人，比上年度减少</w:t>
      </w:r>
      <w:r>
        <w:rPr>
          <w:rFonts w:ascii="FangSong" w:hAnsi="FangSong" w:eastAsia="FangSong" w:cs="FangSong"/>
          <w:sz w:val="23"/>
          <w:szCs w:val="23"/>
          <w:spacing w:val="16"/>
        </w:rPr>
        <w:t xml:space="preserve"> </w:t>
      </w:r>
      <w:r>
        <w:rPr>
          <w:rFonts w:ascii="FangSong" w:hAnsi="FangSong" w:eastAsia="FangSong" w:cs="FangSong"/>
          <w:sz w:val="23"/>
          <w:szCs w:val="23"/>
          <w:spacing w:val="-3"/>
        </w:rPr>
        <w:t>2人。</w:t>
      </w:r>
    </w:p>
    <w:p>
      <w:pPr>
        <w:ind w:left="1261"/>
        <w:spacing w:line="229" w:lineRule="exact"/>
        <w:outlineLvl w:val="1"/>
        <w:rPr>
          <w:rFonts w:ascii="Microsoft YaHei" w:hAnsi="Microsoft YaHei" w:eastAsia="Microsoft YaHei" w:cs="Microsoft YaHei"/>
          <w:sz w:val="22"/>
          <w:szCs w:val="22"/>
        </w:rPr>
      </w:pPr>
      <w:bookmarkStart w:name="bookmark21" w:id="35"/>
      <w:bookmarkEnd w:id="35"/>
      <w:r>
        <w:rPr>
          <w:rFonts w:ascii="Microsoft YaHei" w:hAnsi="Microsoft YaHei" w:eastAsia="Microsoft YaHei" w:cs="Microsoft YaHei"/>
          <w:sz w:val="22"/>
          <w:szCs w:val="22"/>
          <w:spacing w:val="8"/>
          <w:position w:val="-1"/>
        </w:rPr>
        <w:t>二、收入预算情况说明</w:t>
      </w:r>
    </w:p>
    <w:p>
      <w:pPr>
        <w:ind w:left="1951"/>
        <w:spacing w:before="174" w:line="222" w:lineRule="auto"/>
        <w:rPr>
          <w:rFonts w:ascii="FangSong" w:hAnsi="FangSong" w:eastAsia="FangSong" w:cs="FangSong"/>
          <w:sz w:val="23"/>
          <w:szCs w:val="23"/>
        </w:rPr>
      </w:pPr>
      <w:r>
        <w:rPr>
          <w:rFonts w:ascii="FangSong" w:hAnsi="FangSong" w:eastAsia="FangSong" w:cs="FangSong"/>
          <w:sz w:val="23"/>
          <w:szCs w:val="23"/>
          <w:spacing w:val="5"/>
        </w:rPr>
        <w:t>25年度兴县蔡家会镇中心卫生院预算收入209.49万元，主要包括一般公共预</w:t>
      </w:r>
      <w:r>
        <w:rPr>
          <w:rFonts w:ascii="FangSong" w:hAnsi="FangSong" w:eastAsia="FangSong" w:cs="FangSong"/>
          <w:sz w:val="23"/>
          <w:szCs w:val="23"/>
          <w:spacing w:val="5"/>
        </w:rPr>
        <w:t xml:space="preserve">    </w:t>
      </w:r>
      <w:r>
        <w:rPr>
          <w:rFonts w:ascii="FangSong" w:hAnsi="FangSong" w:eastAsia="FangSong" w:cs="FangSong"/>
          <w:sz w:val="23"/>
          <w:szCs w:val="23"/>
          <w:spacing w:val="5"/>
        </w:rPr>
        <w:t>款收</w:t>
      </w:r>
    </w:p>
    <w:p>
      <w:pPr>
        <w:ind w:left="1846"/>
        <w:spacing w:before="123" w:line="221" w:lineRule="auto"/>
        <w:rPr>
          <w:rFonts w:ascii="FangSong" w:hAnsi="FangSong" w:eastAsia="FangSong" w:cs="FangSong"/>
          <w:sz w:val="23"/>
          <w:szCs w:val="23"/>
        </w:rPr>
      </w:pPr>
      <w:r>
        <w:rPr>
          <w:rFonts w:ascii="FangSong" w:hAnsi="FangSong" w:eastAsia="FangSong" w:cs="FangSong"/>
          <w:sz w:val="23"/>
          <w:szCs w:val="23"/>
          <w:spacing w:val="1"/>
        </w:rPr>
        <w:t>.49万元，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占100.00%</w:t>
      </w:r>
      <w:r>
        <w:rPr>
          <w:rFonts w:ascii="FangSong" w:hAnsi="FangSong" w:eastAsia="FangSong" w:cs="FangSong"/>
          <w:sz w:val="23"/>
          <w:szCs w:val="23"/>
          <w:spacing w:val="1"/>
        </w:rPr>
        <w:t xml:space="preserve">  </w:t>
      </w:r>
      <w:r>
        <w:rPr>
          <w:rFonts w:ascii="FangSong" w:hAnsi="FangSong" w:eastAsia="FangSong" w:cs="FangSong"/>
          <w:sz w:val="23"/>
          <w:szCs w:val="23"/>
          <w:spacing w:val="1"/>
        </w:rPr>
        <w:t>政府性基金预算拨款收入0万元，</w:t>
      </w:r>
      <w:r>
        <w:rPr>
          <w:rFonts w:ascii="FangSong" w:hAnsi="FangSong" w:eastAsia="FangSong" w:cs="FangSong"/>
          <w:sz w:val="23"/>
          <w:szCs w:val="23"/>
          <w:spacing w:val="-53"/>
        </w:rPr>
        <w:t xml:space="preserve"> </w:t>
      </w:r>
      <w:r>
        <w:rPr>
          <w:rFonts w:ascii="FangSong" w:hAnsi="FangSong" w:eastAsia="FangSong" w:cs="FangSong"/>
          <w:sz w:val="23"/>
          <w:szCs w:val="23"/>
          <w:spacing w:val="1"/>
        </w:rPr>
        <w:t>占</w:t>
      </w:r>
      <w:r>
        <w:rPr>
          <w:rFonts w:ascii="FangSong" w:hAnsi="FangSong" w:eastAsia="FangSong" w:cs="FangSong"/>
          <w:sz w:val="23"/>
          <w:szCs w:val="23"/>
        </w:rPr>
        <w:t>0%</w:t>
      </w:r>
      <w:r>
        <w:rPr>
          <w:rFonts w:ascii="FangSong" w:hAnsi="FangSong" w:eastAsia="FangSong" w:cs="FangSong"/>
          <w:sz w:val="23"/>
          <w:szCs w:val="23"/>
          <w:spacing w:val="24"/>
        </w:rPr>
        <w:t xml:space="preserve">  </w:t>
      </w:r>
      <w:r>
        <w:rPr>
          <w:rFonts w:ascii="FangSong" w:hAnsi="FangSong" w:eastAsia="FangSong" w:cs="FangSong"/>
          <w:sz w:val="23"/>
          <w:szCs w:val="23"/>
        </w:rPr>
        <w:t>国有资</w:t>
      </w:r>
      <w:r>
        <w:rPr>
          <w:rFonts w:ascii="FangSong" w:hAnsi="FangSong" w:eastAsia="FangSong" w:cs="FangSong"/>
          <w:sz w:val="23"/>
          <w:szCs w:val="23"/>
        </w:rPr>
        <w:t xml:space="preserve">      </w:t>
      </w:r>
      <w:r>
        <w:rPr>
          <w:rFonts w:ascii="FangSong" w:hAnsi="FangSong" w:eastAsia="FangSong" w:cs="FangSong"/>
          <w:sz w:val="23"/>
          <w:szCs w:val="23"/>
        </w:rPr>
        <w:t>预算拨款</w:t>
      </w:r>
    </w:p>
    <w:p>
      <w:pPr>
        <w:ind w:left="1276"/>
        <w:spacing w:before="137" w:line="219" w:lineRule="auto"/>
        <w:rPr>
          <w:rFonts w:ascii="FangSong" w:hAnsi="FangSong" w:eastAsia="FangSong" w:cs="FangSong"/>
          <w:sz w:val="23"/>
          <w:szCs w:val="23"/>
        </w:rPr>
      </w:pPr>
      <w:r>
        <w:rPr>
          <w:rFonts w:ascii="FangSong" w:hAnsi="FangSong" w:eastAsia="FangSong" w:cs="FangSong"/>
          <w:sz w:val="23"/>
          <w:szCs w:val="23"/>
          <w:spacing w:val="2"/>
        </w:rPr>
        <w:t>收入0万元，</w:t>
      </w:r>
      <w:r>
        <w:rPr>
          <w:rFonts w:ascii="FangSong" w:hAnsi="FangSong" w:eastAsia="FangSong" w:cs="FangSong"/>
          <w:sz w:val="23"/>
          <w:szCs w:val="23"/>
          <w:spacing w:val="-55"/>
        </w:rPr>
        <w:t xml:space="preserve"> </w:t>
      </w:r>
      <w:r>
        <w:rPr>
          <w:rFonts w:ascii="FangSong" w:hAnsi="FangSong" w:eastAsia="FangSong" w:cs="FangSong"/>
          <w:sz w:val="23"/>
          <w:szCs w:val="23"/>
          <w:spacing w:val="2"/>
        </w:rPr>
        <w:t>占0%；财政专户管理资金收入0万元，</w:t>
      </w:r>
      <w:r>
        <w:rPr>
          <w:rFonts w:ascii="FangSong" w:hAnsi="FangSong" w:eastAsia="FangSong" w:cs="FangSong"/>
          <w:sz w:val="23"/>
          <w:szCs w:val="23"/>
          <w:spacing w:val="-54"/>
        </w:rPr>
        <w:t xml:space="preserve"> </w:t>
      </w:r>
      <w:r>
        <w:rPr>
          <w:rFonts w:ascii="FangSong" w:hAnsi="FangSong" w:eastAsia="FangSong" w:cs="FangSong"/>
          <w:sz w:val="23"/>
          <w:szCs w:val="23"/>
          <w:spacing w:val="2"/>
        </w:rPr>
        <w:t>占0%；单位</w:t>
      </w:r>
      <w:r>
        <w:rPr>
          <w:rFonts w:ascii="FangSong" w:hAnsi="FangSong" w:eastAsia="FangSong" w:cs="FangSong"/>
          <w:sz w:val="23"/>
          <w:szCs w:val="23"/>
          <w:spacing w:val="1"/>
        </w:rPr>
        <w:t>资金0万</w:t>
      </w:r>
      <w:r>
        <w:rPr>
          <w:rFonts w:ascii="FangSong" w:hAnsi="FangSong" w:eastAsia="FangSong" w:cs="FangSong"/>
          <w:sz w:val="23"/>
          <w:szCs w:val="23"/>
          <w:spacing w:val="1"/>
        </w:rPr>
        <w:t xml:space="preserve">  </w:t>
      </w:r>
      <w:r>
        <w:rPr>
          <w:rFonts w:ascii="FangSong" w:hAnsi="FangSong" w:eastAsia="FangSong" w:cs="FangSong"/>
          <w:sz w:val="23"/>
          <w:szCs w:val="23"/>
          <w:spacing w:val="1"/>
        </w:rPr>
        <w:t>，</w:t>
      </w:r>
      <w:r>
        <w:rPr>
          <w:rFonts w:ascii="FangSong" w:hAnsi="FangSong" w:eastAsia="FangSong" w:cs="FangSong"/>
          <w:sz w:val="23"/>
          <w:szCs w:val="23"/>
          <w:spacing w:val="1"/>
        </w:rPr>
        <w:t xml:space="preserve">   </w:t>
      </w:r>
      <w:r>
        <w:rPr>
          <w:rFonts w:ascii="FangSong" w:hAnsi="FangSong" w:eastAsia="FangSong" w:cs="FangSong"/>
          <w:sz w:val="23"/>
          <w:szCs w:val="23"/>
          <w:spacing w:val="1"/>
        </w:rPr>
        <w:t>%；上年结转0</w:t>
      </w:r>
    </w:p>
    <w:p>
      <w:pPr>
        <w:ind w:left="1265"/>
        <w:spacing w:before="127" w:line="226" w:lineRule="auto"/>
        <w:rPr>
          <w:rFonts w:ascii="FangSong" w:hAnsi="FangSong" w:eastAsia="FangSong" w:cs="FangSong"/>
          <w:sz w:val="23"/>
          <w:szCs w:val="23"/>
        </w:rPr>
      </w:pPr>
      <w:r>
        <w:rPr>
          <w:rFonts w:ascii="FangSong" w:hAnsi="FangSong" w:eastAsia="FangSong" w:cs="FangSong"/>
          <w:sz w:val="23"/>
          <w:szCs w:val="23"/>
          <w:spacing w:val="-10"/>
        </w:rPr>
        <w:t>万元，</w:t>
      </w:r>
      <w:r>
        <w:rPr>
          <w:rFonts w:ascii="FangSong" w:hAnsi="FangSong" w:eastAsia="FangSong" w:cs="FangSong"/>
          <w:sz w:val="23"/>
          <w:szCs w:val="23"/>
          <w:spacing w:val="-60"/>
        </w:rPr>
        <w:t xml:space="preserve"> </w:t>
      </w:r>
      <w:r>
        <w:rPr>
          <w:rFonts w:ascii="FangSong" w:hAnsi="FangSong" w:eastAsia="FangSong" w:cs="FangSong"/>
          <w:sz w:val="23"/>
          <w:szCs w:val="23"/>
          <w:spacing w:val="-10"/>
        </w:rPr>
        <w:t>占0%。</w:t>
      </w:r>
    </w:p>
    <w:p>
      <w:pPr>
        <w:pStyle w:val="BodyText"/>
        <w:spacing w:line="431" w:lineRule="auto"/>
        <w:rPr/>
      </w:pPr>
      <w:r/>
    </w:p>
    <w:p>
      <w:pPr>
        <w:ind w:firstLine="3665"/>
        <w:spacing w:line="2935" w:lineRule="exact"/>
        <w:rPr/>
      </w:pPr>
      <w:r>
        <w:rPr>
          <w:position w:val="-58"/>
        </w:rPr>
        <w:drawing>
          <wp:inline distT="0" distB="0" distL="0" distR="0">
            <wp:extent cx="2346419" cy="1863136"/>
            <wp:effectExtent l="0" t="0" r="0" b="0"/>
            <wp:docPr id="4" name="IM 4"/>
            <wp:cNvGraphicFramePr/>
            <a:graphic>
              <a:graphicData uri="http://schemas.openxmlformats.org/drawingml/2006/picture">
                <pic:pic>
                  <pic:nvPicPr>
                    <pic:cNvPr id="4" name="IM 4"/>
                    <pic:cNvPicPr/>
                  </pic:nvPicPr>
                  <pic:blipFill>
                    <a:blip r:embed="rId37"/>
                    <a:stretch>
                      <a:fillRect/>
                    </a:stretch>
                  </pic:blipFill>
                  <pic:spPr>
                    <a:xfrm rot="0">
                      <a:off x="0" y="0"/>
                      <a:ext cx="2346419" cy="1863136"/>
                    </a:xfrm>
                    <a:prstGeom prst="rect">
                      <a:avLst/>
                    </a:prstGeom>
                  </pic:spPr>
                </pic:pic>
              </a:graphicData>
            </a:graphic>
          </wp:inline>
        </w:drawing>
      </w:r>
    </w:p>
    <w:p>
      <w:pPr>
        <w:pStyle w:val="BodyText"/>
        <w:spacing w:line="269" w:lineRule="auto"/>
        <w:rPr/>
      </w:pPr>
      <w:r/>
    </w:p>
    <w:p>
      <w:pPr>
        <w:pStyle w:val="BodyText"/>
        <w:spacing w:line="270" w:lineRule="auto"/>
        <w:rPr/>
      </w:pPr>
      <w:r/>
    </w:p>
    <w:p>
      <w:pPr>
        <w:ind w:left="1262"/>
        <w:spacing w:before="95" w:line="230" w:lineRule="exact"/>
        <w:outlineLvl w:val="1"/>
        <w:rPr>
          <w:rFonts w:ascii="Microsoft YaHei" w:hAnsi="Microsoft YaHei" w:eastAsia="Microsoft YaHei" w:cs="Microsoft YaHei"/>
          <w:sz w:val="22"/>
          <w:szCs w:val="22"/>
        </w:rPr>
      </w:pPr>
      <w:bookmarkStart w:name="bookmark22" w:id="36"/>
      <w:bookmarkEnd w:id="36"/>
      <w:r>
        <w:rPr>
          <w:rFonts w:ascii="Microsoft YaHei" w:hAnsi="Microsoft YaHei" w:eastAsia="Microsoft YaHei" w:cs="Microsoft YaHei"/>
          <w:sz w:val="22"/>
          <w:szCs w:val="22"/>
          <w:spacing w:val="7"/>
          <w:position w:val="-1"/>
        </w:rPr>
        <w:t>三、支出预算情况说明</w:t>
      </w:r>
    </w:p>
    <w:p>
      <w:pPr>
        <w:ind w:left="1303" w:right="1271" w:firstLine="417"/>
        <w:spacing w:before="186" w:line="319" w:lineRule="auto"/>
        <w:rPr>
          <w:rFonts w:ascii="FangSong" w:hAnsi="FangSong" w:eastAsia="FangSong" w:cs="FangSong"/>
          <w:sz w:val="23"/>
          <w:szCs w:val="23"/>
        </w:rPr>
      </w:pPr>
      <w:r>
        <w:rPr>
          <w:rFonts w:ascii="FangSong" w:hAnsi="FangSong" w:eastAsia="FangSong" w:cs="FangSong"/>
          <w:sz w:val="23"/>
          <w:szCs w:val="23"/>
          <w:spacing w:val="3"/>
        </w:rPr>
        <w:t>2</w:t>
      </w:r>
      <w:r>
        <w:rPr>
          <w:rFonts w:ascii="FangSong" w:hAnsi="FangSong" w:eastAsia="FangSong" w:cs="FangSong"/>
          <w:sz w:val="23"/>
          <w:szCs w:val="23"/>
          <w:spacing w:val="3"/>
        </w:rPr>
        <w:t xml:space="preserve">       </w:t>
      </w:r>
      <w:r>
        <w:rPr>
          <w:rFonts w:ascii="FangSong" w:hAnsi="FangSong" w:eastAsia="FangSong" w:cs="FangSong"/>
          <w:sz w:val="23"/>
          <w:szCs w:val="23"/>
          <w:spacing w:val="3"/>
        </w:rPr>
        <w:t>兴县蔡家会镇中心卫生院支出预算209.49万元，其中：基本支出178.23</w:t>
      </w:r>
      <w:r>
        <w:rPr>
          <w:rFonts w:ascii="FangSong" w:hAnsi="FangSong" w:eastAsia="FangSong" w:cs="FangSong"/>
          <w:sz w:val="23"/>
          <w:szCs w:val="23"/>
          <w:spacing w:val="3"/>
        </w:rPr>
        <w:t xml:space="preserve">    </w:t>
      </w:r>
      <w:r>
        <w:rPr>
          <w:rFonts w:ascii="FangSong" w:hAnsi="FangSong" w:eastAsia="FangSong" w:cs="FangSong"/>
          <w:sz w:val="23"/>
          <w:szCs w:val="23"/>
          <w:spacing w:val="3"/>
        </w:rPr>
        <w:t>，</w:t>
      </w:r>
      <w:r>
        <w:rPr>
          <w:rFonts w:ascii="FangSong" w:hAnsi="FangSong" w:eastAsia="FangSong" w:cs="FangSong"/>
          <w:sz w:val="23"/>
          <w:szCs w:val="23"/>
          <w:spacing w:val="16"/>
        </w:rPr>
        <w:t xml:space="preserve"> </w:t>
      </w:r>
      <w:r>
        <w:rPr>
          <w:rFonts w:ascii="FangSong" w:hAnsi="FangSong" w:eastAsia="FangSong" w:cs="FangSong"/>
          <w:sz w:val="23"/>
          <w:szCs w:val="23"/>
          <w:spacing w:val="-4"/>
        </w:rPr>
        <w:t>占85.08%；项目支出31.26万元，</w:t>
      </w:r>
      <w:r>
        <w:rPr>
          <w:rFonts w:ascii="FangSong" w:hAnsi="FangSong" w:eastAsia="FangSong" w:cs="FangSong"/>
          <w:sz w:val="23"/>
          <w:szCs w:val="23"/>
          <w:spacing w:val="-48"/>
        </w:rPr>
        <w:t xml:space="preserve"> </w:t>
      </w:r>
      <w:r>
        <w:rPr>
          <w:rFonts w:ascii="FangSong" w:hAnsi="FangSong" w:eastAsia="FangSong" w:cs="FangSong"/>
          <w:sz w:val="23"/>
          <w:szCs w:val="23"/>
          <w:spacing w:val="-4"/>
        </w:rPr>
        <w:t>占14.92%。</w:t>
      </w:r>
    </w:p>
    <w:p>
      <w:pPr>
        <w:ind w:left="1271"/>
        <w:spacing w:line="230" w:lineRule="exact"/>
        <w:outlineLvl w:val="1"/>
        <w:rPr>
          <w:rFonts w:ascii="Microsoft YaHei" w:hAnsi="Microsoft YaHei" w:eastAsia="Microsoft YaHei" w:cs="Microsoft YaHei"/>
          <w:sz w:val="22"/>
          <w:szCs w:val="22"/>
        </w:rPr>
      </w:pPr>
      <w:bookmarkStart w:name="bookmark23" w:id="37"/>
      <w:bookmarkEnd w:id="37"/>
      <w:r>
        <w:rPr>
          <w:rFonts w:ascii="Microsoft YaHei" w:hAnsi="Microsoft YaHei" w:eastAsia="Microsoft YaHei" w:cs="Microsoft YaHei"/>
          <w:sz w:val="22"/>
          <w:szCs w:val="22"/>
          <w:spacing w:val="8"/>
          <w:position w:val="-1"/>
        </w:rPr>
        <w:t>四、财政拨款收支预算总体情况说明</w:t>
      </w:r>
    </w:p>
    <w:p>
      <w:pPr>
        <w:ind w:left="1263" w:right="1223" w:firstLine="456"/>
        <w:spacing w:before="187" w:line="322" w:lineRule="auto"/>
        <w:jc w:val="both"/>
        <w:rPr>
          <w:rFonts w:ascii="FangSong" w:hAnsi="FangSong" w:eastAsia="FangSong" w:cs="FangSong"/>
          <w:sz w:val="23"/>
          <w:szCs w:val="23"/>
        </w:rPr>
      </w:pPr>
      <w:r>
        <w:rPr>
          <w:rFonts w:ascii="FangSong" w:hAnsi="FangSong" w:eastAsia="FangSong" w:cs="FangSong"/>
          <w:sz w:val="23"/>
          <w:szCs w:val="23"/>
          <w:spacing w:val="5"/>
        </w:rPr>
        <w:t>2025年度兴县蔡家会镇中心卫生院财政拨款收支总预算209.49万元。其中：一般公共预</w:t>
      </w:r>
      <w:r>
        <w:rPr>
          <w:rFonts w:ascii="FangSong" w:hAnsi="FangSong" w:eastAsia="FangSong" w:cs="FangSong"/>
          <w:sz w:val="23"/>
          <w:szCs w:val="23"/>
        </w:rPr>
        <w:t xml:space="preserve"> </w:t>
      </w:r>
      <w:r>
        <w:rPr>
          <w:rFonts w:ascii="FangSong" w:hAnsi="FangSong" w:eastAsia="FangSong" w:cs="FangSong"/>
          <w:sz w:val="23"/>
          <w:szCs w:val="23"/>
          <w:spacing w:val="3"/>
        </w:rPr>
        <w:t>算拨款209.49万元，政府性基金预算拨款0万元，</w:t>
      </w:r>
      <w:r>
        <w:rPr>
          <w:rFonts w:ascii="FangSong" w:hAnsi="FangSong" w:eastAsia="FangSong" w:cs="FangSong"/>
          <w:sz w:val="23"/>
          <w:szCs w:val="23"/>
          <w:spacing w:val="-68"/>
        </w:rPr>
        <w:t xml:space="preserve"> </w:t>
      </w:r>
      <w:r>
        <w:rPr>
          <w:rFonts w:ascii="FangSong" w:hAnsi="FangSong" w:eastAsia="FangSong" w:cs="FangSong"/>
          <w:sz w:val="23"/>
          <w:szCs w:val="23"/>
          <w:spacing w:val="2"/>
        </w:rPr>
        <w:t>国有资本经营预算拨款0万元。其中：</w:t>
      </w:r>
      <w:r>
        <w:rPr>
          <w:rFonts w:ascii="FangSong" w:hAnsi="FangSong" w:eastAsia="FangSong" w:cs="FangSong"/>
          <w:sz w:val="23"/>
          <w:szCs w:val="23"/>
          <w:spacing w:val="-64"/>
        </w:rPr>
        <w:t xml:space="preserve"> </w:t>
      </w:r>
      <w:r>
        <w:rPr>
          <w:rFonts w:ascii="FangSong" w:hAnsi="FangSong" w:eastAsia="FangSong" w:cs="FangSong"/>
          <w:sz w:val="23"/>
          <w:szCs w:val="23"/>
          <w:spacing w:val="2"/>
        </w:rPr>
        <w:t>当年</w:t>
      </w:r>
      <w:r>
        <w:rPr>
          <w:rFonts w:ascii="FangSong" w:hAnsi="FangSong" w:eastAsia="FangSong" w:cs="FangSong"/>
          <w:sz w:val="23"/>
          <w:szCs w:val="23"/>
        </w:rPr>
        <w:t xml:space="preserve"> </w:t>
      </w:r>
      <w:r>
        <w:rPr>
          <w:rFonts w:ascii="FangSong" w:hAnsi="FangSong" w:eastAsia="FangSong" w:cs="FangSong"/>
          <w:sz w:val="23"/>
          <w:szCs w:val="23"/>
          <w:spacing w:val="5"/>
        </w:rPr>
        <w:t>拨款收入209.49万元，上年结转收入0万元。支出包括</w:t>
      </w:r>
      <w:r>
        <w:rPr>
          <w:rFonts w:ascii="FangSong" w:hAnsi="FangSong" w:eastAsia="FangSong" w:cs="FangSong"/>
          <w:sz w:val="23"/>
          <w:szCs w:val="23"/>
          <w:spacing w:val="4"/>
        </w:rPr>
        <w:t>：社会保障和就业支出15.95万元、卫</w:t>
      </w:r>
      <w:r>
        <w:rPr>
          <w:rFonts w:ascii="FangSong" w:hAnsi="FangSong" w:eastAsia="FangSong" w:cs="FangSong"/>
          <w:sz w:val="23"/>
          <w:szCs w:val="23"/>
        </w:rPr>
        <w:t xml:space="preserve"> </w:t>
      </w:r>
      <w:r>
        <w:rPr>
          <w:rFonts w:ascii="FangSong" w:hAnsi="FangSong" w:eastAsia="FangSong" w:cs="FangSong"/>
          <w:sz w:val="23"/>
          <w:szCs w:val="23"/>
        </w:rPr>
        <w:t>生健康支出180.27万元、住房保障支出13.27万</w:t>
      </w:r>
      <w:r>
        <w:rPr>
          <w:rFonts w:ascii="FangSong" w:hAnsi="FangSong" w:eastAsia="FangSong" w:cs="FangSong"/>
          <w:sz w:val="23"/>
          <w:szCs w:val="23"/>
          <w:spacing w:val="-1"/>
        </w:rPr>
        <w:t>元等。</w:t>
      </w:r>
    </w:p>
    <w:p>
      <w:pPr>
        <w:ind w:left="1264"/>
        <w:spacing w:line="230" w:lineRule="exact"/>
        <w:outlineLvl w:val="1"/>
        <w:rPr>
          <w:rFonts w:ascii="Microsoft YaHei" w:hAnsi="Microsoft YaHei" w:eastAsia="Microsoft YaHei" w:cs="Microsoft YaHei"/>
          <w:sz w:val="22"/>
          <w:szCs w:val="22"/>
        </w:rPr>
      </w:pPr>
      <w:bookmarkStart w:name="bookmark24" w:id="38"/>
      <w:bookmarkEnd w:id="38"/>
      <w:r>
        <w:rPr>
          <w:rFonts w:ascii="Microsoft YaHei" w:hAnsi="Microsoft YaHei" w:eastAsia="Microsoft YaHei" w:cs="Microsoft YaHei"/>
          <w:sz w:val="22"/>
          <w:szCs w:val="22"/>
          <w:spacing w:val="8"/>
          <w:position w:val="-1"/>
        </w:rPr>
        <w:t>五、一般公共预算支出情况说明</w:t>
      </w:r>
    </w:p>
    <w:p>
      <w:pPr>
        <w:ind w:left="1725"/>
        <w:spacing w:before="174"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740" w:right="1223" w:hanging="20"/>
        <w:spacing w:before="135" w:line="321" w:lineRule="auto"/>
        <w:rPr>
          <w:rFonts w:ascii="FangSong" w:hAnsi="FangSong" w:eastAsia="FangSong" w:cs="FangSong"/>
          <w:sz w:val="23"/>
          <w:szCs w:val="23"/>
        </w:rPr>
      </w:pPr>
      <w:r>
        <w:rPr>
          <w:rFonts w:ascii="FangSong" w:hAnsi="FangSong" w:eastAsia="FangSong" w:cs="FangSong"/>
          <w:sz w:val="23"/>
          <w:szCs w:val="23"/>
          <w:spacing w:val="2"/>
        </w:rPr>
        <w:t>2025年度兴县蔡家会镇中心卫生院一般公共预算当年支出209.49万元,比上年减少140.88</w:t>
      </w:r>
      <w:r>
        <w:rPr>
          <w:rFonts w:ascii="FangSong" w:hAnsi="FangSong" w:eastAsia="FangSong" w:cs="FangSong"/>
          <w:sz w:val="23"/>
          <w:szCs w:val="23"/>
          <w:spacing w:val="5"/>
        </w:rPr>
        <w:t xml:space="preserve"> </w:t>
      </w:r>
      <w:r>
        <w:rPr>
          <w:rFonts w:ascii="FangSong" w:hAnsi="FangSong" w:eastAsia="FangSong" w:cs="FangSong"/>
          <w:sz w:val="23"/>
          <w:szCs w:val="23"/>
          <w:spacing w:val="-12"/>
        </w:rPr>
        <w:t>,</w:t>
      </w:r>
      <w:r>
        <w:rPr>
          <w:rFonts w:ascii="FangSong" w:hAnsi="FangSong" w:eastAsia="FangSong" w:cs="FangSong"/>
          <w:sz w:val="23"/>
          <w:szCs w:val="23"/>
          <w:spacing w:val="26"/>
        </w:rPr>
        <w:t xml:space="preserve">   </w:t>
      </w:r>
      <w:r>
        <w:rPr>
          <w:rFonts w:ascii="FangSong" w:hAnsi="FangSong" w:eastAsia="FangSong" w:cs="FangSong"/>
          <w:sz w:val="23"/>
          <w:szCs w:val="23"/>
          <w:spacing w:val="-12"/>
        </w:rPr>
        <w:t>降40.21%。</w:t>
      </w:r>
    </w:p>
    <w:p>
      <w:pPr>
        <w:ind w:left="1725"/>
        <w:spacing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spacing w:line="222" w:lineRule="auto"/>
        <w:sectPr>
          <w:headerReference w:type="default" r:id="rId35"/>
          <w:footerReference w:type="default" r:id="rId36"/>
          <w:pgSz w:w="11900" w:h="16840"/>
          <w:pgMar w:top="642" w:right="0" w:bottom="340" w:left="0" w:header="326" w:footer="111" w:gutter="0"/>
        </w:sectPr>
        <w:rPr>
          <w:rFonts w:ascii="FangSong" w:hAnsi="FangSong" w:eastAsia="FangSong" w:cs="FangSong"/>
          <w:sz w:val="23"/>
          <w:szCs w:val="23"/>
        </w:rPr>
      </w:pPr>
    </w:p>
    <w:p>
      <w:pPr>
        <w:pStyle w:val="BodyText"/>
        <w:spacing w:line="282" w:lineRule="auto"/>
        <w:rPr/>
      </w:pPr>
      <w:r/>
    </w:p>
    <w:p>
      <w:pPr>
        <w:pStyle w:val="BodyText"/>
        <w:spacing w:line="282" w:lineRule="auto"/>
        <w:rPr/>
      </w:pPr>
      <w:r/>
    </w:p>
    <w:p>
      <w:pPr>
        <w:ind w:left="1720"/>
        <w:spacing w:before="74" w:line="222" w:lineRule="auto"/>
        <w:rPr>
          <w:rFonts w:ascii="FangSong" w:hAnsi="FangSong" w:eastAsia="FangSong" w:cs="FangSong"/>
          <w:sz w:val="23"/>
          <w:szCs w:val="23"/>
        </w:rPr>
      </w:pPr>
      <w:r>
        <w:rPr>
          <w:rFonts w:ascii="FangSong" w:hAnsi="FangSong" w:eastAsia="FangSong" w:cs="FangSong"/>
          <w:sz w:val="23"/>
          <w:szCs w:val="23"/>
          <w:spacing w:val="7"/>
        </w:rPr>
        <w:t>2</w:t>
      </w:r>
      <w:r>
        <w:rPr>
          <w:rFonts w:ascii="FangSong" w:hAnsi="FangSong" w:eastAsia="FangSong" w:cs="FangSong"/>
          <w:sz w:val="23"/>
          <w:szCs w:val="23"/>
          <w:spacing w:val="7"/>
        </w:rPr>
        <w:t xml:space="preserve">       </w:t>
      </w:r>
      <w:r>
        <w:rPr>
          <w:rFonts w:ascii="FangSong" w:hAnsi="FangSong" w:eastAsia="FangSong" w:cs="FangSong"/>
          <w:sz w:val="23"/>
          <w:szCs w:val="23"/>
          <w:spacing w:val="7"/>
        </w:rPr>
        <w:t>兴县蔡家会镇中心卫生院一般公共预算当年支出209.49万元,主要用</w:t>
      </w:r>
    </w:p>
    <w:p>
      <w:pPr>
        <w:ind w:left="1264" w:right="1223" w:firstLine="3"/>
        <w:spacing w:before="123" w:line="330" w:lineRule="auto"/>
        <w:rPr>
          <w:rFonts w:ascii="FangSong" w:hAnsi="FangSong" w:eastAsia="FangSong" w:cs="FangSong"/>
          <w:sz w:val="23"/>
          <w:szCs w:val="23"/>
        </w:rPr>
      </w:pPr>
      <w:r>
        <w:rPr>
          <w:rFonts w:ascii="FangSong" w:hAnsi="FangSong" w:eastAsia="FangSong" w:cs="FangSong"/>
          <w:sz w:val="23"/>
          <w:szCs w:val="23"/>
          <w:spacing w:val="2"/>
        </w:rPr>
        <w:t>面：社会保障和就业支出15.95万元，</w:t>
      </w:r>
      <w:r>
        <w:rPr>
          <w:rFonts w:ascii="FangSong" w:hAnsi="FangSong" w:eastAsia="FangSong" w:cs="FangSong"/>
          <w:sz w:val="23"/>
          <w:szCs w:val="23"/>
          <w:spacing w:val="-53"/>
        </w:rPr>
        <w:t xml:space="preserve"> </w:t>
      </w:r>
      <w:r>
        <w:rPr>
          <w:rFonts w:ascii="FangSong" w:hAnsi="FangSong" w:eastAsia="FangSong" w:cs="FangSong"/>
          <w:sz w:val="23"/>
          <w:szCs w:val="23"/>
          <w:spacing w:val="2"/>
        </w:rPr>
        <w:t>占7.61%；卫生健康支</w:t>
      </w:r>
      <w:r>
        <w:rPr>
          <w:rFonts w:ascii="FangSong" w:hAnsi="FangSong" w:eastAsia="FangSong" w:cs="FangSong"/>
          <w:sz w:val="23"/>
          <w:szCs w:val="23"/>
          <w:spacing w:val="1"/>
        </w:rPr>
        <w:t>出180.27万元，</w:t>
      </w:r>
      <w:r>
        <w:rPr>
          <w:rFonts w:ascii="FangSong" w:hAnsi="FangSong" w:eastAsia="FangSong" w:cs="FangSong"/>
          <w:sz w:val="23"/>
          <w:szCs w:val="23"/>
          <w:spacing w:val="-52"/>
        </w:rPr>
        <w:t xml:space="preserve"> </w:t>
      </w:r>
      <w:r>
        <w:rPr>
          <w:rFonts w:ascii="FangSong" w:hAnsi="FangSong" w:eastAsia="FangSong" w:cs="FangSong"/>
          <w:sz w:val="23"/>
          <w:szCs w:val="23"/>
          <w:spacing w:val="1"/>
        </w:rPr>
        <w:t>占86.05%；住房</w:t>
      </w:r>
      <w:r>
        <w:rPr>
          <w:rFonts w:ascii="FangSong" w:hAnsi="FangSong" w:eastAsia="FangSong" w:cs="FangSong"/>
          <w:sz w:val="23"/>
          <w:szCs w:val="23"/>
        </w:rPr>
        <w:t xml:space="preserve"> </w:t>
      </w:r>
      <w:r>
        <w:rPr>
          <w:rFonts w:ascii="FangSong" w:hAnsi="FangSong" w:eastAsia="FangSong" w:cs="FangSong"/>
          <w:sz w:val="23"/>
          <w:szCs w:val="23"/>
          <w:spacing w:val="-4"/>
        </w:rPr>
        <w:t>保障支出13.27万元，</w:t>
      </w:r>
      <w:r>
        <w:rPr>
          <w:rFonts w:ascii="FangSong" w:hAnsi="FangSong" w:eastAsia="FangSong" w:cs="FangSong"/>
          <w:sz w:val="23"/>
          <w:szCs w:val="23"/>
          <w:spacing w:val="-44"/>
        </w:rPr>
        <w:t xml:space="preserve"> </w:t>
      </w:r>
      <w:r>
        <w:rPr>
          <w:rFonts w:ascii="FangSong" w:hAnsi="FangSong" w:eastAsia="FangSong" w:cs="FangSong"/>
          <w:sz w:val="23"/>
          <w:szCs w:val="23"/>
          <w:spacing w:val="-4"/>
        </w:rPr>
        <w:t>占6.33%等。</w:t>
      </w:r>
    </w:p>
    <w:p>
      <w:pPr>
        <w:ind w:firstLine="4664"/>
        <w:spacing w:before="84" w:line="2547" w:lineRule="exact"/>
        <w:rPr/>
      </w:pPr>
      <w:r>
        <w:rPr>
          <w:position w:val="-50"/>
        </w:rPr>
        <w:drawing>
          <wp:inline distT="0" distB="0" distL="0" distR="0">
            <wp:extent cx="1915185" cy="1617346"/>
            <wp:effectExtent l="0" t="0" r="0" b="0"/>
            <wp:docPr id="6" name="IM 6"/>
            <wp:cNvGraphicFramePr/>
            <a:graphic>
              <a:graphicData uri="http://schemas.openxmlformats.org/drawingml/2006/picture">
                <pic:pic>
                  <pic:nvPicPr>
                    <pic:cNvPr id="6" name="IM 6"/>
                    <pic:cNvPicPr/>
                  </pic:nvPicPr>
                  <pic:blipFill>
                    <a:blip r:embed="rId40"/>
                    <a:stretch>
                      <a:fillRect/>
                    </a:stretch>
                  </pic:blipFill>
                  <pic:spPr>
                    <a:xfrm rot="0">
                      <a:off x="0" y="0"/>
                      <a:ext cx="1915185" cy="1617346"/>
                    </a:xfrm>
                    <a:prstGeom prst="rect">
                      <a:avLst/>
                    </a:prstGeom>
                  </pic:spPr>
                </pic:pic>
              </a:graphicData>
            </a:graphic>
          </wp:inline>
        </w:drawing>
      </w:r>
    </w:p>
    <w:p>
      <w:pPr>
        <w:pStyle w:val="BodyText"/>
        <w:spacing w:line="249" w:lineRule="auto"/>
        <w:rPr/>
      </w:pPr>
      <w:r/>
    </w:p>
    <w:p>
      <w:pPr>
        <w:pStyle w:val="BodyText"/>
        <w:spacing w:line="249" w:lineRule="auto"/>
        <w:rPr/>
      </w:pPr>
      <w:r/>
    </w:p>
    <w:p>
      <w:pPr>
        <w:ind w:left="1262"/>
        <w:spacing w:before="95" w:line="230" w:lineRule="exact"/>
        <w:outlineLvl w:val="1"/>
        <w:rPr>
          <w:rFonts w:ascii="Microsoft YaHei" w:hAnsi="Microsoft YaHei" w:eastAsia="Microsoft YaHei" w:cs="Microsoft YaHei"/>
          <w:sz w:val="22"/>
          <w:szCs w:val="22"/>
        </w:rPr>
      </w:pPr>
      <w:bookmarkStart w:name="bookmark25" w:id="39"/>
      <w:bookmarkEnd w:id="39"/>
      <w:r>
        <w:rPr>
          <w:rFonts w:ascii="Microsoft YaHei" w:hAnsi="Microsoft YaHei" w:eastAsia="Microsoft YaHei" w:cs="Microsoft YaHei"/>
          <w:sz w:val="22"/>
          <w:szCs w:val="22"/>
          <w:spacing w:val="8"/>
          <w:position w:val="-1"/>
        </w:rPr>
        <w:t>六、一般公共预算基本支出情况说明</w:t>
      </w:r>
    </w:p>
    <w:p>
      <w:pPr>
        <w:ind w:left="1720"/>
        <w:spacing w:before="174" w:line="222" w:lineRule="auto"/>
        <w:rPr>
          <w:rFonts w:ascii="FangSong" w:hAnsi="FangSong" w:eastAsia="FangSong" w:cs="FangSong"/>
          <w:sz w:val="23"/>
          <w:szCs w:val="23"/>
        </w:rPr>
      </w:pPr>
      <w:r>
        <w:rPr>
          <w:rFonts w:ascii="FangSong" w:hAnsi="FangSong" w:eastAsia="FangSong" w:cs="FangSong"/>
          <w:sz w:val="23"/>
          <w:szCs w:val="23"/>
        </w:rPr>
        <w:t>2025年度兴县蔡家会镇中心卫生院一般公共预算安排基本支出1</w:t>
      </w:r>
      <w:r>
        <w:rPr>
          <w:rFonts w:ascii="FangSong" w:hAnsi="FangSong" w:eastAsia="FangSong" w:cs="FangSong"/>
          <w:sz w:val="23"/>
          <w:szCs w:val="23"/>
        </w:rPr>
        <w:t xml:space="preserve">  </w:t>
      </w:r>
      <w:r>
        <w:rPr>
          <w:rFonts w:ascii="FangSong" w:hAnsi="FangSong" w:eastAsia="FangSong" w:cs="FangSong"/>
          <w:sz w:val="23"/>
          <w:szCs w:val="23"/>
        </w:rPr>
        <w:t>.</w:t>
      </w:r>
      <w:r>
        <w:rPr>
          <w:rFonts w:ascii="FangSong" w:hAnsi="FangSong" w:eastAsia="FangSong" w:cs="FangSong"/>
          <w:sz w:val="23"/>
          <w:szCs w:val="23"/>
        </w:rPr>
        <w:t xml:space="preserve">      </w:t>
      </w:r>
      <w:r>
        <w:rPr>
          <w:rFonts w:ascii="FangSong" w:hAnsi="FangSong" w:eastAsia="FangSong" w:cs="FangSong"/>
          <w:sz w:val="23"/>
          <w:szCs w:val="23"/>
        </w:rPr>
        <w:t>，其中：</w:t>
      </w:r>
    </w:p>
    <w:p>
      <w:pPr>
        <w:ind w:left="1263" w:right="1223" w:firstLine="464"/>
        <w:spacing w:before="136" w:line="321" w:lineRule="auto"/>
        <w:rPr>
          <w:rFonts w:ascii="FangSong" w:hAnsi="FangSong" w:eastAsia="FangSong" w:cs="FangSong"/>
          <w:sz w:val="23"/>
          <w:szCs w:val="23"/>
        </w:rPr>
      </w:pPr>
      <w:r>
        <w:rPr>
          <w:rFonts w:ascii="FangSong" w:hAnsi="FangSong" w:eastAsia="FangSong" w:cs="FangSong"/>
          <w:sz w:val="23"/>
          <w:szCs w:val="23"/>
          <w:spacing w:val="5"/>
        </w:rPr>
        <w:t>人员经费163.02万元，主要包括：其他工资福利支出、其他社</w:t>
      </w:r>
      <w:r>
        <w:rPr>
          <w:rFonts w:ascii="FangSong" w:hAnsi="FangSong" w:eastAsia="FangSong" w:cs="FangSong"/>
          <w:sz w:val="23"/>
          <w:szCs w:val="23"/>
          <w:spacing w:val="5"/>
        </w:rPr>
        <w:t xml:space="preserve">  </w:t>
      </w:r>
      <w:r>
        <w:rPr>
          <w:rFonts w:ascii="FangSong" w:hAnsi="FangSong" w:eastAsia="FangSong" w:cs="FangSong"/>
          <w:sz w:val="23"/>
          <w:szCs w:val="23"/>
          <w:spacing w:val="5"/>
        </w:rPr>
        <w:t>保障缴费、绩效</w:t>
      </w:r>
      <w:r>
        <w:rPr>
          <w:rFonts w:ascii="FangSong" w:hAnsi="FangSong" w:eastAsia="FangSong" w:cs="FangSong"/>
          <w:sz w:val="23"/>
          <w:szCs w:val="23"/>
          <w:spacing w:val="4"/>
        </w:rPr>
        <w:t>工资、</w:t>
      </w:r>
      <w:r>
        <w:rPr>
          <w:rFonts w:ascii="FangSong" w:hAnsi="FangSong" w:eastAsia="FangSong" w:cs="FangSong"/>
          <w:sz w:val="23"/>
          <w:szCs w:val="23"/>
        </w:rPr>
        <w:t xml:space="preserve"> </w:t>
      </w:r>
      <w:r>
        <w:rPr>
          <w:rFonts w:ascii="FangSong" w:hAnsi="FangSong" w:eastAsia="FangSong" w:cs="FangSong"/>
          <w:sz w:val="23"/>
          <w:szCs w:val="23"/>
          <w:spacing w:val="11"/>
        </w:rPr>
        <w:t>基本工资、机关事业单位基本养老保险缴费、住房公积金、退休费、职工基本医疗保险缴</w:t>
      </w:r>
      <w:r>
        <w:rPr>
          <w:rFonts w:ascii="FangSong" w:hAnsi="FangSong" w:eastAsia="FangSong" w:cs="FangSong"/>
          <w:sz w:val="23"/>
          <w:szCs w:val="23"/>
          <w:spacing w:val="12"/>
        </w:rPr>
        <w:t xml:space="preserve"> </w:t>
      </w:r>
      <w:r>
        <w:rPr>
          <w:rFonts w:ascii="FangSong" w:hAnsi="FangSong" w:eastAsia="FangSong" w:cs="FangSong"/>
          <w:sz w:val="23"/>
          <w:szCs w:val="23"/>
          <w:spacing w:val="-2"/>
        </w:rPr>
        <w:t>费、津贴补贴等</w:t>
      </w:r>
    </w:p>
    <w:p>
      <w:pPr>
        <w:ind w:left="1729"/>
        <w:spacing w:before="9" w:line="223" w:lineRule="auto"/>
        <w:rPr>
          <w:rFonts w:ascii="FangSong" w:hAnsi="FangSong" w:eastAsia="FangSong" w:cs="FangSong"/>
          <w:sz w:val="23"/>
          <w:szCs w:val="23"/>
        </w:rPr>
      </w:pPr>
      <w:r>
        <w:rPr>
          <w:rFonts w:ascii="FangSong" w:hAnsi="FangSong" w:eastAsia="FangSong" w:cs="FangSong"/>
          <w:sz w:val="23"/>
          <w:szCs w:val="23"/>
        </w:rPr>
        <w:t>公用经费15.21万元，主要包括：福利费、工会经费、</w:t>
      </w:r>
      <w:r>
        <w:rPr>
          <w:rFonts w:ascii="FangSong" w:hAnsi="FangSong" w:eastAsia="FangSong" w:cs="FangSong"/>
          <w:sz w:val="23"/>
          <w:szCs w:val="23"/>
          <w:spacing w:val="-1"/>
        </w:rPr>
        <w:t>取暖费等。</w:t>
      </w:r>
    </w:p>
    <w:p>
      <w:pPr>
        <w:ind w:left="1255"/>
        <w:spacing w:before="119" w:line="229" w:lineRule="exact"/>
        <w:outlineLvl w:val="1"/>
        <w:rPr>
          <w:rFonts w:ascii="Microsoft YaHei" w:hAnsi="Microsoft YaHei" w:eastAsia="Microsoft YaHei" w:cs="Microsoft YaHei"/>
          <w:sz w:val="22"/>
          <w:szCs w:val="22"/>
        </w:rPr>
      </w:pPr>
      <w:bookmarkStart w:name="bookmark26" w:id="40"/>
      <w:bookmarkEnd w:id="40"/>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726"/>
        <w:spacing w:before="175" w:line="221" w:lineRule="auto"/>
        <w:rPr>
          <w:rFonts w:ascii="FangSong" w:hAnsi="FangSong" w:eastAsia="FangSong" w:cs="FangSong"/>
          <w:sz w:val="23"/>
          <w:szCs w:val="23"/>
        </w:rPr>
      </w:pPr>
      <w:r>
        <w:rPr>
          <w:rFonts w:ascii="FangSong" w:hAnsi="FangSong" w:eastAsia="FangSong" w:cs="FangSong"/>
          <w:sz w:val="23"/>
          <w:szCs w:val="23"/>
          <w:spacing w:val="-4"/>
        </w:rPr>
        <w:t>本单位无“三公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1253"/>
        <w:spacing w:before="130" w:line="231" w:lineRule="exact"/>
        <w:outlineLvl w:val="1"/>
        <w:rPr>
          <w:rFonts w:ascii="Microsoft YaHei" w:hAnsi="Microsoft YaHei" w:eastAsia="Microsoft YaHei" w:cs="Microsoft YaHei"/>
          <w:sz w:val="23"/>
          <w:szCs w:val="23"/>
        </w:rPr>
      </w:pPr>
      <w:bookmarkStart w:name="bookmark27" w:id="41"/>
      <w:bookmarkEnd w:id="41"/>
      <w:r>
        <w:rPr>
          <w:rFonts w:ascii="Microsoft YaHei" w:hAnsi="Microsoft YaHei" w:eastAsia="Microsoft YaHei" w:cs="Microsoft YaHei"/>
          <w:sz w:val="23"/>
          <w:szCs w:val="23"/>
          <w:spacing w:val="-1"/>
          <w:position w:val="-1"/>
        </w:rPr>
        <w:t>八、机关运行经费增减变动原因说明</w:t>
      </w:r>
    </w:p>
    <w:p>
      <w:pPr>
        <w:ind w:left="1726"/>
        <w:spacing w:before="174" w:line="221" w:lineRule="auto"/>
        <w:rPr>
          <w:rFonts w:ascii="FangSong" w:hAnsi="FangSong" w:eastAsia="FangSong" w:cs="FangSong"/>
          <w:sz w:val="23"/>
          <w:szCs w:val="23"/>
        </w:rPr>
      </w:pPr>
      <w:r>
        <w:rPr>
          <w:rFonts w:ascii="FangSong" w:hAnsi="FangSong" w:eastAsia="FangSong" w:cs="FangSong"/>
          <w:sz w:val="23"/>
          <w:szCs w:val="23"/>
          <w:spacing w:val="-1"/>
        </w:rPr>
        <w:t>本单位为公益一类事业单位，无机关运行经费</w:t>
      </w:r>
    </w:p>
    <w:p>
      <w:pPr>
        <w:ind w:left="1258"/>
        <w:spacing w:before="122" w:line="226" w:lineRule="exact"/>
        <w:outlineLvl w:val="1"/>
        <w:rPr>
          <w:rFonts w:ascii="Microsoft YaHei" w:hAnsi="Microsoft YaHei" w:eastAsia="Microsoft YaHei" w:cs="Microsoft YaHei"/>
          <w:sz w:val="22"/>
          <w:szCs w:val="22"/>
        </w:rPr>
      </w:pPr>
      <w:bookmarkStart w:name="bookmark28" w:id="42"/>
      <w:bookmarkEnd w:id="42"/>
      <w:r>
        <w:rPr>
          <w:rFonts w:ascii="Microsoft YaHei" w:hAnsi="Microsoft YaHei" w:eastAsia="Microsoft YaHei" w:cs="Microsoft YaHei"/>
          <w:sz w:val="22"/>
          <w:szCs w:val="22"/>
          <w:spacing w:val="9"/>
          <w:position w:val="-1"/>
        </w:rPr>
        <w:t>九、政府采购情况</w:t>
      </w:r>
    </w:p>
    <w:p>
      <w:pPr>
        <w:ind w:left="1267" w:right="1223" w:firstLine="453"/>
        <w:spacing w:before="187" w:line="322" w:lineRule="auto"/>
        <w:rPr>
          <w:rFonts w:ascii="FangSong" w:hAnsi="FangSong" w:eastAsia="FangSong" w:cs="FangSong"/>
          <w:sz w:val="23"/>
          <w:szCs w:val="23"/>
        </w:rPr>
      </w:pPr>
      <w:r>
        <w:rPr>
          <w:rFonts w:ascii="FangSong" w:hAnsi="FangSong" w:eastAsia="FangSong" w:cs="FangSong"/>
          <w:sz w:val="23"/>
          <w:szCs w:val="23"/>
          <w:spacing w:val="5"/>
        </w:rPr>
        <w:t>2025年兴县蔡家会</w:t>
      </w:r>
      <w:r>
        <w:rPr>
          <w:rFonts w:ascii="FangSong" w:hAnsi="FangSong" w:eastAsia="FangSong" w:cs="FangSong"/>
          <w:sz w:val="23"/>
          <w:szCs w:val="23"/>
          <w:spacing w:val="5"/>
        </w:rPr>
        <w:t xml:space="preserve">    </w:t>
      </w:r>
      <w:r>
        <w:rPr>
          <w:rFonts w:ascii="FangSong" w:hAnsi="FangSong" w:eastAsia="FangSong" w:cs="FangSong"/>
          <w:sz w:val="23"/>
          <w:szCs w:val="23"/>
          <w:spacing w:val="5"/>
        </w:rPr>
        <w:t>心卫生院政府采购预算总额0万元。其中：政府采购货物预算0万</w:t>
      </w:r>
      <w:r>
        <w:rPr>
          <w:rFonts w:ascii="FangSong" w:hAnsi="FangSong" w:eastAsia="FangSong" w:cs="FangSong"/>
          <w:sz w:val="23"/>
          <w:szCs w:val="23"/>
        </w:rPr>
        <w:t xml:space="preserve"> </w:t>
      </w:r>
      <w:r>
        <w:rPr>
          <w:rFonts w:ascii="FangSong" w:hAnsi="FangSong" w:eastAsia="FangSong" w:cs="FangSong"/>
          <w:sz w:val="23"/>
          <w:szCs w:val="23"/>
        </w:rPr>
        <w:t>元、政府采购工</w:t>
      </w:r>
      <w:r>
        <w:rPr>
          <w:rFonts w:ascii="FangSong" w:hAnsi="FangSong" w:eastAsia="FangSong" w:cs="FangSong"/>
          <w:sz w:val="23"/>
          <w:szCs w:val="23"/>
        </w:rPr>
        <w:t xml:space="preserve">       </w:t>
      </w:r>
      <w:r>
        <w:rPr>
          <w:rFonts w:ascii="FangSong" w:hAnsi="FangSong" w:eastAsia="FangSong" w:cs="FangSong"/>
          <w:sz w:val="23"/>
          <w:szCs w:val="23"/>
        </w:rPr>
        <w:t>万元、政府采购服务</w:t>
      </w:r>
      <w:r>
        <w:rPr>
          <w:rFonts w:ascii="FangSong" w:hAnsi="FangSong" w:eastAsia="FangSong" w:cs="FangSong"/>
          <w:sz w:val="23"/>
          <w:szCs w:val="23"/>
          <w:spacing w:val="-1"/>
        </w:rPr>
        <w:t>预算0万元。</w:t>
      </w:r>
    </w:p>
    <w:p>
      <w:pPr>
        <w:pStyle w:val="BodyText"/>
        <w:spacing w:line="332" w:lineRule="auto"/>
        <w:rPr/>
      </w:pPr>
      <w:r/>
    </w:p>
    <w:p>
      <w:pPr>
        <w:ind w:left="1735"/>
        <w:spacing w:before="75"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1263" w:right="1223" w:hanging="4"/>
        <w:spacing w:before="122" w:line="324" w:lineRule="auto"/>
        <w:jc w:val="both"/>
        <w:rPr>
          <w:rFonts w:ascii="FangSong" w:hAnsi="FangSong" w:eastAsia="FangSong" w:cs="FangSong"/>
          <w:sz w:val="23"/>
          <w:szCs w:val="23"/>
        </w:rPr>
      </w:pPr>
      <w:r>
        <w:rPr>
          <w:rFonts w:ascii="FangSong" w:hAnsi="FangSong" w:eastAsia="FangSong" w:cs="FangSong"/>
          <w:sz w:val="23"/>
          <w:szCs w:val="23"/>
          <w:spacing w:val="5"/>
        </w:rPr>
        <w:t>2025年未编报部门整体支出绩效目标，涉及部门预算资金0万元，其中基本支出0万元，项目</w:t>
      </w:r>
      <w:r>
        <w:rPr>
          <w:rFonts w:ascii="FangSong" w:hAnsi="FangSong" w:eastAsia="FangSong" w:cs="FangSong"/>
          <w:sz w:val="23"/>
          <w:szCs w:val="23"/>
        </w:rPr>
        <w:t xml:space="preserve"> </w:t>
      </w:r>
      <w:r>
        <w:rPr>
          <w:rFonts w:ascii="FangSong" w:hAnsi="FangSong" w:eastAsia="FangSong" w:cs="FangSong"/>
          <w:sz w:val="23"/>
          <w:szCs w:val="23"/>
          <w:spacing w:val="2"/>
        </w:rPr>
        <w:t>支出0万元；机关及下属预算单位0个，其中0个单位（包括机关）编报了单位整体绩效目标，</w:t>
      </w:r>
      <w:r>
        <w:rPr>
          <w:rFonts w:ascii="FangSong" w:hAnsi="FangSong" w:eastAsia="FangSong" w:cs="FangSong"/>
          <w:sz w:val="23"/>
          <w:szCs w:val="23"/>
          <w:spacing w:val="12"/>
        </w:rPr>
        <w:t xml:space="preserve"> </w:t>
      </w:r>
      <w:r>
        <w:rPr>
          <w:rFonts w:ascii="FangSong" w:hAnsi="FangSong" w:eastAsia="FangSong" w:cs="FangSong"/>
          <w:sz w:val="23"/>
          <w:szCs w:val="23"/>
          <w:spacing w:val="-2"/>
        </w:rPr>
        <w:t>涉及资金0万元。</w:t>
      </w:r>
    </w:p>
    <w:p>
      <w:pPr>
        <w:ind w:left="1720"/>
        <w:spacing w:before="1" w:line="222"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1267" w:right="1223" w:firstLine="453"/>
        <w:spacing w:before="120" w:line="325" w:lineRule="auto"/>
        <w:tabs>
          <w:tab w:val="left" w:pos="1493"/>
        </w:tabs>
        <w:rPr>
          <w:rFonts w:ascii="FangSong" w:hAnsi="FangSong" w:eastAsia="FangSong" w:cs="FangSong"/>
          <w:sz w:val="23"/>
          <w:szCs w:val="23"/>
        </w:rPr>
      </w:pPr>
      <w:r>
        <w:rPr>
          <w:rFonts w:ascii="FangSong" w:hAnsi="FangSong" w:eastAsia="FangSong" w:cs="FangSong"/>
          <w:sz w:val="23"/>
          <w:szCs w:val="23"/>
          <w:spacing w:val="11"/>
        </w:rPr>
        <w:t>2025年兴县蔡家会镇中心卫生院纳入绩效目标管理</w:t>
      </w:r>
      <w:r>
        <w:rPr>
          <w:rFonts w:ascii="FangSong" w:hAnsi="FangSong" w:eastAsia="FangSong" w:cs="FangSong"/>
          <w:sz w:val="23"/>
          <w:szCs w:val="23"/>
          <w:spacing w:val="10"/>
        </w:rPr>
        <w:t>的二级项目7个，共计金额86.83万</w:t>
      </w:r>
      <w:r>
        <w:rPr>
          <w:rFonts w:ascii="FangSong" w:hAnsi="FangSong" w:eastAsia="FangSong" w:cs="FangSong"/>
          <w:sz w:val="23"/>
          <w:szCs w:val="23"/>
        </w:rPr>
        <w:t xml:space="preserve"> </w:t>
      </w:r>
      <w:r>
        <w:rPr>
          <w:rFonts w:ascii="FangSong" w:hAnsi="FangSong" w:eastAsia="FangSong" w:cs="FangSong"/>
          <w:sz w:val="23"/>
          <w:szCs w:val="23"/>
          <w:spacing w:val="10"/>
        </w:rPr>
        <w:t>元。其中：其他运转类项目0个，涉及金额0万元；特定目标类项目7个，涉及金额86.83万</w:t>
      </w:r>
      <w:r>
        <w:rPr>
          <w:rFonts w:ascii="FangSong" w:hAnsi="FangSong" w:eastAsia="FangSong" w:cs="FangSong"/>
          <w:sz w:val="23"/>
          <w:szCs w:val="23"/>
          <w:spacing w:val="8"/>
        </w:rPr>
        <w:t xml:space="preserve"> </w:t>
      </w:r>
      <w:r>
        <w:rPr>
          <w:rFonts w:ascii="FangSong" w:hAnsi="FangSong" w:eastAsia="FangSong" w:cs="FangSong"/>
          <w:sz w:val="23"/>
          <w:szCs w:val="23"/>
          <w:spacing w:val="2"/>
        </w:rPr>
        <w:t>元</w:t>
      </w:r>
      <w:r>
        <w:rPr>
          <w:rFonts w:ascii="FangSong" w:hAnsi="FangSong" w:eastAsia="FangSong" w:cs="FangSong"/>
          <w:sz w:val="23"/>
          <w:szCs w:val="23"/>
          <w:spacing w:val="-54"/>
        </w:rPr>
        <w:t xml:space="preserve"> </w:t>
      </w:r>
      <w:r>
        <w:rPr>
          <w:rFonts w:ascii="FangSong" w:hAnsi="FangSong" w:eastAsia="FangSong" w:cs="FangSong"/>
          <w:sz w:val="23"/>
          <w:szCs w:val="23"/>
          <w:spacing w:val="2"/>
        </w:rPr>
        <w:t>。公开项</w:t>
      </w:r>
      <w:r>
        <w:rPr>
          <w:rFonts w:ascii="FangSong" w:hAnsi="FangSong" w:eastAsia="FangSong" w:cs="FangSong"/>
          <w:sz w:val="23"/>
          <w:szCs w:val="23"/>
          <w:spacing w:val="-41"/>
        </w:rPr>
        <w:t xml:space="preserve"> </w:t>
      </w:r>
      <w:r>
        <w:rPr>
          <w:rFonts w:ascii="FangSong" w:hAnsi="FangSong" w:eastAsia="FangSong" w:cs="FangSong"/>
          <w:sz w:val="23"/>
          <w:szCs w:val="23"/>
          <w:spacing w:val="2"/>
        </w:rPr>
        <w:t>目绩效</w:t>
      </w:r>
      <w:r>
        <w:rPr>
          <w:rFonts w:ascii="FangSong" w:hAnsi="FangSong" w:eastAsia="FangSong" w:cs="FangSong"/>
          <w:sz w:val="23"/>
          <w:szCs w:val="23"/>
          <w:spacing w:val="-41"/>
        </w:rPr>
        <w:t xml:space="preserve"> </w:t>
      </w:r>
      <w:r>
        <w:rPr>
          <w:rFonts w:ascii="FangSong" w:hAnsi="FangSong" w:eastAsia="FangSong" w:cs="FangSong"/>
          <w:sz w:val="23"/>
          <w:szCs w:val="23"/>
          <w:spacing w:val="2"/>
        </w:rPr>
        <w:t>目标7个</w:t>
      </w:r>
      <w:r>
        <w:rPr>
          <w:rFonts w:ascii="FangSong" w:hAnsi="FangSong" w:eastAsia="FangSong" w:cs="FangSong"/>
          <w:sz w:val="23"/>
          <w:szCs w:val="23"/>
          <w:spacing w:val="-65"/>
        </w:rPr>
        <w:t xml:space="preserve"> </w:t>
      </w:r>
      <w:r>
        <w:rPr>
          <w:rFonts w:ascii="FangSong" w:hAnsi="FangSong" w:eastAsia="FangSong" w:cs="FangSong"/>
          <w:sz w:val="23"/>
          <w:szCs w:val="23"/>
          <w:spacing w:val="2"/>
        </w:rPr>
        <w:t>，涉及项</w:t>
      </w:r>
      <w:r>
        <w:rPr>
          <w:rFonts w:ascii="FangSong" w:hAnsi="FangSong" w:eastAsia="FangSong" w:cs="FangSong"/>
          <w:sz w:val="23"/>
          <w:szCs w:val="23"/>
          <w:spacing w:val="-40"/>
        </w:rPr>
        <w:t xml:space="preserve"> </w:t>
      </w:r>
      <w:r>
        <w:rPr>
          <w:rFonts w:ascii="FangSong" w:hAnsi="FangSong" w:eastAsia="FangSong" w:cs="FangSong"/>
          <w:sz w:val="23"/>
          <w:szCs w:val="23"/>
          <w:spacing w:val="2"/>
        </w:rPr>
        <w:t>目金额86.83万元</w:t>
      </w:r>
      <w:r>
        <w:rPr>
          <w:rFonts w:ascii="FangSong" w:hAnsi="FangSong" w:eastAsia="FangSong" w:cs="FangSong"/>
          <w:sz w:val="23"/>
          <w:szCs w:val="23"/>
          <w:spacing w:val="-65"/>
        </w:rPr>
        <w:t xml:space="preserve"> </w:t>
      </w:r>
      <w:r>
        <w:rPr>
          <w:rFonts w:ascii="FangSong" w:hAnsi="FangSong" w:eastAsia="FangSong" w:cs="FangSong"/>
          <w:sz w:val="23"/>
          <w:szCs w:val="23"/>
          <w:spacing w:val="2"/>
        </w:rPr>
        <w:t>，</w:t>
      </w:r>
      <w:r>
        <w:rPr>
          <w:rFonts w:ascii="FangSong" w:hAnsi="FangSong" w:eastAsia="FangSong" w:cs="FangSong"/>
          <w:sz w:val="23"/>
          <w:szCs w:val="23"/>
          <w:spacing w:val="-41"/>
        </w:rPr>
        <w:t xml:space="preserve"> </w:t>
      </w:r>
      <w:r>
        <w:rPr>
          <w:rFonts w:ascii="FangSong" w:hAnsi="FangSong" w:eastAsia="FangSong" w:cs="FangSong"/>
          <w:sz w:val="23"/>
          <w:szCs w:val="23"/>
          <w:spacing w:val="2"/>
        </w:rPr>
        <w:t>占部门（单位）</w:t>
      </w:r>
      <w:r>
        <w:rPr>
          <w:rFonts w:ascii="FangSong" w:hAnsi="FangSong" w:eastAsia="FangSong" w:cs="FangSong"/>
          <w:sz w:val="23"/>
          <w:szCs w:val="23"/>
          <w:spacing w:val="-62"/>
        </w:rPr>
        <w:t xml:space="preserve"> </w:t>
      </w:r>
      <w:r>
        <w:rPr>
          <w:rFonts w:ascii="FangSong" w:hAnsi="FangSong" w:eastAsia="FangSong" w:cs="FangSong"/>
          <w:sz w:val="23"/>
          <w:szCs w:val="23"/>
          <w:spacing w:val="2"/>
        </w:rPr>
        <w:t>项</w:t>
      </w:r>
      <w:r>
        <w:rPr>
          <w:rFonts w:ascii="FangSong" w:hAnsi="FangSong" w:eastAsia="FangSong" w:cs="FangSong"/>
          <w:sz w:val="23"/>
          <w:szCs w:val="23"/>
          <w:spacing w:val="-41"/>
        </w:rPr>
        <w:t xml:space="preserve"> </w:t>
      </w:r>
      <w:r>
        <w:rPr>
          <w:rFonts w:ascii="FangSong" w:hAnsi="FangSong" w:eastAsia="FangSong" w:cs="FangSong"/>
          <w:sz w:val="23"/>
          <w:szCs w:val="23"/>
          <w:spacing w:val="2"/>
        </w:rPr>
        <w:t>目支出总额的</w:t>
      </w:r>
      <w:r>
        <w:rPr>
          <w:rFonts w:ascii="FangSong" w:hAnsi="FangSong" w:eastAsia="FangSong" w:cs="FangSong"/>
          <w:sz w:val="23"/>
          <w:szCs w:val="23"/>
        </w:rPr>
        <w:t xml:space="preserve"> </w:t>
      </w:r>
      <w:r>
        <w:rPr>
          <w:rFonts w:ascii="FangSong" w:hAnsi="FangSong" w:eastAsia="FangSong" w:cs="FangSong"/>
          <w:sz w:val="23"/>
          <w:szCs w:val="23"/>
          <w:spacing w:val="2"/>
        </w:rPr>
        <w:t>100%。其中：其他运转类项目0个，涉及项目金额0万元；特定目标类项目7个，涉及项目金额</w:t>
      </w:r>
      <w:r>
        <w:rPr>
          <w:rFonts w:ascii="FangSong" w:hAnsi="FangSong" w:eastAsia="FangSong" w:cs="FangSong"/>
          <w:sz w:val="23"/>
          <w:szCs w:val="23"/>
          <w:spacing w:val="4"/>
        </w:rPr>
        <w:t xml:space="preserve"> </w:t>
      </w:r>
      <w:r>
        <w:rPr>
          <w:rFonts w:ascii="FangSong" w:hAnsi="FangSong" w:eastAsia="FangSong" w:cs="FangSong"/>
          <w:sz w:val="23"/>
          <w:szCs w:val="23"/>
        </w:rPr>
        <w:tab/>
      </w:r>
      <w:r>
        <w:rPr>
          <w:rFonts w:ascii="FangSong" w:hAnsi="FangSong" w:eastAsia="FangSong" w:cs="FangSong"/>
          <w:sz w:val="23"/>
          <w:szCs w:val="23"/>
          <w:spacing w:val="-11"/>
        </w:rPr>
        <w:t>.</w:t>
      </w:r>
      <w:r>
        <w:rPr>
          <w:rFonts w:ascii="FangSong" w:hAnsi="FangSong" w:eastAsia="FangSong" w:cs="FangSong"/>
          <w:sz w:val="23"/>
          <w:szCs w:val="23"/>
          <w:spacing w:val="5"/>
        </w:rPr>
        <w:t xml:space="preserve">    </w:t>
      </w:r>
      <w:r>
        <w:rPr>
          <w:rFonts w:ascii="FangSong" w:hAnsi="FangSong" w:eastAsia="FangSong" w:cs="FangSong"/>
          <w:sz w:val="23"/>
          <w:szCs w:val="23"/>
          <w:spacing w:val="-11"/>
        </w:rPr>
        <w:t>元。</w:t>
      </w:r>
    </w:p>
    <w:p>
      <w:pPr>
        <w:ind w:left="1495"/>
        <w:spacing w:before="1" w:line="222"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2" w:lineRule="auto"/>
        <w:sectPr>
          <w:headerReference w:type="default" r:id="rId38"/>
          <w:footerReference w:type="default" r:id="rId39"/>
          <w:pgSz w:w="11900" w:h="16840"/>
          <w:pgMar w:top="642" w:right="0" w:bottom="340" w:left="0" w:header="326" w:footer="111" w:gutter="0"/>
        </w:sectPr>
        <w:rPr>
          <w:rFonts w:ascii="FangSong" w:hAnsi="FangSong" w:eastAsia="FangSong" w:cs="FangSong"/>
          <w:sz w:val="23"/>
          <w:szCs w:val="23"/>
        </w:rPr>
      </w:pPr>
    </w:p>
    <w:p>
      <w:pPr>
        <w:pStyle w:val="BodyText"/>
        <w:spacing w:line="277" w:lineRule="auto"/>
        <w:rPr/>
      </w:pPr>
      <w:r/>
    </w:p>
    <w:p>
      <w:pPr>
        <w:pStyle w:val="BodyText"/>
        <w:spacing w:line="278" w:lineRule="auto"/>
        <w:rPr/>
      </w:pPr>
      <w:r/>
    </w:p>
    <w:p>
      <w:pPr>
        <w:ind w:firstLine="2254"/>
        <w:spacing w:line="11223" w:lineRule="exact"/>
        <w:rPr/>
      </w:pPr>
      <w:r>
        <w:pict>
          <v:shape id="_x0000_s452" style="position:absolute;margin-left:391.92pt;margin-top:228.067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r>
        <w:pict>
          <v:shape id="_x0000_s454" style="position:absolute;margin-left:86.92pt;margin-top:472.067pt;mso-position-vertical-relative:text;mso-position-horizontal-relative:text;width:119.4pt;height:18.85pt;z-index:251659264;rotation:330;" fillcolor="#404040" filled="true" stroked="false" type="#_x0000_t136">
            <v:fill opacity="0.400000"/>
            <v:textpath style="font-family:&quot;SimSun&quot;;font-size:20;v-text-kern:t;mso-text-shadow:auto" string="仅供内部审核"/>
          </v:shape>
        </w:pict>
      </w:r>
      <w:r>
        <w:rPr>
          <w:position w:val="-224"/>
        </w:rPr>
        <w:drawing>
          <wp:inline distT="0" distB="0" distL="0" distR="0">
            <wp:extent cx="4709593" cy="7126177"/>
            <wp:effectExtent l="0" t="0" r="0" b="0"/>
            <wp:docPr id="8" name="IM 8"/>
            <wp:cNvGraphicFramePr/>
            <a:graphic>
              <a:graphicData uri="http://schemas.openxmlformats.org/drawingml/2006/picture">
                <pic:pic>
                  <pic:nvPicPr>
                    <pic:cNvPr id="8" name="IM 8"/>
                    <pic:cNvPicPr/>
                  </pic:nvPicPr>
                  <pic:blipFill>
                    <a:blip r:embed="rId43"/>
                    <a:stretch>
                      <a:fillRect/>
                    </a:stretch>
                  </pic:blipFill>
                  <pic:spPr>
                    <a:xfrm rot="0">
                      <a:off x="0" y="0"/>
                      <a:ext cx="4709593" cy="7126177"/>
                    </a:xfrm>
                    <a:prstGeom prst="rect">
                      <a:avLst/>
                    </a:prstGeom>
                  </pic:spPr>
                </pic:pic>
              </a:graphicData>
            </a:graphic>
          </wp:inline>
        </w:drawing>
      </w:r>
    </w:p>
    <w:p>
      <w:pPr>
        <w:spacing w:line="11223" w:lineRule="exact"/>
        <w:sectPr>
          <w:headerReference w:type="default" r:id="rId41"/>
          <w:footerReference w:type="default" r:id="rId42"/>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254"/>
        <w:spacing w:line="10239" w:lineRule="exact"/>
        <w:rPr/>
      </w:pPr>
      <w:r>
        <w:pict>
          <v:shape id="_x0000_s456" style="position:absolute;margin-left:391.92pt;margin-top:228.067pt;mso-position-vertical-relative:text;mso-position-horizontal-relative:text;width:119.4pt;height:18.85pt;z-index:251660288;rotation:330;" fillcolor="#404040" filled="true" stroked="false" type="#_x0000_t136">
            <v:fill opacity="0.400000"/>
            <v:textpath style="font-family:&quot;SimSun&quot;;font-size:20;v-text-kern:t;mso-text-shadow:auto" string="仅供内部审核"/>
          </v:shape>
        </w:pict>
      </w:r>
      <w:r>
        <w:pict>
          <v:shape id="_x0000_s458" style="position:absolute;margin-left:86.92pt;margin-top:472.067pt;mso-position-vertical-relative:text;mso-position-horizontal-relative:text;width:119.4pt;height:18.85pt;z-index:251661312;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709593" cy="6501436"/>
            <wp:effectExtent l="0" t="0" r="0" b="0"/>
            <wp:docPr id="10" name="IM 10"/>
            <wp:cNvGraphicFramePr/>
            <a:graphic>
              <a:graphicData uri="http://schemas.openxmlformats.org/drawingml/2006/picture">
                <pic:pic>
                  <pic:nvPicPr>
                    <pic:cNvPr id="10" name="IM 10"/>
                    <pic:cNvPicPr/>
                  </pic:nvPicPr>
                  <pic:blipFill>
                    <a:blip r:embed="rId45"/>
                    <a:stretch>
                      <a:fillRect/>
                    </a:stretch>
                  </pic:blipFill>
                  <pic:spPr>
                    <a:xfrm rot="0">
                      <a:off x="0" y="0"/>
                      <a:ext cx="4709593" cy="6501436"/>
                    </a:xfrm>
                    <a:prstGeom prst="rect">
                      <a:avLst/>
                    </a:prstGeom>
                  </pic:spPr>
                </pic:pic>
              </a:graphicData>
            </a:graphic>
          </wp:inline>
        </w:drawing>
      </w:r>
    </w:p>
    <w:p>
      <w:pPr>
        <w:spacing w:line="10239" w:lineRule="exact"/>
        <w:sectPr>
          <w:footerReference w:type="default" r:id="rId44"/>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254"/>
        <w:spacing w:line="10239" w:lineRule="exact"/>
        <w:rPr/>
      </w:pPr>
      <w:r>
        <w:pict>
          <v:shape id="_x0000_s460" style="position:absolute;margin-left:391.92pt;margin-top:228.067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pict>
          <v:shape id="_x0000_s462" style="position:absolute;margin-left:86.92pt;margin-top:472.067pt;mso-position-vertical-relative:text;mso-position-horizontal-relative:text;width:119.4pt;height:18.85pt;z-index:251663360;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709593" cy="6501436"/>
            <wp:effectExtent l="0" t="0" r="0" b="0"/>
            <wp:docPr id="12" name="IM 12"/>
            <wp:cNvGraphicFramePr/>
            <a:graphic>
              <a:graphicData uri="http://schemas.openxmlformats.org/drawingml/2006/picture">
                <pic:pic>
                  <pic:nvPicPr>
                    <pic:cNvPr id="12" name="IM 12"/>
                    <pic:cNvPicPr/>
                  </pic:nvPicPr>
                  <pic:blipFill>
                    <a:blip r:embed="rId47"/>
                    <a:stretch>
                      <a:fillRect/>
                    </a:stretch>
                  </pic:blipFill>
                  <pic:spPr>
                    <a:xfrm rot="0">
                      <a:off x="0" y="0"/>
                      <a:ext cx="4709593" cy="6501436"/>
                    </a:xfrm>
                    <a:prstGeom prst="rect">
                      <a:avLst/>
                    </a:prstGeom>
                  </pic:spPr>
                </pic:pic>
              </a:graphicData>
            </a:graphic>
          </wp:inline>
        </w:drawing>
      </w:r>
    </w:p>
    <w:p>
      <w:pPr>
        <w:spacing w:line="10239" w:lineRule="exact"/>
        <w:sectPr>
          <w:footerReference w:type="default" r:id="rId46"/>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254"/>
        <w:spacing w:line="10239" w:lineRule="exact"/>
        <w:rPr/>
      </w:pPr>
      <w:r>
        <w:pict>
          <v:shape id="_x0000_s464" style="position:absolute;margin-left:86.92pt;margin-top:472.067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pict>
          <v:shape id="_x0000_s466" style="position:absolute;margin-left:391.92pt;margin-top:228.067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709593" cy="6501436"/>
            <wp:effectExtent l="0" t="0" r="0" b="0"/>
            <wp:docPr id="14" name="IM 14"/>
            <wp:cNvGraphicFramePr/>
            <a:graphic>
              <a:graphicData uri="http://schemas.openxmlformats.org/drawingml/2006/picture">
                <pic:pic>
                  <pic:nvPicPr>
                    <pic:cNvPr id="14" name="IM 14"/>
                    <pic:cNvPicPr/>
                  </pic:nvPicPr>
                  <pic:blipFill>
                    <a:blip r:embed="rId49"/>
                    <a:stretch>
                      <a:fillRect/>
                    </a:stretch>
                  </pic:blipFill>
                  <pic:spPr>
                    <a:xfrm rot="0">
                      <a:off x="0" y="0"/>
                      <a:ext cx="4709593" cy="6501436"/>
                    </a:xfrm>
                    <a:prstGeom prst="rect">
                      <a:avLst/>
                    </a:prstGeom>
                  </pic:spPr>
                </pic:pic>
              </a:graphicData>
            </a:graphic>
          </wp:inline>
        </w:drawing>
      </w:r>
    </w:p>
    <w:p>
      <w:pPr>
        <w:spacing w:line="10239" w:lineRule="exact"/>
        <w:sectPr>
          <w:footerReference w:type="default" r:id="rId48"/>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254"/>
        <w:spacing w:line="10239" w:lineRule="exact"/>
        <w:rPr/>
      </w:pPr>
      <w:r>
        <w:pict>
          <v:shape id="_x0000_s468" style="position:absolute;margin-left:391.92pt;margin-top:228.067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pict>
          <v:shape id="_x0000_s470" style="position:absolute;margin-left:86.92pt;margin-top:472.067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709593" cy="6501436"/>
            <wp:effectExtent l="0" t="0" r="0" b="0"/>
            <wp:docPr id="16" name="IM 16"/>
            <wp:cNvGraphicFramePr/>
            <a:graphic>
              <a:graphicData uri="http://schemas.openxmlformats.org/drawingml/2006/picture">
                <pic:pic>
                  <pic:nvPicPr>
                    <pic:cNvPr id="16" name="IM 16"/>
                    <pic:cNvPicPr/>
                  </pic:nvPicPr>
                  <pic:blipFill>
                    <a:blip r:embed="rId51"/>
                    <a:stretch>
                      <a:fillRect/>
                    </a:stretch>
                  </pic:blipFill>
                  <pic:spPr>
                    <a:xfrm rot="0">
                      <a:off x="0" y="0"/>
                      <a:ext cx="4709593" cy="6501436"/>
                    </a:xfrm>
                    <a:prstGeom prst="rect">
                      <a:avLst/>
                    </a:prstGeom>
                  </pic:spPr>
                </pic:pic>
              </a:graphicData>
            </a:graphic>
          </wp:inline>
        </w:drawing>
      </w:r>
    </w:p>
    <w:p>
      <w:pPr>
        <w:spacing w:line="10239" w:lineRule="exact"/>
        <w:sectPr>
          <w:footerReference w:type="default" r:id="rId50"/>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254"/>
        <w:spacing w:line="10239" w:lineRule="exact"/>
        <w:rPr/>
      </w:pPr>
      <w:r>
        <w:pict>
          <v:shape id="_x0000_s472" style="position:absolute;margin-left:391.92pt;margin-top:228.067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pict>
          <v:shape id="_x0000_s474" style="position:absolute;margin-left:86.92pt;margin-top:472.067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709593" cy="6501436"/>
            <wp:effectExtent l="0" t="0" r="0" b="0"/>
            <wp:docPr id="18" name="IM 18"/>
            <wp:cNvGraphicFramePr/>
            <a:graphic>
              <a:graphicData uri="http://schemas.openxmlformats.org/drawingml/2006/picture">
                <pic:pic>
                  <pic:nvPicPr>
                    <pic:cNvPr id="18" name="IM 18"/>
                    <pic:cNvPicPr/>
                  </pic:nvPicPr>
                  <pic:blipFill>
                    <a:blip r:embed="rId53"/>
                    <a:stretch>
                      <a:fillRect/>
                    </a:stretch>
                  </pic:blipFill>
                  <pic:spPr>
                    <a:xfrm rot="0">
                      <a:off x="0" y="0"/>
                      <a:ext cx="4709593" cy="6501436"/>
                    </a:xfrm>
                    <a:prstGeom prst="rect">
                      <a:avLst/>
                    </a:prstGeom>
                  </pic:spPr>
                </pic:pic>
              </a:graphicData>
            </a:graphic>
          </wp:inline>
        </w:drawing>
      </w:r>
    </w:p>
    <w:p>
      <w:pPr>
        <w:spacing w:line="10239" w:lineRule="exact"/>
        <w:sectPr>
          <w:footerReference w:type="default" r:id="rId52"/>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254"/>
        <w:spacing w:line="10239" w:lineRule="exact"/>
        <w:rPr/>
      </w:pPr>
      <w:r>
        <w:pict>
          <v:shape id="_x0000_s476" style="position:absolute;margin-left:391.92pt;margin-top:228.067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pict>
          <v:shape id="_x0000_s478" style="position:absolute;margin-left:86.92pt;margin-top:472.067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709593" cy="6501436"/>
            <wp:effectExtent l="0" t="0" r="0" b="0"/>
            <wp:docPr id="20" name="IM 20"/>
            <wp:cNvGraphicFramePr/>
            <a:graphic>
              <a:graphicData uri="http://schemas.openxmlformats.org/drawingml/2006/picture">
                <pic:pic>
                  <pic:nvPicPr>
                    <pic:cNvPr id="20" name="IM 20"/>
                    <pic:cNvPicPr/>
                  </pic:nvPicPr>
                  <pic:blipFill>
                    <a:blip r:embed="rId55"/>
                    <a:stretch>
                      <a:fillRect/>
                    </a:stretch>
                  </pic:blipFill>
                  <pic:spPr>
                    <a:xfrm rot="0">
                      <a:off x="0" y="0"/>
                      <a:ext cx="4709593" cy="6501436"/>
                    </a:xfrm>
                    <a:prstGeom prst="rect">
                      <a:avLst/>
                    </a:prstGeom>
                  </pic:spPr>
                </pic:pic>
              </a:graphicData>
            </a:graphic>
          </wp:inline>
        </w:drawing>
      </w:r>
    </w:p>
    <w:p>
      <w:pPr>
        <w:spacing w:line="10239" w:lineRule="exact"/>
        <w:sectPr>
          <w:footerReference w:type="default" r:id="rId54"/>
          <w:pgSz w:w="11900" w:h="16840"/>
          <w:pgMar w:top="642" w:right="0" w:bottom="340" w:left="0" w:header="326" w:footer="110" w:gutter="0"/>
        </w:sectPr>
        <w:rPr/>
      </w:pPr>
    </w:p>
    <w:p>
      <w:pPr>
        <w:pStyle w:val="BodyText"/>
        <w:spacing w:line="271" w:lineRule="auto"/>
        <w:rPr/>
      </w:pPr>
      <w:r/>
    </w:p>
    <w:p>
      <w:pPr>
        <w:pStyle w:val="BodyText"/>
        <w:spacing w:line="271" w:lineRule="auto"/>
        <w:rPr/>
      </w:pPr>
      <w:r/>
    </w:p>
    <w:p>
      <w:pPr>
        <w:ind w:left="1260"/>
        <w:spacing w:before="94" w:line="227" w:lineRule="exact"/>
        <w:outlineLvl w:val="1"/>
        <w:rPr>
          <w:rFonts w:ascii="Microsoft YaHei" w:hAnsi="Microsoft YaHei" w:eastAsia="Microsoft YaHei" w:cs="Microsoft YaHei"/>
          <w:sz w:val="22"/>
          <w:szCs w:val="22"/>
        </w:rPr>
      </w:pPr>
      <w:bookmarkStart w:name="bookmark30" w:id="44"/>
      <w:bookmarkEnd w:id="44"/>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63" w:right="1223" w:firstLine="461"/>
        <w:spacing w:before="138" w:line="323" w:lineRule="auto"/>
        <w:jc w:val="both"/>
        <w:rPr>
          <w:rFonts w:ascii="FangSong" w:hAnsi="FangSong" w:eastAsia="FangSong" w:cs="FangSong"/>
          <w:sz w:val="23"/>
          <w:szCs w:val="23"/>
        </w:rPr>
      </w:pPr>
      <w:r>
        <w:rPr>
          <w:rFonts w:ascii="FangSong" w:hAnsi="FangSong" w:eastAsia="FangSong" w:cs="FangSong"/>
          <w:sz w:val="23"/>
          <w:szCs w:val="23"/>
          <w:spacing w:val="9"/>
        </w:rPr>
        <w:t>截至2024年12月31</w:t>
      </w:r>
      <w:r>
        <w:rPr>
          <w:rFonts w:ascii="FangSong" w:hAnsi="FangSong" w:eastAsia="FangSong" w:cs="FangSong"/>
          <w:sz w:val="23"/>
          <w:szCs w:val="23"/>
          <w:spacing w:val="-39"/>
        </w:rPr>
        <w:t xml:space="preserve"> </w:t>
      </w:r>
      <w:r>
        <w:rPr>
          <w:rFonts w:ascii="FangSong" w:hAnsi="FangSong" w:eastAsia="FangSong" w:cs="FangSong"/>
          <w:sz w:val="23"/>
          <w:szCs w:val="23"/>
          <w:spacing w:val="9"/>
        </w:rPr>
        <w:t>日，兴县蔡家会镇中心卫生院共有公</w:t>
      </w:r>
      <w:r>
        <w:rPr>
          <w:rFonts w:ascii="FangSong" w:hAnsi="FangSong" w:eastAsia="FangSong" w:cs="FangSong"/>
          <w:sz w:val="23"/>
          <w:szCs w:val="23"/>
          <w:spacing w:val="8"/>
        </w:rPr>
        <w:t>务用车编制0辆，实有1辆，其</w:t>
      </w:r>
      <w:r>
        <w:rPr>
          <w:rFonts w:ascii="FangSong" w:hAnsi="FangSong" w:eastAsia="FangSong" w:cs="FangSong"/>
          <w:sz w:val="23"/>
          <w:szCs w:val="23"/>
        </w:rPr>
        <w:t xml:space="preserve"> </w:t>
      </w:r>
      <w:r>
        <w:rPr>
          <w:rFonts w:ascii="FangSong" w:hAnsi="FangSong" w:eastAsia="FangSong" w:cs="FangSong"/>
          <w:sz w:val="23"/>
          <w:szCs w:val="23"/>
          <w:spacing w:val="5"/>
        </w:rPr>
        <w:t>中：领导用车0辆，机要通信用车0辆，应急保障用车1辆，执法执勤用车0辆，特种专业技术</w:t>
      </w:r>
      <w:r>
        <w:rPr>
          <w:rFonts w:ascii="FangSong" w:hAnsi="FangSong" w:eastAsia="FangSong" w:cs="FangSong"/>
          <w:sz w:val="23"/>
          <w:szCs w:val="23"/>
          <w:spacing w:val="1"/>
        </w:rPr>
        <w:t xml:space="preserve"> </w:t>
      </w:r>
      <w:r>
        <w:rPr>
          <w:rFonts w:ascii="FangSong" w:hAnsi="FangSong" w:eastAsia="FangSong" w:cs="FangSong"/>
          <w:sz w:val="23"/>
          <w:szCs w:val="23"/>
          <w:spacing w:val="5"/>
        </w:rPr>
        <w:t>用车0辆，事业单位业务用车0辆，其他公务用车0辆。本单位有1辆救护车，用于紧急病人的</w:t>
      </w:r>
      <w:r>
        <w:rPr>
          <w:rFonts w:ascii="FangSong" w:hAnsi="FangSong" w:eastAsia="FangSong" w:cs="FangSong"/>
          <w:sz w:val="23"/>
          <w:szCs w:val="23"/>
          <w:spacing w:val="1"/>
        </w:rPr>
        <w:t xml:space="preserve"> </w:t>
      </w:r>
      <w:r>
        <w:rPr>
          <w:rFonts w:ascii="FangSong" w:hAnsi="FangSong" w:eastAsia="FangSong" w:cs="FangSong"/>
          <w:sz w:val="23"/>
          <w:szCs w:val="23"/>
          <w:spacing w:val="-8"/>
        </w:rPr>
        <w:t>接送</w:t>
      </w:r>
    </w:p>
    <w:p>
      <w:pPr>
        <w:ind w:left="1720"/>
        <w:spacing w:before="1" w:line="222"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266" w:right="1223" w:firstLine="458"/>
        <w:spacing w:before="123" w:line="325" w:lineRule="auto"/>
        <w:rPr>
          <w:rFonts w:ascii="FangSong" w:hAnsi="FangSong" w:eastAsia="FangSong" w:cs="FangSong"/>
          <w:sz w:val="23"/>
          <w:szCs w:val="23"/>
        </w:rPr>
      </w:pPr>
      <w:r>
        <w:rPr>
          <w:rFonts w:ascii="FangSong" w:hAnsi="FangSong" w:eastAsia="FangSong" w:cs="FangSong"/>
          <w:sz w:val="23"/>
          <w:szCs w:val="23"/>
          <w:spacing w:val="9"/>
        </w:rPr>
        <w:t>截至2024年12月31</w:t>
      </w:r>
      <w:r>
        <w:rPr>
          <w:rFonts w:ascii="FangSong" w:hAnsi="FangSong" w:eastAsia="FangSong" w:cs="FangSong"/>
          <w:sz w:val="23"/>
          <w:szCs w:val="23"/>
          <w:spacing w:val="-38"/>
        </w:rPr>
        <w:t xml:space="preserve"> </w:t>
      </w:r>
      <w:r>
        <w:rPr>
          <w:rFonts w:ascii="FangSong" w:hAnsi="FangSong" w:eastAsia="FangSong" w:cs="FangSong"/>
          <w:sz w:val="23"/>
          <w:szCs w:val="23"/>
          <w:spacing w:val="9"/>
        </w:rPr>
        <w:t>日，兴县蔡家会</w:t>
      </w:r>
      <w:r>
        <w:rPr>
          <w:rFonts w:ascii="FangSong" w:hAnsi="FangSong" w:eastAsia="FangSong" w:cs="FangSong"/>
          <w:sz w:val="23"/>
          <w:szCs w:val="23"/>
          <w:spacing w:val="8"/>
        </w:rPr>
        <w:t>镇中心卫生院使用的办公用房建筑总面积3604平方</w:t>
      </w:r>
      <w:r>
        <w:rPr>
          <w:rFonts w:ascii="FangSong" w:hAnsi="FangSong" w:eastAsia="FangSong" w:cs="FangSong"/>
          <w:sz w:val="23"/>
          <w:szCs w:val="23"/>
        </w:rPr>
        <w:t xml:space="preserve"> </w:t>
      </w:r>
      <w:r>
        <w:rPr>
          <w:rFonts w:ascii="FangSong" w:hAnsi="FangSong" w:eastAsia="FangSong" w:cs="FangSong"/>
          <w:sz w:val="23"/>
          <w:szCs w:val="23"/>
          <w:spacing w:val="-9"/>
        </w:rPr>
        <w:t>米。</w:t>
      </w:r>
    </w:p>
    <w:p>
      <w:pPr>
        <w:ind w:left="1722"/>
        <w:spacing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63" w:right="1223" w:firstLine="461"/>
        <w:spacing w:before="125" w:line="323" w:lineRule="auto"/>
        <w:jc w:val="both"/>
        <w:rPr>
          <w:rFonts w:ascii="FangSong" w:hAnsi="FangSong" w:eastAsia="FangSong" w:cs="FangSong"/>
          <w:sz w:val="23"/>
          <w:szCs w:val="23"/>
        </w:rPr>
      </w:pPr>
      <w:r>
        <w:rPr>
          <w:rFonts w:ascii="FangSong" w:hAnsi="FangSong" w:eastAsia="FangSong" w:cs="FangSong"/>
          <w:sz w:val="23"/>
          <w:szCs w:val="23"/>
          <w:spacing w:val="2"/>
        </w:rPr>
        <w:t>截至2024年12月31</w:t>
      </w:r>
      <w:r>
        <w:rPr>
          <w:rFonts w:ascii="FangSong" w:hAnsi="FangSong" w:eastAsia="FangSong" w:cs="FangSong"/>
          <w:sz w:val="23"/>
          <w:szCs w:val="23"/>
          <w:spacing w:val="-41"/>
        </w:rPr>
        <w:t xml:space="preserve"> </w:t>
      </w:r>
      <w:r>
        <w:rPr>
          <w:rFonts w:ascii="FangSong" w:hAnsi="FangSong" w:eastAsia="FangSong" w:cs="FangSong"/>
          <w:sz w:val="23"/>
          <w:szCs w:val="23"/>
          <w:spacing w:val="2"/>
        </w:rPr>
        <w:t>日，兴县蔡家会镇中心卫生院占有使用价值50万元（原值）</w:t>
      </w:r>
      <w:r>
        <w:rPr>
          <w:rFonts w:ascii="FangSong" w:hAnsi="FangSong" w:eastAsia="FangSong" w:cs="FangSong"/>
          <w:sz w:val="23"/>
          <w:szCs w:val="23"/>
          <w:spacing w:val="-65"/>
        </w:rPr>
        <w:t xml:space="preserve"> </w:t>
      </w:r>
      <w:r>
        <w:rPr>
          <w:rFonts w:ascii="FangSong" w:hAnsi="FangSong" w:eastAsia="FangSong" w:cs="FangSong"/>
          <w:sz w:val="23"/>
          <w:szCs w:val="23"/>
          <w:spacing w:val="2"/>
        </w:rPr>
        <w:t>以上的通</w:t>
      </w:r>
      <w:r>
        <w:rPr>
          <w:rFonts w:ascii="FangSong" w:hAnsi="FangSong" w:eastAsia="FangSong" w:cs="FangSong"/>
          <w:sz w:val="23"/>
          <w:szCs w:val="23"/>
        </w:rPr>
        <w:t xml:space="preserve"> </w:t>
      </w:r>
      <w:r>
        <w:rPr>
          <w:rFonts w:ascii="FangSong" w:hAnsi="FangSong" w:eastAsia="FangSong" w:cs="FangSong"/>
          <w:sz w:val="23"/>
          <w:szCs w:val="23"/>
          <w:spacing w:val="2"/>
        </w:rPr>
        <w:t>用设备0台（套</w:t>
      </w:r>
      <w:r>
        <w:rPr>
          <w:rFonts w:ascii="FangSong" w:hAnsi="FangSong" w:eastAsia="FangSong" w:cs="FangSong"/>
          <w:sz w:val="23"/>
          <w:szCs w:val="23"/>
          <w:spacing w:val="14"/>
        </w:rPr>
        <w:t>）；</w:t>
      </w:r>
      <w:r>
        <w:rPr>
          <w:rFonts w:ascii="FangSong" w:hAnsi="FangSong" w:eastAsia="FangSong" w:cs="FangSong"/>
          <w:sz w:val="23"/>
          <w:szCs w:val="23"/>
          <w:spacing w:val="2"/>
        </w:rPr>
        <w:t>兴县蔡家会镇中心卫生院占有使用价值10</w:t>
      </w:r>
      <w:r>
        <w:rPr>
          <w:rFonts w:ascii="FangSong" w:hAnsi="FangSong" w:eastAsia="FangSong" w:cs="FangSong"/>
          <w:sz w:val="23"/>
          <w:szCs w:val="23"/>
          <w:spacing w:val="1"/>
        </w:rPr>
        <w:t>0万元（原值）以上的通用设备0</w:t>
      </w:r>
      <w:r>
        <w:rPr>
          <w:rFonts w:ascii="FangSong" w:hAnsi="FangSong" w:eastAsia="FangSong" w:cs="FangSong"/>
          <w:sz w:val="23"/>
          <w:szCs w:val="23"/>
          <w:spacing w:val="1"/>
        </w:rPr>
        <w:t xml:space="preserve"> </w:t>
      </w:r>
      <w:r>
        <w:rPr>
          <w:rFonts w:ascii="FangSong" w:hAnsi="FangSong" w:eastAsia="FangSong" w:cs="FangSong"/>
          <w:sz w:val="23"/>
          <w:szCs w:val="23"/>
          <w:spacing w:val="-3"/>
        </w:rPr>
        <w:t>台（套）。</w:t>
      </w:r>
    </w:p>
    <w:p>
      <w:pPr>
        <w:ind w:left="1260"/>
        <w:spacing w:line="227" w:lineRule="exact"/>
        <w:outlineLvl w:val="1"/>
        <w:rPr>
          <w:rFonts w:ascii="Microsoft YaHei" w:hAnsi="Microsoft YaHei" w:eastAsia="Microsoft YaHei" w:cs="Microsoft YaHei"/>
          <w:sz w:val="22"/>
          <w:szCs w:val="22"/>
        </w:rPr>
      </w:pPr>
      <w:bookmarkStart w:name="bookmark31" w:id="45"/>
      <w:bookmarkEnd w:id="45"/>
      <w:r>
        <w:rPr>
          <w:rFonts w:ascii="Microsoft YaHei" w:hAnsi="Microsoft YaHei" w:eastAsia="Microsoft YaHei" w:cs="Microsoft YaHei"/>
          <w:sz w:val="22"/>
          <w:szCs w:val="22"/>
          <w:spacing w:val="7"/>
          <w:position w:val="-1"/>
        </w:rPr>
        <w:t>十二、其他说明</w:t>
      </w:r>
    </w:p>
    <w:p>
      <w:pPr>
        <w:ind w:left="1725"/>
        <w:spacing w:before="185" w:line="221" w:lineRule="auto"/>
        <w:outlineLvl w:val="2"/>
        <w:rPr>
          <w:rFonts w:ascii="FangSong" w:hAnsi="FangSong" w:eastAsia="FangSong" w:cs="FangSong"/>
          <w:sz w:val="23"/>
          <w:szCs w:val="23"/>
        </w:rPr>
      </w:pPr>
      <w:bookmarkStart w:name="bookmark32" w:id="46"/>
      <w:bookmarkEnd w:id="46"/>
      <w:r>
        <w:rPr>
          <w:rFonts w:ascii="FangSong" w:hAnsi="FangSong" w:eastAsia="FangSong" w:cs="FangSong"/>
          <w:sz w:val="23"/>
          <w:szCs w:val="23"/>
          <w:spacing w:val="-1"/>
        </w:rPr>
        <w:t>（一）政府购买服务指导性目录</w:t>
      </w:r>
    </w:p>
    <w:p>
      <w:pPr>
        <w:ind w:left="1733"/>
        <w:spacing w:before="255" w:line="221" w:lineRule="auto"/>
        <w:rPr>
          <w:rFonts w:ascii="FangSong" w:hAnsi="FangSong" w:eastAsia="FangSong" w:cs="FangSong"/>
          <w:sz w:val="23"/>
          <w:szCs w:val="23"/>
        </w:rPr>
      </w:pPr>
      <w:r>
        <w:rPr>
          <w:rFonts w:ascii="FangSong" w:hAnsi="FangSong" w:eastAsia="FangSong" w:cs="FangSong"/>
          <w:sz w:val="23"/>
          <w:szCs w:val="23"/>
          <w:spacing w:val="-1"/>
        </w:rPr>
        <w:t>我单位根据本单位实际情况无需进行修改和完善。</w:t>
      </w:r>
    </w:p>
    <w:p>
      <w:pPr>
        <w:ind w:left="1725"/>
        <w:spacing w:before="254" w:line="222" w:lineRule="auto"/>
        <w:outlineLvl w:val="2"/>
        <w:rPr>
          <w:rFonts w:ascii="FangSong" w:hAnsi="FangSong" w:eastAsia="FangSong" w:cs="FangSong"/>
          <w:sz w:val="23"/>
          <w:szCs w:val="23"/>
        </w:rPr>
      </w:pPr>
      <w:bookmarkStart w:name="bookmark33" w:id="47"/>
      <w:bookmarkEnd w:id="47"/>
      <w:r>
        <w:rPr>
          <w:rFonts w:ascii="FangSong" w:hAnsi="FangSong" w:eastAsia="FangSong" w:cs="FangSong"/>
          <w:sz w:val="23"/>
          <w:szCs w:val="23"/>
          <w:spacing w:val="-3"/>
        </w:rPr>
        <w:t>（二）其他</w:t>
      </w:r>
    </w:p>
    <w:p>
      <w:pPr>
        <w:ind w:left="1733"/>
        <w:spacing w:before="264" w:line="221" w:lineRule="auto"/>
        <w:rPr>
          <w:rFonts w:ascii="FangSong" w:hAnsi="FangSong" w:eastAsia="FangSong" w:cs="FangSong"/>
          <w:sz w:val="23"/>
          <w:szCs w:val="23"/>
        </w:rPr>
      </w:pPr>
      <w:r>
        <w:rPr>
          <w:rFonts w:ascii="FangSong" w:hAnsi="FangSong" w:eastAsia="FangSong" w:cs="FangSong"/>
          <w:sz w:val="23"/>
          <w:szCs w:val="23"/>
          <w:spacing w:val="-1"/>
        </w:rPr>
        <w:t>我单位根据本单位实际情况无需进行修改和完善。</w:t>
      </w:r>
    </w:p>
    <w:p>
      <w:pPr>
        <w:spacing w:line="221" w:lineRule="auto"/>
        <w:sectPr>
          <w:headerReference w:type="default" r:id="rId5"/>
          <w:footerReference w:type="default" r:id="rId56"/>
          <w:pgSz w:w="11900" w:h="16840"/>
          <w:pgMar w:top="642" w:right="0" w:bottom="340" w:left="0" w:header="326" w:footer="111" w:gutter="0"/>
        </w:sectPr>
        <w:rPr>
          <w:rFonts w:ascii="FangSong" w:hAnsi="FangSong" w:eastAsia="FangSong" w:cs="FangSong"/>
          <w:sz w:val="23"/>
          <w:szCs w:val="23"/>
        </w:rPr>
      </w:pPr>
    </w:p>
    <w:p>
      <w:pPr>
        <w:pStyle w:val="BodyText"/>
        <w:spacing w:line="277" w:lineRule="auto"/>
        <w:rPr/>
      </w:pPr>
      <w:r/>
    </w:p>
    <w:p>
      <w:pPr>
        <w:pStyle w:val="BodyText"/>
        <w:spacing w:line="278" w:lineRule="auto"/>
        <w:rPr/>
      </w:pPr>
      <w:r/>
    </w:p>
    <w:p>
      <w:pPr>
        <w:ind w:firstLine="2210"/>
        <w:spacing w:line="13461" w:lineRule="exact"/>
        <w:rPr/>
      </w:pPr>
      <w:r>
        <w:pict>
          <v:shape id="_x0000_s480" style="position:absolute;margin-left:86.92pt;margin-top:472.067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pict>
          <v:shape id="_x0000_s482" style="position:absolute;margin-left:391.92pt;margin-top:228.067pt;mso-position-vertical-relative:text;mso-position-horizontal-relative:text;width:119.4pt;height:18.85pt;z-index:25167564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4764516" cy="8547295"/>
            <wp:effectExtent l="0" t="0" r="0" b="0"/>
            <wp:docPr id="22" name="IM 22"/>
            <wp:cNvGraphicFramePr/>
            <a:graphic>
              <a:graphicData uri="http://schemas.openxmlformats.org/drawingml/2006/picture">
                <pic:pic>
                  <pic:nvPicPr>
                    <pic:cNvPr id="22" name="IM 22"/>
                    <pic:cNvPicPr/>
                  </pic:nvPicPr>
                  <pic:blipFill>
                    <a:blip r:embed="rId58"/>
                    <a:stretch>
                      <a:fillRect/>
                    </a:stretch>
                  </pic:blipFill>
                  <pic:spPr>
                    <a:xfrm rot="0">
                      <a:off x="0" y="0"/>
                      <a:ext cx="4764516" cy="8547295"/>
                    </a:xfrm>
                    <a:prstGeom prst="rect">
                      <a:avLst/>
                    </a:prstGeom>
                  </pic:spPr>
                </pic:pic>
              </a:graphicData>
            </a:graphic>
          </wp:inline>
        </w:drawing>
      </w:r>
    </w:p>
    <w:p>
      <w:pPr>
        <w:spacing w:line="13461" w:lineRule="exact"/>
        <w:sectPr>
          <w:headerReference w:type="default" r:id="rId41"/>
          <w:footerReference w:type="default" r:id="rId57"/>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005"/>
        <w:spacing w:line="13461" w:lineRule="exact"/>
        <w:rPr/>
      </w:pPr>
      <w:r>
        <w:pict>
          <v:shape id="_x0000_s496" style="position:absolute;margin-left:-13.08pt;margin-top:228.067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pict>
          <v:shape id="_x0000_s498" style="position:absolute;margin-left:86.92pt;margin-top:472.067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pict>
          <v:shape id="_x0000_s500" style="position:absolute;margin-left:391.92pt;margin-top:228.067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025397" cy="8547295"/>
            <wp:effectExtent l="0" t="0" r="0" b="0"/>
            <wp:docPr id="24" name="IM 24"/>
            <wp:cNvGraphicFramePr/>
            <a:graphic>
              <a:graphicData uri="http://schemas.openxmlformats.org/drawingml/2006/picture">
                <pic:pic>
                  <pic:nvPicPr>
                    <pic:cNvPr id="24" name="IM 24"/>
                    <pic:cNvPicPr/>
                  </pic:nvPicPr>
                  <pic:blipFill>
                    <a:blip r:embed="rId61"/>
                    <a:stretch>
                      <a:fillRect/>
                    </a:stretch>
                  </pic:blipFill>
                  <pic:spPr>
                    <a:xfrm rot="0">
                      <a:off x="0" y="0"/>
                      <a:ext cx="5025397" cy="8547295"/>
                    </a:xfrm>
                    <a:prstGeom prst="rect">
                      <a:avLst/>
                    </a:prstGeom>
                  </pic:spPr>
                </pic:pic>
              </a:graphicData>
            </a:graphic>
          </wp:inline>
        </w:drawing>
      </w:r>
    </w:p>
    <w:p>
      <w:pPr>
        <w:spacing w:line="13461" w:lineRule="exact"/>
        <w:sectPr>
          <w:headerReference w:type="default" r:id="rId59"/>
          <w:footerReference w:type="default" r:id="rId60"/>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091"/>
        <w:spacing w:line="13461" w:lineRule="exact"/>
        <w:rPr/>
      </w:pPr>
      <w:r>
        <w:pict>
          <v:shape id="_x0000_s502" style="position:absolute;margin-left:86.92pt;margin-top:472.067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pict>
          <v:shape id="_x0000_s504" style="position:absolute;margin-left:391.92pt;margin-top:228.067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4915553" cy="8547295"/>
            <wp:effectExtent l="0" t="0" r="0" b="0"/>
            <wp:docPr id="26" name="IM 26"/>
            <wp:cNvGraphicFramePr/>
            <a:graphic>
              <a:graphicData uri="http://schemas.openxmlformats.org/drawingml/2006/picture">
                <pic:pic>
                  <pic:nvPicPr>
                    <pic:cNvPr id="26" name="IM 26"/>
                    <pic:cNvPicPr/>
                  </pic:nvPicPr>
                  <pic:blipFill>
                    <a:blip r:embed="rId63"/>
                    <a:stretch>
                      <a:fillRect/>
                    </a:stretch>
                  </pic:blipFill>
                  <pic:spPr>
                    <a:xfrm rot="0">
                      <a:off x="0" y="0"/>
                      <a:ext cx="4915553" cy="8547295"/>
                    </a:xfrm>
                    <a:prstGeom prst="rect">
                      <a:avLst/>
                    </a:prstGeom>
                  </pic:spPr>
                </pic:pic>
              </a:graphicData>
            </a:graphic>
          </wp:inline>
        </w:drawing>
      </w:r>
    </w:p>
    <w:p>
      <w:pPr>
        <w:spacing w:line="13461" w:lineRule="exact"/>
        <w:sectPr>
          <w:headerReference w:type="default" r:id="rId41"/>
          <w:footerReference w:type="default" r:id="rId62"/>
          <w:pgSz w:w="11900" w:h="16840"/>
          <w:pgMar w:top="642" w:right="0" w:bottom="340" w:left="0" w:header="326" w:footer="111" w:gutter="0"/>
        </w:sectPr>
        <w:rPr/>
      </w:pPr>
    </w:p>
    <w:p>
      <w:pPr>
        <w:pStyle w:val="BodyText"/>
        <w:spacing w:line="277" w:lineRule="auto"/>
        <w:rPr/>
      </w:pPr>
      <w:r>
        <w:pict>
          <v:shape id="_x0000_s514" style="position:absolute;margin-left:491.92pt;margin-top:44.1055pt;mso-position-vertical-relative:page;mso-position-horizontal-relative:page;width:119.4pt;height:18.85pt;z-index:25168486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583"/>
        <w:spacing w:line="13461" w:lineRule="exact"/>
        <w:rPr/>
      </w:pPr>
      <w:r>
        <w:pict>
          <v:shape id="_x0000_s516" style="position:absolute;margin-left:-13.08pt;margin-top:228.067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pict>
          <v:shape id="_x0000_s518" style="position:absolute;margin-left:391.92pt;margin-top:228.067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pict>
          <v:shape id="_x0000_s520" style="position:absolute;margin-left:491.92pt;margin-top:472.067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pict>
          <v:shape id="_x0000_s522" style="position:absolute;margin-left:86.92pt;margin-top:472.067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560891" cy="8547295"/>
            <wp:effectExtent l="0" t="0" r="0" b="0"/>
            <wp:docPr id="28" name="IM 28"/>
            <wp:cNvGraphicFramePr/>
            <a:graphic>
              <a:graphicData uri="http://schemas.openxmlformats.org/drawingml/2006/picture">
                <pic:pic>
                  <pic:nvPicPr>
                    <pic:cNvPr id="28" name="IM 28"/>
                    <pic:cNvPicPr/>
                  </pic:nvPicPr>
                  <pic:blipFill>
                    <a:blip r:embed="rId66"/>
                    <a:stretch>
                      <a:fillRect/>
                    </a:stretch>
                  </pic:blipFill>
                  <pic:spPr>
                    <a:xfrm rot="0">
                      <a:off x="0" y="0"/>
                      <a:ext cx="5560891" cy="8547295"/>
                    </a:xfrm>
                    <a:prstGeom prst="rect">
                      <a:avLst/>
                    </a:prstGeom>
                  </pic:spPr>
                </pic:pic>
              </a:graphicData>
            </a:graphic>
          </wp:inline>
        </w:drawing>
      </w:r>
    </w:p>
    <w:p>
      <w:pPr>
        <w:spacing w:line="13461" w:lineRule="exact"/>
        <w:sectPr>
          <w:headerReference w:type="default" r:id="rId64"/>
          <w:footerReference w:type="default" r:id="rId65"/>
          <w:pgSz w:w="11900" w:h="16840"/>
          <w:pgMar w:top="642" w:right="0" w:bottom="340" w:left="0" w:header="326" w:footer="111" w:gutter="0"/>
        </w:sectPr>
        <w:rPr/>
      </w:pPr>
    </w:p>
    <w:p>
      <w:pPr>
        <w:pStyle w:val="BodyText"/>
        <w:spacing w:line="269" w:lineRule="auto"/>
        <w:rPr/>
      </w:pPr>
      <w:r/>
    </w:p>
    <w:p>
      <w:pPr>
        <w:pStyle w:val="BodyText"/>
        <w:spacing w:line="270" w:lineRule="auto"/>
        <w:rPr/>
      </w:pPr>
      <w:r/>
    </w:p>
    <w:p>
      <w:pPr>
        <w:ind w:left="4986"/>
        <w:spacing w:before="94" w:line="228" w:lineRule="exact"/>
        <w:outlineLvl w:val="0"/>
        <w:rPr>
          <w:rFonts w:ascii="Microsoft YaHei" w:hAnsi="Microsoft YaHei" w:eastAsia="Microsoft YaHei" w:cs="Microsoft YaHei"/>
          <w:sz w:val="22"/>
          <w:szCs w:val="22"/>
        </w:rPr>
      </w:pPr>
      <w:bookmarkStart w:name="bookmark34" w:id="49"/>
      <w:bookmarkEnd w:id="49"/>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67"/>
      <w:footerReference w:type="default" r:id="rId68"/>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bookmarkStart w:name="bookmark48" w:id="43"/>
    <w:bookmarkEnd w:id="43"/>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bookmarkStart w:name="bookmark49" w:id="48"/>
    <w:bookmarkEnd w:id="48"/>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-30-</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60" style="position:absolute;margin-left:94.1286pt;margin-top:66.2782pt;mso-position-vertical-relative:page;mso-position-horizontal-relative:page;width:40.05pt;height:7.9pt;z-index:-251571200;" o:allowincell="f" fillcolor="#212529" filled="true" stroked="false" type="#_x0000_t136">
          <v:textpath style="font-family:&quot;SimSun&quot;;font-size:7.5;v-text-kern:t;mso-text-shadow:auto" string="政拨款结转"/>
        </v:shape>
      </w:pict>
    </w:r>
    <w:r>
      <w:pict>
        <v:shape id="PowerPlusWaterMarkObject162" style="position:absolute;margin-left:86.92pt;margin-top:27.7633pt;mso-position-vertical-relative:text;mso-position-horizontal-relative:text;width:119.4pt;height:18.85pt;z-index:-251568128;rotation:330;" fillcolor="#404040" filled="true" stroked="false" type="#_x0000_t136">
          <v:fill opacity="0.400000"/>
          <v:textpath style="font-family:&quot;SimSun&quot;;font-size:20;v-text-kern:t;mso-text-shadow:auto" string="仅供内部审核"/>
        </v:shape>
      </w:pict>
    </w:r>
    <w:r>
      <w:pict>
        <v:shape id="PowerPlusWaterMarkObject164" style="position:absolute;margin-left:-13.08pt;margin-top:288.105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491.92pt;margin-top:44.1055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391.92pt;margin-top:288.105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86.92pt;margin-top:532.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72" style="position:absolute;margin-left:-13.08pt;margin-top:776.106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PowerPlusWaterMarkObject174" style="position:absolute;margin-left:491.92pt;margin-top:532.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76" style="position:absolute;margin-left:391.92pt;margin-top:776.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_x0000_s178" style="position:absolute;margin-left:30pt;margin-top:29.5pt;mso-position-vertical-relative:page;mso-position-horizontal-relative:page;width:535pt;height:1pt;z-index:-25157017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兴县蔡家会镇中心卫生院2025年单位预算公开报告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80" style="position:absolute;margin-left:86.92pt;margin-top:27.7633pt;mso-position-vertical-relative:text;mso-position-horizontal-relative:text;width:119.4pt;height:18.85pt;z-index:-251551744;rotation:330;" fillcolor="#404040" filled="true" stroked="false" type="#_x0000_t136">
          <v:fill opacity="0.400000"/>
          <v:textpath style="font-family:&quot;SimSun&quot;;font-size:20;v-text-kern:t;mso-text-shadow:auto" string="仅供内部审核"/>
        </v:shape>
      </w:pict>
    </w:r>
    <w:r>
      <w:pict>
        <v:shape id="PowerPlusWaterMarkObject182" style="position:absolute;margin-left:490.282pt;margin-top:71.2915pt;mso-position-vertical-relative:page;mso-position-horizontal-relative:page;width:35.45pt;height:6.5pt;z-index:-251552768;" o:allowincell="f" fillcolor="#212529" filled="true" stroked="false" type="#_x0000_t136">
          <v:textpath style="font-family:&quot;SimSun&quot;;font-size:6;v-text-kern:t;mso-text-shadow:auto" string="预算公开表5"/>
        </v:shape>
      </w:pict>
    </w:r>
    <w:r>
      <w:pict>
        <v:shape id="PowerPlusWaterMarkObject184" style="position:absolute;margin-left:491.92pt;margin-top:44.1055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74.4118pt;margin-top:267.372pt;mso-position-vertical-relative:page;mso-position-horizontal-relative:page;width:23.35pt;height:7.9pt;z-index:-251566080;" o:allowincell="f" fillcolor="#212529" filled="true" stroked="false" type="#_x0000_t136">
          <v:textpath style="font-family:&quot;SimSun&quot;;font-size:7.5;v-text-kern:t;mso-text-shadow:auto" string="100399"/>
        </v:shape>
      </w:pict>
    </w:r>
    <w:r>
      <w:pict>
        <v:shape id="PowerPlusWaterMarkObject188" style="position:absolute;margin-left:69.8661pt;margin-top:282.508pt;mso-position-vertical-relative:page;mso-position-horizontal-relative:page;width:11.7pt;height:7.9pt;z-index:-251565056;" o:allowincell="f" fillcolor="#212529" filled="true" stroked="false" type="#_x0000_t136">
          <v:textpath style="font-family:&quot;SimSun&quot;;font-size:7.5;v-text-kern:t;mso-text-shadow:auto" string="210"/>
        </v:shape>
      </w:pict>
    </w:r>
    <w:r>
      <w:pict>
        <v:shape id="PowerPlusWaterMarkObject190" style="position:absolute;margin-left:-13.08pt;margin-top:288.105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92" style="position:absolute;margin-left:505.903pt;margin-top:267.372pt;mso-position-vertical-relative:page;mso-position-horizontal-relative:page;width:3.5pt;height:7.9pt;z-index:-251559936;" o:allowincell="f" fillcolor="#212529" filled="true" stroked="false" type="#_x0000_t136">
          <v:textpath style="font-family:&quot;SimSun&quot;;font-size:7.5;v-text-kern:t;mso-text-shadow:auto" string="3"/>
        </v:shape>
      </w:pict>
    </w:r>
    <w:r>
      <w:pict>
        <v:shape id="PowerPlusWaterMarkObject194" style="position:absolute;margin-left:449.083pt;margin-top:282.508pt;mso-position-vertical-relative:page;mso-position-horizontal-relative:page;width:7.7pt;height:7.9pt;z-index:-251563008;" o:allowincell="f" fillcolor="#212529" filled="true" stroked="false" type="#_x0000_t136">
          <v:textpath style="font-family:&quot;SimSun&quot;;font-size:7.5;v-text-kern:t;mso-text-shadow:auto" string="91"/>
        </v:shape>
      </w:pict>
    </w:r>
    <w:r>
      <w:pict>
        <v:shape id="PowerPlusWaterMarkObject196" style="position:absolute;margin-left:441.102pt;margin-top:297.644pt;mso-position-vertical-relative:page;mso-position-horizontal-relative:page;width:15.7pt;height:7.9pt;z-index:-251561984;" o:allowincell="f" fillcolor="#212529" filled="true" stroked="false" type="#_x0000_t136">
          <v:textpath style="font-family:&quot;SimSun&quot;;font-size:7.5;v-text-kern:t;mso-text-shadow:auto" string="5 91"/>
        </v:shape>
      </w:pict>
    </w:r>
    <w:r>
      <w:pict>
        <v:shape id="PowerPlusWaterMarkObject198" style="position:absolute;margin-left:437.475pt;margin-top:312.78pt;mso-position-vertical-relative:page;mso-position-horizontal-relative:page;width:7.15pt;height:7.9pt;z-index:-251560960;" o:allowincell="f" fillcolor="#212529" filled="true" stroked="false" type="#_x0000_t136">
          <v:textpath style="font-family:&quot;SimSun&quot;;font-size:7.5;v-text-kern:t;mso-text-shadow:auto" string="13"/>
        </v:shape>
      </w:pict>
    </w:r>
    <w:r>
      <w:pict>
        <v:shape id="PowerPlusWaterMarkObject200" style="position:absolute;margin-left:391.92pt;margin-top:288.105pt;mso-position-vertical-relative:page;mso-position-horizontal-relative:page;width:119.4pt;height:18.85pt;z-index:-251564032;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86.92pt;margin-top:532.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491.92pt;margin-top:532.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06" style="position:absolute;margin-left:-13.08pt;margin-top:776.106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PowerPlusWaterMarkObject208" style="position:absolute;margin-left:391.92pt;margin-top:776.106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_x0000_s210" style="position:absolute;margin-left:30pt;margin-top:29.5pt;mso-position-vertical-relative:page;mso-position-horizontal-relative:page;width:535pt;height:1pt;z-index:-25155481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兴县蔡家会镇中心卫生院2025年单位预算公开报告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12" style="position:absolute;margin-left:86.02pt;margin-top:267.372pt;mso-position-vertical-relative:page;mso-position-horizontal-relative:page;width:15.7pt;height:7.9pt;z-index:-251549696;" o:allowincell="f" fillcolor="#212529" filled="true" stroked="false" type="#_x0000_t136">
          <v:textpath style="font-family:&quot;SimSun&quot;;font-size:7.5;v-text-kern:t;mso-text-shadow:auto" string="住房"/>
        </v:shape>
      </w:pict>
    </w:r>
    <w:r>
      <w:pict>
        <v:shape id="PowerPlusWaterMarkObject214" style="position:absolute;margin-left:86.92pt;margin-top:27.7633pt;mso-position-vertical-relative:text;mso-position-horizontal-relative:text;width:119.4pt;height:18.85pt;z-index:-251537408;rotation:330;" fillcolor="#404040" filled="true" stroked="false" type="#_x0000_t136">
          <v:fill opacity="0.400000"/>
          <v:textpath style="font-family:&quot;SimSun&quot;;font-size:20;v-text-kern:t;mso-text-shadow:auto" string="仅供内部审核"/>
        </v:shape>
      </w:pict>
    </w:r>
    <w:r>
      <w:pict>
        <v:shape id="PowerPlusWaterMarkObject216" style="position:absolute;margin-left:-13.08pt;margin-top:288.105pt;mso-position-vertical-relative:page;mso-position-horizontal-relative:page;width:119.4pt;height:18.85pt;z-index:-251550720;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86.92pt;margin-top:532.106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PowerPlusWaterMarkObject220" style="position:absolute;margin-left:-13.08pt;margin-top:776.106pt;mso-position-vertical-relative:page;mso-position-horizontal-relative:page;width:119.4pt;height:18.85pt;z-index:-251541504;rotation:330;" o:allowincell="f" fillcolor="#404040" filled="true" stroked="false" type="#_x0000_t136">
          <v:fill opacity="0.400000"/>
          <v:textpath style="font-family:&quot;SimSun&quot;;font-size:20;v-text-kern:t;mso-text-shadow:auto" string="仅供内部审核"/>
        </v:shape>
      </w:pict>
    </w:r>
    <w:r>
      <w:pict>
        <v:shape id="PowerPlusWaterMarkObject222" style="position:absolute;margin-left:486.557pt;margin-top:71.2915pt;mso-position-vertical-relative:page;mso-position-horizontal-relative:page;width:35.45pt;height:6.5pt;z-index:-251538432;" o:allowincell="f" fillcolor="#212529" filled="true" stroked="false" type="#_x0000_t136">
          <v:textpath style="font-family:&quot;SimSun&quot;;font-size:6;v-text-kern:t;mso-text-shadow:auto" string="预算公开表6"/>
        </v:shape>
      </w:pict>
    </w:r>
    <w:r>
      <w:pict>
        <v:shape id="PowerPlusWaterMarkObject224" style="position:absolute;margin-left:447.011pt;margin-top:282.508pt;mso-position-vertical-relative:page;mso-position-horizontal-relative:page;width:19.3pt;height:7.9pt;z-index:-251545600;" o:allowincell="f" fillcolor="#212529" filled="true" stroked="false" type="#_x0000_t136">
          <v:textpath style="font-family:&quot;SimSun&quot;;font-size:7.5;v-text-kern:t;mso-text-shadow:auto" string="14 17"/>
        </v:shape>
      </w:pict>
    </w:r>
    <w:r>
      <w:pict>
        <v:shape id="PowerPlusWaterMarkObject226" style="position:absolute;margin-left:399.127pt;margin-top:312.78pt;mso-position-vertical-relative:page;mso-position-horizontal-relative:page;width:7.65pt;height:7.9pt;z-index:-251547648;" o:allowincell="f" fillcolor="#212529" filled="true" stroked="false" type="#_x0000_t136">
          <v:textpath style="font-family:&quot;SimSun&quot;;font-size:7.5;v-text-kern:t;mso-text-shadow:auto" string="26"/>
        </v:shape>
      </w:pict>
    </w:r>
    <w:r>
      <w:pict>
        <v:shape id="PowerPlusWaterMarkObject228" style="position:absolute;margin-left:399.063pt;margin-top:327.916pt;mso-position-vertical-relative:page;mso-position-horizontal-relative:page;width:7.7pt;height:7.9pt;z-index:-251546624;" o:allowincell="f" fillcolor="#212529" filled="true" stroked="false" type="#_x0000_t136">
          <v:textpath style="font-family:&quot;SimSun&quot;;font-size:7.5;v-text-kern:t;mso-text-shadow:auto" string="80"/>
        </v:shape>
      </w:pict>
    </w:r>
    <w:r>
      <w:pict>
        <v:shape id="PowerPlusWaterMarkObject230" style="position:absolute;margin-left:491.92pt;margin-top:44.1055pt;mso-position-vertical-relative:page;mso-position-horizontal-relative:page;width:119.4pt;height:18.85pt;z-index:-251539456;rotation:330;" o:allowincell="f" fillcolor="#404040" filled="true" stroked="false" type="#_x0000_t136">
          <v:fill opacity="0.400000"/>
          <v:textpath style="font-family:&quot;SimSun&quot;;font-size:20;v-text-kern:t;mso-text-shadow:auto" string="仅供内部审核"/>
        </v:shape>
      </w:pict>
    </w:r>
    <w:r>
      <w:pict>
        <v:shape id="PowerPlusWaterMarkObject232" style="position:absolute;margin-left:391.92pt;margin-top:288.105pt;mso-position-vertical-relative:page;mso-position-horizontal-relative:page;width:119.4pt;height:18.85pt;z-index:-251548672;rotation:330;" o:allowincell="f" fillcolor="#404040" filled="true" stroked="false" type="#_x0000_t136">
          <v:fill opacity="0.400000"/>
          <v:textpath style="font-family:&quot;SimSun&quot;;font-size:20;v-text-kern:t;mso-text-shadow:auto" string="仅供内部审核"/>
        </v:shape>
      </w:pict>
    </w:r>
    <w:r>
      <w:pict>
        <v:shape id="PowerPlusWaterMarkObject234" style="position:absolute;margin-left:491.92pt;margin-top:532.106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PowerPlusWaterMarkObject236" style="position:absolute;margin-left:391.92pt;margin-top:776.106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_x0000_s238" style="position:absolute;margin-left:30pt;margin-top:29.5pt;mso-position-vertical-relative:page;mso-position-horizontal-relative:page;width:535pt;height:1pt;z-index:-25154048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兴县蔡家会镇中心卫生院2025年单位预算公开报告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40" style="position:absolute;margin-left:86.92pt;margin-top:27.7633pt;mso-position-vertical-relative:text;mso-position-horizontal-relative:text;width:119.4pt;height:18.85pt;z-index:-251527168;rotation:330;" fillcolor="#404040" filled="true" stroked="false" type="#_x0000_t136">
          <v:fill opacity="0.400000"/>
          <v:textpath style="font-family:&quot;SimSun&quot;;font-size:20;v-text-kern:t;mso-text-shadow:auto" string="仅供内部审核"/>
        </v:shape>
      </w:pict>
    </w:r>
    <w:r>
      <w:pict>
        <v:shape id="PowerPlusWaterMarkObject242" style="position:absolute;margin-left:490.334pt;margin-top:73.4279pt;mso-position-vertical-relative:page;mso-position-horizontal-relative:page;width:35.4pt;height:6.5pt;z-index:-251528192;" o:allowincell="f" fillcolor="#212529" filled="true" stroked="false" type="#_x0000_t136">
          <v:textpath style="font-family:&quot;SimSun&quot;;font-size:6;v-text-kern:t;mso-text-shadow:auto" string="预算公开表7"/>
        </v:shape>
      </w:pict>
    </w:r>
    <w:r>
      <w:pict>
        <v:shape id="PowerPlusWaterMarkObject244" style="position:absolute;margin-left:491.92pt;margin-top:44.1055pt;mso-position-vertical-relative:page;mso-position-horizontal-relative:page;width:119.4pt;height:18.85pt;z-index:-251529216;rotation:330;" o:allowincell="f" fillcolor="#404040" filled="true" stroked="false" type="#_x0000_t136">
          <v:fill opacity="0.400000"/>
          <v:textpath style="font-family:&quot;SimSun&quot;;font-size:20;v-text-kern:t;mso-text-shadow:auto" string="仅供内部审核"/>
        </v:shape>
      </w:pict>
    </w:r>
    <w:r>
      <w:pict>
        <v:shape id="PowerPlusWaterMarkObject246" style="position:absolute;margin-left:-13.08pt;margin-top:288.105pt;mso-position-vertical-relative:page;mso-position-horizontal-relative:page;width:119.4pt;height:18.85pt;z-index:-251531264;rotation:330;" o:allowincell="f" fillcolor="#404040" filled="true" stroked="false" type="#_x0000_t136">
          <v:fill opacity="0.400000"/>
          <v:textpath style="font-family:&quot;SimSun&quot;;font-size:20;v-text-kern:t;mso-text-shadow:auto" string="仅供内部审核"/>
        </v:shape>
      </w:pict>
    </w:r>
    <w:r>
      <w:pict>
        <v:shape id="PowerPlusWaterMarkObject248" style="position:absolute;margin-left:391.92pt;margin-top:288.105pt;mso-position-vertical-relative:page;mso-position-horizontal-relative:page;width:119.4pt;height:18.85pt;z-index:-251532288;rotation:330;" o:allowincell="f" fillcolor="#404040" filled="true" stroked="false" type="#_x0000_t136">
          <v:fill opacity="0.400000"/>
          <v:textpath style="font-family:&quot;SimSun&quot;;font-size:20;v-text-kern:t;mso-text-shadow:auto" string="仅供内部审核"/>
        </v:shape>
      </w:pict>
    </w:r>
    <w:r>
      <w:pict>
        <v:shape id="PowerPlusWaterMarkObject250" style="position:absolute;margin-left:86.92pt;margin-top:532.106pt;mso-position-vertical-relative:page;mso-position-horizontal-relative:page;width:119.4pt;height:18.85pt;z-index:-251535360;rotation:330;" o:allowincell="f" fillcolor="#404040" filled="true" stroked="false" type="#_x0000_t136">
          <v:fill opacity="0.400000"/>
          <v:textpath style="font-family:&quot;SimSun&quot;;font-size:20;v-text-kern:t;mso-text-shadow:auto" string="仅供内部审核"/>
        </v:shape>
      </w:pict>
    </w:r>
    <w:r>
      <w:pict>
        <v:shape id="PowerPlusWaterMarkObject252" style="position:absolute;margin-left:-13.08pt;margin-top:776.106pt;mso-position-vertical-relative:page;mso-position-horizontal-relative:page;width:119.4pt;height:18.85pt;z-index:-251533312;rotation:330;" o:allowincell="f" fillcolor="#404040" filled="true" stroked="false" type="#_x0000_t136">
          <v:fill opacity="0.400000"/>
          <v:textpath style="font-family:&quot;SimSun&quot;;font-size:20;v-text-kern:t;mso-text-shadow:auto" string="仅供内部审核"/>
        </v:shape>
      </w:pict>
    </w:r>
    <w:r>
      <w:pict>
        <v:shape id="PowerPlusWaterMarkObject254" style="position:absolute;margin-left:491.92pt;margin-top:532.106pt;mso-position-vertical-relative:page;mso-position-horizontal-relative:page;width:119.4pt;height:18.85pt;z-index:-251536384;rotation:330;" o:allowincell="f" fillcolor="#404040" filled="true" stroked="false" type="#_x0000_t136">
          <v:fill opacity="0.400000"/>
          <v:textpath style="font-family:&quot;SimSun&quot;;font-size:20;v-text-kern:t;mso-text-shadow:auto" string="仅供内部审核"/>
        </v:shape>
      </w:pict>
    </w:r>
    <w:r>
      <w:pict>
        <v:shape id="PowerPlusWaterMarkObject256" style="position:absolute;margin-left:391.92pt;margin-top:776.106pt;mso-position-vertical-relative:page;mso-position-horizontal-relative:page;width:119.4pt;height:18.85pt;z-index:-251534336;rotation:330;" o:allowincell="f" fillcolor="#404040" filled="true" stroked="false" type="#_x0000_t136">
          <v:fill opacity="0.400000"/>
          <v:textpath style="font-family:&quot;SimSun&quot;;font-size:20;v-text-kern:t;mso-text-shadow:auto" string="仅供内部审核"/>
        </v:shape>
      </w:pict>
    </w:r>
    <w:r>
      <w:pict>
        <v:shape id="_x0000_s258" style="position:absolute;margin-left:30pt;margin-top:29.5pt;mso-position-vertical-relative:page;mso-position-horizontal-relative:page;width:535pt;height:1pt;z-index:-25153024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兴县蔡家会镇中心卫生院2025年单位预算公开报告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60" style="position:absolute;margin-left:86.92pt;margin-top:27.7633pt;mso-position-vertical-relative:text;mso-position-horizontal-relative:text;width:119.4pt;height:18.85pt;z-index:-251516928;rotation:330;" fillcolor="#404040" filled="true" stroked="false" type="#_x0000_t136">
          <v:fill opacity="0.400000"/>
          <v:textpath style="font-family:&quot;SimSun&quot;;font-size:20;v-text-kern:t;mso-text-shadow:auto" string="仅供内部审核"/>
        </v:shape>
      </w:pict>
    </w:r>
    <w:r>
      <w:pict>
        <v:shape id="PowerPlusWaterMarkObject262" style="position:absolute;margin-left:490.282pt;margin-top:73.4538pt;mso-position-vertical-relative:page;mso-position-horizontal-relative:page;width:35.45pt;height:6.5pt;z-index:-251517952;" o:allowincell="f" fillcolor="#212529" filled="true" stroked="false" type="#_x0000_t136">
          <v:textpath style="font-family:&quot;SimSun&quot;;font-size:6;v-text-kern:t;mso-text-shadow:auto" string="预算公开表8"/>
        </v:shape>
      </w:pict>
    </w:r>
    <w:r>
      <w:pict>
        <v:shape id="PowerPlusWaterMarkObject264" style="position:absolute;margin-left:491.92pt;margin-top:44.1055pt;mso-position-vertical-relative:page;mso-position-horizontal-relative:page;width:119.4pt;height:18.85pt;z-index:-251518976;rotation:330;" o:allowincell="f" fillcolor="#404040" filled="true" stroked="false" type="#_x0000_t136">
          <v:fill opacity="0.400000"/>
          <v:textpath style="font-family:&quot;SimSun&quot;;font-size:20;v-text-kern:t;mso-text-shadow:auto" string="仅供内部审核"/>
        </v:shape>
      </w:pict>
    </w:r>
    <w:r>
      <w:pict>
        <v:shape id="PowerPlusWaterMarkObject266" style="position:absolute;margin-left:-13.08pt;margin-top:288.105pt;mso-position-vertical-relative:page;mso-position-horizontal-relative:page;width:119.4pt;height:18.85pt;z-index:-251521024;rotation:330;" o:allowincell="f" fillcolor="#404040" filled="true" stroked="false" type="#_x0000_t136">
          <v:fill opacity="0.400000"/>
          <v:textpath style="font-family:&quot;SimSun&quot;;font-size:20;v-text-kern:t;mso-text-shadow:auto" string="仅供内部审核"/>
        </v:shape>
      </w:pict>
    </w:r>
    <w:r>
      <w:pict>
        <v:shape id="PowerPlusWaterMarkObject268" style="position:absolute;margin-left:391.92pt;margin-top:288.105pt;mso-position-vertical-relative:page;mso-position-horizontal-relative:page;width:119.4pt;height:18.85pt;z-index:-251522048;rotation:330;" o:allowincell="f" fillcolor="#404040" filled="true" stroked="false" type="#_x0000_t136">
          <v:fill opacity="0.400000"/>
          <v:textpath style="font-family:&quot;SimSun&quot;;font-size:20;v-text-kern:t;mso-text-shadow:auto" string="仅供内部审核"/>
        </v:shape>
      </w:pict>
    </w:r>
    <w:r>
      <w:pict>
        <v:shape id="PowerPlusWaterMarkObject270" style="position:absolute;margin-left:86.92pt;margin-top:532.106pt;mso-position-vertical-relative:page;mso-position-horizontal-relative:page;width:119.4pt;height:18.85pt;z-index:-251525120;rotation:330;" o:allowincell="f" fillcolor="#404040" filled="true" stroked="false" type="#_x0000_t136">
          <v:fill opacity="0.400000"/>
          <v:textpath style="font-family:&quot;SimSun&quot;;font-size:20;v-text-kern:t;mso-text-shadow:auto" string="仅供内部审核"/>
        </v:shape>
      </w:pict>
    </w:r>
    <w:r>
      <w:pict>
        <v:shape id="PowerPlusWaterMarkObject272" style="position:absolute;margin-left:-13.08pt;margin-top:776.106pt;mso-position-vertical-relative:page;mso-position-horizontal-relative:page;width:119.4pt;height:18.85pt;z-index:-251523072;rotation:330;" o:allowincell="f" fillcolor="#404040" filled="true" stroked="false" type="#_x0000_t136">
          <v:fill opacity="0.400000"/>
          <v:textpath style="font-family:&quot;SimSun&quot;;font-size:20;v-text-kern:t;mso-text-shadow:auto" string="仅供内部审核"/>
        </v:shape>
      </w:pict>
    </w:r>
    <w:r>
      <w:pict>
        <v:shape id="PowerPlusWaterMarkObject274" style="position:absolute;margin-left:491.92pt;margin-top:532.106pt;mso-position-vertical-relative:page;mso-position-horizontal-relative:page;width:119.4pt;height:18.85pt;z-index:-251526144;rotation:330;" o:allowincell="f" fillcolor="#404040" filled="true" stroked="false" type="#_x0000_t136">
          <v:fill opacity="0.400000"/>
          <v:textpath style="font-family:&quot;SimSun&quot;;font-size:20;v-text-kern:t;mso-text-shadow:auto" string="仅供内部审核"/>
        </v:shape>
      </w:pict>
    </w:r>
    <w:r>
      <w:pict>
        <v:shape id="PowerPlusWaterMarkObject276" style="position:absolute;margin-left:391.92pt;margin-top:776.106pt;mso-position-vertical-relative:page;mso-position-horizontal-relative:page;width:119.4pt;height:18.85pt;z-index:-251524096;rotation:330;" o:allowincell="f" fillcolor="#404040" filled="true" stroked="false" type="#_x0000_t136">
          <v:fill opacity="0.400000"/>
          <v:textpath style="font-family:&quot;SimSun&quot;;font-size:20;v-text-kern:t;mso-text-shadow:auto" string="仅供内部审核"/>
        </v:shape>
      </w:pict>
    </w:r>
    <w:r>
      <w:pict>
        <v:shape id="_x0000_s278" style="position:absolute;margin-left:30pt;margin-top:29.5pt;mso-position-vertical-relative:page;mso-position-horizontal-relative:page;width:535pt;height:1pt;z-index:-25152000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兴县蔡家会镇中心卫生院2025年单位预算公开报告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80" style="position:absolute;margin-left:86.92pt;margin-top:27.7633pt;mso-position-vertical-relative:text;mso-position-horizontal-relative:text;width:119.4pt;height:18.85pt;z-index:-251506688;rotation:330;" fillcolor="#404040" filled="true" stroked="false" type="#_x0000_t136">
          <v:fill opacity="0.400000"/>
          <v:textpath style="font-family:&quot;SimSun&quot;;font-size:20;v-text-kern:t;mso-text-shadow:auto" string="仅供内部审核"/>
        </v:shape>
      </w:pict>
    </w:r>
    <w:r>
      <w:pict>
        <v:shape id="PowerPlusWaterMarkObject282" style="position:absolute;margin-left:490.36pt;margin-top:78.8596pt;mso-position-vertical-relative:page;mso-position-horizontal-relative:page;width:35.35pt;height:6.5pt;z-index:-251507712;" o:allowincell="f" fillcolor="#212529" filled="true" stroked="false" type="#_x0000_t136">
          <v:textpath style="font-family:&quot;SimSun&quot;;font-size:6;v-text-kern:t;mso-text-shadow:auto" string="部门公开表9"/>
        </v:shape>
      </w:pict>
    </w:r>
    <w:r>
      <w:pict>
        <v:shape id="PowerPlusWaterMarkObject284" style="position:absolute;margin-left:491.92pt;margin-top:44.1055pt;mso-position-vertical-relative:page;mso-position-horizontal-relative:page;width:119.4pt;height:18.85pt;z-index:-251508736;rotation:330;" o:allowincell="f" fillcolor="#404040" filled="true" stroked="false" type="#_x0000_t136">
          <v:fill opacity="0.400000"/>
          <v:textpath style="font-family:&quot;SimSun&quot;;font-size:20;v-text-kern:t;mso-text-shadow:auto" string="仅供内部审核"/>
        </v:shape>
      </w:pict>
    </w:r>
    <w:r>
      <w:pict>
        <v:shape id="PowerPlusWaterMarkObject286" style="position:absolute;margin-left:-13.08pt;margin-top:288.105pt;mso-position-vertical-relative:page;mso-position-horizontal-relative:page;width:119.4pt;height:18.85pt;z-index:-251514880;rotation:330;" o:allowincell="f" fillcolor="#404040" filled="true" stroked="false" type="#_x0000_t136">
          <v:fill opacity="0.400000"/>
          <v:textpath style="font-family:&quot;SimSun&quot;;font-size:20;v-text-kern:t;mso-text-shadow:auto" string="仅供内部审核"/>
        </v:shape>
      </w:pict>
    </w:r>
    <w:r>
      <w:pict>
        <v:shape id="PowerPlusWaterMarkObject288" style="position:absolute;margin-left:391.92pt;margin-top:288.105pt;mso-position-vertical-relative:page;mso-position-horizontal-relative:page;width:119.4pt;height:18.85pt;z-index:-251515904;rotation:330;" o:allowincell="f" fillcolor="#404040" filled="true" stroked="false" type="#_x0000_t136">
          <v:fill opacity="0.400000"/>
          <v:textpath style="font-family:&quot;SimSun&quot;;font-size:20;v-text-kern:t;mso-text-shadow:auto" string="仅供内部审核"/>
        </v:shape>
      </w:pict>
    </w:r>
    <w:r>
      <w:pict>
        <v:shape id="PowerPlusWaterMarkObject290" style="position:absolute;margin-left:86.92pt;margin-top:532.106pt;mso-position-vertical-relative:page;mso-position-horizontal-relative:page;width:119.4pt;height:18.85pt;z-index:-251512832;rotation:330;" o:allowincell="f" fillcolor="#404040" filled="true" stroked="false" type="#_x0000_t136">
          <v:fill opacity="0.400000"/>
          <v:textpath style="font-family:&quot;SimSun&quot;;font-size:20;v-text-kern:t;mso-text-shadow:auto" string="仅供内部审核"/>
        </v:shape>
      </w:pict>
    </w:r>
    <w:r>
      <w:pict>
        <v:shape id="PowerPlusWaterMarkObject292" style="position:absolute;margin-left:-13.08pt;margin-top:776.106pt;mso-position-vertical-relative:page;mso-position-horizontal-relative:page;width:119.4pt;height:18.85pt;z-index:-251510784;rotation:330;" o:allowincell="f" fillcolor="#404040" filled="true" stroked="false" type="#_x0000_t136">
          <v:fill opacity="0.400000"/>
          <v:textpath style="font-family:&quot;SimSun&quot;;font-size:20;v-text-kern:t;mso-text-shadow:auto" string="仅供内部审核"/>
        </v:shape>
      </w:pict>
    </w:r>
    <w:r>
      <w:pict>
        <v:shape id="PowerPlusWaterMarkObject294" style="position:absolute;margin-left:491.92pt;margin-top:532.106pt;mso-position-vertical-relative:page;mso-position-horizontal-relative:page;width:119.4pt;height:18.85pt;z-index:-251513856;rotation:330;" o:allowincell="f" fillcolor="#404040" filled="true" stroked="false" type="#_x0000_t136">
          <v:fill opacity="0.400000"/>
          <v:textpath style="font-family:&quot;SimSun&quot;;font-size:20;v-text-kern:t;mso-text-shadow:auto" string="仅供内部审核"/>
        </v:shape>
      </w:pict>
    </w:r>
    <w:r>
      <w:pict>
        <v:shape id="PowerPlusWaterMarkObject296" style="position:absolute;margin-left:391.92pt;margin-top:776.106pt;mso-position-vertical-relative:page;mso-position-horizontal-relative:page;width:119.4pt;height:18.85pt;z-index:-251511808;rotation:330;" o:allowincell="f" fillcolor="#404040" filled="true" stroked="false" type="#_x0000_t136">
          <v:fill opacity="0.400000"/>
          <v:textpath style="font-family:&quot;SimSun&quot;;font-size:20;v-text-kern:t;mso-text-shadow:auto" string="仅供内部审核"/>
        </v:shape>
      </w:pict>
    </w:r>
    <w:r>
      <w:pict>
        <v:shape id="_x0000_s298" style="position:absolute;margin-left:30pt;margin-top:29.5pt;mso-position-vertical-relative:page;mso-position-horizontal-relative:page;width:535pt;height:1pt;z-index:-25150976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兴县蔡家会镇中心卫生院2025年单位预算公开报告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00" style="position:absolute;margin-left:86.92pt;margin-top:27.7633pt;mso-position-vertical-relative:text;mso-position-horizontal-relative:text;width:119.4pt;height:18.85pt;z-index:-251496448;rotation:330;" fillcolor="#404040" filled="true" stroked="false" type="#_x0000_t136">
          <v:fill opacity="0.400000"/>
          <v:textpath style="font-family:&quot;SimSun&quot;;font-size:20;v-text-kern:t;mso-text-shadow:auto" string="仅供内部审核"/>
        </v:shape>
      </w:pict>
    </w:r>
    <w:r>
      <w:pict>
        <v:shape id="PowerPlusWaterMarkObject302" style="position:absolute;margin-left:-13.08pt;margin-top:288.105pt;mso-position-vertical-relative:page;mso-position-horizontal-relative:page;width:119.4pt;height:18.85pt;z-index:-251500544;rotation:330;" o:allowincell="f" fillcolor="#404040" filled="true" stroked="false" type="#_x0000_t136">
          <v:fill opacity="0.400000"/>
          <v:textpath style="font-family:&quot;SimSun&quot;;font-size:20;v-text-kern:t;mso-text-shadow:auto" string="仅供内部审核"/>
        </v:shape>
      </w:pict>
    </w:r>
    <w:r>
      <w:pict>
        <v:shape id="PowerPlusWaterMarkObject304" style="position:absolute;margin-left:86.92pt;margin-top:532.106pt;mso-position-vertical-relative:page;mso-position-horizontal-relative:page;width:119.4pt;height:18.85pt;z-index:-251504640;rotation:330;" o:allowincell="f" fillcolor="#404040" filled="true" stroked="false" type="#_x0000_t136">
          <v:fill opacity="0.400000"/>
          <v:textpath style="font-family:&quot;SimSun&quot;;font-size:20;v-text-kern:t;mso-text-shadow:auto" string="仅供内部审核"/>
        </v:shape>
      </w:pict>
    </w:r>
    <w:r>
      <w:pict>
        <v:shape id="PowerPlusWaterMarkObject306" style="position:absolute;margin-left:-13.08pt;margin-top:776.106pt;mso-position-vertical-relative:page;mso-position-horizontal-relative:page;width:119.4pt;height:18.85pt;z-index:-251502592;rotation:330;" o:allowincell="f" fillcolor="#404040" filled="true" stroked="false" type="#_x0000_t136">
          <v:fill opacity="0.400000"/>
          <v:textpath style="font-family:&quot;SimSun&quot;;font-size:20;v-text-kern:t;mso-text-shadow:auto" string="仅供内部审核"/>
        </v:shape>
      </w:pict>
    </w:r>
    <w:r>
      <w:pict>
        <v:shape id="PowerPlusWaterMarkObject308" style="position:absolute;margin-left:487.09pt;margin-top:67.4816pt;mso-position-vertical-relative:page;mso-position-horizontal-relative:page;width:38.65pt;height:6.5pt;z-index:-251497472;" o:allowincell="f" fillcolor="#212529" filled="true" stroked="false" type="#_x0000_t136">
          <v:textpath style="font-family:&quot;SimSun&quot;;font-size:6;v-text-kern:t;mso-text-shadow:auto" string="预算公开表11"/>
        </v:shape>
      </w:pict>
    </w:r>
    <w:r>
      <w:pict>
        <v:shape id="PowerPlusWaterMarkObject310" style="position:absolute;margin-left:491.92pt;margin-top:44.1055pt;mso-position-vertical-relative:page;mso-position-horizontal-relative:page;width:119.4pt;height:18.85pt;z-index:-251498496;rotation:330;" o:allowincell="f" fillcolor="#404040" filled="true" stroked="false" type="#_x0000_t136">
          <v:fill opacity="0.400000"/>
          <v:textpath style="font-family:&quot;SimSun&quot;;font-size:20;v-text-kern:t;mso-text-shadow:auto" string="仅供内部审核"/>
        </v:shape>
      </w:pict>
    </w:r>
    <w:r>
      <w:pict>
        <v:shape id="PowerPlusWaterMarkObject312" style="position:absolute;margin-left:391.92pt;margin-top:288.105pt;mso-position-vertical-relative:page;mso-position-horizontal-relative:page;width:119.4pt;height:18.85pt;z-index:-251501568;rotation:330;" o:allowincell="f" fillcolor="#404040" filled="true" stroked="false" type="#_x0000_t136">
          <v:fill opacity="0.400000"/>
          <v:textpath style="font-family:&quot;SimSun&quot;;font-size:20;v-text-kern:t;mso-text-shadow:auto" string="仅供内部审核"/>
        </v:shape>
      </w:pict>
    </w:r>
    <w:r>
      <w:pict>
        <v:shape id="PowerPlusWaterMarkObject314" style="position:absolute;margin-left:491.92pt;margin-top:532.106pt;mso-position-vertical-relative:page;mso-position-horizontal-relative:page;width:119.4pt;height:18.85pt;z-index:-251505664;rotation:330;" o:allowincell="f" fillcolor="#404040" filled="true" stroked="false" type="#_x0000_t136">
          <v:fill opacity="0.400000"/>
          <v:textpath style="font-family:&quot;SimSun&quot;;font-size:20;v-text-kern:t;mso-text-shadow:auto" string="仅供内部审核"/>
        </v:shape>
      </w:pict>
    </w:r>
    <w:r>
      <w:pict>
        <v:shape id="PowerPlusWaterMarkObject316" style="position:absolute;margin-left:391.92pt;margin-top:776.106pt;mso-position-vertical-relative:page;mso-position-horizontal-relative:page;width:119.4pt;height:18.85pt;z-index:-251503616;rotation:330;" o:allowincell="f" fillcolor="#404040" filled="true" stroked="false" type="#_x0000_t136">
          <v:fill opacity="0.400000"/>
          <v:textpath style="font-family:&quot;SimSun&quot;;font-size:20;v-text-kern:t;mso-text-shadow:auto" string="仅供内部审核"/>
        </v:shape>
      </w:pict>
    </w:r>
    <w:r>
      <w:pict>
        <v:shape id="_x0000_s318" style="position:absolute;margin-left:30pt;margin-top:29.5pt;mso-position-vertical-relative:page;mso-position-horizontal-relative:page;width:535pt;height:1pt;z-index:-25149952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兴县蔡家会镇中心卫生院2025年单位预算公开报告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20" style="position:absolute;margin-left:77.9747pt;margin-top:263.047pt;mso-position-vertical-relative:page;mso-position-horizontal-relative:page;width:23.75pt;height:7.9pt;z-index:-251491328;" o:allowincell="f" fillcolor="#212529" filled="true" stroked="false" type="#_x0000_t136">
          <v:textpath style="font-family:&quot;SimSun&quot;;font-size:7.5;v-text-kern:t;mso-text-shadow:auto" string="2025年"/>
        </v:shape>
      </w:pict>
    </w:r>
    <w:r>
      <w:pict>
        <v:shape id="PowerPlusWaterMarkObject322" style="position:absolute;margin-left:70.6348pt;margin-top:272.237pt;mso-position-vertical-relative:page;mso-position-horizontal-relative:page;width:31.1pt;height:7.9pt;z-index:-251492352;" o:allowincell="f" fillcolor="#212529" filled="true" stroked="false" type="#_x0000_t136">
          <v:textpath style="font-family:&quot;SimSun&quot;;font-size:7.5;v-text-kern:t;mso-text-shadow:auto" string="岗村医岗"/>
        </v:shape>
      </w:pict>
    </w:r>
    <w:r>
      <w:pict>
        <v:shape id="PowerPlusWaterMarkObject324" style="position:absolute;margin-left:79.0842pt;margin-top:282.508pt;mso-position-vertical-relative:page;mso-position-horizontal-relative:page;width:6.45pt;height:7.9pt;z-index:-251493376;" o:allowincell="f" fillcolor="#212529" filled="true" stroked="false" type="#_x0000_t136">
          <v:textpath style="font-family:&quot;SimSun&quot;;font-size:7.5;v-text-kern:t;mso-text-shadow:auto" string="吕"/>
        </v:shape>
      </w:pict>
    </w:r>
    <w:r>
      <w:pict>
        <v:shape id="PowerPlusWaterMarkObject326" style="position:absolute;margin-left:86.92pt;margin-top:27.7633pt;mso-position-vertical-relative:text;mso-position-horizontal-relative:text;width:119.4pt;height:18.85pt;z-index:-251483136;rotation:330;" fillcolor="#404040" filled="true" stroked="false" type="#_x0000_t136">
          <v:fill opacity="0.400000"/>
          <v:textpath style="font-family:&quot;SimSun&quot;;font-size:20;v-text-kern:t;mso-text-shadow:auto" string="仅供内部审核"/>
        </v:shape>
      </w:pict>
    </w:r>
    <w:r>
      <w:pict>
        <v:shape id="PowerPlusWaterMarkObject328" style="position:absolute;margin-left:-13.08pt;margin-top:288.105pt;mso-position-vertical-relative:page;mso-position-horizontal-relative:page;width:119.4pt;height:18.85pt;z-index:-251494400;rotation:330;" o:allowincell="f" fillcolor="#404040" filled="true" stroked="false" type="#_x0000_t136">
          <v:fill opacity="0.400000"/>
          <v:textpath style="font-family:&quot;SimSun&quot;;font-size:20;v-text-kern:t;mso-text-shadow:auto" string="仅供内部审核"/>
        </v:shape>
      </w:pict>
    </w:r>
    <w:r>
      <w:pict>
        <v:shape id="PowerPlusWaterMarkObject330" style="position:absolute;margin-left:86.92pt;margin-top:532.106pt;mso-position-vertical-relative:page;mso-position-horizontal-relative:page;width:119.4pt;height:18.85pt;z-index:-251489280;rotation:330;" o:allowincell="f" fillcolor="#404040" filled="true" stroked="false" type="#_x0000_t136">
          <v:fill opacity="0.400000"/>
          <v:textpath style="font-family:&quot;SimSun&quot;;font-size:20;v-text-kern:t;mso-text-shadow:auto" string="仅供内部审核"/>
        </v:shape>
      </w:pict>
    </w:r>
    <w:r>
      <w:pict>
        <v:shape id="PowerPlusWaterMarkObject332" style="position:absolute;margin-left:-13.08pt;margin-top:776.106pt;mso-position-vertical-relative:page;mso-position-horizontal-relative:page;width:119.4pt;height:18.85pt;z-index:-251487232;rotation:330;" o:allowincell="f" fillcolor="#404040" filled="true" stroked="false" type="#_x0000_t136">
          <v:fill opacity="0.400000"/>
          <v:textpath style="font-family:&quot;SimSun&quot;;font-size:20;v-text-kern:t;mso-text-shadow:auto" string="仅供内部审核"/>
        </v:shape>
      </w:pict>
    </w:r>
    <w:r>
      <w:pict>
        <v:shape id="PowerPlusWaterMarkObject334" style="position:absolute;margin-left:487.09pt;margin-top:73.4279pt;mso-position-vertical-relative:page;mso-position-horizontal-relative:page;width:38.65pt;height:6.5pt;z-index:-251484160;" o:allowincell="f" fillcolor="#212529" filled="true" stroked="false" type="#_x0000_t136">
          <v:textpath style="font-family:&quot;SimSun&quot;;font-size:6;v-text-kern:t;mso-text-shadow:auto" string="预算公开表12"/>
        </v:shape>
      </w:pict>
    </w:r>
    <w:r>
      <w:pict>
        <v:shape id="PowerPlusWaterMarkObject336" style="position:absolute;margin-left:491.92pt;margin-top:44.1055pt;mso-position-vertical-relative:page;mso-position-horizontal-relative:page;width:119.4pt;height:18.85pt;z-index:-251485184;rotation:330;" o:allowincell="f" fillcolor="#404040" filled="true" stroked="false" type="#_x0000_t136">
          <v:fill opacity="0.400000"/>
          <v:textpath style="font-family:&quot;SimSun&quot;;font-size:20;v-text-kern:t;mso-text-shadow:auto" string="仅供内部审核"/>
        </v:shape>
      </w:pict>
    </w:r>
    <w:r>
      <w:pict>
        <v:shape id="PowerPlusWaterMarkObject338" style="position:absolute;margin-left:391.92pt;margin-top:288.105pt;mso-position-vertical-relative:page;mso-position-horizontal-relative:page;width:119.4pt;height:18.85pt;z-index:-251495424;rotation:330;" o:allowincell="f" fillcolor="#404040" filled="true" stroked="false" type="#_x0000_t136">
          <v:fill opacity="0.400000"/>
          <v:textpath style="font-family:&quot;SimSun&quot;;font-size:20;v-text-kern:t;mso-text-shadow:auto" string="仅供内部审核"/>
        </v:shape>
      </w:pict>
    </w:r>
    <w:r>
      <w:pict>
        <v:shape id="PowerPlusWaterMarkObject340" style="position:absolute;margin-left:491.92pt;margin-top:532.106pt;mso-position-vertical-relative:page;mso-position-horizontal-relative:page;width:119.4pt;height:18.85pt;z-index:-251490304;rotation:330;" o:allowincell="f" fillcolor="#404040" filled="true" stroked="false" type="#_x0000_t136">
          <v:fill opacity="0.400000"/>
          <v:textpath style="font-family:&quot;SimSun&quot;;font-size:20;v-text-kern:t;mso-text-shadow:auto" string="仅供内部审核"/>
        </v:shape>
      </w:pict>
    </w:r>
    <w:r>
      <w:pict>
        <v:shape id="PowerPlusWaterMarkObject342" style="position:absolute;margin-left:391.92pt;margin-top:776.106pt;mso-position-vertical-relative:page;mso-position-horizontal-relative:page;width:119.4pt;height:18.85pt;z-index:-251488256;rotation:330;" o:allowincell="f" fillcolor="#404040" filled="true" stroked="false" type="#_x0000_t136">
          <v:fill opacity="0.400000"/>
          <v:textpath style="font-family:&quot;SimSun&quot;;font-size:20;v-text-kern:t;mso-text-shadow:auto" string="仅供内部审核"/>
        </v:shape>
      </w:pict>
    </w:r>
    <w:r>
      <w:pict>
        <v:shape id="_x0000_s344" style="position:absolute;margin-left:30pt;margin-top:29.5pt;mso-position-vertical-relative:page;mso-position-horizontal-relative:page;width:535pt;height:1pt;z-index:-25148620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兴县蔡家会镇中心卫生院2025年单位预算公开报告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46" style="position:absolute;margin-left:86.92pt;margin-top:27.7633pt;mso-position-vertical-relative:text;mso-position-horizontal-relative:text;width:119.4pt;height:18.85pt;z-index:-251472896;rotation:330;" fillcolor="#404040" filled="true" stroked="false" type="#_x0000_t136">
          <v:fill opacity="0.400000"/>
          <v:textpath style="font-family:&quot;SimSun&quot;;font-size:20;v-text-kern:t;mso-text-shadow:auto" string="仅供内部审核"/>
        </v:shape>
      </w:pict>
    </w:r>
    <w:r>
      <w:pict>
        <v:shape id="PowerPlusWaterMarkObject348" style="position:absolute;margin-left:-13.08pt;margin-top:288.105pt;mso-position-vertical-relative:page;mso-position-horizontal-relative:page;width:119.4pt;height:18.85pt;z-index:-251476992;rotation:330;" o:allowincell="f" fillcolor="#404040" filled="true" stroked="false" type="#_x0000_t136">
          <v:fill opacity="0.400000"/>
          <v:textpath style="font-family:&quot;SimSun&quot;;font-size:20;v-text-kern:t;mso-text-shadow:auto" string="仅供内部审核"/>
        </v:shape>
      </w:pict>
    </w:r>
    <w:r>
      <w:pict>
        <v:shape id="PowerPlusWaterMarkObject350" style="position:absolute;margin-left:86.92pt;margin-top:532.106pt;mso-position-vertical-relative:page;mso-position-horizontal-relative:page;width:119.4pt;height:18.85pt;z-index:-251481088;rotation:330;" o:allowincell="f" fillcolor="#404040" filled="true" stroked="false" type="#_x0000_t136">
          <v:fill opacity="0.400000"/>
          <v:textpath style="font-family:&quot;SimSun&quot;;font-size:20;v-text-kern:t;mso-text-shadow:auto" string="仅供内部审核"/>
        </v:shape>
      </w:pict>
    </w:r>
    <w:r>
      <w:pict>
        <v:shape id="PowerPlusWaterMarkObject352" style="position:absolute;margin-left:-13.08pt;margin-top:776.106pt;mso-position-vertical-relative:page;mso-position-horizontal-relative:page;width:119.4pt;height:18.85pt;z-index:-251479040;rotation:330;" o:allowincell="f" fillcolor="#404040" filled="true" stroked="false" type="#_x0000_t136">
          <v:fill opacity="0.400000"/>
          <v:textpath style="font-family:&quot;SimSun&quot;;font-size:20;v-text-kern:t;mso-text-shadow:auto" string="仅供内部审核"/>
        </v:shape>
      </w:pict>
    </w:r>
    <w:r>
      <w:pict>
        <v:shape id="PowerPlusWaterMarkObject354" style="position:absolute;margin-left:487.09pt;margin-top:73.4279pt;mso-position-vertical-relative:page;mso-position-horizontal-relative:page;width:38.65pt;height:6.5pt;z-index:-251473920;" o:allowincell="f" fillcolor="#212529" filled="true" stroked="false" type="#_x0000_t136">
          <v:textpath style="font-family:&quot;SimSun&quot;;font-size:6;v-text-kern:t;mso-text-shadow:auto" string="预算公开表13"/>
        </v:shape>
      </w:pict>
    </w:r>
    <w:r>
      <w:pict>
        <v:shape id="PowerPlusWaterMarkObject356" style="position:absolute;margin-left:491.92pt;margin-top:44.1055pt;mso-position-vertical-relative:page;mso-position-horizontal-relative:page;width:119.4pt;height:18.85pt;z-index:-251474944;rotation:330;" o:allowincell="f" fillcolor="#404040" filled="true" stroked="false" type="#_x0000_t136">
          <v:fill opacity="0.400000"/>
          <v:textpath style="font-family:&quot;SimSun&quot;;font-size:20;v-text-kern:t;mso-text-shadow:auto" string="仅供内部审核"/>
        </v:shape>
      </w:pict>
    </w:r>
    <w:r>
      <w:pict>
        <v:shape id="PowerPlusWaterMarkObject358" style="position:absolute;margin-left:391.92pt;margin-top:288.105pt;mso-position-vertical-relative:page;mso-position-horizontal-relative:page;width:119.4pt;height:18.85pt;z-index:-251478016;rotation:330;" o:allowincell="f" fillcolor="#404040" filled="true" stroked="false" type="#_x0000_t136">
          <v:fill opacity="0.400000"/>
          <v:textpath style="font-family:&quot;SimSun&quot;;font-size:20;v-text-kern:t;mso-text-shadow:auto" string="仅供内部审核"/>
        </v:shape>
      </w:pict>
    </w:r>
    <w:r>
      <w:pict>
        <v:shape id="PowerPlusWaterMarkObject360" style="position:absolute;margin-left:491.92pt;margin-top:532.106pt;mso-position-vertical-relative:page;mso-position-horizontal-relative:page;width:119.4pt;height:18.85pt;z-index:-251482112;rotation:330;" o:allowincell="f" fillcolor="#404040" filled="true" stroked="false" type="#_x0000_t136">
          <v:fill opacity="0.400000"/>
          <v:textpath style="font-family:&quot;SimSun&quot;;font-size:20;v-text-kern:t;mso-text-shadow:auto" string="仅供内部审核"/>
        </v:shape>
      </w:pict>
    </w:r>
    <w:r>
      <w:pict>
        <v:shape id="PowerPlusWaterMarkObject362" style="position:absolute;margin-left:391.92pt;margin-top:776.106pt;mso-position-vertical-relative:page;mso-position-horizontal-relative:page;width:119.4pt;height:18.85pt;z-index:-251480064;rotation:330;" o:allowincell="f" fillcolor="#404040" filled="true" stroked="false" type="#_x0000_t136">
          <v:fill opacity="0.400000"/>
          <v:textpath style="font-family:&quot;SimSun&quot;;font-size:20;v-text-kern:t;mso-text-shadow:auto" string="仅供内部审核"/>
        </v:shape>
      </w:pict>
    </w:r>
    <w:r>
      <w:pict>
        <v:shape id="_x0000_s364" style="position:absolute;margin-left:30pt;margin-top:29.5pt;mso-position-vertical-relative:page;mso-position-horizontal-relative:page;width:535pt;height:1pt;z-index:-25147596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兴县蔡家会镇中心卫生院2025年单位预算公开报告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66" style="position:absolute;margin-left:86.92pt;margin-top:27.7633pt;mso-position-vertical-relative:text;mso-position-horizontal-relative:text;width:119.4pt;height:18.85pt;z-index:-251455488;rotation:330;" fillcolor="#404040" filled="true" stroked="false" type="#_x0000_t136">
          <v:fill opacity="0.400000"/>
          <v:textpath style="font-family:&quot;SimSun&quot;;font-size:20;v-text-kern:t;mso-text-shadow:auto" string="仅供内部审核"/>
        </v:shape>
      </w:pict>
    </w:r>
    <w:r>
      <w:pict>
        <v:shape id="PowerPlusWaterMarkObject368" style="position:absolute;margin-left:86.0353pt;margin-top:258.837pt;mso-position-vertical-relative:page;mso-position-horizontal-relative:page;width:11pt;height:11.8pt;z-index:-251470848;" o:allowincell="f" fillcolor="#000000" filled="true" stroked="false" type="#_x0000_t136">
          <v:textpath style="font-family:&quot;FangSong&quot;;font-size:11.5;v-text-kern:t;mso-text-shadow:auto" string="20"/>
        </v:shape>
      </w:pict>
    </w:r>
    <w:r>
      <w:pict>
        <v:shape id="PowerPlusWaterMarkObject370" style="position:absolute;margin-left:63.1955pt;margin-top:278.838pt;mso-position-vertical-relative:page;mso-position-horizontal-relative:page;width:142.7pt;height:11.8pt;z-index:-251469824;" o:allowincell="f" fillcolor="#000000" filled="true" stroked="false" type="#_x0000_t136">
          <v:textpath style="font-family:&quot;FangSong&quot;;font-size:11.5;v-text-kern:t;mso-text-shadow:auto" string="入209                  ；"/>
        </v:shape>
      </w:pict>
    </w:r>
    <w:r>
      <w:pict>
        <v:shape id="PowerPlusWaterMarkObject372" style="position:absolute;margin-left:-13.08pt;margin-top:288.105pt;mso-position-vertical-relative:page;mso-position-horizontal-relative:page;width:119.4pt;height:18.85pt;z-index:-251471872;rotation:330;" o:allowincell="f" fillcolor="#404040" filled="true" stroked="false" type="#_x0000_t136">
          <v:fill opacity="0.400000"/>
          <v:textpath style="font-family:&quot;SimSun&quot;;font-size:20;v-text-kern:t;mso-text-shadow:auto" string="仅供内部审核"/>
        </v:shape>
      </w:pict>
    </w:r>
    <w:r>
      <w:pict>
        <v:shape id="PowerPlusWaterMarkObject374" style="position:absolute;margin-left:91.7539pt;margin-top:554.532pt;mso-position-vertical-relative:page;mso-position-horizontal-relative:page;width:40.5pt;height:11.8pt;z-index:-251463680;" o:allowincell="f" fillcolor="#000000" filled="true" stroked="false" type="#_x0000_t136">
          <v:textpath style="font-family:&quot;FangSong&quot;;font-size:11.5;v-text-kern:t;mso-text-shadow:auto" string="025年度"/>
        </v:shape>
      </w:pict>
    </w:r>
    <w:r>
      <w:pict>
        <v:shape id="PowerPlusWaterMarkObject376" style="position:absolute;margin-left:86.92pt;margin-top:532.106pt;mso-position-vertical-relative:page;mso-position-horizontal-relative:page;width:119.4pt;height:18.85pt;z-index:-251464704;rotation:330;" o:allowincell="f" fillcolor="#404040" filled="true" stroked="false" type="#_x0000_t136">
          <v:fill opacity="0.400000"/>
          <v:textpath style="font-family:&quot;SimSun&quot;;font-size:20;v-text-kern:t;mso-text-shadow:auto" string="仅供内部审核"/>
        </v:shape>
      </w:pict>
    </w:r>
    <w:r>
      <w:pict>
        <v:shape id="PowerPlusWaterMarkObject378" style="position:absolute;margin-left:63.2877pt;margin-top:756.166pt;mso-position-vertical-relative:page;mso-position-horizontal-relative:page;width:45.3pt;height:11.8pt;z-index:-251459584;" o:allowincell="f" fillcolor="#000000" filled="true" stroked="false" type="#_x0000_t136">
          <v:textpath style="font-family:&quot;FangSong&quot;;font-size:11.5;v-text-kern:t;mso-text-shadow:auto" string="万元  下"/>
        </v:shape>
      </w:pict>
    </w:r>
    <w:r>
      <w:pict>
        <v:shape id="PowerPlusWaterMarkObject380" style="position:absolute;margin-left:-13.08pt;margin-top:776.106pt;mso-position-vertical-relative:page;mso-position-horizontal-relative:page;width:119.4pt;height:18.85pt;z-index:-251460608;rotation:330;" o:allowincell="f" fillcolor="#404040" filled="true" stroked="false" type="#_x0000_t136">
          <v:fill opacity="0.400000"/>
          <v:textpath style="font-family:&quot;SimSun&quot;;font-size:20;v-text-kern:t;mso-text-shadow:auto" string="仅供内部审核"/>
        </v:shape>
      </w:pict>
    </w:r>
    <w:r>
      <w:pict>
        <v:shape id="PowerPlusWaterMarkObject382" style="position:absolute;margin-left:487.56pt;margin-top:258.837pt;mso-position-vertical-relative:page;mso-position-horizontal-relative:page;width:22.6pt;height:11.8pt;z-index:-251467776;" o:allowincell="f" fillcolor="#000000" filled="true" stroked="false" type="#_x0000_t136">
          <v:textpath style="font-family:&quot;FangSong&quot;;font-size:11.5;v-text-kern:t;mso-text-shadow:auto" string="算拨"/>
        </v:shape>
      </w:pict>
    </w:r>
    <w:r>
      <w:pict>
        <v:shape id="PowerPlusWaterMarkObject384" style="position:absolute;margin-left:405.474pt;margin-top:278.838pt;mso-position-vertical-relative:page;mso-position-horizontal-relative:page;width:81pt;height:11.8pt;z-index:-251466752;" o:allowincell="f" fillcolor="#000000" filled="true" stroked="false" type="#_x0000_t136">
          <v:textpath style="font-family:&quot;FangSong&quot;;font-size:11.5;v-text-kern:t;mso-text-shadow:auto" string="；       本经营"/>
        </v:shape>
      </w:pict>
    </w:r>
    <w:r>
      <w:pict>
        <v:shape id="PowerPlusWaterMarkObject386" style="position:absolute;margin-left:423.079pt;margin-top:299.38pt;mso-position-vertical-relative:page;mso-position-horizontal-relative:page;width:40.25pt;height:11.8pt;z-index:-251465728;" o:allowincell="f" fillcolor="#000000" filled="true" stroked="false" type="#_x0000_t136">
          <v:textpath style="font-family:&quot;FangSong&quot;;font-size:11.5;v-text-kern:t;mso-text-shadow:auto" string="元  占0"/>
        </v:shape>
      </w:pict>
    </w:r>
    <w:r>
      <w:pict>
        <v:shape id="PowerPlusWaterMarkObject388" style="position:absolute;margin-left:499.453pt;margin-top:554.532pt;mso-position-vertical-relative:page;mso-position-horizontal-relative:page;width:22.55pt;height:11.8pt;z-index:-251461632;" o:allowincell="f" fillcolor="#000000" filled="true" stroked="false" type="#_x0000_t136">
          <v:textpath style="font-family:&quot;FangSong&quot;;font-size:11.5;v-text-kern:t;mso-text-shadow:auto" string="万元"/>
        </v:shape>
      </w:pict>
    </w:r>
    <w:r>
      <w:pict>
        <v:shape id="PowerPlusWaterMarkObject390" style="position:absolute;margin-left:491.92pt;margin-top:44.1055pt;mso-position-vertical-relative:page;mso-position-horizontal-relative:page;width:119.4pt;height:18.85pt;z-index:-251456512;rotation:330;" o:allowincell="f" fillcolor="#404040" filled="true" stroked="false" type="#_x0000_t136">
          <v:fill opacity="0.400000"/>
          <v:textpath style="font-family:&quot;SimSun&quot;;font-size:20;v-text-kern:t;mso-text-shadow:auto" string="仅供内部审核"/>
        </v:shape>
      </w:pict>
    </w:r>
    <w:r>
      <w:pict>
        <v:shape id="PowerPlusWaterMarkObject392" style="position:absolute;margin-left:391.92pt;margin-top:288.105pt;mso-position-vertical-relative:page;mso-position-horizontal-relative:page;width:119.4pt;height:18.85pt;z-index:-251468800;rotation:330;" o:allowincell="f" fillcolor="#404040" filled="true" stroked="false" type="#_x0000_t136">
          <v:fill opacity="0.400000"/>
          <v:textpath style="font-family:&quot;SimSun&quot;;font-size:20;v-text-kern:t;mso-text-shadow:auto" string="仅供内部审核"/>
        </v:shape>
      </w:pict>
    </w:r>
    <w:r>
      <w:pict>
        <v:shape id="PowerPlusWaterMarkObject394" style="position:absolute;margin-left:491.92pt;margin-top:532.106pt;mso-position-vertical-relative:page;mso-position-horizontal-relative:page;width:119.4pt;height:18.85pt;z-index:-251462656;rotation:330;" o:allowincell="f" fillcolor="#404040" filled="true" stroked="false" type="#_x0000_t136">
          <v:fill opacity="0.400000"/>
          <v:textpath style="font-family:&quot;SimSun&quot;;font-size:20;v-text-kern:t;mso-text-shadow:auto" string="仅供内部审核"/>
        </v:shape>
      </w:pict>
    </w:r>
    <w:r>
      <w:pict>
        <v:shape id="PowerPlusWaterMarkObject396" style="position:absolute;margin-left:391.92pt;margin-top:776.106pt;mso-position-vertical-relative:page;mso-position-horizontal-relative:page;width:119.4pt;height:18.85pt;z-index:-251458560;rotation:330;" o:allowincell="f" fillcolor="#404040" filled="true" stroked="false" type="#_x0000_t136">
          <v:fill opacity="0.400000"/>
          <v:textpath style="font-family:&quot;SimSun&quot;;font-size:20;v-text-kern:t;mso-text-shadow:auto" string="仅供内部审核"/>
        </v:shape>
      </w:pict>
    </w:r>
    <w:r>
      <w:pict>
        <v:shape id="_x0000_s398" style="position:absolute;margin-left:30pt;margin-top:29.5pt;mso-position-vertical-relative:page;mso-position-horizontal-relative:page;width:535pt;height:1pt;z-index:-25145753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兴县蔡家会镇中心卫生院2025年单位预算公开报告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391.92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13.08pt;margin-top:776.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491.92pt;margin-top:532.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86.92pt;margin-top:532.106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00" style="position:absolute;margin-left:91.7539pt;margin-top:64.2303pt;mso-position-vertical-relative:page;mso-position-horizontal-relative:page;width:40.8pt;height:11.8pt;z-index:-251440128;" o:allowincell="f" fillcolor="#000000" filled="true" stroked="false" type="#_x0000_t136">
          <v:textpath style="font-family:&quot;FangSong&quot;;font-size:11.5;v-text-kern:t;mso-text-shadow:auto" string="025年度"/>
        </v:shape>
      </w:pict>
    </w:r>
    <w:r>
      <w:pict>
        <v:shape id="PowerPlusWaterMarkObject402" style="position:absolute;margin-left:86.92pt;margin-top:27.7633pt;mso-position-vertical-relative:text;mso-position-horizontal-relative:text;width:119.4pt;height:18.85pt;z-index:-251436032;rotation:330;" fillcolor="#404040" filled="true" stroked="false" type="#_x0000_t136">
          <v:fill opacity="0.400000"/>
          <v:textpath style="font-family:&quot;SimSun&quot;;font-size:20;v-text-kern:t;mso-text-shadow:auto" string="仅供内部审核"/>
        </v:shape>
      </w:pict>
    </w:r>
    <w:r>
      <w:pict>
        <v:shape id="PowerPlusWaterMarkObject404" style="position:absolute;margin-left:-13.08pt;margin-top:288.105pt;mso-position-vertical-relative:page;mso-position-horizontal-relative:page;width:119.4pt;height:18.85pt;z-index:-251454464;rotation:330;" o:allowincell="f" fillcolor="#404040" filled="true" stroked="false" type="#_x0000_t136">
          <v:fill opacity="0.400000"/>
          <v:textpath style="font-family:&quot;SimSun&quot;;font-size:20;v-text-kern:t;mso-text-shadow:auto" string="仅供内部审核"/>
        </v:shape>
      </w:pict>
    </w:r>
    <w:r>
      <w:pict>
        <v:shape id="PowerPlusWaterMarkObject406" style="position:absolute;margin-left:487.277pt;margin-top:64.2303pt;mso-position-vertical-relative:page;mso-position-horizontal-relative:page;width:46.55pt;height:11.8pt;z-index:-251437056;" o:allowincell="f" fillcolor="#000000" filled="true" stroked="false" type="#_x0000_t136">
          <v:textpath style="font-family:&quot;FangSong&quot;;font-size:11.5;v-text-kern:t;mso-text-shadow:auto" string="于以下方"/>
        </v:shape>
      </w:pict>
    </w:r>
    <w:r>
      <w:pict>
        <v:shape id="PowerPlusWaterMarkObject408" style="position:absolute;margin-left:491.92pt;margin-top:44.1055pt;mso-position-vertical-relative:page;mso-position-horizontal-relative:page;width:119.4pt;height:18.85pt;z-index:-251438080;rotation:330;" o:allowincell="f" fillcolor="#404040" filled="true" stroked="false" type="#_x0000_t136">
          <v:fill opacity="0.400000"/>
          <v:textpath style="font-family:&quot;SimSun&quot;;font-size:20;v-text-kern:t;mso-text-shadow:auto" string="仅供内部审核"/>
        </v:shape>
      </w:pict>
    </w:r>
    <w:r>
      <w:pict>
        <v:shape id="PowerPlusWaterMarkObject410" style="position:absolute;margin-left:403.233pt;margin-top:306.948pt;mso-position-vertical-relative:page;mso-position-horizontal-relative:page;width:51.25pt;height:11.8pt;z-index:-251452416;" o:allowincell="f" fillcolor="#000000" filled="true" stroked="false" type="#_x0000_t136">
          <v:textpath style="font-family:&quot;FangSong&quot;;font-size:11.5;v-text-kern:t;mso-text-shadow:auto" string="78 23万元"/>
        </v:shape>
      </w:pict>
    </w:r>
    <w:r>
      <w:pict>
        <v:shape id="PowerPlusWaterMarkObject412" style="position:absolute;margin-left:405.221pt;margin-top:327.49pt;mso-position-vertical-relative:page;mso-position-horizontal-relative:page;width:10.45pt;height:11.8pt;z-index:-251451392;" o:allowincell="f" fillcolor="#000000" filled="true" stroked="false" type="#_x0000_t136">
          <v:textpath style="font-family:&quot;FangSong&quot;;font-size:11.5;v-text-kern:t;mso-text-shadow:auto" string="会"/>
        </v:shape>
      </w:pict>
    </w:r>
    <w:r>
      <w:pict>
        <v:shape id="PowerPlusWaterMarkObject414" style="position:absolute;margin-left:391.92pt;margin-top:288.105pt;mso-position-vertical-relative:page;mso-position-horizontal-relative:page;width:119.4pt;height:18.85pt;z-index:-251453440;rotation:330;" o:allowincell="f" fillcolor="#404040" filled="true" stroked="false" type="#_x0000_t136">
          <v:fill opacity="0.400000"/>
          <v:textpath style="font-family:&quot;SimSun&quot;;font-size:20;v-text-kern:t;mso-text-shadow:auto" string="仅供内部审核"/>
        </v:shape>
      </w:pict>
    </w:r>
    <w:r>
      <w:pict>
        <v:shape id="PowerPlusWaterMarkObject416" style="position:absolute;margin-left:144.72pt;margin-top:373.062pt;mso-position-vertical-relative:page;mso-position-horizontal-relative:page;width:1.7pt;height:5.6pt;z-index:-251442176;" o:allowincell="f" fillcolor="#000000" filled="true" stroked="false" type="#_x0000_t136">
          <v:textpath style="font-family:&quot;FangSong&quot;;font-size:11.5;v-text-kern:t;mso-text-shadow:auto" string=";"/>
        </v:shape>
      </w:pict>
    </w:r>
    <w:r>
      <w:pict>
        <v:shape id="PowerPlusWaterMarkObject418" style="position:absolute;margin-left:180.384pt;margin-top:509.123pt;mso-position-vertical-relative:page;mso-position-horizontal-relative:page;width:22.65pt;height:11.8pt;z-index:-251447296;" o:allowincell="f" fillcolor="#000000" filled="true" stroked="false" type="#_x0000_t136">
          <v:textpath style="font-family:&quot;FangSong&quot;;font-size:11.5;v-text-kern:t;mso-text-shadow:auto" string="镇中"/>
        </v:shape>
      </w:pict>
    </w:r>
    <w:r>
      <w:pict>
        <v:shape id="PowerPlusWaterMarkObject420" style="position:absolute;margin-left:143.994pt;margin-top:529.125pt;mso-position-vertical-relative:page;mso-position-horizontal-relative:page;width:39.55pt;height:11.8pt;z-index:-251448320;" o:allowincell="f" fillcolor="#000000" filled="true" stroked="false" type="#_x0000_t136">
          <v:textpath style="font-family:&quot;FangSong&quot;;font-size:11.5;v-text-kern:t;mso-text-shadow:auto" string="程预算0"/>
        </v:shape>
      </w:pict>
    </w:r>
    <w:r>
      <w:pict>
        <v:shape id="PowerPlusWaterMarkObject422" style="position:absolute;margin-left:63.02pt;margin-top:548.885pt;mso-position-vertical-relative:page;mso-position-horizontal-relative:page;width:91.75pt;height:11.5pt;z-index:-251446272;" o:allowincell="f" fillcolor="#000000" filled="true" stroked="false" type="#_x0000_t136">
          <v:textpath style="font-family:&quot;Microsoft YaHei&quot;;font-size:11;v-text-kern:t;mso-text-shadow:auto" string="十、绩效管理情况"/>
        </v:shape>
      </w:pict>
    </w:r>
    <w:r>
      <w:pict>
        <v:shape id="PowerPlusWaterMarkObject424" style="position:absolute;margin-left:86.92pt;margin-top:532.106pt;mso-position-vertical-relative:page;mso-position-horizontal-relative:page;width:119.4pt;height:18.85pt;z-index:-251449344;rotation:330;" o:allowincell="f" fillcolor="#404040" filled="true" stroked="false" type="#_x0000_t136">
          <v:fill opacity="0.400000"/>
          <v:textpath style="font-family:&quot;SimSun&quot;;font-size:20;v-text-kern:t;mso-text-shadow:auto" string="仅供内部审核"/>
        </v:shape>
      </w:pict>
    </w:r>
    <w:r>
      <w:pict>
        <v:shape id="PowerPlusWaterMarkObject426" style="position:absolute;margin-left:491.92pt;margin-top:532.106pt;mso-position-vertical-relative:page;mso-position-horizontal-relative:page;width:119.4pt;height:18.85pt;z-index:-251450368;rotation:330;" o:allowincell="f" fillcolor="#404040" filled="true" stroked="false" type="#_x0000_t136">
          <v:fill opacity="0.400000"/>
          <v:textpath style="font-family:&quot;SimSun&quot;;font-size:20;v-text-kern:t;mso-text-shadow:auto" string="仅供内部审核"/>
        </v:shape>
      </w:pict>
    </w:r>
    <w:r>
      <w:pict>
        <v:shape id="PowerPlusWaterMarkObject428" style="position:absolute;margin-left:62.8842pt;margin-top:751.301pt;mso-position-vertical-relative:page;mso-position-horizontal-relative:page;width:39.95pt;height:11.8pt;z-index:-251444224;" o:allowincell="f" fillcolor="#000000" filled="true" stroked="false" type="#_x0000_t136">
          <v:textpath style="font-family:&quot;FangSong&quot;;font-size:11.5;v-text-kern:t;mso-text-shadow:auto" string="86 83万"/>
        </v:shape>
      </w:pict>
    </w:r>
    <w:r>
      <w:pict>
        <v:shape id="PowerPlusWaterMarkObject430" style="position:absolute;margin-left:68.9607pt;margin-top:771.302pt;mso-position-vertical-relative:page;mso-position-horizontal-relative:page;width:3.35pt;height:11.8pt;z-index:-251443200;" o:allowincell="f" fillcolor="#000000" filled="true" stroked="false" type="#_x0000_t136">
          <v:textpath style="font-family:&quot;FangSong&quot;;font-size:11.5;v-text-kern:t;mso-text-shadow:auto" string="("/>
        </v:shape>
      </w:pict>
    </w:r>
    <w:r>
      <w:pict>
        <v:shape id="PowerPlusWaterMarkObject432" style="position:absolute;margin-left:-13.08pt;margin-top:776.106pt;mso-position-vertical-relative:page;mso-position-horizontal-relative:page;width:119.4pt;height:18.85pt;z-index:-251445248;rotation:330;" o:allowincell="f" fillcolor="#404040" filled="true" stroked="false" type="#_x0000_t136">
          <v:fill opacity="0.400000"/>
          <v:textpath style="font-family:&quot;SimSun&quot;;font-size:20;v-text-kern:t;mso-text-shadow:auto" string="仅供内部审核"/>
        </v:shape>
      </w:pict>
    </w:r>
    <w:r>
      <w:pict>
        <v:shape id="PowerPlusWaterMarkObject434" style="position:absolute;margin-left:391.92pt;margin-top:776.106pt;mso-position-vertical-relative:page;mso-position-horizontal-relative:page;width:119.4pt;height:18.85pt;z-index:-251441152;rotation:330;" o:allowincell="f" fillcolor="#404040" filled="true" stroked="false" type="#_x0000_t136">
          <v:fill opacity="0.400000"/>
          <v:textpath style="font-family:&quot;SimSun&quot;;font-size:20;v-text-kern:t;mso-text-shadow:auto" string="仅供内部审核"/>
        </v:shape>
      </w:pict>
    </w:r>
    <w:r>
      <w:pict>
        <v:shape id="_x0000_s436" style="position:absolute;margin-left:30pt;margin-top:29.5pt;mso-position-vertical-relative:page;mso-position-horizontal-relative:page;width:535pt;height:1pt;z-index:-25143910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兴县蔡家会镇中心卫生院2025年单位预算公开报告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38" style="position:absolute;margin-left:86.92pt;margin-top:27.7633pt;mso-position-vertical-relative:text;mso-position-horizontal-relative:text;width:119.4pt;height:18.85pt;z-index:-251428864;rotation:330;" fillcolor="#404040" filled="true" stroked="false" type="#_x0000_t136">
          <v:fill opacity="0.400000"/>
          <v:textpath style="font-family:&quot;SimSun&quot;;font-size:20;v-text-kern:t;mso-text-shadow:auto" string="仅供内部审核"/>
        </v:shape>
      </w:pict>
    </w:r>
    <w:r>
      <w:pict>
        <v:shape id="PowerPlusWaterMarkObject440" style="position:absolute;margin-left:-13.08pt;margin-top:288.105pt;mso-position-vertical-relative:page;mso-position-horizontal-relative:page;width:119.4pt;height:18.85pt;z-index:-251431936;rotation:330;" o:allowincell="f" fillcolor="#404040" filled="true" stroked="false" type="#_x0000_t136">
          <v:fill opacity="0.400000"/>
          <v:textpath style="font-family:&quot;SimSun&quot;;font-size:20;v-text-kern:t;mso-text-shadow:auto" string="仅供内部审核"/>
        </v:shape>
      </w:pict>
    </w:r>
    <w:r>
      <w:pict>
        <v:shape id="PowerPlusWaterMarkObject442" style="position:absolute;margin-left:491.92pt;margin-top:44.1055pt;mso-position-vertical-relative:page;mso-position-horizontal-relative:page;width:119.4pt;height:18.85pt;z-index:-251429888;rotation:330;" o:allowincell="f" fillcolor="#404040" filled="true" stroked="false" type="#_x0000_t136">
          <v:fill opacity="0.400000"/>
          <v:textpath style="font-family:&quot;SimSun&quot;;font-size:20;v-text-kern:t;mso-text-shadow:auto" string="仅供内部审核"/>
        </v:shape>
      </w:pict>
    </w:r>
    <w:r>
      <w:pict>
        <v:shape id="PowerPlusWaterMarkObject444" style="position:absolute;margin-left:-13.08pt;margin-top:776.106pt;mso-position-vertical-relative:page;mso-position-horizontal-relative:page;width:119.4pt;height:18.85pt;z-index:-251432960;rotation:330;" o:allowincell="f" fillcolor="#404040" filled="true" stroked="false" type="#_x0000_t136">
          <v:fill opacity="0.400000"/>
          <v:textpath style="font-family:&quot;SimSun&quot;;font-size:20;v-text-kern:t;mso-text-shadow:auto" string="仅供内部审核"/>
        </v:shape>
      </w:pict>
    </w:r>
    <w:r>
      <w:pict>
        <v:shape id="PowerPlusWaterMarkObject446" style="position:absolute;margin-left:491.92pt;margin-top:532.106pt;mso-position-vertical-relative:page;mso-position-horizontal-relative:page;width:119.4pt;height:18.85pt;z-index:-251435008;rotation:330;" o:allowincell="f" fillcolor="#404040" filled="true" stroked="false" type="#_x0000_t136">
          <v:fill opacity="0.400000"/>
          <v:textpath style="font-family:&quot;SimSun&quot;;font-size:20;v-text-kern:t;mso-text-shadow:auto" string="仅供内部审核"/>
        </v:shape>
      </w:pict>
    </w:r>
    <w:r>
      <w:pict>
        <v:shape id="PowerPlusWaterMarkObject448" style="position:absolute;margin-left:391.92pt;margin-top:776.106pt;mso-position-vertical-relative:page;mso-position-horizontal-relative:page;width:119.4pt;height:18.85pt;z-index:-251433984;rotation:330;" o:allowincell="f" fillcolor="#404040" filled="true" stroked="false" type="#_x0000_t136">
          <v:fill opacity="0.400000"/>
          <v:textpath style="font-family:&quot;SimSun&quot;;font-size:20;v-text-kern:t;mso-text-shadow:auto" string="仅供内部审核"/>
        </v:shape>
      </w:pict>
    </w:r>
    <w:r>
      <w:pict>
        <v:shape id="_x0000_s450" style="position:absolute;margin-left:30pt;margin-top:29.5pt;mso-position-vertical-relative:page;mso-position-horizontal-relative:page;width:535pt;height:1pt;z-index:-25143091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兴县蔡家会镇中心卫生院2025年单位预算公开报告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84" style="position:absolute;margin-left:86.92pt;margin-top:27.7633pt;mso-position-vertical-relative:text;mso-position-horizontal-relative:text;width:119.4pt;height:18.85pt;z-index:-251422720;rotation:330;" fillcolor="#404040" filled="true" stroked="false" type="#_x0000_t136">
          <v:fill opacity="0.400000"/>
          <v:textpath style="font-family:&quot;SimSun&quot;;font-size:20;v-text-kern:t;mso-text-shadow:auto" string="仅供内部审核"/>
        </v:shape>
      </w:pict>
    </w:r>
    <w:r>
      <w:pict>
        <v:shape id="PowerPlusWaterMarkObject486" style="position:absolute;margin-left:491.92pt;margin-top:44.1055pt;mso-position-vertical-relative:page;mso-position-horizontal-relative:page;width:119.4pt;height:18.85pt;z-index:-251423744;rotation:330;" o:allowincell="f" fillcolor="#404040" filled="true" stroked="false" type="#_x0000_t136">
          <v:fill opacity="0.400000"/>
          <v:textpath style="font-family:&quot;SimSun&quot;;font-size:20;v-text-kern:t;mso-text-shadow:auto" string="仅供内部审核"/>
        </v:shape>
      </w:pict>
    </w:r>
    <w:r>
      <w:pict>
        <v:shape id="PowerPlusWaterMarkObject488" style="position:absolute;margin-left:-13.08pt;margin-top:776.106pt;mso-position-vertical-relative:page;mso-position-horizontal-relative:page;width:119.4pt;height:18.85pt;z-index:-251425792;rotation:330;" o:allowincell="f" fillcolor="#404040" filled="true" stroked="false" type="#_x0000_t136">
          <v:fill opacity="0.400000"/>
          <v:textpath style="font-family:&quot;SimSun&quot;;font-size:20;v-text-kern:t;mso-text-shadow:auto" string="仅供内部审核"/>
        </v:shape>
      </w:pict>
    </w:r>
    <w:r>
      <w:pict>
        <v:shape id="PowerPlusWaterMarkObject490" style="position:absolute;margin-left:491.92pt;margin-top:532.106pt;mso-position-vertical-relative:page;mso-position-horizontal-relative:page;width:119.4pt;height:18.85pt;z-index:-251427840;rotation:330;" o:allowincell="f" fillcolor="#404040" filled="true" stroked="false" type="#_x0000_t136">
          <v:fill opacity="0.400000"/>
          <v:textpath style="font-family:&quot;SimSun&quot;;font-size:20;v-text-kern:t;mso-text-shadow:auto" string="仅供内部审核"/>
        </v:shape>
      </w:pict>
    </w:r>
    <w:r>
      <w:pict>
        <v:shape id="PowerPlusWaterMarkObject492" style="position:absolute;margin-left:391.92pt;margin-top:776.106pt;mso-position-vertical-relative:page;mso-position-horizontal-relative:page;width:119.4pt;height:18.85pt;z-index:-251426816;rotation:330;" o:allowincell="f" fillcolor="#404040" filled="true" stroked="false" type="#_x0000_t136">
          <v:fill opacity="0.400000"/>
          <v:textpath style="font-family:&quot;SimSun&quot;;font-size:20;v-text-kern:t;mso-text-shadow:auto" string="仅供内部审核"/>
        </v:shape>
      </w:pict>
    </w:r>
    <w:r>
      <w:pict>
        <v:shape id="_x0000_s494" style="position:absolute;margin-left:30pt;margin-top:29.5pt;mso-position-vertical-relative:page;mso-position-horizontal-relative:page;width:535pt;height:1pt;z-index:-25142476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兴县蔡家会镇中心卫生院2025年单位预算公开报告</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06" style="position:absolute;margin-left:86.92pt;margin-top:27.7633pt;mso-position-vertical-relative:text;mso-position-horizontal-relative:text;width:119.4pt;height:18.85pt;z-index:-251418624;rotation:330;" fillcolor="#404040" filled="true" stroked="false" type="#_x0000_t136">
          <v:fill opacity="0.400000"/>
          <v:textpath style="font-family:&quot;SimSun&quot;;font-size:20;v-text-kern:t;mso-text-shadow:auto" string="仅供内部审核"/>
        </v:shape>
      </w:pict>
    </w:r>
    <w:r>
      <w:pict>
        <v:shape id="PowerPlusWaterMarkObject508" style="position:absolute;margin-left:-13.08pt;margin-top:776.106pt;mso-position-vertical-relative:page;mso-position-horizontal-relative:page;width:119.4pt;height:18.85pt;z-index:-251420672;rotation:330;" o:allowincell="f" fillcolor="#404040" filled="true" stroked="false" type="#_x0000_t136">
          <v:fill opacity="0.400000"/>
          <v:textpath style="font-family:&quot;SimSun&quot;;font-size:20;v-text-kern:t;mso-text-shadow:auto" string="仅供内部审核"/>
        </v:shape>
      </w:pict>
    </w:r>
    <w:r>
      <w:pict>
        <v:shape id="PowerPlusWaterMarkObject510" style="position:absolute;margin-left:391.92pt;margin-top:776.106pt;mso-position-vertical-relative:page;mso-position-horizontal-relative:page;width:119.4pt;height:18.85pt;z-index:-251421696;rotation:330;" o:allowincell="f" fillcolor="#404040" filled="true" stroked="false" type="#_x0000_t136">
          <v:fill opacity="0.400000"/>
          <v:textpath style="font-family:&quot;SimSun&quot;;font-size:20;v-text-kern:t;mso-text-shadow:auto" string="仅供内部审核"/>
        </v:shape>
      </w:pict>
    </w:r>
    <w:r>
      <w:pict>
        <v:shape id="_x0000_s512" style="position:absolute;margin-left:30pt;margin-top:29.5pt;mso-position-vertical-relative:page;mso-position-horizontal-relative:page;width:535pt;height:1pt;z-index:-25141964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兴县蔡家会镇中心卫生院2025年单位预算公开报告</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24" style="position:absolute;margin-left:86.92pt;margin-top:27.7633pt;mso-position-vertical-relative:text;mso-position-horizontal-relative:text;width:119.4pt;height:18.85pt;z-index:-251409408;rotation:330;" fillcolor="#404040" filled="true" stroked="false" type="#_x0000_t136">
          <v:fill opacity="0.400000"/>
          <v:textpath style="font-family:&quot;SimSun&quot;;font-size:20;v-text-kern:t;mso-text-shadow:auto" string="仅供内部审核"/>
        </v:shape>
      </w:pict>
    </w:r>
    <w:r>
      <w:pict>
        <v:shape id="PowerPlusWaterMarkObject526" style="position:absolute;margin-left:-13.08pt;margin-top:288.105pt;mso-position-vertical-relative:page;mso-position-horizontal-relative:page;width:119.4pt;height:18.85pt;z-index:-251417600;rotation:330;" o:allowincell="f" fillcolor="#404040" filled="true" stroked="false" type="#_x0000_t136">
          <v:fill opacity="0.400000"/>
          <v:textpath style="font-family:&quot;SimSun&quot;;font-size:20;v-text-kern:t;mso-text-shadow:auto" string="仅供内部审核"/>
        </v:shape>
      </w:pict>
    </w:r>
    <w:r>
      <w:pict>
        <v:shape id="PowerPlusWaterMarkObject528" style="position:absolute;margin-left:491.92pt;margin-top:44.1055pt;mso-position-vertical-relative:page;mso-position-horizontal-relative:page;width:119.4pt;height:18.85pt;z-index:-251410432;rotation:330;" o:allowincell="f" fillcolor="#404040" filled="true" stroked="false" type="#_x0000_t136">
          <v:fill opacity="0.400000"/>
          <v:textpath style="font-family:&quot;SimSun&quot;;font-size:20;v-text-kern:t;mso-text-shadow:auto" string="仅供内部审核"/>
        </v:shape>
      </w:pict>
    </w:r>
    <w:r>
      <w:pict>
        <v:shape id="PowerPlusWaterMarkObject530" style="position:absolute;margin-left:391.92pt;margin-top:288.105pt;mso-position-vertical-relative:page;mso-position-horizontal-relative:page;width:119.4pt;height:18.85pt;z-index:-251416576;rotation:330;" o:allowincell="f" fillcolor="#404040" filled="true" stroked="false" type="#_x0000_t136">
          <v:fill opacity="0.400000"/>
          <v:textpath style="font-family:&quot;SimSun&quot;;font-size:20;v-text-kern:t;mso-text-shadow:auto" string="仅供内部审核"/>
        </v:shape>
      </w:pict>
    </w:r>
    <w:r>
      <w:pict>
        <v:shape id="PowerPlusWaterMarkObject532" style="position:absolute;margin-left:86.92pt;margin-top:532.106pt;mso-position-vertical-relative:page;mso-position-horizontal-relative:page;width:119.4pt;height:18.85pt;z-index:-251415552;rotation:330;" o:allowincell="f" fillcolor="#404040" filled="true" stroked="false" type="#_x0000_t136">
          <v:fill opacity="0.400000"/>
          <v:textpath style="font-family:&quot;SimSun&quot;;font-size:20;v-text-kern:t;mso-text-shadow:auto" string="仅供内部审核"/>
        </v:shape>
      </w:pict>
    </w:r>
    <w:r>
      <w:pict>
        <v:shape id="PowerPlusWaterMarkObject534" style="position:absolute;margin-left:-13.08pt;margin-top:776.106pt;mso-position-vertical-relative:page;mso-position-horizontal-relative:page;width:119.4pt;height:18.85pt;z-index:-251412480;rotation:330;" o:allowincell="f" fillcolor="#404040" filled="true" stroked="false" type="#_x0000_t136">
          <v:fill opacity="0.400000"/>
          <v:textpath style="font-family:&quot;SimSun&quot;;font-size:20;v-text-kern:t;mso-text-shadow:auto" string="仅供内部审核"/>
        </v:shape>
      </w:pict>
    </w:r>
    <w:r>
      <w:pict>
        <v:shape id="PowerPlusWaterMarkObject536" style="position:absolute;margin-left:491.92pt;margin-top:532.106pt;mso-position-vertical-relative:page;mso-position-horizontal-relative:page;width:119.4pt;height:18.85pt;z-index:-251414528;rotation:330;" o:allowincell="f" fillcolor="#404040" filled="true" stroked="false" type="#_x0000_t136">
          <v:fill opacity="0.400000"/>
          <v:textpath style="font-family:&quot;SimSun&quot;;font-size:20;v-text-kern:t;mso-text-shadow:auto" string="仅供内部审核"/>
        </v:shape>
      </w:pict>
    </w:r>
    <w:r>
      <w:pict>
        <v:shape id="PowerPlusWaterMarkObject538" style="position:absolute;margin-left:391.92pt;margin-top:776.106pt;mso-position-vertical-relative:page;mso-position-horizontal-relative:page;width:119.4pt;height:18.85pt;z-index:-251413504;rotation:330;" o:allowincell="f" fillcolor="#404040" filled="true" stroked="false" type="#_x0000_t136">
          <v:fill opacity="0.400000"/>
          <v:textpath style="font-family:&quot;SimSun&quot;;font-size:20;v-text-kern:t;mso-text-shadow:auto" string="仅供内部审核"/>
        </v:shape>
      </w:pict>
    </w:r>
    <w:r>
      <w:pict>
        <v:shape id="_x0000_s540" style="position:absolute;margin-left:30pt;margin-top:29.5pt;mso-position-vertical-relative:page;mso-position-horizontal-relative:page;width:535pt;height:1pt;z-index:-25141145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兴县蔡家会镇中心卫生院2025年单位预算公开报告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86.92pt;margin-top:44.105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6" style="position:absolute;margin-left:491.92pt;margin-top:44.105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0" style="position:absolute;margin-left:86.92pt;margin-top:27.7633pt;mso-position-vertical-relative:text;mso-position-horizontal-relative:text;width:119.4pt;height:18.85pt;z-index:-251625472;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391.92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_x0000_s66"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兴县蔡家会镇中心卫生院2025年单位预算公开报告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68" style="position:absolute;margin-left:86.92pt;margin-top:27.7633pt;mso-position-vertical-relative:text;mso-position-horizontal-relative:text;width:119.4pt;height:18.85pt;z-index:-251616256;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兴县蔡家会镇中心卫生院2025年单位预算公开报告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86" style="position:absolute;margin-left:86.92pt;margin-top:27.7633pt;mso-position-vertical-relative:text;mso-position-horizontal-relative:text;width:119.4pt;height:18.85pt;z-index:-251607040;rotation:330;" fillcolor="#404040" filled="true" stroked="false" type="#_x0000_t136">
          <v:fill opacity="0.400000"/>
          <v:textpath style="font-family:&quot;SimSun&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5232;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兴县蔡家会镇中心卫生院2025年单位预算公开报告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04" style="position:absolute;margin-left:-13.08pt;margin-top:28.7633pt;mso-position-vertical-relative:text;mso-position-horizontal-relative:text;width:119.4pt;height:18.85pt;z-index:-251598848;rotation:330;" fillcolor="#404040" filled="true" stroked="false" type="#_x0000_t136">
          <v:fill opacity="0.400000"/>
          <v:textpath style="font-family:&quot;SimSun&quot;;font-size:20;v-text-kern:t;mso-text-shadow:auto" string="仅供内部审核"/>
        </v:shape>
      </w:pict>
    </w:r>
    <w:r>
      <w:pict>
        <v:shape id="PowerPlusWaterMarkObject106" style="position:absolute;margin-left:312.92pt;margin-top:45.1055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08" style="position:absolute;margin-left:86.92pt;margin-top:287.106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638.92pt;margin-top:45.105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45.0434pt;margin-top:406.395pt;mso-position-vertical-relative:page;mso-position-horizontal-relative:page;width:609.35pt;height:22.25pt;z-index:-25160499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4" style="position:absolute;margin-left:280.957pt;margin-top:406.395pt;mso-position-vertical-relative:page;mso-position-horizontal-relative:page;width:609.35pt;height:22.25pt;z-index:-251606016;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6" style="position:absolute;margin-left:638.92pt;margin-top:529.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_x0000_s118" style="position:absolute;margin-left:30pt;margin-top:29.5pt;mso-position-vertical-relative:page;mso-position-horizontal-relative:page;width:782pt;height:1pt;z-index:-251601920;"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兴县蔡家会镇中心卫生院2025年单位预算公开报告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20" style="position:absolute;margin-left:86.92pt;margin-top:27.7633pt;mso-position-vertical-relative:text;mso-position-horizontal-relative:text;width:119.4pt;height:18.85pt;z-index:-251589632;rotation:330;" fillcolor="#404040" filled="true" stroked="false" type="#_x0000_t136">
          <v:fill opacity="0.400000"/>
          <v:textpath style="font-family:&quot;SimSun&quot;;font-size:20;v-text-kern:t;mso-text-shadow:auto" string="仅供内部审核"/>
        </v:shape>
      </w:pict>
    </w:r>
    <w:r>
      <w:pict>
        <v:shape id="PowerPlusWaterMarkObject122" style="position:absolute;margin-left:491.92pt;margin-top:44.1055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24" style="position:absolute;margin-left:-13.08pt;margin-top:288.105pt;mso-position-vertical-relative:page;mso-position-horizontal-relative:page;width:119.4pt;height:18.85pt;z-index:-251596800;rotation:330;" o:allowincell="f" fillcolor="#404040" filled="true" stroked="false" type="#_x0000_t136">
          <v:fill opacity="0.400000"/>
          <v:textpath style="font-family:&quot;SimSun&quot;;font-size:20;v-text-kern:t;mso-text-shadow:auto" string="仅供内部审核"/>
        </v:shape>
      </w:pict>
    </w:r>
    <w:r>
      <w:pict>
        <v:shape id="WordPictureWatermark126" style="position:absolute;margin-left:395.367pt;margin-top:259.52pt;mso-position-vertical-relative:page;mso-position-horizontal-relative:page;width:112.65pt;height:75.9pt;z-index:-251597824;" o:allowincell="f" filled="false" stroked="false" type="#_x0000_t75">
          <v:imagedata o:title="" r:id="rId1"/>
        </v:shape>
      </w:pict>
    </w:r>
    <w:r>
      <w:pict>
        <v:shape id="PowerPlusWaterMarkObject128" style="position:absolute;margin-left:86.92pt;margin-top:532.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491.92pt;margin-top:532.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13.08pt;margin-top:776.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391.92pt;margin-top:776.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_x0000_s136" style="position:absolute;margin-left:30pt;margin-top:29.5pt;mso-position-vertical-relative:page;mso-position-horizontal-relative:page;width:535pt;height:1pt;z-index:-25159168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兴县蔡家会镇中心卫生院2025年单位预算公开报告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38" style="position:absolute;margin-left:86.92pt;margin-top:27.7633pt;mso-position-vertical-relative:text;mso-position-horizontal-relative:text;width:119.4pt;height:18.85pt;z-index:-251578368;rotation:330;" fillcolor="#404040" filled="true" stroked="false" type="#_x0000_t136">
          <v:fill opacity="0.400000"/>
          <v:textpath style="font-family:&quot;SimSun&quot;;font-size:20;v-text-kern:t;mso-text-shadow:auto" string="仅供内部审核"/>
        </v:shape>
      </w:pict>
    </w:r>
    <w:r>
      <w:pict>
        <v:shape id="PowerPlusWaterMarkObject140" style="position:absolute;margin-left:493.62pt;margin-top:72.8103pt;mso-position-vertical-relative:page;mso-position-horizontal-relative:page;width:32.1pt;height:7.2pt;z-index:-251579392;" o:allowincell="f" fillcolor="#212529" filled="true" stroked="false" type="#_x0000_t136">
          <v:textpath style="font-family:&quot;SimSun&quot;;font-size:7;v-text-kern:t;mso-text-shadow:auto" string="算公开表4"/>
        </v:shape>
      </w:pict>
    </w:r>
    <w:r>
      <w:pict>
        <v:shape id="PowerPlusWaterMarkObject142" style="position:absolute;margin-left:491.92pt;margin-top:44.1055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405.911pt;margin-top:325.754pt;mso-position-vertical-relative:page;mso-position-horizontal-relative:page;width:7.15pt;height:7.9pt;z-index:-251586560;" o:allowincell="f" fillcolor="#212529" filled="true" stroked="false" type="#_x0000_t136">
          <v:textpath style="font-family:&quot;SimSun&quot;;font-size:7.5;v-text-kern:t;mso-text-shadow:auto" string="15"/>
        </v:shape>
      </w:pict>
    </w:r>
    <w:r>
      <w:pict>
        <v:shape id="PowerPlusWaterMarkObject146" style="position:absolute;margin-left:-13.08pt;margin-top:288.105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391.92pt;margin-top:288.105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86.92pt;margin-top:532.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491.92pt;margin-top:532.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54" style="position:absolute;margin-left:-13.08pt;margin-top:776.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56" style="position:absolute;margin-left:391.92pt;margin-top:776.106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_x0000_s158" style="position:absolute;margin-left:30pt;margin-top:29.5pt;mso-position-vertical-relative:page;mso-position-horizontal-relative:page;width:535pt;height:1pt;z-index:-25158144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兴县蔡家会镇中心卫生院2025年单位预算公开报告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footer" Target="footer2.xml"/><Relationship Id="rId71" Type="http://schemas.openxmlformats.org/officeDocument/2006/relationships/fontTable" Target="fontTable.xml"/><Relationship Id="rId70" Type="http://schemas.openxmlformats.org/officeDocument/2006/relationships/styles" Target="styles.xml"/><Relationship Id="rId7" Type="http://schemas.openxmlformats.org/officeDocument/2006/relationships/header" Target="header5.xml"/><Relationship Id="rId69" Type="http://schemas.openxmlformats.org/officeDocument/2006/relationships/settings" Target="settings.xml"/><Relationship Id="rId68" Type="http://schemas.openxmlformats.org/officeDocument/2006/relationships/footer" Target="footer30.xml"/><Relationship Id="rId67" Type="http://schemas.openxmlformats.org/officeDocument/2006/relationships/header" Target="header24.xml"/><Relationship Id="rId66" Type="http://schemas.openxmlformats.org/officeDocument/2006/relationships/image" Target="media/image15.png"/><Relationship Id="rId65" Type="http://schemas.openxmlformats.org/officeDocument/2006/relationships/footer" Target="footer29.xml"/><Relationship Id="rId64" Type="http://schemas.openxmlformats.org/officeDocument/2006/relationships/header" Target="header23.xml"/><Relationship Id="rId63" Type="http://schemas.openxmlformats.org/officeDocument/2006/relationships/image" Target="media/image14.png"/><Relationship Id="rId62" Type="http://schemas.openxmlformats.org/officeDocument/2006/relationships/footer" Target="footer28.xml"/><Relationship Id="rId61" Type="http://schemas.openxmlformats.org/officeDocument/2006/relationships/image" Target="media/image13.png"/><Relationship Id="rId60" Type="http://schemas.openxmlformats.org/officeDocument/2006/relationships/footer" Target="footer27.xml"/><Relationship Id="rId6" Type="http://schemas.openxmlformats.org/officeDocument/2006/relationships/footer" Target="footer1.xml"/><Relationship Id="rId59" Type="http://schemas.openxmlformats.org/officeDocument/2006/relationships/header" Target="header22.xml"/><Relationship Id="rId58" Type="http://schemas.openxmlformats.org/officeDocument/2006/relationships/image" Target="media/image12.png"/><Relationship Id="rId57" Type="http://schemas.openxmlformats.org/officeDocument/2006/relationships/footer" Target="footer26.xml"/><Relationship Id="rId56" Type="http://schemas.openxmlformats.org/officeDocument/2006/relationships/footer" Target="footer25.xml"/><Relationship Id="rId55" Type="http://schemas.openxmlformats.org/officeDocument/2006/relationships/image" Target="media/image11.png"/><Relationship Id="rId54" Type="http://schemas.openxmlformats.org/officeDocument/2006/relationships/footer" Target="footer24.xml"/><Relationship Id="rId53" Type="http://schemas.openxmlformats.org/officeDocument/2006/relationships/image" Target="media/image10.png"/><Relationship Id="rId52" Type="http://schemas.openxmlformats.org/officeDocument/2006/relationships/footer" Target="footer23.xml"/><Relationship Id="rId51" Type="http://schemas.openxmlformats.org/officeDocument/2006/relationships/image" Target="media/image9.png"/><Relationship Id="rId50" Type="http://schemas.openxmlformats.org/officeDocument/2006/relationships/footer" Target="footer22.xml"/><Relationship Id="rId5" Type="http://schemas.openxmlformats.org/officeDocument/2006/relationships/header" Target="header4.xml"/><Relationship Id="rId49" Type="http://schemas.openxmlformats.org/officeDocument/2006/relationships/image" Target="media/image8.png"/><Relationship Id="rId48" Type="http://schemas.openxmlformats.org/officeDocument/2006/relationships/footer" Target="footer21.xml"/><Relationship Id="rId47" Type="http://schemas.openxmlformats.org/officeDocument/2006/relationships/image" Target="media/image7.png"/><Relationship Id="rId46" Type="http://schemas.openxmlformats.org/officeDocument/2006/relationships/footer" Target="footer20.xml"/><Relationship Id="rId45" Type="http://schemas.openxmlformats.org/officeDocument/2006/relationships/image" Target="media/image6.png"/><Relationship Id="rId44" Type="http://schemas.openxmlformats.org/officeDocument/2006/relationships/footer" Target="footer19.xml"/><Relationship Id="rId43" Type="http://schemas.openxmlformats.org/officeDocument/2006/relationships/image" Target="media/image5.png"/><Relationship Id="rId42" Type="http://schemas.openxmlformats.org/officeDocument/2006/relationships/footer" Target="footer18.xml"/><Relationship Id="rId41" Type="http://schemas.openxmlformats.org/officeDocument/2006/relationships/header" Target="header21.xml"/><Relationship Id="rId40" Type="http://schemas.openxmlformats.org/officeDocument/2006/relationships/image" Target="media/image4.png"/><Relationship Id="rId4" Type="http://schemas.openxmlformats.org/officeDocument/2006/relationships/header" Target="header3.xml"/><Relationship Id="rId39" Type="http://schemas.openxmlformats.org/officeDocument/2006/relationships/footer" Target="footer17.xml"/><Relationship Id="rId38" Type="http://schemas.openxmlformats.org/officeDocument/2006/relationships/header" Target="header20.xml"/><Relationship Id="rId37" Type="http://schemas.openxmlformats.org/officeDocument/2006/relationships/image" Target="media/image3.png"/><Relationship Id="rId36" Type="http://schemas.openxmlformats.org/officeDocument/2006/relationships/footer" Target="footer16.xml"/><Relationship Id="rId35" Type="http://schemas.openxmlformats.org/officeDocument/2006/relationships/header" Target="header19.xml"/><Relationship Id="rId34" Type="http://schemas.openxmlformats.org/officeDocument/2006/relationships/footer" Target="footer15.xml"/><Relationship Id="rId33" Type="http://schemas.openxmlformats.org/officeDocument/2006/relationships/header" Target="header18.xml"/><Relationship Id="rId32" Type="http://schemas.openxmlformats.org/officeDocument/2006/relationships/footer" Target="footer14.xml"/><Relationship Id="rId31" Type="http://schemas.openxmlformats.org/officeDocument/2006/relationships/header" Target="header17.xml"/><Relationship Id="rId30" Type="http://schemas.openxmlformats.org/officeDocument/2006/relationships/footer" Target="footer13.xml"/><Relationship Id="rId3" Type="http://schemas.openxmlformats.org/officeDocument/2006/relationships/image" Target="media/image1.png"/><Relationship Id="rId29" Type="http://schemas.openxmlformats.org/officeDocument/2006/relationships/header" Target="header16.xml"/><Relationship Id="rId28" Type="http://schemas.openxmlformats.org/officeDocument/2006/relationships/footer" Target="footer12.xml"/><Relationship Id="rId27" Type="http://schemas.openxmlformats.org/officeDocument/2006/relationships/header" Target="header15.xml"/><Relationship Id="rId26" Type="http://schemas.openxmlformats.org/officeDocument/2006/relationships/footer" Target="footer11.xml"/><Relationship Id="rId25" Type="http://schemas.openxmlformats.org/officeDocument/2006/relationships/header" Target="header14.xml"/><Relationship Id="rId24" Type="http://schemas.openxmlformats.org/officeDocument/2006/relationships/footer" Target="footer10.xml"/><Relationship Id="rId23" Type="http://schemas.openxmlformats.org/officeDocument/2006/relationships/header" Target="header13.xml"/><Relationship Id="rId22" Type="http://schemas.openxmlformats.org/officeDocument/2006/relationships/footer" Target="footer9.xml"/><Relationship Id="rId21" Type="http://schemas.openxmlformats.org/officeDocument/2006/relationships/header" Target="header12.xml"/><Relationship Id="rId20" Type="http://schemas.openxmlformats.org/officeDocument/2006/relationships/footer" Target="footer8.xml"/><Relationship Id="rId2" Type="http://schemas.openxmlformats.org/officeDocument/2006/relationships/header" Target="header2.xml"/><Relationship Id="rId19" Type="http://schemas.openxmlformats.org/officeDocument/2006/relationships/header" Target="header11.xml"/><Relationship Id="rId18" Type="http://schemas.openxmlformats.org/officeDocument/2006/relationships/footer" Target="footer7.xml"/><Relationship Id="rId17" Type="http://schemas.openxmlformats.org/officeDocument/2006/relationships/header" Target="header10.xml"/><Relationship Id="rId16" Type="http://schemas.openxmlformats.org/officeDocument/2006/relationships/footer" Target="footer6.xml"/><Relationship Id="rId15" Type="http://schemas.openxmlformats.org/officeDocument/2006/relationships/header" Target="header9.xml"/><Relationship Id="rId14" Type="http://schemas.openxmlformats.org/officeDocument/2006/relationships/footer" Target="footer5.xml"/><Relationship Id="rId13" Type="http://schemas.openxmlformats.org/officeDocument/2006/relationships/header" Target="header8.xml"/><Relationship Id="rId12" Type="http://schemas.openxmlformats.org/officeDocument/2006/relationships/footer" Target="footer4.xml"/><Relationship Id="rId11" Type="http://schemas.openxmlformats.org/officeDocument/2006/relationships/header" Target="header7.xml"/><Relationship Id="rId10" Type="http://schemas.openxmlformats.org/officeDocument/2006/relationships/footer" Target="footer3.xml"/><Relationship Id="rId1" Type="http://schemas.openxmlformats.org/officeDocument/2006/relationships/header" Target="header1.xml"/></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2025-09-25T18:36:11Z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2025-09-29T11:42:09</vt:filetime>
  </property>
</Properties>
</file>