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510"/>
        <w:spacing w:before="111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孟 家 坪 乡</w:t>
      </w:r>
      <w:r>
        <w:rPr>
          <w:rFonts w:ascii="SimSun" w:hAnsi="SimSun" w:eastAsia="SimSun" w:cs="SimSun"/>
          <w:sz w:val="34"/>
          <w:szCs w:val="34"/>
          <w:spacing w:val="-3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卫 生 院 贺 家 会 分 院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人员构成：设院长1名，工作人员7名。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84.84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3.37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3.37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92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28"/>
        <w:gridCol w:w="3093"/>
        <w:gridCol w:w="1451"/>
        <w:gridCol w:w="1319"/>
        <w:gridCol w:w="1325"/>
      </w:tblGrid>
      <w:tr>
        <w:trPr>
          <w:trHeight w:val="355" w:hRule="atLeast"/>
        </w:trPr>
        <w:tc>
          <w:tcPr>
            <w:tcW w:w="1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7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921" w:type="dxa"/>
            <w:vAlign w:val="top"/>
            <w:gridSpan w:val="2"/>
          </w:tcPr>
          <w:p>
            <w:pPr>
              <w:ind w:left="2280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095" w:type="dxa"/>
            <w:vAlign w:val="top"/>
            <w:gridSpan w:val="3"/>
          </w:tcPr>
          <w:p>
            <w:pPr>
              <w:ind w:left="150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54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93" w:type="dxa"/>
            <w:vAlign w:val="top"/>
          </w:tcPr>
          <w:p>
            <w:pPr>
              <w:ind w:left="118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</w:tcPr>
          <w:p>
            <w:pPr>
              <w:ind w:left="54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25" w:type="dxa"/>
            <w:vAlign w:val="top"/>
          </w:tcPr>
          <w:p>
            <w:pPr>
              <w:ind w:left="30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921" w:type="dxa"/>
            <w:vAlign w:val="top"/>
            <w:gridSpan w:val="2"/>
          </w:tcPr>
          <w:p>
            <w:pPr>
              <w:ind w:left="2278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94.54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77.95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98.92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74.58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24.34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93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84.84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74.58</w:t>
            </w:r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10.27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93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3.37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11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11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3057"/>
        <w:gridCol w:w="1547"/>
        <w:gridCol w:w="1343"/>
        <w:gridCol w:w="138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3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90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75" w:type="dxa"/>
            <w:vAlign w:val="top"/>
            <w:gridSpan w:val="3"/>
          </w:tcPr>
          <w:p>
            <w:pPr>
              <w:ind w:left="159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47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ind w:left="31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8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152.29</w:t>
            </w:r>
          </w:p>
        </w:tc>
        <w:tc>
          <w:tcPr>
            <w:tcW w:w="1343" w:type="dxa"/>
            <w:vAlign w:val="top"/>
          </w:tcPr>
          <w:p>
            <w:pPr>
              <w:ind w:right="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94.54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4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4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135.70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77.95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98.92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74.58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24.34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84.84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74.58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10.27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3.37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43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75"/>
        <w:gridCol w:w="2218"/>
        <w:gridCol w:w="1319"/>
        <w:gridCol w:w="1259"/>
        <w:gridCol w:w="109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6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restart"/>
            <w:tcBorders>
              <w:bottom w:val="nil"/>
            </w:tcBorders>
          </w:tcPr>
          <w:p>
            <w:pPr>
              <w:ind w:left="45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218" w:type="dxa"/>
            <w:vAlign w:val="top"/>
            <w:vMerge w:val="restart"/>
            <w:tcBorders>
              <w:bottom w:val="nil"/>
            </w:tcBorders>
          </w:tcPr>
          <w:p>
            <w:pPr>
              <w:ind w:left="2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675" w:type="dxa"/>
            <w:vAlign w:val="top"/>
            <w:gridSpan w:val="3"/>
          </w:tcPr>
          <w:p>
            <w:pPr>
              <w:ind w:left="129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left="47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26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97" w:type="dxa"/>
            <w:vAlign w:val="top"/>
          </w:tcPr>
          <w:p>
            <w:pPr>
              <w:ind w:left="19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293" w:type="dxa"/>
            <w:vAlign w:val="top"/>
            <w:gridSpan w:val="2"/>
          </w:tcPr>
          <w:p>
            <w:pPr>
              <w:ind w:left="245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94.54</w:t>
            </w:r>
          </w:p>
        </w:tc>
        <w:tc>
          <w:tcPr>
            <w:tcW w:w="125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85.71</w:t>
            </w:r>
          </w:p>
        </w:tc>
        <w:tc>
          <w:tcPr>
            <w:tcW w:w="109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8.82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85.71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85.71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30.71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30.71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13.71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13.71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19.61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8.21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3.34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3.34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0.19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0.19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8.38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1.57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1.57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8.82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1.03</w:t>
            </w:r>
          </w:p>
        </w:tc>
      </w:tr>
      <w:tr>
        <w:trPr>
          <w:trHeight w:val="331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兴县孟家坪乡卫生院贺家会分院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57.76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33.42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0.97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0.01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10.27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2.29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单位名称：兴县孟家坪乡卫生院贺家会分院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7" w:right="1393" w:firstLine="498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2024年度兴县孟家坪乡卫生院贺家会分院预算收入总计152.29万元，其中：本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年收入152.29万元，上年结转0万元，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比上年减少8.00万元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，下降4.99%，主要原因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是公卫资金减少，基药资金减少；本年单位预算支出总计152.29万元，其中：本年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预算安排152.29万元，上年结转0万元，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比上年减少8.00万元，下降4.99%，主要原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因是公卫资金减少，基药资金减少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11" w:right="1537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2024年度兴县孟家坪乡卫生院贺家会分院预算收入152.29万元，主要包括一般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公共预算拨款收入152.29万元，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占100.00%；政府性基金预</w:t>
      </w:r>
      <w:r>
        <w:rPr>
          <w:rFonts w:ascii="FangSong" w:hAnsi="FangSong" w:eastAsia="FangSong" w:cs="FangSong"/>
          <w:sz w:val="25"/>
          <w:szCs w:val="25"/>
          <w:spacing w:val="-1"/>
        </w:rPr>
        <w:t>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1" w:right="1783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0%；单位资金0万元，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占0%。</w:t>
      </w:r>
    </w:p>
    <w:p>
      <w:pPr>
        <w:pStyle w:val="BodyText"/>
        <w:spacing w:line="419" w:lineRule="auto"/>
        <w:rPr/>
      </w:pPr>
      <w:r/>
    </w:p>
    <w:p>
      <w:pPr>
        <w:ind w:firstLine="3424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32" w:right="1537" w:firstLine="473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2024年度兴县孟家坪乡卫生院贺家会分院支出预算152.29万元，其中：基本支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出94.54万元，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占62.08%；项目支出57.76万元，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占37.93%。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6" w:right="1405" w:firstLine="499"/>
        <w:spacing w:before="13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2024年度兴县孟家坪乡卫生院贺家会分院财政拨款收支总预算152.29万元。其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中：一般公共预算拨款152.29万元，政府性基金预算拨款0万元，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拨款0万元。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其中：当年拨款收入152.</w:t>
      </w:r>
      <w:r>
        <w:rPr>
          <w:rFonts w:ascii="FangSong" w:hAnsi="FangSong" w:eastAsia="FangSong" w:cs="FangSong"/>
          <w:sz w:val="25"/>
          <w:szCs w:val="25"/>
          <w:spacing w:val="1"/>
        </w:rPr>
        <w:t>29万元，上年结转收入0万元。支出包括：社</w:t>
      </w:r>
    </w:p>
    <w:p>
      <w:pPr>
        <w:ind w:left="1310" w:right="2041" w:firstLine="4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会保障和就业支出8.21万元、卫生健康支出135.70万元、住房保障支出8.38万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8" w:right="1411" w:firstLine="497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2024年度兴县孟家坪乡卫生院贺家会分院一般公共预算当年支出152.29万元,比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上年减少7.96万元</w:t>
      </w:r>
      <w:r>
        <w:rPr>
          <w:rFonts w:ascii="FangSong" w:hAnsi="FangSong" w:eastAsia="FangSong" w:cs="FangSong"/>
          <w:sz w:val="25"/>
          <w:szCs w:val="25"/>
          <w:spacing w:val="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，下降4.97%。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0" w:right="1405" w:firstLine="495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2024年度兴县孟家坪乡卫生院贺家会分院一般公共预算当年支出152.29万元,主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要用于以下方面：社会保障和就业支出8.21万元，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占5.39%；卫生健康支出135</w:t>
      </w:r>
      <w:r>
        <w:rPr>
          <w:rFonts w:ascii="FangSong" w:hAnsi="FangSong" w:eastAsia="FangSong" w:cs="FangSong"/>
          <w:sz w:val="25"/>
          <w:szCs w:val="25"/>
          <w:spacing w:val="-1"/>
        </w:rPr>
        <w:t>.70万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占89.11%；住房保障支出8.38万元，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占5.50%等。</w:t>
      </w:r>
    </w:p>
    <w:p>
      <w:pPr>
        <w:ind w:firstLine="4541"/>
        <w:spacing w:before="179" w:line="2731" w:lineRule="exact"/>
        <w:rPr/>
      </w:pPr>
      <w:r>
        <w:rPr>
          <w:position w:val="-54"/>
        </w:rPr>
        <w:drawing>
          <wp:inline distT="0" distB="0" distL="0" distR="0">
            <wp:extent cx="2051804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1804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10" w:right="1663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2024年度兴县孟家坪乡卫生院贺家会分院一般公共预算安排基本支出94.54万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元，其中：</w:t>
      </w:r>
    </w:p>
    <w:p>
      <w:pPr>
        <w:ind w:left="1306" w:right="1405" w:firstLine="50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人员经费85.71万元，主要包括：其他工资福利支出、其他社会保障缴费、绩效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工资、基本工资、机关事业单位基本养老保险缴费、住房公积金、津贴补贴、职工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公用经费8.82万元，主要包括：福利费、工会经费、取暖费等。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405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2024年兴县孟家坪乡卫生院贺家会分院政府采购预算</w:t>
      </w:r>
      <w:r>
        <w:rPr>
          <w:rFonts w:ascii="FangSong" w:hAnsi="FangSong" w:eastAsia="FangSong" w:cs="FangSong"/>
          <w:sz w:val="25"/>
          <w:szCs w:val="25"/>
          <w:spacing w:val="1"/>
        </w:rPr>
        <w:t>总额0万元。其中：政府采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购货物预算0万元、政府采购工程预算0万元、政府采购服务预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2024年编报单位整体绩效目标，涉及资金57.7万元。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405" w:firstLine="499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2024年兴县孟家坪乡卫生院贺家会分院纳入绩效目标</w:t>
      </w:r>
      <w:r>
        <w:rPr>
          <w:rFonts w:ascii="FangSong" w:hAnsi="FangSong" w:eastAsia="FangSong" w:cs="FangSong"/>
          <w:sz w:val="25"/>
          <w:szCs w:val="25"/>
          <w:spacing w:val="1"/>
        </w:rPr>
        <w:t>管理的二级项目7个，共计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金额57.70万元。其中：其他运转类项目0个，涉及金额0万元</w:t>
      </w:r>
      <w:r>
        <w:rPr>
          <w:rFonts w:ascii="FangSong" w:hAnsi="FangSong" w:eastAsia="FangSong" w:cs="FangSong"/>
          <w:sz w:val="25"/>
          <w:szCs w:val="25"/>
          <w:spacing w:val="1"/>
        </w:rPr>
        <w:t>；特定目标类项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6" w:right="1513" w:firstLine="45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目0个，涉及金额0万元。公开项目绩效目标7个，涉及项目金额57.70万元，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占部门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（单位）项目支出总额的100%。其中：其他运转类项目0个，涉及项目金额0万元；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特定目标类项目0个，涉及项目金额0万元。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3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393" w:firstLine="50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日，兴县孟家坪乡卫生院贺家会分院共有公务</w:t>
      </w:r>
      <w:r>
        <w:rPr>
          <w:rFonts w:ascii="FangSong" w:hAnsi="FangSong" w:eastAsia="FangSong" w:cs="FangSong"/>
          <w:sz w:val="25"/>
          <w:szCs w:val="25"/>
          <w:spacing w:val="-1"/>
        </w:rPr>
        <w:t>用车编制0辆，实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</w:p>
    <w:p>
      <w:pPr>
        <w:ind w:left="1312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806"/>
        <w:spacing w:before="13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525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日，兴县孟家坪乡卫生院贺</w:t>
      </w:r>
      <w:r>
        <w:rPr>
          <w:rFonts w:ascii="FangSong" w:hAnsi="FangSong" w:eastAsia="FangSong" w:cs="FangSong"/>
          <w:sz w:val="25"/>
          <w:szCs w:val="25"/>
          <w:spacing w:val="-1"/>
        </w:rPr>
        <w:t>家会分院使用的办公用房建筑总面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积2000平方米。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日，兴县孟家坪乡卫生院贺家</w:t>
      </w:r>
      <w:r>
        <w:rPr>
          <w:rFonts w:ascii="FangSong" w:hAnsi="FangSong" w:eastAsia="FangSong" w:cs="FangSong"/>
          <w:sz w:val="25"/>
          <w:szCs w:val="25"/>
          <w:spacing w:val="-1"/>
        </w:rPr>
        <w:t>会分院占有使用价值50万元（原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兴县孟家坪乡卫生院贺家会分院占有使用价值</w:t>
      </w:r>
      <w:r>
        <w:rPr>
          <w:rFonts w:ascii="FangSong" w:hAnsi="FangSong" w:eastAsia="FangSong" w:cs="FangSong"/>
          <w:sz w:val="25"/>
          <w:szCs w:val="25"/>
        </w:rPr>
        <w:t>100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万元（原值）以上的通用设备0台（套）。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5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391.92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-13.08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7"/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2"/>
      <w:footerReference w:type="default" r:id="rId74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8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8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兴县孟家坪乡卫生院贺家会分院2024年单</w:t>
    </w:r>
    <w:r>
      <w:rPr>
        <w:rFonts w:ascii="SimSun" w:hAnsi="SimSun" w:eastAsia="SimSun" w:cs="SimSun"/>
        <w:sz w:val="16"/>
        <w:szCs w:val="16"/>
        <w:spacing w:val="-2"/>
        <w:position w:val="1"/>
      </w:rPr>
      <w:t>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7" Type="http://schemas.openxmlformats.org/officeDocument/2006/relationships/fontTable" Target="fontTable.xml"/><Relationship Id="rId76" Type="http://schemas.openxmlformats.org/officeDocument/2006/relationships/styles" Target="styles.xml"/><Relationship Id="rId75" Type="http://schemas.openxmlformats.org/officeDocument/2006/relationships/settings" Target="settings.xml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image" Target="media/image15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1.xml"/><Relationship Id="rId57" Type="http://schemas.openxmlformats.org/officeDocument/2006/relationships/header" Target="header14.xml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2025-09-25T18:27:43Z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2025-09-25T20:19:20</vt:filetime>
  </property>
</Properties>
</file>