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BodyText"/>
        <w:ind w:left="2193"/>
        <w:spacing w:before="140" w:line="218" w:lineRule="auto"/>
        <w:rPr/>
      </w:pPr>
      <w:r>
        <w:rPr/>
        <w:t>兴</w:t>
      </w:r>
      <w:r>
        <w:rPr>
          <w:spacing w:val="-96"/>
        </w:rPr>
        <w:t xml:space="preserve"> </w:t>
      </w:r>
      <w:r>
        <w:rPr/>
        <w:t>县</w:t>
      </w:r>
      <w:r>
        <w:rPr>
          <w:spacing w:val="-102"/>
        </w:rPr>
        <w:t xml:space="preserve"> </w:t>
      </w:r>
      <w:r>
        <w:rPr/>
        <w:t>孟</w:t>
      </w:r>
      <w:r>
        <w:rPr>
          <w:spacing w:val="-97"/>
        </w:rPr>
        <w:t xml:space="preserve"> </w:t>
      </w:r>
      <w:r>
        <w:rPr/>
        <w:t>家</w:t>
      </w:r>
      <w:r>
        <w:rPr>
          <w:spacing w:val="-110"/>
        </w:rPr>
        <w:t xml:space="preserve"> </w:t>
      </w:r>
      <w:r>
        <w:rPr/>
        <w:t>坪</w:t>
      </w:r>
      <w:r>
        <w:rPr>
          <w:spacing w:val="-95"/>
        </w:rPr>
        <w:t xml:space="preserve"> </w:t>
      </w:r>
      <w:r>
        <w:rPr/>
        <w:t>乡卫</w:t>
      </w:r>
      <w:r>
        <w:rPr>
          <w:spacing w:val="-75"/>
        </w:rPr>
        <w:t xml:space="preserve"> </w:t>
      </w:r>
      <w:r>
        <w:rPr/>
        <w:t>生</w:t>
      </w:r>
      <w:r>
        <w:rPr>
          <w:spacing w:val="-76"/>
        </w:rPr>
        <w:t xml:space="preserve"> </w:t>
      </w:r>
      <w:r>
        <w:rPr/>
        <w:t>院</w:t>
      </w:r>
      <w:r>
        <w:rPr>
          <w:spacing w:val="-93"/>
        </w:rPr>
        <w:t xml:space="preserve"> </w:t>
      </w:r>
      <w:r>
        <w:rPr/>
        <w:t>贺</w:t>
      </w:r>
      <w:r>
        <w:rPr>
          <w:spacing w:val="-97"/>
        </w:rPr>
        <w:t xml:space="preserve"> </w:t>
      </w:r>
      <w:r>
        <w:rPr/>
        <w:t>家</w:t>
      </w:r>
      <w:r>
        <w:rPr>
          <w:spacing w:val="-108"/>
        </w:rPr>
        <w:t xml:space="preserve"> </w:t>
      </w:r>
      <w:r>
        <w:rPr/>
        <w:t>会</w:t>
      </w:r>
      <w:r>
        <w:rPr>
          <w:spacing w:val="-99"/>
        </w:rPr>
        <w:t xml:space="preserve"> </w:t>
      </w:r>
      <w:r>
        <w:rPr/>
        <w:t>分</w:t>
      </w:r>
      <w:r>
        <w:rPr>
          <w:spacing w:val="-76"/>
        </w:rPr>
        <w:t xml:space="preserve"> </w:t>
      </w:r>
      <w:r>
        <w:rPr/>
        <w:t>院</w:t>
      </w:r>
    </w:p>
    <w:p>
      <w:pPr>
        <w:spacing w:line="378" w:lineRule="auto"/>
        <w:rPr>
          <w:rFonts w:ascii="Arial"/>
          <w:sz w:val="21"/>
        </w:rPr>
      </w:pPr>
      <w:r/>
    </w:p>
    <w:p>
      <w:pPr>
        <w:pStyle w:val="BodyText"/>
        <w:ind w:left="3079"/>
        <w:spacing w:before="139" w:line="583" w:lineRule="exact"/>
        <w:rPr/>
      </w:pPr>
      <w:r>
        <w:rPr>
          <w:spacing w:val="7"/>
          <w:position w:val="2"/>
        </w:rPr>
        <w:t>2</w:t>
      </w:r>
      <w:r>
        <w:rPr>
          <w:spacing w:val="-88"/>
          <w:position w:val="2"/>
        </w:rPr>
        <w:t xml:space="preserve"> </w:t>
      </w:r>
      <w:r>
        <w:rPr>
          <w:spacing w:val="7"/>
          <w:position w:val="2"/>
        </w:rPr>
        <w:t>0</w:t>
      </w:r>
      <w:r>
        <w:rPr>
          <w:spacing w:val="-93"/>
          <w:position w:val="2"/>
        </w:rPr>
        <w:t xml:space="preserve"> </w:t>
      </w:r>
      <w:r>
        <w:rPr>
          <w:spacing w:val="7"/>
          <w:position w:val="2"/>
        </w:rPr>
        <w:t>2</w:t>
      </w:r>
      <w:r>
        <w:rPr>
          <w:spacing w:val="-77"/>
          <w:position w:val="2"/>
        </w:rPr>
        <w:t xml:space="preserve"> </w:t>
      </w:r>
      <w:r>
        <w:rPr>
          <w:spacing w:val="7"/>
          <w:position w:val="2"/>
        </w:rPr>
        <w:t>5</w:t>
      </w:r>
      <w:r>
        <w:rPr>
          <w:spacing w:val="-98"/>
          <w:position w:val="2"/>
        </w:rPr>
        <w:t xml:space="preserve"> </w:t>
      </w:r>
      <w:r>
        <w:rPr>
          <w:spacing w:val="7"/>
          <w:position w:val="2"/>
        </w:rPr>
        <w:t>年</w:t>
      </w:r>
      <w:r>
        <w:rPr>
          <w:spacing w:val="-96"/>
          <w:position w:val="2"/>
        </w:rPr>
        <w:t xml:space="preserve"> </w:t>
      </w:r>
      <w:r>
        <w:rPr>
          <w:spacing w:val="7"/>
          <w:position w:val="2"/>
        </w:rPr>
        <w:t>度</w:t>
      </w:r>
      <w:r>
        <w:rPr>
          <w:spacing w:val="-95"/>
          <w:position w:val="2"/>
        </w:rPr>
        <w:t xml:space="preserve"> </w:t>
      </w:r>
      <w:r>
        <w:rPr>
          <w:spacing w:val="7"/>
          <w:position w:val="2"/>
        </w:rPr>
        <w:t>单</w:t>
      </w:r>
      <w:r>
        <w:rPr>
          <w:spacing w:val="-104"/>
          <w:position w:val="2"/>
        </w:rPr>
        <w:t xml:space="preserve"> </w:t>
      </w:r>
      <w:r>
        <w:rPr>
          <w:spacing w:val="7"/>
          <w:position w:val="2"/>
        </w:rPr>
        <w:t>位</w:t>
      </w:r>
      <w:r>
        <w:rPr>
          <w:spacing w:val="-108"/>
          <w:position w:val="2"/>
        </w:rPr>
        <w:t xml:space="preserve"> </w:t>
      </w:r>
      <w:r>
        <w:rPr>
          <w:spacing w:val="7"/>
          <w:position w:val="2"/>
        </w:rPr>
        <w:t>预</w:t>
      </w:r>
      <w:r>
        <w:rPr>
          <w:spacing w:val="-94"/>
          <w:position w:val="2"/>
        </w:rPr>
        <w:t xml:space="preserve"> </w:t>
      </w:r>
      <w:r>
        <w:rPr>
          <w:spacing w:val="7"/>
          <w:position w:val="2"/>
        </w:rPr>
        <w:t>算</w:t>
      </w:r>
      <w:r>
        <w:rPr>
          <w:spacing w:val="-104"/>
          <w:position w:val="2"/>
        </w:rPr>
        <w:t xml:space="preserve"> </w:t>
      </w:r>
      <w:r>
        <w:rPr>
          <w:spacing w:val="7"/>
          <w:position w:val="2"/>
        </w:rPr>
        <w:t>公</w:t>
      </w:r>
      <w:r>
        <w:rPr>
          <w:spacing w:val="-98"/>
          <w:position w:val="2"/>
        </w:rPr>
        <w:t xml:space="preserve"> </w:t>
      </w:r>
      <w:r>
        <w:rPr>
          <w:spacing w:val="7"/>
          <w:position w:val="2"/>
        </w:rPr>
        <w:t>开</w:t>
      </w:r>
    </w:p>
    <w:p>
      <w:pPr>
        <w:spacing w:line="583" w:lineRule="exact"/>
        <w:sectPr>
          <w:headerReference w:type="default" r:id="rId1"/>
          <w:pgSz w:w="11900" w:h="16840"/>
          <w:pgMar w:top="400" w:right="0" w:bottom="0" w:left="0" w:header="0" w:footer="0" w:gutter="0"/>
        </w:sectPr>
        <w:rPr/>
      </w:pPr>
    </w:p>
    <w:p>
      <w:pPr>
        <w:spacing w:line="475" w:lineRule="auto"/>
        <w:rPr>
          <w:rFonts w:ascii="Arial"/>
          <w:sz w:val="21"/>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2"/>
              </w:rPr>
              <w:t xml:space="preserve"> </w:t>
            </w:r>
            <w:r>
              <w:rPr>
                <w:rFonts w:ascii="FangSong" w:hAnsi="FangSong" w:eastAsia="FangSong" w:cs="FangSong"/>
                <w:sz w:val="32"/>
                <w:szCs w:val="32"/>
              </w:rPr>
              <w:t>6</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8</w:t>
            </w:r>
          </w:hyperlink>
        </w:p>
        <w:p>
          <w:pPr>
            <w:ind w:left="1983"/>
            <w:spacing w:before="120"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sdtContent>
    </w:sdt>
    <w:p>
      <w:pPr>
        <w:ind w:left="1354" w:right="133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12</w:t>
            </w:r>
          </w:hyperlink>
        </w:p>
        <w:p>
          <w:pPr>
            <w:ind w:left="1983"/>
            <w:spacing w:before="116"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13</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83"/>
            <w:spacing w:before="116"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354"/>
            <w:spacing w:before="120" w:line="221"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16</w:t>
            </w:r>
          </w:hyperlink>
        </w:p>
        <w:p>
          <w:pPr>
            <w:ind w:left="1986"/>
            <w:spacing w:before="117" w:line="221"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spacing w:line="438"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3"/>
              </w:rPr>
              <w:t>27</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27</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27</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27</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36</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spacing w:line="266" w:lineRule="auto"/>
        <w:rPr>
          <w:rFonts w:ascii="Arial"/>
          <w:sz w:val="21"/>
        </w:rPr>
      </w:pPr>
      <w:r/>
    </w:p>
    <w:p>
      <w:pPr>
        <w:spacing w:line="266" w:lineRule="auto"/>
        <w:rPr>
          <w:rFonts w:ascii="Arial"/>
          <w:sz w:val="21"/>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spacing w:line="255" w:lineRule="auto"/>
        <w:rPr>
          <w:rFonts w:ascii="Arial"/>
          <w:sz w:val="21"/>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1519" w:right="1474" w:firstLine="6"/>
        <w:spacing w:before="281" w:line="308" w:lineRule="auto"/>
        <w:jc w:val="both"/>
        <w:rPr>
          <w:rFonts w:ascii="FangSong" w:hAnsi="FangSong" w:eastAsia="FangSong" w:cs="FangSong"/>
          <w:sz w:val="24"/>
          <w:szCs w:val="24"/>
        </w:rPr>
      </w:pPr>
      <w:r>
        <w:rPr>
          <w:rFonts w:ascii="FangSong" w:hAnsi="FangSong" w:eastAsia="FangSong" w:cs="FangSong"/>
          <w:sz w:val="24"/>
          <w:szCs w:val="24"/>
          <w:spacing w:val="13"/>
        </w:rPr>
        <w:t>1</w:t>
      </w:r>
      <w:r>
        <w:rPr>
          <w:rFonts w:ascii="FangSong" w:hAnsi="FangSong" w:eastAsia="FangSong" w:cs="FangSong"/>
          <w:sz w:val="24"/>
          <w:szCs w:val="24"/>
          <w:spacing w:val="-59"/>
        </w:rPr>
        <w:t xml:space="preserve"> </w:t>
      </w:r>
      <w:r>
        <w:rPr>
          <w:rFonts w:ascii="FangSong" w:hAnsi="FangSong" w:eastAsia="FangSong" w:cs="FangSong"/>
          <w:sz w:val="24"/>
          <w:szCs w:val="24"/>
          <w:spacing w:val="13"/>
        </w:rPr>
        <w:t>、提供基本医疗服务</w:t>
      </w:r>
      <w:r>
        <w:rPr>
          <w:rFonts w:ascii="FangSong" w:hAnsi="FangSong" w:eastAsia="FangSong" w:cs="FangSong"/>
          <w:sz w:val="24"/>
          <w:szCs w:val="24"/>
          <w:spacing w:val="-61"/>
        </w:rPr>
        <w:t xml:space="preserve"> </w:t>
      </w:r>
      <w:r>
        <w:rPr>
          <w:rFonts w:ascii="FangSong" w:hAnsi="FangSong" w:eastAsia="FangSong" w:cs="FangSong"/>
          <w:sz w:val="24"/>
          <w:szCs w:val="24"/>
          <w:spacing w:val="13"/>
        </w:rPr>
        <w:t>，</w:t>
      </w:r>
      <w:r>
        <w:rPr>
          <w:rFonts w:ascii="FangSong" w:hAnsi="FangSong" w:eastAsia="FangSong" w:cs="FangSong"/>
          <w:sz w:val="24"/>
          <w:szCs w:val="24"/>
          <w:spacing w:val="-52"/>
        </w:rPr>
        <w:t xml:space="preserve"> </w:t>
      </w:r>
      <w:r>
        <w:rPr>
          <w:rFonts w:ascii="FangSong" w:hAnsi="FangSong" w:eastAsia="FangSong" w:cs="FangSong"/>
          <w:sz w:val="24"/>
          <w:szCs w:val="24"/>
          <w:spacing w:val="13"/>
        </w:rPr>
        <w:t>以常见病</w:t>
      </w:r>
      <w:r>
        <w:rPr>
          <w:rFonts w:ascii="FangSong" w:hAnsi="FangSong" w:eastAsia="FangSong" w:cs="FangSong"/>
          <w:sz w:val="24"/>
          <w:szCs w:val="24"/>
          <w:spacing w:val="-60"/>
        </w:rPr>
        <w:t xml:space="preserve"> </w:t>
      </w:r>
      <w:r>
        <w:rPr>
          <w:rFonts w:ascii="FangSong" w:hAnsi="FangSong" w:eastAsia="FangSong" w:cs="FangSong"/>
          <w:sz w:val="24"/>
          <w:szCs w:val="24"/>
          <w:spacing w:val="13"/>
        </w:rPr>
        <w:t>、</w:t>
      </w:r>
      <w:r>
        <w:rPr>
          <w:rFonts w:ascii="FangSong" w:hAnsi="FangSong" w:eastAsia="FangSong" w:cs="FangSong"/>
          <w:sz w:val="24"/>
          <w:szCs w:val="24"/>
          <w:spacing w:val="-63"/>
        </w:rPr>
        <w:t xml:space="preserve"> </w:t>
      </w:r>
      <w:r>
        <w:rPr>
          <w:rFonts w:ascii="FangSong" w:hAnsi="FangSong" w:eastAsia="FangSong" w:cs="FangSong"/>
          <w:sz w:val="24"/>
          <w:szCs w:val="24"/>
          <w:spacing w:val="13"/>
        </w:rPr>
        <w:t>多发病的诊疗</w:t>
      </w:r>
      <w:r>
        <w:rPr>
          <w:rFonts w:ascii="FangSong" w:hAnsi="FangSong" w:eastAsia="FangSong" w:cs="FangSong"/>
          <w:sz w:val="24"/>
          <w:szCs w:val="24"/>
          <w:spacing w:val="-59"/>
        </w:rPr>
        <w:t xml:space="preserve"> </w:t>
      </w:r>
      <w:r>
        <w:rPr>
          <w:rFonts w:ascii="FangSong" w:hAnsi="FangSong" w:eastAsia="FangSong" w:cs="FangSong"/>
          <w:sz w:val="24"/>
          <w:szCs w:val="24"/>
          <w:spacing w:val="13"/>
        </w:rPr>
        <w:t>、</w:t>
      </w:r>
      <w:r>
        <w:rPr>
          <w:rFonts w:ascii="FangSong" w:hAnsi="FangSong" w:eastAsia="FangSong" w:cs="FangSong"/>
          <w:sz w:val="24"/>
          <w:szCs w:val="24"/>
          <w:spacing w:val="12"/>
        </w:rPr>
        <w:t>护理</w:t>
      </w:r>
      <w:r>
        <w:rPr>
          <w:rFonts w:ascii="FangSong" w:hAnsi="FangSong" w:eastAsia="FangSong" w:cs="FangSong"/>
          <w:sz w:val="24"/>
          <w:szCs w:val="24"/>
          <w:spacing w:val="-60"/>
        </w:rPr>
        <w:t xml:space="preserve"> </w:t>
      </w:r>
      <w:r>
        <w:rPr>
          <w:rFonts w:ascii="FangSong" w:hAnsi="FangSong" w:eastAsia="FangSong" w:cs="FangSong"/>
          <w:sz w:val="24"/>
          <w:szCs w:val="24"/>
          <w:spacing w:val="12"/>
        </w:rPr>
        <w:t>、康复等综合服务为</w:t>
      </w:r>
      <w:r>
        <w:rPr>
          <w:rFonts w:ascii="FangSong" w:hAnsi="FangSong" w:eastAsia="FangSong" w:cs="FangSong"/>
          <w:sz w:val="24"/>
          <w:szCs w:val="24"/>
        </w:rPr>
        <w:t xml:space="preserve"> </w:t>
      </w:r>
      <w:r>
        <w:rPr>
          <w:rFonts w:ascii="FangSong" w:hAnsi="FangSong" w:eastAsia="FangSong" w:cs="FangSong"/>
          <w:sz w:val="24"/>
          <w:szCs w:val="24"/>
          <w:spacing w:val="1"/>
        </w:rPr>
        <w:t>主。</w:t>
      </w:r>
      <w:r>
        <w:rPr>
          <w:rFonts w:ascii="FangSong" w:hAnsi="FangSong" w:eastAsia="FangSong" w:cs="FangSong"/>
          <w:sz w:val="24"/>
          <w:szCs w:val="24"/>
          <w:spacing w:val="1"/>
        </w:rPr>
        <w:t xml:space="preserve"> </w:t>
      </w:r>
      <w:r>
        <w:rPr>
          <w:rFonts w:ascii="FangSong" w:hAnsi="FangSong" w:eastAsia="FangSong" w:cs="FangSong"/>
          <w:sz w:val="24"/>
          <w:szCs w:val="24"/>
          <w:spacing w:val="1"/>
        </w:rPr>
        <w:t>2、提供基本公共卫生服务，承担辖区内的公共</w:t>
      </w:r>
      <w:r>
        <w:rPr>
          <w:rFonts w:ascii="FangSong" w:hAnsi="FangSong" w:eastAsia="FangSong" w:cs="FangSong"/>
          <w:sz w:val="24"/>
          <w:szCs w:val="24"/>
        </w:rPr>
        <w:t>卫生管理工作，负责对村卫生室</w:t>
      </w:r>
      <w:r>
        <w:rPr>
          <w:rFonts w:ascii="FangSong" w:hAnsi="FangSong" w:eastAsia="FangSong" w:cs="FangSong"/>
          <w:sz w:val="24"/>
          <w:szCs w:val="24"/>
        </w:rPr>
        <w:t xml:space="preserve"> </w:t>
      </w:r>
      <w:r>
        <w:rPr>
          <w:rFonts w:ascii="FangSong" w:hAnsi="FangSong" w:eastAsia="FangSong" w:cs="FangSong"/>
          <w:sz w:val="24"/>
          <w:szCs w:val="24"/>
          <w:spacing w:val="4"/>
        </w:rPr>
        <w:t>的综</w:t>
      </w:r>
      <w:r>
        <w:rPr>
          <w:rFonts w:ascii="FangSong" w:hAnsi="FangSong" w:eastAsia="FangSong" w:cs="FangSong"/>
          <w:sz w:val="24"/>
          <w:szCs w:val="24"/>
          <w:spacing w:val="4"/>
        </w:rPr>
        <w:t xml:space="preserve"> </w:t>
      </w:r>
      <w:r>
        <w:rPr>
          <w:rFonts w:ascii="FangSong" w:hAnsi="FangSong" w:eastAsia="FangSong" w:cs="FangSong"/>
          <w:sz w:val="24"/>
          <w:szCs w:val="24"/>
          <w:spacing w:val="4"/>
        </w:rPr>
        <w:t>合管理、技术指导的乡医的培训等。</w:t>
      </w:r>
      <w:r>
        <w:rPr>
          <w:rFonts w:ascii="FangSong" w:hAnsi="FangSong" w:eastAsia="FangSong" w:cs="FangSong"/>
          <w:sz w:val="24"/>
          <w:szCs w:val="24"/>
          <w:spacing w:val="4"/>
        </w:rPr>
        <w:t xml:space="preserve"> </w:t>
      </w:r>
      <w:r>
        <w:rPr>
          <w:rFonts w:ascii="FangSong" w:hAnsi="FangSong" w:eastAsia="FangSong" w:cs="FangSong"/>
          <w:sz w:val="24"/>
          <w:szCs w:val="24"/>
          <w:spacing w:val="4"/>
        </w:rPr>
        <w:t>3、实施国家基本药物</w:t>
      </w:r>
      <w:r>
        <w:rPr>
          <w:rFonts w:ascii="FangSong" w:hAnsi="FangSong" w:eastAsia="FangSong" w:cs="FangSong"/>
          <w:sz w:val="24"/>
          <w:szCs w:val="24"/>
          <w:spacing w:val="3"/>
        </w:rPr>
        <w:t>制度和新型农村合</w:t>
      </w:r>
      <w:r>
        <w:rPr>
          <w:rFonts w:ascii="FangSong" w:hAnsi="FangSong" w:eastAsia="FangSong" w:cs="FangSong"/>
          <w:sz w:val="24"/>
          <w:szCs w:val="24"/>
        </w:rPr>
        <w:t xml:space="preserve"> </w:t>
      </w:r>
      <w:r>
        <w:rPr>
          <w:rFonts w:ascii="FangSong" w:hAnsi="FangSong" w:eastAsia="FangSong" w:cs="FangSong"/>
          <w:sz w:val="24"/>
          <w:szCs w:val="24"/>
          <w:spacing w:val="-3"/>
        </w:rPr>
        <w:t>作医疗制度，推行分级诊疗和乡村一体化管理。</w:t>
      </w:r>
    </w:p>
    <w:p>
      <w:pPr>
        <w:ind w:left="1513"/>
        <w:spacing w:before="184"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22" w:right="1474" w:hanging="3"/>
        <w:spacing w:before="117" w:line="301" w:lineRule="auto"/>
        <w:rPr>
          <w:rFonts w:ascii="FangSong" w:hAnsi="FangSong" w:eastAsia="FangSong" w:cs="FangSong"/>
          <w:sz w:val="24"/>
          <w:szCs w:val="24"/>
        </w:rPr>
      </w:pPr>
      <w:r>
        <w:rPr>
          <w:rFonts w:ascii="FangSong" w:hAnsi="FangSong" w:eastAsia="FangSong" w:cs="FangSong"/>
          <w:sz w:val="24"/>
          <w:szCs w:val="24"/>
          <w:spacing w:val="2"/>
        </w:rPr>
        <w:t>人员构成：设院长1名，工作人员7名。</w:t>
      </w:r>
      <w:r>
        <w:rPr>
          <w:rFonts w:ascii="FangSong" w:hAnsi="FangSong" w:eastAsia="FangSong" w:cs="FangSong"/>
          <w:sz w:val="24"/>
          <w:szCs w:val="24"/>
          <w:spacing w:val="70"/>
        </w:rPr>
        <w:t xml:space="preserve"> </w:t>
      </w:r>
      <w:r>
        <w:rPr>
          <w:rFonts w:ascii="FangSong" w:hAnsi="FangSong" w:eastAsia="FangSong" w:cs="FangSong"/>
          <w:sz w:val="24"/>
          <w:szCs w:val="24"/>
          <w:spacing w:val="2"/>
        </w:rPr>
        <w:t>内设科室：办公室、门诊、住院、药房、收</w:t>
      </w:r>
      <w:r>
        <w:rPr>
          <w:rFonts w:ascii="FangSong" w:hAnsi="FangSong" w:eastAsia="FangSong" w:cs="FangSong"/>
          <w:sz w:val="24"/>
          <w:szCs w:val="24"/>
        </w:rPr>
        <w:t xml:space="preserve"> </w:t>
      </w:r>
      <w:r>
        <w:rPr>
          <w:rFonts w:ascii="FangSong" w:hAnsi="FangSong" w:eastAsia="FangSong" w:cs="FangSong"/>
          <w:sz w:val="24"/>
          <w:szCs w:val="24"/>
          <w:spacing w:val="-2"/>
        </w:rPr>
        <w:t>费室、财务室、农合办等</w:t>
      </w:r>
    </w:p>
    <w:p>
      <w:pPr>
        <w:spacing w:line="301"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spacing w:line="303" w:lineRule="auto"/>
        <w:rPr>
          <w:rFonts w:ascii="Arial"/>
          <w:sz w:val="21"/>
        </w:rPr>
      </w:pPr>
      <w:r/>
    </w:p>
    <w:p>
      <w:pPr>
        <w:spacing w:line="303" w:lineRule="auto"/>
        <w:rPr>
          <w:rFonts w:ascii="Arial"/>
          <w:sz w:val="21"/>
        </w:rPr>
      </w:pPr>
      <w:r/>
    </w:p>
    <w:p>
      <w:pPr>
        <w:ind w:left="43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73"/>
        <w:gridCol w:w="1123"/>
        <w:gridCol w:w="2141"/>
        <w:gridCol w:w="1153"/>
        <w:gridCol w:w="1138"/>
        <w:gridCol w:w="92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337" w:type="dxa"/>
            <w:vAlign w:val="top"/>
            <w:gridSpan w:val="3"/>
            <w:tcBorders>
              <w:top w:val="single" w:color="FFFFFF" w:sz="6" w:space="0"/>
              <w:left w:val="single" w:color="FFFFFF" w:sz="2" w:space="0"/>
              <w:right w:val="single" w:color="FFFFFF" w:sz="2" w:space="0"/>
            </w:tcBorders>
          </w:tcPr>
          <w:p>
            <w:pPr>
              <w:ind w:left="13"/>
              <w:spacing w:before="169" w:line="219" w:lineRule="auto"/>
              <w:rPr>
                <w:rFonts w:ascii="SimSun" w:hAnsi="SimSun" w:eastAsia="SimSun" w:cs="SimSun"/>
                <w:sz w:val="18"/>
                <w:szCs w:val="18"/>
              </w:rPr>
            </w:pPr>
            <w:r>
              <w:rPr>
                <w:rFonts w:ascii="SimSun" w:hAnsi="SimSun" w:eastAsia="SimSun" w:cs="SimSun"/>
                <w:sz w:val="18"/>
                <w:szCs w:val="18"/>
                <w:color w:val="212529"/>
                <w:spacing w:val="-1"/>
              </w:rPr>
              <w:t>单位名称：兴县孟家坪乡卫生院贺家会分院</w:t>
            </w:r>
          </w:p>
        </w:tc>
        <w:tc>
          <w:tcPr>
            <w:tcW w:w="3212" w:type="dxa"/>
            <w:vAlign w:val="top"/>
            <w:gridSpan w:val="3"/>
            <w:tcBorders>
              <w:top w:val="single" w:color="FFFFFF" w:sz="6" w:space="0"/>
              <w:left w:val="single" w:color="FFFFFF" w:sz="2" w:space="0"/>
              <w:right w:val="single" w:color="FFFFFF" w:sz="2" w:space="0"/>
            </w:tcBorders>
          </w:tcPr>
          <w:p>
            <w:pPr>
              <w:ind w:left="2281"/>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196" w:type="dxa"/>
            <w:vAlign w:val="top"/>
            <w:gridSpan w:val="2"/>
          </w:tcPr>
          <w:p>
            <w:pPr>
              <w:ind w:left="1409"/>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53" w:type="dxa"/>
            <w:vAlign w:val="top"/>
            <w:gridSpan w:val="4"/>
          </w:tcPr>
          <w:p>
            <w:pPr>
              <w:ind w:left="2483"/>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073" w:type="dxa"/>
            <w:vAlign w:val="top"/>
          </w:tcPr>
          <w:p>
            <w:pPr>
              <w:ind w:left="836"/>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23" w:type="dxa"/>
            <w:vAlign w:val="top"/>
          </w:tcPr>
          <w:p>
            <w:pPr>
              <w:ind w:left="278"/>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41" w:type="dxa"/>
            <w:vAlign w:val="top"/>
          </w:tcPr>
          <w:p>
            <w:pPr>
              <w:ind w:left="880"/>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22"/>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38" w:type="dxa"/>
            <w:vAlign w:val="top"/>
          </w:tcPr>
          <w:p>
            <w:pPr>
              <w:ind w:left="29"/>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921" w:type="dxa"/>
            <w:vAlign w:val="top"/>
          </w:tcPr>
          <w:p>
            <w:pPr>
              <w:ind w:left="85"/>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p>
            <w:pPr>
              <w:ind w:left="268"/>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安排</w:t>
            </w:r>
          </w:p>
        </w:tc>
      </w:tr>
      <w:tr>
        <w:trPr>
          <w:trHeight w:val="524" w:hRule="atLeast"/>
        </w:trPr>
        <w:tc>
          <w:tcPr>
            <w:tcW w:w="2073"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23" w:type="dxa"/>
            <w:vAlign w:val="top"/>
          </w:tcPr>
          <w:p>
            <w:pPr>
              <w:ind w:right="21"/>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3"/>
              </w:rPr>
              <w:t>131.94</w:t>
            </w:r>
          </w:p>
        </w:tc>
        <w:tc>
          <w:tcPr>
            <w:tcW w:w="2141" w:type="dxa"/>
            <w:vAlign w:val="top"/>
          </w:tcPr>
          <w:p>
            <w:pPr>
              <w:ind w:left="14"/>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23" w:type="dxa"/>
            <w:vAlign w:val="top"/>
          </w:tcPr>
          <w:p>
            <w:pPr>
              <w:pStyle w:val="TableText"/>
              <w:rPr/>
            </w:pPr>
            <w:r/>
          </w:p>
        </w:tc>
        <w:tc>
          <w:tcPr>
            <w:tcW w:w="2141" w:type="dxa"/>
            <w:vAlign w:val="top"/>
          </w:tcPr>
          <w:p>
            <w:pPr>
              <w:ind w:left="15"/>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23" w:type="dxa"/>
            <w:vAlign w:val="top"/>
          </w:tcPr>
          <w:p>
            <w:pPr>
              <w:pStyle w:val="TableText"/>
              <w:rPr/>
            </w:pPr>
            <w:r/>
          </w:p>
        </w:tc>
        <w:tc>
          <w:tcPr>
            <w:tcW w:w="2141" w:type="dxa"/>
            <w:vAlign w:val="top"/>
          </w:tcPr>
          <w:p>
            <w:pPr>
              <w:ind w:left="11"/>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23" w:type="dxa"/>
            <w:vAlign w:val="top"/>
          </w:tcPr>
          <w:p>
            <w:pPr>
              <w:pStyle w:val="TableText"/>
              <w:rPr/>
            </w:pPr>
            <w:r/>
          </w:p>
        </w:tc>
        <w:tc>
          <w:tcPr>
            <w:tcW w:w="2141" w:type="dxa"/>
            <w:vAlign w:val="top"/>
          </w:tcPr>
          <w:p>
            <w:pPr>
              <w:ind w:left="29"/>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23" w:type="dxa"/>
            <w:vAlign w:val="top"/>
          </w:tcPr>
          <w:p>
            <w:pPr>
              <w:pStyle w:val="TableText"/>
              <w:rPr/>
            </w:pPr>
            <w:r/>
          </w:p>
        </w:tc>
        <w:tc>
          <w:tcPr>
            <w:tcW w:w="2141" w:type="dxa"/>
            <w:vAlign w:val="top"/>
          </w:tcPr>
          <w:p>
            <w:pPr>
              <w:ind w:left="15"/>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right="140"/>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18"/>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8.21</w:t>
            </w:r>
          </w:p>
        </w:tc>
        <w:tc>
          <w:tcPr>
            <w:tcW w:w="1138" w:type="dxa"/>
            <w:vAlign w:val="top"/>
          </w:tcPr>
          <w:p>
            <w:pPr>
              <w:ind w:right="18"/>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8.21</w:t>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17"/>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3"/>
              </w:rPr>
              <w:t>121.72</w:t>
            </w:r>
          </w:p>
        </w:tc>
        <w:tc>
          <w:tcPr>
            <w:tcW w:w="1138" w:type="dxa"/>
            <w:vAlign w:val="top"/>
          </w:tcPr>
          <w:p>
            <w:pPr>
              <w:ind w:right="17"/>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3"/>
              </w:rPr>
              <w:t>116.19</w:t>
            </w:r>
          </w:p>
        </w:tc>
        <w:tc>
          <w:tcPr>
            <w:tcW w:w="921" w:type="dxa"/>
            <w:vAlign w:val="top"/>
          </w:tcPr>
          <w:p>
            <w:pPr>
              <w:ind w:right="26"/>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5.53</w:t>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right="140"/>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right="140"/>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17"/>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3"/>
              </w:rPr>
              <w:t>7.54</w:t>
            </w:r>
          </w:p>
        </w:tc>
        <w:tc>
          <w:tcPr>
            <w:tcW w:w="1138" w:type="dxa"/>
            <w:vAlign w:val="top"/>
          </w:tcPr>
          <w:p>
            <w:pPr>
              <w:ind w:right="17"/>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3"/>
              </w:rPr>
              <w:t>7.54</w:t>
            </w:r>
          </w:p>
        </w:tc>
        <w:tc>
          <w:tcPr>
            <w:tcW w:w="921" w:type="dxa"/>
            <w:vAlign w:val="top"/>
          </w:tcPr>
          <w:p>
            <w:pPr>
              <w:pStyle w:val="TableText"/>
              <w:rPr/>
            </w:pPr>
            <w:r/>
          </w:p>
        </w:tc>
      </w:tr>
      <w:tr>
        <w:trPr>
          <w:trHeight w:val="532"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7" w:right="149"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bl>
    <w:p>
      <w:pPr>
        <w:rPr>
          <w:rFonts w:ascii="Arial"/>
          <w:sz w:val="21"/>
        </w:rPr>
      </w:pPr>
      <w:r/>
    </w:p>
    <w:p>
      <w:pPr>
        <w:sectPr>
          <w:headerReference w:type="default" r:id="rId7"/>
          <w:footerReference w:type="default" r:id="rId8"/>
          <w:pgSz w:w="11900" w:h="16840"/>
          <w:pgMar w:top="642" w:right="0" w:bottom="340" w:left="0" w:header="326" w:footer="110" w:gutter="0"/>
        </w:sectPr>
        <w:rPr>
          <w:rFonts w:ascii="Arial" w:hAnsi="Arial" w:eastAsia="Arial" w:cs="Arial"/>
          <w:sz w:val="21"/>
          <w:szCs w:val="21"/>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73"/>
        <w:gridCol w:w="1123"/>
        <w:gridCol w:w="2141"/>
        <w:gridCol w:w="1153"/>
        <w:gridCol w:w="1138"/>
        <w:gridCol w:w="921"/>
      </w:tblGrid>
      <w:tr>
        <w:trPr>
          <w:trHeight w:val="531"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right="140"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3"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16"/>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7" w:right="140"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6" w:right="140"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pStyle w:val="TableText"/>
              <w:rPr/>
            </w:pPr>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23" w:type="dxa"/>
            <w:vAlign w:val="top"/>
          </w:tcPr>
          <w:p>
            <w:pPr>
              <w:pStyle w:val="TableText"/>
              <w:ind w:left="563"/>
              <w:spacing w:before="186" w:line="184" w:lineRule="auto"/>
              <w:rPr>
                <w:sz w:val="15"/>
                <w:szCs w:val="15"/>
              </w:rPr>
            </w:pPr>
            <w:r>
              <w:rPr>
                <w:sz w:val="15"/>
                <w:szCs w:val="15"/>
                <w:color w:val="212529"/>
                <w:spacing w:val="2"/>
              </w:rPr>
              <w:t>131.</w:t>
            </w:r>
            <w:r>
              <w:rPr>
                <w:sz w:val="15"/>
                <w:szCs w:val="15"/>
                <w:color w:val="212529"/>
                <w:spacing w:val="2"/>
              </w:rPr>
              <w:t xml:space="preserve"> </w:t>
            </w:r>
            <w:r>
              <w:rPr>
                <w:sz w:val="15"/>
                <w:szCs w:val="15"/>
                <w:color w:val="212529"/>
                <w:spacing w:val="2"/>
              </w:rPr>
              <w:t>94</w:t>
            </w:r>
          </w:p>
        </w:tc>
        <w:tc>
          <w:tcPr>
            <w:tcW w:w="2141" w:type="dxa"/>
            <w:vAlign w:val="top"/>
          </w:tcPr>
          <w:p>
            <w:pPr>
              <w:ind w:left="1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97"/>
              <w:spacing w:before="186" w:line="212" w:lineRule="auto"/>
              <w:rPr>
                <w:sz w:val="13"/>
                <w:szCs w:val="13"/>
              </w:rPr>
            </w:pPr>
            <w:r>
              <w:rPr>
                <w:sz w:val="13"/>
                <w:szCs w:val="13"/>
                <w:color w:val="212529"/>
                <w:spacing w:val="11"/>
              </w:rPr>
              <w:t>137.</w:t>
            </w:r>
            <w:r>
              <w:rPr>
                <w:sz w:val="13"/>
                <w:szCs w:val="13"/>
                <w:color w:val="212529"/>
                <w:spacing w:val="15"/>
                <w:w w:val="102"/>
              </w:rPr>
              <w:t xml:space="preserve"> </w:t>
            </w:r>
            <w:r>
              <w:rPr>
                <w:sz w:val="13"/>
                <w:szCs w:val="13"/>
                <w:color w:val="212529"/>
                <w:spacing w:val="11"/>
              </w:rPr>
              <w:t>47</w:t>
            </w:r>
          </w:p>
        </w:tc>
        <w:tc>
          <w:tcPr>
            <w:tcW w:w="1138" w:type="dxa"/>
            <w:vAlign w:val="top"/>
          </w:tcPr>
          <w:p>
            <w:pPr>
              <w:pStyle w:val="TableText"/>
              <w:ind w:right="19"/>
              <w:spacing w:before="186" w:line="184" w:lineRule="auto"/>
              <w:jc w:val="right"/>
              <w:rPr>
                <w:sz w:val="15"/>
                <w:szCs w:val="15"/>
              </w:rPr>
            </w:pPr>
            <w:r>
              <w:rPr>
                <w:sz w:val="15"/>
                <w:szCs w:val="15"/>
                <w:color w:val="212529"/>
                <w:spacing w:val="2"/>
              </w:rPr>
              <w:t>131.</w:t>
            </w:r>
            <w:r>
              <w:rPr>
                <w:sz w:val="15"/>
                <w:szCs w:val="15"/>
                <w:color w:val="212529"/>
                <w:spacing w:val="2"/>
              </w:rPr>
              <w:t xml:space="preserve"> </w:t>
            </w:r>
            <w:r>
              <w:rPr>
                <w:sz w:val="15"/>
                <w:szCs w:val="15"/>
                <w:color w:val="212529"/>
                <w:spacing w:val="2"/>
              </w:rPr>
              <w:t>94</w:t>
            </w:r>
          </w:p>
        </w:tc>
        <w:tc>
          <w:tcPr>
            <w:tcW w:w="921" w:type="dxa"/>
            <w:vAlign w:val="top"/>
          </w:tcPr>
          <w:p>
            <w:pPr>
              <w:pStyle w:val="TableText"/>
              <w:ind w:left="527"/>
              <w:spacing w:before="186" w:line="211" w:lineRule="auto"/>
              <w:rPr>
                <w:sz w:val="13"/>
                <w:szCs w:val="13"/>
              </w:rPr>
            </w:pPr>
            <w:r>
              <w:rPr>
                <w:sz w:val="13"/>
                <w:szCs w:val="13"/>
                <w:color w:val="212529"/>
                <w:spacing w:val="10"/>
              </w:rPr>
              <w:t>5.</w:t>
            </w:r>
            <w:r>
              <w:rPr>
                <w:sz w:val="13"/>
                <w:szCs w:val="13"/>
                <w:color w:val="212529"/>
                <w:spacing w:val="15"/>
                <w:w w:val="101"/>
              </w:rPr>
              <w:t xml:space="preserve"> </w:t>
            </w:r>
            <w:r>
              <w:rPr>
                <w:sz w:val="13"/>
                <w:szCs w:val="13"/>
                <w:color w:val="212529"/>
                <w:spacing w:val="10"/>
              </w:rPr>
              <w:t>53</w:t>
            </w:r>
          </w:p>
        </w:tc>
      </w:tr>
      <w:tr>
        <w:trPr>
          <w:trHeight w:val="524" w:hRule="atLeast"/>
        </w:trPr>
        <w:tc>
          <w:tcPr>
            <w:tcW w:w="207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23" w:type="dxa"/>
            <w:vAlign w:val="top"/>
          </w:tcPr>
          <w:p>
            <w:pPr>
              <w:ind w:right="21"/>
              <w:spacing w:before="196"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5.53</w:t>
            </w:r>
          </w:p>
        </w:tc>
        <w:tc>
          <w:tcPr>
            <w:tcW w:w="2141" w:type="dxa"/>
            <w:vAlign w:val="top"/>
          </w:tcPr>
          <w:p>
            <w:pPr>
              <w:ind w:left="20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31" w:hRule="atLeast"/>
        </w:trPr>
        <w:tc>
          <w:tcPr>
            <w:tcW w:w="207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23" w:type="dxa"/>
            <w:vAlign w:val="top"/>
          </w:tcPr>
          <w:p>
            <w:pPr>
              <w:pStyle w:val="TableText"/>
              <w:ind w:left="563"/>
              <w:spacing w:before="188" w:line="212" w:lineRule="auto"/>
              <w:rPr>
                <w:sz w:val="13"/>
                <w:szCs w:val="13"/>
              </w:rPr>
            </w:pPr>
            <w:r>
              <w:rPr>
                <w:sz w:val="13"/>
                <w:szCs w:val="13"/>
                <w:color w:val="212529"/>
                <w:spacing w:val="11"/>
              </w:rPr>
              <w:t>137.</w:t>
            </w:r>
            <w:r>
              <w:rPr>
                <w:sz w:val="13"/>
                <w:szCs w:val="13"/>
                <w:color w:val="212529"/>
                <w:spacing w:val="15"/>
                <w:w w:val="102"/>
              </w:rPr>
              <w:t xml:space="preserve"> </w:t>
            </w:r>
            <w:r>
              <w:rPr>
                <w:sz w:val="13"/>
                <w:szCs w:val="13"/>
                <w:color w:val="212529"/>
                <w:spacing w:val="11"/>
              </w:rPr>
              <w:t>47</w:t>
            </w:r>
          </w:p>
        </w:tc>
        <w:tc>
          <w:tcPr>
            <w:tcW w:w="2141" w:type="dxa"/>
            <w:vAlign w:val="top"/>
          </w:tcPr>
          <w:p>
            <w:pPr>
              <w:ind w:left="1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97"/>
              <w:spacing w:before="188" w:line="212" w:lineRule="auto"/>
              <w:rPr>
                <w:sz w:val="13"/>
                <w:szCs w:val="13"/>
              </w:rPr>
            </w:pPr>
            <w:r>
              <w:rPr>
                <w:sz w:val="13"/>
                <w:szCs w:val="13"/>
                <w:color w:val="212529"/>
                <w:spacing w:val="11"/>
              </w:rPr>
              <w:t>137.</w:t>
            </w:r>
            <w:r>
              <w:rPr>
                <w:sz w:val="13"/>
                <w:szCs w:val="13"/>
                <w:color w:val="212529"/>
                <w:spacing w:val="15"/>
                <w:w w:val="102"/>
              </w:rPr>
              <w:t xml:space="preserve"> </w:t>
            </w:r>
            <w:r>
              <w:rPr>
                <w:sz w:val="13"/>
                <w:szCs w:val="13"/>
                <w:color w:val="212529"/>
                <w:spacing w:val="11"/>
              </w:rPr>
              <w:t>47</w:t>
            </w:r>
          </w:p>
        </w:tc>
        <w:tc>
          <w:tcPr>
            <w:tcW w:w="1138" w:type="dxa"/>
            <w:vAlign w:val="top"/>
          </w:tcPr>
          <w:p>
            <w:pPr>
              <w:pStyle w:val="TableText"/>
              <w:ind w:right="19"/>
              <w:spacing w:before="188" w:line="184" w:lineRule="auto"/>
              <w:jc w:val="right"/>
              <w:rPr>
                <w:sz w:val="15"/>
                <w:szCs w:val="15"/>
              </w:rPr>
            </w:pPr>
            <w:r>
              <w:rPr>
                <w:sz w:val="15"/>
                <w:szCs w:val="15"/>
                <w:color w:val="212529"/>
                <w:spacing w:val="2"/>
              </w:rPr>
              <w:t>131.</w:t>
            </w:r>
            <w:r>
              <w:rPr>
                <w:sz w:val="15"/>
                <w:szCs w:val="15"/>
                <w:color w:val="212529"/>
                <w:spacing w:val="2"/>
              </w:rPr>
              <w:t xml:space="preserve"> </w:t>
            </w:r>
            <w:r>
              <w:rPr>
                <w:sz w:val="15"/>
                <w:szCs w:val="15"/>
                <w:color w:val="212529"/>
                <w:spacing w:val="2"/>
              </w:rPr>
              <w:t>94</w:t>
            </w:r>
          </w:p>
        </w:tc>
        <w:tc>
          <w:tcPr>
            <w:tcW w:w="921" w:type="dxa"/>
            <w:vAlign w:val="top"/>
          </w:tcPr>
          <w:p>
            <w:pPr>
              <w:pStyle w:val="TableText"/>
              <w:ind w:left="527"/>
              <w:spacing w:before="188" w:line="211" w:lineRule="auto"/>
              <w:rPr>
                <w:sz w:val="13"/>
                <w:szCs w:val="13"/>
              </w:rPr>
            </w:pPr>
            <w:r>
              <w:rPr>
                <w:sz w:val="13"/>
                <w:szCs w:val="13"/>
                <w:color w:val="212529"/>
                <w:spacing w:val="10"/>
              </w:rPr>
              <w:t>5.</w:t>
            </w:r>
            <w:r>
              <w:rPr>
                <w:sz w:val="13"/>
                <w:szCs w:val="13"/>
                <w:color w:val="212529"/>
                <w:spacing w:val="15"/>
                <w:w w:val="101"/>
              </w:rPr>
              <w:t xml:space="preserve"> </w:t>
            </w:r>
            <w:r>
              <w:rPr>
                <w:sz w:val="13"/>
                <w:szCs w:val="13"/>
                <w:color w:val="212529"/>
                <w:spacing w:val="10"/>
              </w:rPr>
              <w:t>53</w:t>
            </w:r>
          </w:p>
        </w:tc>
      </w:tr>
    </w:tbl>
    <w:p>
      <w:pPr>
        <w:rPr>
          <w:rFonts w:ascii="Arial"/>
          <w:sz w:val="21"/>
        </w:rPr>
      </w:pPr>
      <w:r/>
    </w:p>
    <w:p>
      <w:pPr>
        <w:sectPr>
          <w:headerReference w:type="default" r:id="rId9"/>
          <w:footerReference w:type="default" r:id="rId10"/>
          <w:pgSz w:w="11900" w:h="16840"/>
          <w:pgMar w:top="642" w:right="0" w:bottom="340" w:left="0" w:header="326" w:footer="111" w:gutter="0"/>
        </w:sectPr>
        <w:rPr>
          <w:rFonts w:ascii="Arial" w:hAnsi="Arial" w:eastAsia="Arial" w:cs="Arial"/>
          <w:sz w:val="21"/>
          <w:szCs w:val="21"/>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67"/>
        <w:gridCol w:w="1438"/>
        <w:gridCol w:w="1259"/>
        <w:gridCol w:w="1318"/>
        <w:gridCol w:w="1498"/>
        <w:gridCol w:w="1483"/>
        <w:gridCol w:w="974"/>
        <w:gridCol w:w="1101"/>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6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5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75" w:type="dxa"/>
            <w:vAlign w:val="top"/>
            <w:gridSpan w:val="2"/>
            <w:tcBorders>
              <w:left w:val="single" w:color="FFFFFF" w:sz="2" w:space="0"/>
              <w:right w:val="single" w:color="FFFFFF" w:sz="2" w:space="0"/>
              <w:bottom w:val="single" w:color="FFFFFF" w:sz="6" w:space="0"/>
              <w:top w:val="single" w:color="FFFFFF" w:sz="6" w:space="0"/>
            </w:tcBorders>
          </w:tcPr>
          <w:p>
            <w:pPr>
              <w:ind w:left="1053"/>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398"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单位名称：兴县孟家坪乡卫生院贺家会分院</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59"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2075" w:type="dxa"/>
            <w:vAlign w:val="top"/>
            <w:gridSpan w:val="2"/>
            <w:tcBorders>
              <w:left w:val="single" w:color="FFFFFF" w:sz="2" w:space="0"/>
              <w:right w:val="single" w:color="FFFFFF" w:sz="2" w:space="0"/>
              <w:top w:val="single" w:color="FFFFFF" w:sz="6" w:space="0"/>
            </w:tcBorders>
          </w:tcPr>
          <w:p>
            <w:pPr>
              <w:ind w:left="1144"/>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398" w:type="dxa"/>
            <w:vAlign w:val="top"/>
            <w:gridSpan w:val="2"/>
          </w:tcPr>
          <w:p>
            <w:pPr>
              <w:ind w:left="199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970" w:type="dxa"/>
            <w:vAlign w:val="top"/>
            <w:gridSpan w:val="6"/>
          </w:tcPr>
          <w:p>
            <w:pPr>
              <w:ind w:left="3608"/>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101" w:type="dxa"/>
            <w:vAlign w:val="top"/>
            <w:vMerge w:val="restart"/>
            <w:tcBorders>
              <w:bottom w:val="nil"/>
            </w:tcBorders>
          </w:tcPr>
          <w:p>
            <w:pPr>
              <w:pStyle w:val="TableText"/>
              <w:spacing w:line="273" w:lineRule="auto"/>
              <w:rPr/>
            </w:pPr>
            <w:r/>
          </w:p>
          <w:p>
            <w:pPr>
              <w:ind w:left="17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0"/>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67" w:type="dxa"/>
            <w:vAlign w:val="top"/>
          </w:tcPr>
          <w:p>
            <w:pPr>
              <w:ind w:left="1095"/>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16"/>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59" w:type="dxa"/>
            <w:vAlign w:val="top"/>
          </w:tcPr>
          <w:p>
            <w:pPr>
              <w:ind w:left="67"/>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0"/>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498" w:type="dxa"/>
            <w:vAlign w:val="top"/>
          </w:tcPr>
          <w:p>
            <w:pPr>
              <w:ind w:left="28"/>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83" w:type="dxa"/>
            <w:vAlign w:val="top"/>
          </w:tcPr>
          <w:p>
            <w:pPr>
              <w:ind w:left="1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5"/>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101" w:type="dxa"/>
            <w:vAlign w:val="top"/>
            <w:vMerge w:val="continue"/>
            <w:tcBorders>
              <w:top w:val="nil"/>
            </w:tcBorders>
          </w:tcPr>
          <w:p>
            <w:pPr>
              <w:pStyle w:val="TableText"/>
              <w:rPr/>
            </w:pPr>
            <w:r/>
          </w:p>
        </w:tc>
      </w:tr>
      <w:tr>
        <w:trPr>
          <w:trHeight w:val="434" w:hRule="atLeast"/>
        </w:trPr>
        <w:tc>
          <w:tcPr>
            <w:tcW w:w="4398" w:type="dxa"/>
            <w:vAlign w:val="top"/>
            <w:gridSpan w:val="2"/>
          </w:tcPr>
          <w:p>
            <w:pPr>
              <w:ind w:left="2000"/>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65"/>
              <w:spacing w:before="149" w:line="184" w:lineRule="auto"/>
              <w:rPr>
                <w:sz w:val="15"/>
                <w:szCs w:val="15"/>
              </w:rPr>
            </w:pPr>
            <w:r>
              <w:rPr>
                <w:sz w:val="15"/>
                <w:szCs w:val="15"/>
                <w:color w:val="212529"/>
                <w:spacing w:val="2"/>
              </w:rPr>
              <w:t>131.</w:t>
            </w:r>
            <w:r>
              <w:rPr>
                <w:sz w:val="15"/>
                <w:szCs w:val="15"/>
                <w:color w:val="212529"/>
                <w:spacing w:val="2"/>
              </w:rPr>
              <w:t xml:space="preserve"> </w:t>
            </w:r>
            <w:r>
              <w:rPr>
                <w:sz w:val="15"/>
                <w:szCs w:val="15"/>
                <w:color w:val="212529"/>
                <w:spacing w:val="2"/>
              </w:rPr>
              <w:t>94</w:t>
            </w:r>
          </w:p>
        </w:tc>
        <w:tc>
          <w:tcPr>
            <w:tcW w:w="1259" w:type="dxa"/>
            <w:vAlign w:val="top"/>
          </w:tcPr>
          <w:p>
            <w:pPr>
              <w:pStyle w:val="TableText"/>
              <w:ind w:left="695"/>
              <w:spacing w:before="149" w:line="184" w:lineRule="auto"/>
              <w:rPr>
                <w:sz w:val="15"/>
                <w:szCs w:val="15"/>
              </w:rPr>
            </w:pPr>
            <w:r>
              <w:rPr>
                <w:sz w:val="15"/>
                <w:szCs w:val="15"/>
                <w:color w:val="212529"/>
                <w:spacing w:val="2"/>
              </w:rPr>
              <w:t>131.</w:t>
            </w:r>
            <w:r>
              <w:rPr>
                <w:sz w:val="15"/>
                <w:szCs w:val="15"/>
                <w:color w:val="212529"/>
                <w:spacing w:val="2"/>
              </w:rPr>
              <w:t xml:space="preserve"> </w:t>
            </w:r>
            <w:r>
              <w:rPr>
                <w:sz w:val="15"/>
                <w:szCs w:val="15"/>
                <w:color w:val="212529"/>
                <w:spacing w:val="2"/>
              </w:rPr>
              <w:t>94</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ind w:left="707"/>
              <w:spacing w:before="149" w:line="211" w:lineRule="auto"/>
              <w:rPr>
                <w:sz w:val="13"/>
                <w:szCs w:val="13"/>
              </w:rPr>
            </w:pPr>
            <w:r>
              <w:rPr>
                <w:sz w:val="13"/>
                <w:szCs w:val="13"/>
                <w:color w:val="212529"/>
                <w:spacing w:val="10"/>
              </w:rPr>
              <w:t>5.</w:t>
            </w:r>
            <w:r>
              <w:rPr>
                <w:sz w:val="13"/>
                <w:szCs w:val="13"/>
                <w:color w:val="212529"/>
                <w:spacing w:val="15"/>
                <w:w w:val="101"/>
              </w:rPr>
              <w:t xml:space="preserve"> </w:t>
            </w:r>
            <w:r>
              <w:rPr>
                <w:sz w:val="13"/>
                <w:szCs w:val="13"/>
                <w:color w:val="212529"/>
                <w:spacing w:val="10"/>
              </w:rPr>
              <w:t>53</w:t>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67" w:type="dxa"/>
            <w:vAlign w:val="top"/>
          </w:tcPr>
          <w:p>
            <w:pPr>
              <w:spacing w:before="128" w:line="218" w:lineRule="auto"/>
              <w:rPr>
                <w:rFonts w:ascii="SimSun" w:hAnsi="SimSun" w:eastAsia="SimSun" w:cs="SimSun"/>
                <w:sz w:val="18"/>
                <w:szCs w:val="18"/>
              </w:rPr>
            </w:pPr>
            <w:r>
              <w:rPr>
                <w:rFonts w:ascii="SimSun" w:hAnsi="SimSun" w:eastAsia="SimSun" w:cs="SimSun"/>
                <w:sz w:val="18"/>
                <w:szCs w:val="18"/>
                <w:color w:val="212529"/>
                <w:spacing w:val="-2"/>
              </w:rPr>
              <w:t>社会保障和就业支出</w:t>
            </w:r>
          </w:p>
        </w:tc>
        <w:tc>
          <w:tcPr>
            <w:tcW w:w="1438" w:type="dxa"/>
            <w:vAlign w:val="top"/>
          </w:tcPr>
          <w:p>
            <w:pPr>
              <w:ind w:left="1032"/>
              <w:spacing w:before="129" w:line="238" w:lineRule="auto"/>
              <w:rPr>
                <w:rFonts w:ascii="SimSun" w:hAnsi="SimSun" w:eastAsia="SimSun" w:cs="SimSun"/>
                <w:sz w:val="18"/>
                <w:szCs w:val="18"/>
              </w:rPr>
            </w:pPr>
            <w:r>
              <w:rPr>
                <w:rFonts w:ascii="SimSun" w:hAnsi="SimSun" w:eastAsia="SimSun" w:cs="SimSun"/>
                <w:sz w:val="18"/>
                <w:szCs w:val="18"/>
                <w:color w:val="212529"/>
                <w:spacing w:val="-2"/>
              </w:rPr>
              <w:t>8.21</w:t>
            </w:r>
          </w:p>
        </w:tc>
        <w:tc>
          <w:tcPr>
            <w:tcW w:w="1259" w:type="dxa"/>
            <w:vAlign w:val="top"/>
          </w:tcPr>
          <w:p>
            <w:pPr>
              <w:ind w:right="26"/>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8.21</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67" w:type="dxa"/>
            <w:vAlign w:val="top"/>
          </w:tcPr>
          <w:p>
            <w:pPr>
              <w:spacing w:before="129"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left="1032"/>
              <w:spacing w:before="130" w:line="238" w:lineRule="auto"/>
              <w:rPr>
                <w:rFonts w:ascii="SimSun" w:hAnsi="SimSun" w:eastAsia="SimSun" w:cs="SimSun"/>
                <w:sz w:val="18"/>
                <w:szCs w:val="18"/>
              </w:rPr>
            </w:pPr>
            <w:r>
              <w:rPr>
                <w:rFonts w:ascii="SimSun" w:hAnsi="SimSun" w:eastAsia="SimSun" w:cs="SimSun"/>
                <w:sz w:val="18"/>
                <w:szCs w:val="18"/>
                <w:color w:val="212529"/>
                <w:spacing w:val="-2"/>
              </w:rPr>
              <w:t>8.21</w:t>
            </w:r>
          </w:p>
        </w:tc>
        <w:tc>
          <w:tcPr>
            <w:tcW w:w="1259" w:type="dxa"/>
            <w:vAlign w:val="top"/>
          </w:tcPr>
          <w:p>
            <w:pPr>
              <w:ind w:right="26"/>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8.21</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67" w:type="dxa"/>
            <w:vAlign w:val="top"/>
          </w:tcPr>
          <w:p>
            <w:pPr>
              <w:spacing w:before="130"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left="1032"/>
              <w:spacing w:before="131" w:line="238" w:lineRule="auto"/>
              <w:rPr>
                <w:rFonts w:ascii="SimSun" w:hAnsi="SimSun" w:eastAsia="SimSun" w:cs="SimSun"/>
                <w:sz w:val="18"/>
                <w:szCs w:val="18"/>
              </w:rPr>
            </w:pPr>
            <w:r>
              <w:rPr>
                <w:rFonts w:ascii="SimSun" w:hAnsi="SimSun" w:eastAsia="SimSun" w:cs="SimSun"/>
                <w:sz w:val="18"/>
                <w:szCs w:val="18"/>
                <w:color w:val="212529"/>
                <w:spacing w:val="-2"/>
              </w:rPr>
              <w:t>8.21</w:t>
            </w:r>
          </w:p>
        </w:tc>
        <w:tc>
          <w:tcPr>
            <w:tcW w:w="1259" w:type="dxa"/>
            <w:vAlign w:val="top"/>
          </w:tcPr>
          <w:p>
            <w:pPr>
              <w:ind w:right="26"/>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8.21</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67" w:type="dxa"/>
            <w:vAlign w:val="top"/>
          </w:tcPr>
          <w:p>
            <w:pPr>
              <w:spacing w:before="131"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left="865"/>
              <w:spacing w:before="132" w:line="238" w:lineRule="auto"/>
              <w:rPr>
                <w:rFonts w:ascii="SimSun" w:hAnsi="SimSun" w:eastAsia="SimSun" w:cs="SimSun"/>
                <w:sz w:val="18"/>
                <w:szCs w:val="18"/>
              </w:rPr>
            </w:pPr>
            <w:r>
              <w:rPr>
                <w:rFonts w:ascii="SimSun" w:hAnsi="SimSun" w:eastAsia="SimSun" w:cs="SimSun"/>
                <w:sz w:val="18"/>
                <w:szCs w:val="18"/>
                <w:color w:val="212529"/>
                <w:spacing w:val="-3"/>
              </w:rPr>
              <w:t>116.19</w:t>
            </w:r>
          </w:p>
        </w:tc>
        <w:tc>
          <w:tcPr>
            <w:tcW w:w="1259" w:type="dxa"/>
            <w:vAlign w:val="top"/>
          </w:tcPr>
          <w:p>
            <w:pPr>
              <w:ind w:right="25"/>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3"/>
              </w:rPr>
              <w:t>116.19</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ind w:right="26"/>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5.53</w:t>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21003</w:t>
            </w:r>
          </w:p>
        </w:tc>
        <w:tc>
          <w:tcPr>
            <w:tcW w:w="2967" w:type="dxa"/>
            <w:vAlign w:val="top"/>
          </w:tcPr>
          <w:p>
            <w:pPr>
              <w:spacing w:before="132" w:line="218" w:lineRule="auto"/>
              <w:rPr>
                <w:rFonts w:ascii="SimSun" w:hAnsi="SimSun" w:eastAsia="SimSun" w:cs="SimSun"/>
                <w:sz w:val="18"/>
                <w:szCs w:val="18"/>
              </w:rPr>
            </w:pPr>
            <w:r>
              <w:rPr>
                <w:rFonts w:ascii="SimSun" w:hAnsi="SimSun" w:eastAsia="SimSun" w:cs="SimSun"/>
                <w:sz w:val="18"/>
                <w:szCs w:val="18"/>
                <w:color w:val="212529"/>
                <w:spacing w:val="-2"/>
              </w:rPr>
              <w:t>基层医疗卫生机构</w:t>
            </w:r>
          </w:p>
        </w:tc>
        <w:tc>
          <w:tcPr>
            <w:tcW w:w="1438" w:type="dxa"/>
            <w:vAlign w:val="top"/>
          </w:tcPr>
          <w:p>
            <w:pPr>
              <w:ind w:left="865"/>
              <w:spacing w:before="133" w:line="238" w:lineRule="auto"/>
              <w:rPr>
                <w:rFonts w:ascii="SimSun" w:hAnsi="SimSun" w:eastAsia="SimSun" w:cs="SimSun"/>
                <w:sz w:val="18"/>
                <w:szCs w:val="18"/>
              </w:rPr>
            </w:pPr>
            <w:r>
              <w:rPr>
                <w:rFonts w:ascii="SimSun" w:hAnsi="SimSun" w:eastAsia="SimSun" w:cs="SimSun"/>
                <w:sz w:val="18"/>
                <w:szCs w:val="18"/>
                <w:color w:val="212529"/>
                <w:spacing w:val="-3"/>
              </w:rPr>
              <w:t>107.83</w:t>
            </w:r>
          </w:p>
        </w:tc>
        <w:tc>
          <w:tcPr>
            <w:tcW w:w="1259" w:type="dxa"/>
            <w:vAlign w:val="top"/>
          </w:tcPr>
          <w:p>
            <w:pPr>
              <w:ind w:right="25"/>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3"/>
              </w:rPr>
              <w:t>107.83</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2100302</w:t>
            </w:r>
          </w:p>
        </w:tc>
        <w:tc>
          <w:tcPr>
            <w:tcW w:w="2967" w:type="dxa"/>
            <w:vAlign w:val="top"/>
          </w:tcPr>
          <w:p>
            <w:pPr>
              <w:ind w:left="4"/>
              <w:spacing w:before="133" w:line="219" w:lineRule="auto"/>
              <w:rPr>
                <w:rFonts w:ascii="SimSun" w:hAnsi="SimSun" w:eastAsia="SimSun" w:cs="SimSun"/>
                <w:sz w:val="18"/>
                <w:szCs w:val="18"/>
              </w:rPr>
            </w:pPr>
            <w:r>
              <w:rPr>
                <w:rFonts w:ascii="SimSun" w:hAnsi="SimSun" w:eastAsia="SimSun" w:cs="SimSun"/>
                <w:sz w:val="18"/>
                <w:szCs w:val="18"/>
                <w:color w:val="212529"/>
                <w:spacing w:val="-3"/>
              </w:rPr>
              <w:t>乡镇卫生院</w:t>
            </w:r>
          </w:p>
        </w:tc>
        <w:tc>
          <w:tcPr>
            <w:tcW w:w="1438" w:type="dxa"/>
            <w:vAlign w:val="top"/>
          </w:tcPr>
          <w:p>
            <w:pPr>
              <w:ind w:left="942"/>
              <w:spacing w:before="134" w:line="238" w:lineRule="auto"/>
              <w:rPr>
                <w:rFonts w:ascii="SimSun" w:hAnsi="SimSun" w:eastAsia="SimSun" w:cs="SimSun"/>
                <w:sz w:val="18"/>
                <w:szCs w:val="18"/>
              </w:rPr>
            </w:pPr>
            <w:r>
              <w:rPr>
                <w:rFonts w:ascii="SimSun" w:hAnsi="SimSun" w:eastAsia="SimSun" w:cs="SimSun"/>
                <w:sz w:val="18"/>
                <w:szCs w:val="18"/>
                <w:color w:val="212529"/>
                <w:spacing w:val="-2"/>
              </w:rPr>
              <w:t>96.11</w:t>
            </w:r>
          </w:p>
        </w:tc>
        <w:tc>
          <w:tcPr>
            <w:tcW w:w="1259" w:type="dxa"/>
            <w:vAlign w:val="top"/>
          </w:tcPr>
          <w:p>
            <w:pPr>
              <w:ind w:right="27"/>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96.11</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2100399</w:t>
            </w:r>
          </w:p>
        </w:tc>
        <w:tc>
          <w:tcPr>
            <w:tcW w:w="2967" w:type="dxa"/>
            <w:vAlign w:val="top"/>
          </w:tcPr>
          <w:p>
            <w:pPr>
              <w:spacing w:before="134" w:line="218" w:lineRule="auto"/>
              <w:rPr>
                <w:rFonts w:ascii="SimSun" w:hAnsi="SimSun" w:eastAsia="SimSun" w:cs="SimSun"/>
                <w:sz w:val="18"/>
                <w:szCs w:val="18"/>
              </w:rPr>
            </w:pPr>
            <w:r>
              <w:rPr>
                <w:rFonts w:ascii="SimSun" w:hAnsi="SimSun" w:eastAsia="SimSun" w:cs="SimSun"/>
                <w:sz w:val="18"/>
                <w:szCs w:val="18"/>
                <w:color w:val="212529"/>
                <w:spacing w:val="-1"/>
              </w:rPr>
              <w:t>其他基层医疗卫生机构支出</w:t>
            </w:r>
          </w:p>
        </w:tc>
        <w:tc>
          <w:tcPr>
            <w:tcW w:w="1438" w:type="dxa"/>
            <w:vAlign w:val="top"/>
          </w:tcPr>
          <w:p>
            <w:pPr>
              <w:ind w:right="34"/>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4"/>
              </w:rPr>
              <w:t>11.73</w:t>
            </w:r>
          </w:p>
        </w:tc>
        <w:tc>
          <w:tcPr>
            <w:tcW w:w="1259" w:type="dxa"/>
            <w:vAlign w:val="top"/>
          </w:tcPr>
          <w:p>
            <w:pPr>
              <w:ind w:right="24"/>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4"/>
              </w:rPr>
              <w:t>11.73</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21004</w:t>
            </w:r>
          </w:p>
        </w:tc>
        <w:tc>
          <w:tcPr>
            <w:tcW w:w="2967" w:type="dxa"/>
            <w:vAlign w:val="top"/>
          </w:tcPr>
          <w:p>
            <w:pPr>
              <w:ind w:left="2"/>
              <w:spacing w:before="135" w:line="219" w:lineRule="auto"/>
              <w:rPr>
                <w:rFonts w:ascii="SimSun" w:hAnsi="SimSun" w:eastAsia="SimSun" w:cs="SimSun"/>
                <w:sz w:val="18"/>
                <w:szCs w:val="18"/>
              </w:rPr>
            </w:pPr>
            <w:r>
              <w:rPr>
                <w:rFonts w:ascii="SimSun" w:hAnsi="SimSun" w:eastAsia="SimSun" w:cs="SimSun"/>
                <w:sz w:val="18"/>
                <w:szCs w:val="18"/>
                <w:color w:val="212529"/>
                <w:spacing w:val="-3"/>
              </w:rPr>
              <w:t>公共卫生</w:t>
            </w:r>
          </w:p>
        </w:tc>
        <w:tc>
          <w:tcPr>
            <w:tcW w:w="1438" w:type="dxa"/>
            <w:vAlign w:val="top"/>
          </w:tcPr>
          <w:p>
            <w:pPr>
              <w:ind w:left="1031"/>
              <w:spacing w:before="136" w:line="238" w:lineRule="auto"/>
              <w:rPr>
                <w:rFonts w:ascii="SimSun" w:hAnsi="SimSun" w:eastAsia="SimSun" w:cs="SimSun"/>
                <w:sz w:val="18"/>
                <w:szCs w:val="18"/>
              </w:rPr>
            </w:pPr>
            <w:r>
              <w:rPr>
                <w:rFonts w:ascii="SimSun" w:hAnsi="SimSun" w:eastAsia="SimSun" w:cs="SimSun"/>
                <w:sz w:val="18"/>
                <w:szCs w:val="18"/>
                <w:color w:val="212529"/>
                <w:spacing w:val="-2"/>
              </w:rPr>
              <w:t>4.98</w:t>
            </w:r>
          </w:p>
        </w:tc>
        <w:tc>
          <w:tcPr>
            <w:tcW w:w="1259" w:type="dxa"/>
            <w:vAlign w:val="top"/>
          </w:tcPr>
          <w:p>
            <w:pPr>
              <w:ind w:right="27"/>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4.98</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ind w:right="26"/>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5.53</w:t>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2100408</w:t>
            </w:r>
          </w:p>
        </w:tc>
        <w:tc>
          <w:tcPr>
            <w:tcW w:w="2967" w:type="dxa"/>
            <w:vAlign w:val="top"/>
          </w:tcPr>
          <w:p>
            <w:pPr>
              <w:spacing w:before="136" w:line="218" w:lineRule="auto"/>
              <w:rPr>
                <w:rFonts w:ascii="SimSun" w:hAnsi="SimSun" w:eastAsia="SimSun" w:cs="SimSun"/>
                <w:sz w:val="18"/>
                <w:szCs w:val="18"/>
              </w:rPr>
            </w:pPr>
            <w:r>
              <w:rPr>
                <w:rFonts w:ascii="SimSun" w:hAnsi="SimSun" w:eastAsia="SimSun" w:cs="SimSun"/>
                <w:sz w:val="18"/>
                <w:szCs w:val="18"/>
                <w:color w:val="212529"/>
                <w:spacing w:val="-2"/>
              </w:rPr>
              <w:t>基本公共卫生服务</w:t>
            </w:r>
          </w:p>
        </w:tc>
        <w:tc>
          <w:tcPr>
            <w:tcW w:w="1438" w:type="dxa"/>
            <w:vAlign w:val="top"/>
          </w:tcPr>
          <w:p>
            <w:pPr>
              <w:ind w:left="1031"/>
              <w:spacing w:before="137" w:line="238" w:lineRule="auto"/>
              <w:rPr>
                <w:rFonts w:ascii="SimSun" w:hAnsi="SimSun" w:eastAsia="SimSun" w:cs="SimSun"/>
                <w:sz w:val="18"/>
                <w:szCs w:val="18"/>
              </w:rPr>
            </w:pPr>
            <w:r>
              <w:rPr>
                <w:rFonts w:ascii="SimSun" w:hAnsi="SimSun" w:eastAsia="SimSun" w:cs="SimSun"/>
                <w:sz w:val="18"/>
                <w:szCs w:val="18"/>
                <w:color w:val="212529"/>
                <w:spacing w:val="-2"/>
              </w:rPr>
              <w:t>4.98</w:t>
            </w:r>
          </w:p>
        </w:tc>
        <w:tc>
          <w:tcPr>
            <w:tcW w:w="1259" w:type="dxa"/>
            <w:vAlign w:val="top"/>
          </w:tcPr>
          <w:p>
            <w:pPr>
              <w:ind w:right="27"/>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4.98</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ind w:right="26"/>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5.53</w:t>
            </w:r>
          </w:p>
        </w:tc>
      </w:tr>
      <w:tr>
        <w:trPr>
          <w:trHeight w:val="434" w:hRule="atLeast"/>
        </w:trPr>
        <w:tc>
          <w:tcPr>
            <w:tcW w:w="143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6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438" w:type="dxa"/>
            <w:vAlign w:val="top"/>
          </w:tcPr>
          <w:p>
            <w:pPr>
              <w:ind w:left="1035"/>
              <w:spacing w:before="138" w:line="238" w:lineRule="auto"/>
              <w:rPr>
                <w:rFonts w:ascii="SimSun" w:hAnsi="SimSun" w:eastAsia="SimSun" w:cs="SimSun"/>
                <w:sz w:val="18"/>
                <w:szCs w:val="18"/>
              </w:rPr>
            </w:pPr>
            <w:r>
              <w:rPr>
                <w:rFonts w:ascii="SimSun" w:hAnsi="SimSun" w:eastAsia="SimSun" w:cs="SimSun"/>
                <w:sz w:val="18"/>
                <w:szCs w:val="18"/>
                <w:color w:val="212529"/>
                <w:spacing w:val="-2"/>
              </w:rPr>
              <w:t>3.37</w:t>
            </w:r>
          </w:p>
        </w:tc>
        <w:tc>
          <w:tcPr>
            <w:tcW w:w="1259" w:type="dxa"/>
            <w:vAlign w:val="top"/>
          </w:tcPr>
          <w:p>
            <w:pPr>
              <w:ind w:right="26"/>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3.37</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67"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left="1035"/>
              <w:spacing w:before="139" w:line="238" w:lineRule="auto"/>
              <w:rPr>
                <w:rFonts w:ascii="SimSun" w:hAnsi="SimSun" w:eastAsia="SimSun" w:cs="SimSun"/>
                <w:sz w:val="18"/>
                <w:szCs w:val="18"/>
              </w:rPr>
            </w:pPr>
            <w:r>
              <w:rPr>
                <w:rFonts w:ascii="SimSun" w:hAnsi="SimSun" w:eastAsia="SimSun" w:cs="SimSun"/>
                <w:sz w:val="18"/>
                <w:szCs w:val="18"/>
                <w:color w:val="212529"/>
                <w:spacing w:val="-2"/>
              </w:rPr>
              <w:t>3.37</w:t>
            </w:r>
          </w:p>
        </w:tc>
        <w:tc>
          <w:tcPr>
            <w:tcW w:w="1259"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3.37</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5" w:hRule="atLeast"/>
        </w:trPr>
        <w:tc>
          <w:tcPr>
            <w:tcW w:w="1431" w:type="dxa"/>
            <w:vAlign w:val="top"/>
          </w:tcPr>
          <w:p>
            <w:pPr>
              <w:ind w:left="9"/>
              <w:spacing w:before="139"/>
              <w:rPr>
                <w:rFonts w:ascii="SimSun" w:hAnsi="SimSun" w:eastAsia="SimSun" w:cs="SimSun"/>
                <w:sz w:val="18"/>
                <w:szCs w:val="18"/>
              </w:rPr>
            </w:pPr>
            <w:r>
              <w:rPr>
                <w:rFonts w:ascii="SimSun" w:hAnsi="SimSun" w:eastAsia="SimSun" w:cs="SimSun"/>
                <w:sz w:val="18"/>
                <w:szCs w:val="18"/>
                <w:color w:val="212529"/>
                <w:spacing w:val="-3"/>
              </w:rPr>
              <w:t>221</w:t>
            </w:r>
          </w:p>
        </w:tc>
        <w:tc>
          <w:tcPr>
            <w:tcW w:w="296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left="1036"/>
              <w:spacing w:before="139" w:line="238" w:lineRule="auto"/>
              <w:rPr>
                <w:rFonts w:ascii="SimSun" w:hAnsi="SimSun" w:eastAsia="SimSun" w:cs="SimSun"/>
                <w:sz w:val="18"/>
                <w:szCs w:val="18"/>
              </w:rPr>
            </w:pPr>
            <w:r>
              <w:rPr>
                <w:rFonts w:ascii="SimSun" w:hAnsi="SimSun" w:eastAsia="SimSun" w:cs="SimSun"/>
                <w:sz w:val="18"/>
                <w:szCs w:val="18"/>
                <w:color w:val="212529"/>
                <w:spacing w:val="-3"/>
              </w:rPr>
              <w:t>7.54</w:t>
            </w:r>
          </w:p>
        </w:tc>
        <w:tc>
          <w:tcPr>
            <w:tcW w:w="1259" w:type="dxa"/>
            <w:vAlign w:val="top"/>
          </w:tcPr>
          <w:p>
            <w:pPr>
              <w:ind w:right="25"/>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7.54</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6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left="1036"/>
              <w:spacing w:before="139" w:line="238" w:lineRule="auto"/>
              <w:rPr>
                <w:rFonts w:ascii="SimSun" w:hAnsi="SimSun" w:eastAsia="SimSun" w:cs="SimSun"/>
                <w:sz w:val="18"/>
                <w:szCs w:val="18"/>
              </w:rPr>
            </w:pPr>
            <w:r>
              <w:rPr>
                <w:rFonts w:ascii="SimSun" w:hAnsi="SimSun" w:eastAsia="SimSun" w:cs="SimSun"/>
                <w:sz w:val="18"/>
                <w:szCs w:val="18"/>
                <w:color w:val="212529"/>
                <w:spacing w:val="-3"/>
              </w:rPr>
              <w:t>7.54</w:t>
            </w:r>
          </w:p>
        </w:tc>
        <w:tc>
          <w:tcPr>
            <w:tcW w:w="1259" w:type="dxa"/>
            <w:vAlign w:val="top"/>
          </w:tcPr>
          <w:p>
            <w:pPr>
              <w:ind w:right="25"/>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7.54</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67"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left="1036"/>
              <w:spacing w:before="139" w:line="238" w:lineRule="auto"/>
              <w:rPr>
                <w:rFonts w:ascii="SimSun" w:hAnsi="SimSun" w:eastAsia="SimSun" w:cs="SimSun"/>
                <w:sz w:val="18"/>
                <w:szCs w:val="18"/>
              </w:rPr>
            </w:pPr>
            <w:r>
              <w:rPr>
                <w:rFonts w:ascii="SimSun" w:hAnsi="SimSun" w:eastAsia="SimSun" w:cs="SimSun"/>
                <w:sz w:val="18"/>
                <w:szCs w:val="18"/>
                <w:color w:val="212529"/>
                <w:spacing w:val="-3"/>
              </w:rPr>
              <w:t>7.54</w:t>
            </w:r>
          </w:p>
        </w:tc>
        <w:tc>
          <w:tcPr>
            <w:tcW w:w="1259" w:type="dxa"/>
            <w:vAlign w:val="top"/>
          </w:tcPr>
          <w:p>
            <w:pPr>
              <w:ind w:right="25"/>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3"/>
              </w:rPr>
              <w:t>7.54</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bl>
    <w:p>
      <w:pPr>
        <w:rPr>
          <w:rFonts w:ascii="Arial"/>
          <w:sz w:val="21"/>
        </w:rPr>
      </w:pPr>
      <w:r/>
    </w:p>
    <w:p>
      <w:pPr>
        <w:sectPr>
          <w:headerReference w:type="default" r:id="rId11"/>
          <w:footerReference w:type="default" r:id="rId12"/>
          <w:pgSz w:w="16840" w:h="1190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7"/>
        <w:gridCol w:w="3359"/>
        <w:gridCol w:w="1415"/>
        <w:gridCol w:w="1307"/>
        <w:gridCol w:w="1290"/>
      </w:tblGrid>
      <w:tr>
        <w:trPr>
          <w:trHeight w:val="319" w:hRule="atLeast"/>
        </w:trPr>
        <w:tc>
          <w:tcPr>
            <w:tcW w:w="178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5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1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0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90" w:type="dxa"/>
            <w:vAlign w:val="top"/>
            <w:tcBorders>
              <w:bottom w:val="single" w:color="FFFFFF" w:sz="4" w:space="0"/>
              <w:top w:val="single" w:color="FFFFFF" w:sz="4" w:space="0"/>
              <w:left w:val="single" w:color="FFFFFF" w:sz="2" w:space="0"/>
              <w:right w:val="single" w:color="FFFFFF" w:sz="2" w:space="0"/>
            </w:tcBorders>
          </w:tcPr>
          <w:p>
            <w:pPr>
              <w:ind w:left="551"/>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561" w:type="dxa"/>
            <w:vAlign w:val="top"/>
            <w:gridSpan w:val="3"/>
            <w:tcBorders>
              <w:top w:val="single" w:color="FFFFFF" w:sz="4" w:space="0"/>
              <w:left w:val="single" w:color="FFFFFF" w:sz="2" w:space="0"/>
              <w:right w:val="single" w:color="FFFFFF" w:sz="2" w:space="0"/>
            </w:tcBorders>
          </w:tcPr>
          <w:p>
            <w:pPr>
              <w:ind w:left="9"/>
              <w:spacing w:before="90" w:line="233"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单位名称：兴县孟家坪乡卫生院贺家会分院</w:t>
            </w:r>
          </w:p>
        </w:tc>
        <w:tc>
          <w:tcPr>
            <w:tcW w:w="1307" w:type="dxa"/>
            <w:vAlign w:val="top"/>
            <w:tcBorders>
              <w:top w:val="single" w:color="FFFFFF" w:sz="4" w:space="0"/>
              <w:left w:val="single" w:color="FFFFFF" w:sz="2" w:space="0"/>
              <w:right w:val="single" w:color="FFFFFF" w:sz="2" w:space="0"/>
            </w:tcBorders>
          </w:tcPr>
          <w:p>
            <w:pPr>
              <w:pStyle w:val="TableText"/>
              <w:rPr/>
            </w:pPr>
            <w:r/>
          </w:p>
        </w:tc>
        <w:tc>
          <w:tcPr>
            <w:tcW w:w="1290" w:type="dxa"/>
            <w:vAlign w:val="top"/>
            <w:tcBorders>
              <w:top w:val="single" w:color="FFFFFF" w:sz="4" w:space="0"/>
              <w:left w:val="single" w:color="FFFFFF" w:sz="2" w:space="0"/>
              <w:right w:val="single" w:color="FFFFFF" w:sz="2" w:space="0"/>
            </w:tcBorders>
          </w:tcPr>
          <w:p>
            <w:pPr>
              <w:ind w:left="617"/>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146" w:type="dxa"/>
            <w:vAlign w:val="top"/>
            <w:gridSpan w:val="2"/>
          </w:tcPr>
          <w:p>
            <w:pPr>
              <w:ind w:left="2398"/>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12" w:type="dxa"/>
            <w:vAlign w:val="top"/>
            <w:gridSpan w:val="3"/>
          </w:tcPr>
          <w:p>
            <w:pPr>
              <w:ind w:left="1510"/>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87" w:type="dxa"/>
            <w:vAlign w:val="top"/>
          </w:tcPr>
          <w:p>
            <w:pPr>
              <w:ind w:left="553"/>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59" w:type="dxa"/>
            <w:vAlign w:val="top"/>
          </w:tcPr>
          <w:p>
            <w:pPr>
              <w:ind w:left="1338"/>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15" w:type="dxa"/>
            <w:vAlign w:val="top"/>
          </w:tcPr>
          <w:p>
            <w:pPr>
              <w:ind w:left="534"/>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07" w:type="dxa"/>
            <w:vAlign w:val="top"/>
          </w:tcPr>
          <w:p>
            <w:pPr>
              <w:ind w:left="316"/>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290" w:type="dxa"/>
            <w:vAlign w:val="top"/>
          </w:tcPr>
          <w:p>
            <w:pPr>
              <w:ind w:left="310"/>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146" w:type="dxa"/>
            <w:vAlign w:val="top"/>
            <w:gridSpan w:val="2"/>
          </w:tcPr>
          <w:p>
            <w:pPr>
              <w:ind w:left="2400"/>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15" w:type="dxa"/>
            <w:vAlign w:val="top"/>
          </w:tcPr>
          <w:p>
            <w:pPr>
              <w:pStyle w:val="TableText"/>
              <w:ind w:left="914"/>
              <w:spacing w:before="98" w:line="162" w:lineRule="auto"/>
              <w:rPr>
                <w:sz w:val="15"/>
                <w:szCs w:val="15"/>
              </w:rPr>
            </w:pPr>
            <w:r>
              <w:rPr>
                <w:sz w:val="15"/>
                <w:szCs w:val="15"/>
                <w:color w:val="212529"/>
              </w:rPr>
              <w:t>137.47</w:t>
            </w:r>
          </w:p>
        </w:tc>
        <w:tc>
          <w:tcPr>
            <w:tcW w:w="1307" w:type="dxa"/>
            <w:vAlign w:val="top"/>
          </w:tcPr>
          <w:p>
            <w:pPr>
              <w:pStyle w:val="TableText"/>
              <w:ind w:left="880"/>
              <w:spacing w:before="99" w:line="186" w:lineRule="auto"/>
              <w:rPr>
                <w:sz w:val="13"/>
                <w:szCs w:val="13"/>
              </w:rPr>
            </w:pPr>
            <w:r>
              <w:rPr>
                <w:sz w:val="13"/>
                <w:szCs w:val="13"/>
                <w:color w:val="212529"/>
                <w:spacing w:val="4"/>
              </w:rPr>
              <w:t>90.</w:t>
            </w:r>
            <w:r>
              <w:rPr>
                <w:sz w:val="13"/>
                <w:szCs w:val="13"/>
                <w:color w:val="212529"/>
                <w:spacing w:val="11"/>
              </w:rPr>
              <w:t xml:space="preserve"> </w:t>
            </w:r>
            <w:r>
              <w:rPr>
                <w:sz w:val="13"/>
                <w:szCs w:val="13"/>
                <w:color w:val="212529"/>
                <w:spacing w:val="4"/>
              </w:rPr>
              <w:t>23</w:t>
            </w:r>
          </w:p>
        </w:tc>
        <w:tc>
          <w:tcPr>
            <w:tcW w:w="1290" w:type="dxa"/>
            <w:vAlign w:val="top"/>
          </w:tcPr>
          <w:p>
            <w:pPr>
              <w:pStyle w:val="TableText"/>
              <w:ind w:left="857"/>
              <w:spacing w:before="99" w:line="172" w:lineRule="auto"/>
              <w:rPr>
                <w:sz w:val="14"/>
                <w:szCs w:val="14"/>
              </w:rPr>
            </w:pPr>
            <w:r>
              <w:rPr>
                <w:sz w:val="14"/>
                <w:szCs w:val="14"/>
                <w:color w:val="212529"/>
              </w:rPr>
              <w:t>47.</w:t>
            </w:r>
            <w:r>
              <w:rPr>
                <w:sz w:val="14"/>
                <w:szCs w:val="14"/>
                <w:color w:val="212529"/>
                <w:spacing w:val="8"/>
              </w:rPr>
              <w:t xml:space="preserve"> </w:t>
            </w:r>
            <w:r>
              <w:rPr>
                <w:sz w:val="14"/>
                <w:szCs w:val="14"/>
                <w:color w:val="212529"/>
              </w:rPr>
              <w:t>24</w:t>
            </w:r>
          </w:p>
        </w:tc>
      </w:tr>
      <w:tr>
        <w:trPr>
          <w:trHeight w:val="314" w:hRule="atLeast"/>
        </w:trPr>
        <w:tc>
          <w:tcPr>
            <w:tcW w:w="1787"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359" w:type="dxa"/>
            <w:vAlign w:val="top"/>
          </w:tcPr>
          <w:p>
            <w:pPr>
              <w:ind w:left="2"/>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15" w:type="dxa"/>
            <w:vAlign w:val="top"/>
          </w:tcPr>
          <w:p>
            <w:pPr>
              <w:ind w:right="24"/>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8.21</w:t>
            </w:r>
          </w:p>
        </w:tc>
        <w:tc>
          <w:tcPr>
            <w:tcW w:w="1307" w:type="dxa"/>
            <w:vAlign w:val="top"/>
          </w:tcPr>
          <w:p>
            <w:pPr>
              <w:pStyle w:val="TableText"/>
              <w:ind w:left="961"/>
              <w:spacing w:before="99" w:line="187" w:lineRule="auto"/>
              <w:rPr>
                <w:sz w:val="13"/>
                <w:szCs w:val="13"/>
              </w:rPr>
            </w:pPr>
            <w:r>
              <w:rPr>
                <w:sz w:val="13"/>
                <w:szCs w:val="13"/>
                <w:color w:val="212529"/>
                <w:spacing w:val="3"/>
              </w:rPr>
              <w:t>8.</w:t>
            </w:r>
            <w:r>
              <w:rPr>
                <w:sz w:val="13"/>
                <w:szCs w:val="13"/>
                <w:color w:val="212529"/>
                <w:spacing w:val="3"/>
              </w:rPr>
              <w:t xml:space="preserve"> </w:t>
            </w:r>
            <w:r>
              <w:rPr>
                <w:sz w:val="13"/>
                <w:szCs w:val="13"/>
                <w:color w:val="212529"/>
                <w:spacing w:val="3"/>
              </w:rPr>
              <w:t>21</w:t>
            </w:r>
          </w:p>
        </w:tc>
        <w:tc>
          <w:tcPr>
            <w:tcW w:w="1290" w:type="dxa"/>
            <w:vAlign w:val="top"/>
          </w:tcPr>
          <w:p>
            <w:pPr>
              <w:pStyle w:val="TableText"/>
              <w:rPr/>
            </w:pPr>
            <w:r/>
          </w:p>
        </w:tc>
      </w:tr>
      <w:tr>
        <w:trPr>
          <w:trHeight w:val="313" w:hRule="atLeast"/>
        </w:trPr>
        <w:tc>
          <w:tcPr>
            <w:tcW w:w="1787"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359" w:type="dxa"/>
            <w:vAlign w:val="top"/>
          </w:tcPr>
          <w:p>
            <w:pPr>
              <w:ind w:left="1"/>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15" w:type="dxa"/>
            <w:vAlign w:val="top"/>
          </w:tcPr>
          <w:p>
            <w:pPr>
              <w:ind w:right="24"/>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8.21</w:t>
            </w:r>
          </w:p>
        </w:tc>
        <w:tc>
          <w:tcPr>
            <w:tcW w:w="1307" w:type="dxa"/>
            <w:vAlign w:val="top"/>
          </w:tcPr>
          <w:p>
            <w:pPr>
              <w:pStyle w:val="TableText"/>
              <w:ind w:left="961"/>
              <w:spacing w:before="99" w:line="186" w:lineRule="auto"/>
              <w:rPr>
                <w:sz w:val="13"/>
                <w:szCs w:val="13"/>
              </w:rPr>
            </w:pPr>
            <w:r>
              <w:rPr>
                <w:sz w:val="13"/>
                <w:szCs w:val="13"/>
                <w:color w:val="212529"/>
                <w:spacing w:val="3"/>
              </w:rPr>
              <w:t>8.</w:t>
            </w:r>
            <w:r>
              <w:rPr>
                <w:sz w:val="13"/>
                <w:szCs w:val="13"/>
                <w:color w:val="212529"/>
                <w:spacing w:val="3"/>
              </w:rPr>
              <w:t xml:space="preserve"> </w:t>
            </w:r>
            <w:r>
              <w:rPr>
                <w:sz w:val="13"/>
                <w:szCs w:val="13"/>
                <w:color w:val="212529"/>
                <w:spacing w:val="3"/>
              </w:rPr>
              <w:t>21</w:t>
            </w:r>
          </w:p>
        </w:tc>
        <w:tc>
          <w:tcPr>
            <w:tcW w:w="1290" w:type="dxa"/>
            <w:vAlign w:val="top"/>
          </w:tcPr>
          <w:p>
            <w:pPr>
              <w:pStyle w:val="TableText"/>
              <w:rPr/>
            </w:pPr>
            <w:r/>
          </w:p>
        </w:tc>
      </w:tr>
      <w:tr>
        <w:trPr>
          <w:trHeight w:val="314" w:hRule="atLeast"/>
        </w:trPr>
        <w:tc>
          <w:tcPr>
            <w:tcW w:w="1787"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359" w:type="dxa"/>
            <w:vAlign w:val="top"/>
          </w:tcPr>
          <w:p>
            <w:pPr>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15" w:type="dxa"/>
            <w:vAlign w:val="top"/>
          </w:tcPr>
          <w:p>
            <w:pPr>
              <w:ind w:right="24"/>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8.21</w:t>
            </w:r>
          </w:p>
        </w:tc>
        <w:tc>
          <w:tcPr>
            <w:tcW w:w="1307"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8.21</w:t>
            </w:r>
          </w:p>
        </w:tc>
        <w:tc>
          <w:tcPr>
            <w:tcW w:w="1290" w:type="dxa"/>
            <w:vAlign w:val="top"/>
          </w:tcPr>
          <w:p>
            <w:pPr>
              <w:pStyle w:val="TableText"/>
              <w:rPr/>
            </w:pPr>
            <w:r/>
          </w:p>
        </w:tc>
      </w:tr>
      <w:tr>
        <w:trPr>
          <w:trHeight w:val="314" w:hRule="atLeast"/>
        </w:trPr>
        <w:tc>
          <w:tcPr>
            <w:tcW w:w="1787"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359" w:type="dxa"/>
            <w:vAlign w:val="top"/>
          </w:tcPr>
          <w:p>
            <w:pPr>
              <w:ind w:left="2"/>
              <w:spacing w:before="8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15" w:type="dxa"/>
            <w:vAlign w:val="top"/>
          </w:tcPr>
          <w:p>
            <w:pPr>
              <w:ind w:right="24"/>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121.72</w:t>
            </w:r>
          </w:p>
        </w:tc>
        <w:tc>
          <w:tcPr>
            <w:tcW w:w="1307" w:type="dxa"/>
            <w:vAlign w:val="top"/>
          </w:tcPr>
          <w:p>
            <w:pPr>
              <w:pStyle w:val="TableText"/>
              <w:ind w:left="883"/>
              <w:spacing w:before="101" w:line="161" w:lineRule="auto"/>
              <w:rPr>
                <w:sz w:val="15"/>
                <w:szCs w:val="15"/>
              </w:rPr>
            </w:pPr>
            <w:r>
              <w:rPr>
                <w:sz w:val="15"/>
                <w:szCs w:val="15"/>
                <w:color w:val="212529"/>
                <w:spacing w:val="3"/>
              </w:rPr>
              <w:t>74.48</w:t>
            </w:r>
          </w:p>
        </w:tc>
        <w:tc>
          <w:tcPr>
            <w:tcW w:w="1290" w:type="dxa"/>
            <w:vAlign w:val="top"/>
          </w:tcPr>
          <w:p>
            <w:pPr>
              <w:pStyle w:val="TableText"/>
              <w:ind w:left="857"/>
              <w:spacing w:before="102" w:line="172" w:lineRule="auto"/>
              <w:rPr>
                <w:sz w:val="14"/>
                <w:szCs w:val="14"/>
              </w:rPr>
            </w:pPr>
            <w:r>
              <w:rPr>
                <w:sz w:val="14"/>
                <w:szCs w:val="14"/>
                <w:color w:val="212529"/>
              </w:rPr>
              <w:t>47.</w:t>
            </w:r>
            <w:r>
              <w:rPr>
                <w:sz w:val="14"/>
                <w:szCs w:val="14"/>
                <w:color w:val="212529"/>
                <w:spacing w:val="8"/>
              </w:rPr>
              <w:t xml:space="preserve"> </w:t>
            </w:r>
            <w:r>
              <w:rPr>
                <w:sz w:val="14"/>
                <w:szCs w:val="14"/>
                <w:color w:val="212529"/>
              </w:rPr>
              <w:t>24</w:t>
            </w:r>
          </w:p>
        </w:tc>
      </w:tr>
      <w:tr>
        <w:trPr>
          <w:trHeight w:val="314" w:hRule="atLeast"/>
        </w:trPr>
        <w:tc>
          <w:tcPr>
            <w:tcW w:w="1787"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359" w:type="dxa"/>
            <w:vAlign w:val="top"/>
          </w:tcPr>
          <w:p>
            <w:pPr>
              <w:spacing w:before="83" w:line="228" w:lineRule="auto"/>
              <w:rPr>
                <w:rFonts w:ascii="SimSun" w:hAnsi="SimSun" w:eastAsia="SimSun" w:cs="SimSun"/>
                <w:sz w:val="15"/>
                <w:szCs w:val="15"/>
              </w:rPr>
            </w:pPr>
            <w:r>
              <w:rPr>
                <w:rFonts w:ascii="SimSun" w:hAnsi="SimSun" w:eastAsia="SimSun" w:cs="SimSun"/>
                <w:sz w:val="15"/>
                <w:szCs w:val="15"/>
                <w:color w:val="212529"/>
                <w:spacing w:val="11"/>
              </w:rPr>
              <w:t>基层医疗卫生机构</w:t>
            </w:r>
          </w:p>
        </w:tc>
        <w:tc>
          <w:tcPr>
            <w:tcW w:w="1415" w:type="dxa"/>
            <w:vAlign w:val="top"/>
          </w:tcPr>
          <w:p>
            <w:pPr>
              <w:ind w:right="24"/>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107.83</w:t>
            </w:r>
          </w:p>
        </w:tc>
        <w:tc>
          <w:tcPr>
            <w:tcW w:w="1307" w:type="dxa"/>
            <w:vAlign w:val="top"/>
          </w:tcPr>
          <w:p>
            <w:pPr>
              <w:pStyle w:val="TableText"/>
              <w:ind w:left="883"/>
              <w:spacing w:before="101" w:line="187" w:lineRule="auto"/>
              <w:rPr>
                <w:sz w:val="13"/>
                <w:szCs w:val="13"/>
              </w:rPr>
            </w:pPr>
            <w:r>
              <w:rPr>
                <w:sz w:val="13"/>
                <w:szCs w:val="13"/>
                <w:color w:val="212529"/>
              </w:rPr>
              <w:t>71.</w:t>
            </w:r>
            <w:r>
              <w:rPr>
                <w:sz w:val="13"/>
                <w:szCs w:val="13"/>
                <w:color w:val="212529"/>
                <w:spacing w:val="22"/>
              </w:rPr>
              <w:t xml:space="preserve"> </w:t>
            </w:r>
            <w:r>
              <w:rPr>
                <w:sz w:val="13"/>
                <w:szCs w:val="13"/>
                <w:color w:val="212529"/>
              </w:rPr>
              <w:t>11</w:t>
            </w:r>
          </w:p>
        </w:tc>
        <w:tc>
          <w:tcPr>
            <w:tcW w:w="1290" w:type="dxa"/>
            <w:vAlign w:val="top"/>
          </w:tcPr>
          <w:p>
            <w:pPr>
              <w:pStyle w:val="TableText"/>
              <w:ind w:left="861"/>
              <w:spacing w:before="102" w:line="186" w:lineRule="auto"/>
              <w:rPr>
                <w:sz w:val="13"/>
                <w:szCs w:val="13"/>
              </w:rPr>
            </w:pPr>
            <w:r>
              <w:rPr>
                <w:sz w:val="13"/>
                <w:szCs w:val="13"/>
                <w:color w:val="212529"/>
                <w:spacing w:val="4"/>
              </w:rPr>
              <w:t>36.</w:t>
            </w:r>
            <w:r>
              <w:rPr>
                <w:sz w:val="13"/>
                <w:szCs w:val="13"/>
                <w:color w:val="212529"/>
                <w:spacing w:val="9"/>
              </w:rPr>
              <w:t xml:space="preserve"> </w:t>
            </w:r>
            <w:r>
              <w:rPr>
                <w:sz w:val="13"/>
                <w:szCs w:val="13"/>
                <w:color w:val="212529"/>
                <w:spacing w:val="4"/>
              </w:rPr>
              <w:t>73</w:t>
            </w:r>
          </w:p>
        </w:tc>
      </w:tr>
      <w:tr>
        <w:trPr>
          <w:trHeight w:val="314" w:hRule="atLeast"/>
        </w:trPr>
        <w:tc>
          <w:tcPr>
            <w:tcW w:w="1787"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359" w:type="dxa"/>
            <w:vAlign w:val="top"/>
          </w:tcPr>
          <w:p>
            <w:pPr>
              <w:ind w:left="8"/>
              <w:spacing w:before="83"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415"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96.11</w:t>
            </w:r>
          </w:p>
        </w:tc>
        <w:tc>
          <w:tcPr>
            <w:tcW w:w="1307"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71.11</w:t>
            </w:r>
          </w:p>
        </w:tc>
        <w:tc>
          <w:tcPr>
            <w:tcW w:w="1290"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w:t>
            </w:r>
          </w:p>
        </w:tc>
      </w:tr>
      <w:tr>
        <w:trPr>
          <w:trHeight w:val="314" w:hRule="atLeast"/>
        </w:trPr>
        <w:tc>
          <w:tcPr>
            <w:tcW w:w="1787"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359" w:type="dxa"/>
            <w:vAlign w:val="top"/>
          </w:tcPr>
          <w:p>
            <w:pPr>
              <w:spacing w:before="83"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415"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11.73</w:t>
            </w:r>
          </w:p>
        </w:tc>
        <w:tc>
          <w:tcPr>
            <w:tcW w:w="1307" w:type="dxa"/>
            <w:vAlign w:val="top"/>
          </w:tcPr>
          <w:p>
            <w:pPr>
              <w:pStyle w:val="TableText"/>
              <w:rPr/>
            </w:pPr>
            <w:r/>
          </w:p>
        </w:tc>
        <w:tc>
          <w:tcPr>
            <w:tcW w:w="1290"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11.73</w:t>
            </w:r>
          </w:p>
        </w:tc>
      </w:tr>
      <w:tr>
        <w:trPr>
          <w:trHeight w:val="314" w:hRule="atLeast"/>
        </w:trPr>
        <w:tc>
          <w:tcPr>
            <w:tcW w:w="1787"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21004</w:t>
            </w:r>
          </w:p>
        </w:tc>
        <w:tc>
          <w:tcPr>
            <w:tcW w:w="3359" w:type="dxa"/>
            <w:vAlign w:val="top"/>
          </w:tcPr>
          <w:p>
            <w:pPr>
              <w:ind w:left="6"/>
              <w:spacing w:before="84" w:line="229" w:lineRule="auto"/>
              <w:rPr>
                <w:rFonts w:ascii="SimSun" w:hAnsi="SimSun" w:eastAsia="SimSun" w:cs="SimSun"/>
                <w:sz w:val="15"/>
                <w:szCs w:val="15"/>
              </w:rPr>
            </w:pPr>
            <w:r>
              <w:rPr>
                <w:rFonts w:ascii="SimSun" w:hAnsi="SimSun" w:eastAsia="SimSun" w:cs="SimSun"/>
                <w:sz w:val="15"/>
                <w:szCs w:val="15"/>
                <w:color w:val="212529"/>
                <w:spacing w:val="8"/>
              </w:rPr>
              <w:t>公共卫生</w:t>
            </w:r>
          </w:p>
        </w:tc>
        <w:tc>
          <w:tcPr>
            <w:tcW w:w="1415" w:type="dxa"/>
            <w:vAlign w:val="top"/>
          </w:tcPr>
          <w:p>
            <w:pPr>
              <w:ind w:right="24"/>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10.51</w:t>
            </w:r>
          </w:p>
        </w:tc>
        <w:tc>
          <w:tcPr>
            <w:tcW w:w="1307" w:type="dxa"/>
            <w:vAlign w:val="top"/>
          </w:tcPr>
          <w:p>
            <w:pPr>
              <w:pStyle w:val="TableText"/>
              <w:rPr/>
            </w:pPr>
            <w:r/>
          </w:p>
        </w:tc>
        <w:tc>
          <w:tcPr>
            <w:tcW w:w="1290" w:type="dxa"/>
            <w:vAlign w:val="top"/>
          </w:tcPr>
          <w:p>
            <w:pPr>
              <w:pStyle w:val="TableText"/>
              <w:ind w:left="870"/>
              <w:spacing w:before="102" w:line="187" w:lineRule="auto"/>
              <w:rPr>
                <w:sz w:val="13"/>
                <w:szCs w:val="13"/>
              </w:rPr>
            </w:pPr>
            <w:r>
              <w:rPr>
                <w:sz w:val="13"/>
                <w:szCs w:val="13"/>
                <w:color w:val="212529"/>
              </w:rPr>
              <w:t>10.</w:t>
            </w:r>
            <w:r>
              <w:rPr>
                <w:sz w:val="13"/>
                <w:szCs w:val="13"/>
                <w:color w:val="212529"/>
                <w:spacing w:val="14"/>
                <w:w w:val="101"/>
              </w:rPr>
              <w:t xml:space="preserve"> </w:t>
            </w:r>
            <w:r>
              <w:rPr>
                <w:sz w:val="13"/>
                <w:szCs w:val="13"/>
                <w:color w:val="212529"/>
              </w:rPr>
              <w:t>51</w:t>
            </w:r>
          </w:p>
        </w:tc>
      </w:tr>
      <w:tr>
        <w:trPr>
          <w:trHeight w:val="314" w:hRule="atLeast"/>
        </w:trPr>
        <w:tc>
          <w:tcPr>
            <w:tcW w:w="1787"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2100408</w:t>
            </w:r>
          </w:p>
        </w:tc>
        <w:tc>
          <w:tcPr>
            <w:tcW w:w="3359" w:type="dxa"/>
            <w:vAlign w:val="top"/>
          </w:tcPr>
          <w:p>
            <w:pPr>
              <w:spacing w:before="84" w:line="228" w:lineRule="auto"/>
              <w:rPr>
                <w:rFonts w:ascii="SimSun" w:hAnsi="SimSun" w:eastAsia="SimSun" w:cs="SimSun"/>
                <w:sz w:val="15"/>
                <w:szCs w:val="15"/>
              </w:rPr>
            </w:pPr>
            <w:r>
              <w:rPr>
                <w:rFonts w:ascii="SimSun" w:hAnsi="SimSun" w:eastAsia="SimSun" w:cs="SimSun"/>
                <w:sz w:val="15"/>
                <w:szCs w:val="15"/>
                <w:color w:val="212529"/>
                <w:spacing w:val="11"/>
              </w:rPr>
              <w:t>基本公共卫生服务</w:t>
            </w:r>
          </w:p>
        </w:tc>
        <w:tc>
          <w:tcPr>
            <w:tcW w:w="1415"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10.51</w:t>
            </w:r>
          </w:p>
        </w:tc>
        <w:tc>
          <w:tcPr>
            <w:tcW w:w="1307" w:type="dxa"/>
            <w:vAlign w:val="top"/>
          </w:tcPr>
          <w:p>
            <w:pPr>
              <w:pStyle w:val="TableText"/>
              <w:rPr/>
            </w:pPr>
            <w:r/>
          </w:p>
        </w:tc>
        <w:tc>
          <w:tcPr>
            <w:tcW w:w="1290"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10.51</w:t>
            </w:r>
          </w:p>
        </w:tc>
      </w:tr>
      <w:tr>
        <w:trPr>
          <w:trHeight w:val="314" w:hRule="atLeast"/>
        </w:trPr>
        <w:tc>
          <w:tcPr>
            <w:tcW w:w="1787"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359" w:type="dxa"/>
            <w:vAlign w:val="top"/>
          </w:tcPr>
          <w:p>
            <w:pPr>
              <w:ind w:left="1"/>
              <w:spacing w:before="8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15" w:type="dxa"/>
            <w:vAlign w:val="top"/>
          </w:tcPr>
          <w:p>
            <w:pPr>
              <w:ind w:right="24"/>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3.37</w:t>
            </w:r>
          </w:p>
        </w:tc>
        <w:tc>
          <w:tcPr>
            <w:tcW w:w="1307" w:type="dxa"/>
            <w:vAlign w:val="top"/>
          </w:tcPr>
          <w:p>
            <w:pPr>
              <w:pStyle w:val="TableText"/>
              <w:ind w:left="964"/>
              <w:spacing w:before="103" w:line="186" w:lineRule="auto"/>
              <w:rPr>
                <w:sz w:val="13"/>
                <w:szCs w:val="13"/>
              </w:rPr>
            </w:pPr>
            <w:r>
              <w:rPr>
                <w:sz w:val="13"/>
                <w:szCs w:val="13"/>
                <w:color w:val="212529"/>
                <w:spacing w:val="1"/>
              </w:rPr>
              <w:t>3.</w:t>
            </w:r>
            <w:r>
              <w:rPr>
                <w:sz w:val="13"/>
                <w:szCs w:val="13"/>
                <w:color w:val="212529"/>
                <w:spacing w:val="16"/>
                <w:w w:val="101"/>
              </w:rPr>
              <w:t xml:space="preserve"> </w:t>
            </w:r>
            <w:r>
              <w:rPr>
                <w:sz w:val="13"/>
                <w:szCs w:val="13"/>
                <w:color w:val="212529"/>
                <w:spacing w:val="1"/>
              </w:rPr>
              <w:t>37</w:t>
            </w:r>
          </w:p>
        </w:tc>
        <w:tc>
          <w:tcPr>
            <w:tcW w:w="1290" w:type="dxa"/>
            <w:vAlign w:val="top"/>
          </w:tcPr>
          <w:p>
            <w:pPr>
              <w:pStyle w:val="TableText"/>
              <w:rPr/>
            </w:pPr>
            <w:r/>
          </w:p>
        </w:tc>
      </w:tr>
      <w:tr>
        <w:trPr>
          <w:trHeight w:val="314" w:hRule="atLeast"/>
        </w:trPr>
        <w:tc>
          <w:tcPr>
            <w:tcW w:w="1787"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359" w:type="dxa"/>
            <w:vAlign w:val="top"/>
          </w:tcPr>
          <w:p>
            <w:pPr>
              <w:ind w:left="2"/>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15" w:type="dxa"/>
            <w:vAlign w:val="top"/>
          </w:tcPr>
          <w:p>
            <w:pPr>
              <w:ind w:right="24"/>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3.37</w:t>
            </w:r>
          </w:p>
        </w:tc>
        <w:tc>
          <w:tcPr>
            <w:tcW w:w="1307" w:type="dxa"/>
            <w:vAlign w:val="top"/>
          </w:tcPr>
          <w:p>
            <w:pPr>
              <w:ind w:right="19"/>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3.37</w:t>
            </w:r>
          </w:p>
        </w:tc>
        <w:tc>
          <w:tcPr>
            <w:tcW w:w="1290" w:type="dxa"/>
            <w:vAlign w:val="top"/>
          </w:tcPr>
          <w:p>
            <w:pPr>
              <w:pStyle w:val="TableText"/>
              <w:rPr/>
            </w:pPr>
            <w:r/>
          </w:p>
        </w:tc>
      </w:tr>
      <w:tr>
        <w:trPr>
          <w:trHeight w:val="314" w:hRule="atLeast"/>
        </w:trPr>
        <w:tc>
          <w:tcPr>
            <w:tcW w:w="1787" w:type="dxa"/>
            <w:vAlign w:val="top"/>
          </w:tcPr>
          <w:p>
            <w:pPr>
              <w:ind w:left="8"/>
              <w:spacing w:before="8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359" w:type="dxa"/>
            <w:vAlign w:val="top"/>
          </w:tcPr>
          <w:p>
            <w:pPr>
              <w:ind w:left="2"/>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15" w:type="dxa"/>
            <w:vAlign w:val="top"/>
          </w:tcPr>
          <w:p>
            <w:pPr>
              <w:ind w:right="24"/>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7.54</w:t>
            </w:r>
          </w:p>
        </w:tc>
        <w:tc>
          <w:tcPr>
            <w:tcW w:w="1307" w:type="dxa"/>
            <w:vAlign w:val="top"/>
          </w:tcPr>
          <w:p>
            <w:pPr>
              <w:pStyle w:val="TableText"/>
              <w:ind w:left="964"/>
              <w:spacing w:before="104" w:line="186" w:lineRule="auto"/>
              <w:rPr>
                <w:sz w:val="13"/>
                <w:szCs w:val="13"/>
              </w:rPr>
            </w:pPr>
            <w:r>
              <w:rPr>
                <w:sz w:val="13"/>
                <w:szCs w:val="13"/>
                <w:color w:val="212529"/>
                <w:spacing w:val="2"/>
              </w:rPr>
              <w:t>7.</w:t>
            </w:r>
            <w:r>
              <w:rPr>
                <w:sz w:val="13"/>
                <w:szCs w:val="13"/>
                <w:color w:val="212529"/>
                <w:spacing w:val="15"/>
                <w:w w:val="102"/>
              </w:rPr>
              <w:t xml:space="preserve"> </w:t>
            </w:r>
            <w:r>
              <w:rPr>
                <w:sz w:val="13"/>
                <w:szCs w:val="13"/>
                <w:color w:val="212529"/>
                <w:spacing w:val="2"/>
              </w:rPr>
              <w:t>54</w:t>
            </w:r>
          </w:p>
        </w:tc>
        <w:tc>
          <w:tcPr>
            <w:tcW w:w="1290" w:type="dxa"/>
            <w:vAlign w:val="top"/>
          </w:tcPr>
          <w:p>
            <w:pPr>
              <w:pStyle w:val="TableText"/>
              <w:rPr/>
            </w:pPr>
            <w:r/>
          </w:p>
        </w:tc>
      </w:tr>
      <w:tr>
        <w:trPr>
          <w:trHeight w:val="314" w:hRule="atLeast"/>
        </w:trPr>
        <w:tc>
          <w:tcPr>
            <w:tcW w:w="1787"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359" w:type="dxa"/>
            <w:vAlign w:val="top"/>
          </w:tcPr>
          <w:p>
            <w:pPr>
              <w:ind w:left="2"/>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15" w:type="dxa"/>
            <w:vAlign w:val="top"/>
          </w:tcPr>
          <w:p>
            <w:pPr>
              <w:ind w:right="24"/>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7.54</w:t>
            </w:r>
          </w:p>
        </w:tc>
        <w:tc>
          <w:tcPr>
            <w:tcW w:w="1307" w:type="dxa"/>
            <w:vAlign w:val="top"/>
          </w:tcPr>
          <w:p>
            <w:pPr>
              <w:pStyle w:val="TableText"/>
              <w:ind w:left="964"/>
              <w:spacing w:before="104" w:line="186" w:lineRule="auto"/>
              <w:rPr>
                <w:sz w:val="13"/>
                <w:szCs w:val="13"/>
              </w:rPr>
            </w:pPr>
            <w:r>
              <w:rPr>
                <w:sz w:val="13"/>
                <w:szCs w:val="13"/>
                <w:color w:val="212529"/>
                <w:spacing w:val="2"/>
              </w:rPr>
              <w:t>7.</w:t>
            </w:r>
            <w:r>
              <w:rPr>
                <w:sz w:val="13"/>
                <w:szCs w:val="13"/>
                <w:color w:val="212529"/>
                <w:spacing w:val="15"/>
                <w:w w:val="102"/>
              </w:rPr>
              <w:t xml:space="preserve"> </w:t>
            </w:r>
            <w:r>
              <w:rPr>
                <w:sz w:val="13"/>
                <w:szCs w:val="13"/>
                <w:color w:val="212529"/>
                <w:spacing w:val="2"/>
              </w:rPr>
              <w:t>54</w:t>
            </w:r>
          </w:p>
        </w:tc>
        <w:tc>
          <w:tcPr>
            <w:tcW w:w="1290" w:type="dxa"/>
            <w:vAlign w:val="top"/>
          </w:tcPr>
          <w:p>
            <w:pPr>
              <w:pStyle w:val="TableText"/>
              <w:rPr/>
            </w:pPr>
            <w:r/>
          </w:p>
        </w:tc>
      </w:tr>
      <w:tr>
        <w:trPr>
          <w:trHeight w:val="319" w:hRule="atLeast"/>
        </w:trPr>
        <w:tc>
          <w:tcPr>
            <w:tcW w:w="1787"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359" w:type="dxa"/>
            <w:vAlign w:val="top"/>
          </w:tcPr>
          <w:p>
            <w:pPr>
              <w:ind w:left="2"/>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15" w:type="dxa"/>
            <w:vAlign w:val="top"/>
          </w:tcPr>
          <w:p>
            <w:pPr>
              <w:ind w:right="24"/>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7.54</w:t>
            </w:r>
          </w:p>
        </w:tc>
        <w:tc>
          <w:tcPr>
            <w:tcW w:w="1307" w:type="dxa"/>
            <w:vAlign w:val="top"/>
          </w:tcPr>
          <w:p>
            <w:pPr>
              <w:ind w:right="19"/>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7.54</w:t>
            </w:r>
          </w:p>
        </w:tc>
        <w:tc>
          <w:tcPr>
            <w:tcW w:w="1290" w:type="dxa"/>
            <w:vAlign w:val="top"/>
          </w:tcPr>
          <w:p>
            <w:pPr>
              <w:pStyle w:val="TableText"/>
              <w:rPr/>
            </w:pPr>
            <w:r/>
          </w:p>
        </w:tc>
      </w:tr>
    </w:tbl>
    <w:p>
      <w:pPr>
        <w:rPr>
          <w:rFonts w:ascii="Arial"/>
          <w:sz w:val="21"/>
        </w:rPr>
      </w:pPr>
      <w:r/>
    </w:p>
    <w:p>
      <w:pPr>
        <w:sectPr>
          <w:headerReference w:type="default" r:id="rId13"/>
          <w:footerReference w:type="default" r:id="rId14"/>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3" w:line="233"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单位名称：兴县孟家坪乡卫生院贺家会分院</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57"/>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97"/>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预算</w:t>
            </w:r>
          </w:p>
        </w:tc>
        <w:tc>
          <w:tcPr>
            <w:tcW w:w="1074" w:type="dxa"/>
            <w:vAlign w:val="top"/>
          </w:tcPr>
          <w:p>
            <w:pPr>
              <w:ind w:left="56"/>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61"/>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131.94</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8.21</w:t>
            </w:r>
          </w:p>
        </w:tc>
        <w:tc>
          <w:tcPr>
            <w:tcW w:w="106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8.21</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121.72</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121.72</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7.54</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7.54</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83"/>
              <w:spacing w:before="137" w:line="162" w:lineRule="auto"/>
              <w:rPr>
                <w:sz w:val="15"/>
                <w:szCs w:val="15"/>
              </w:rPr>
            </w:pPr>
            <w:r>
              <w:rPr>
                <w:sz w:val="15"/>
                <w:szCs w:val="15"/>
                <w:color w:val="212529"/>
                <w:spacing w:val="1"/>
              </w:rPr>
              <w:t>131.94</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81"/>
              <w:spacing w:before="137" w:line="162" w:lineRule="auto"/>
              <w:rPr>
                <w:sz w:val="15"/>
                <w:szCs w:val="15"/>
              </w:rPr>
            </w:pPr>
            <w:r>
              <w:rPr>
                <w:sz w:val="15"/>
                <w:szCs w:val="15"/>
                <w:color w:val="212529"/>
              </w:rPr>
              <w:t>137.47</w:t>
            </w:r>
          </w:p>
        </w:tc>
        <w:tc>
          <w:tcPr>
            <w:tcW w:w="1069" w:type="dxa"/>
            <w:vAlign w:val="top"/>
          </w:tcPr>
          <w:p>
            <w:pPr>
              <w:pStyle w:val="TableText"/>
              <w:ind w:left="296"/>
              <w:spacing w:before="137" w:line="162" w:lineRule="auto"/>
              <w:rPr>
                <w:sz w:val="15"/>
                <w:szCs w:val="15"/>
              </w:rPr>
            </w:pPr>
            <w:r>
              <w:rPr>
                <w:sz w:val="15"/>
                <w:szCs w:val="15"/>
                <w:color w:val="212529"/>
              </w:rPr>
              <w:t>137.47</w:t>
            </w:r>
          </w:p>
        </w:tc>
        <w:tc>
          <w:tcPr>
            <w:tcW w:w="940" w:type="dxa"/>
            <w:vAlign w:val="top"/>
          </w:tcPr>
          <w:p>
            <w:pPr>
              <w:pStyle w:val="TableText"/>
              <w:rPr/>
            </w:pPr>
            <w:r/>
          </w:p>
        </w:tc>
        <w:tc>
          <w:tcPr>
            <w:tcW w:w="1074" w:type="dxa"/>
            <w:vAlign w:val="top"/>
          </w:tcPr>
          <w:p>
            <w:pPr>
              <w:pStyle w:val="TableText"/>
              <w:rPr/>
            </w:pPr>
            <w:r/>
          </w:p>
        </w:tc>
      </w:tr>
    </w:tbl>
    <w:p>
      <w:pPr>
        <w:rPr>
          <w:rFonts w:ascii="Arial"/>
          <w:sz w:val="21"/>
        </w:rPr>
      </w:pPr>
      <w:r/>
    </w:p>
    <w:p>
      <w:pPr>
        <w:sectPr>
          <w:headerReference w:type="default" r:id="rId7"/>
          <w:footerReference w:type="default" r:id="rId15"/>
          <w:pgSz w:w="11900" w:h="16840"/>
          <w:pgMar w:top="642" w:right="0" w:bottom="340" w:left="0" w:header="326" w:footer="111" w:gutter="0"/>
        </w:sectPr>
        <w:rPr>
          <w:rFonts w:ascii="Arial" w:hAnsi="Arial" w:eastAsia="Arial" w:cs="Arial"/>
          <w:sz w:val="21"/>
          <w:szCs w:val="21"/>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10"/>
              </w:rPr>
              <w:t>上年财政拨款结转</w:t>
            </w:r>
          </w:p>
        </w:tc>
        <w:tc>
          <w:tcPr>
            <w:tcW w:w="1048"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5.53</w:t>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5.53</w:t>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83"/>
              <w:spacing w:before="135" w:line="162" w:lineRule="auto"/>
              <w:rPr>
                <w:sz w:val="15"/>
                <w:szCs w:val="15"/>
              </w:rPr>
            </w:pPr>
            <w:r>
              <w:rPr>
                <w:sz w:val="15"/>
                <w:szCs w:val="15"/>
                <w:color w:val="212529"/>
              </w:rPr>
              <w:t>137.47</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81"/>
              <w:spacing w:before="135" w:line="162" w:lineRule="auto"/>
              <w:rPr>
                <w:sz w:val="15"/>
                <w:szCs w:val="15"/>
              </w:rPr>
            </w:pPr>
            <w:r>
              <w:rPr>
                <w:sz w:val="15"/>
                <w:szCs w:val="15"/>
                <w:color w:val="212529"/>
              </w:rPr>
              <w:t>137.47</w:t>
            </w:r>
          </w:p>
        </w:tc>
        <w:tc>
          <w:tcPr>
            <w:tcW w:w="1069" w:type="dxa"/>
            <w:vAlign w:val="top"/>
          </w:tcPr>
          <w:p>
            <w:pPr>
              <w:pStyle w:val="TableText"/>
              <w:ind w:left="296"/>
              <w:spacing w:before="135" w:line="162" w:lineRule="auto"/>
              <w:rPr>
                <w:sz w:val="15"/>
                <w:szCs w:val="15"/>
              </w:rPr>
            </w:pPr>
            <w:r>
              <w:rPr>
                <w:sz w:val="15"/>
                <w:szCs w:val="15"/>
                <w:color w:val="212529"/>
              </w:rPr>
              <w:t>137.47</w:t>
            </w:r>
          </w:p>
        </w:tc>
        <w:tc>
          <w:tcPr>
            <w:tcW w:w="940" w:type="dxa"/>
            <w:vAlign w:val="top"/>
          </w:tcPr>
          <w:p>
            <w:pPr>
              <w:pStyle w:val="TableText"/>
              <w:rPr/>
            </w:pPr>
            <w:r/>
          </w:p>
        </w:tc>
        <w:tc>
          <w:tcPr>
            <w:tcW w:w="1074" w:type="dxa"/>
            <w:vAlign w:val="top"/>
          </w:tcPr>
          <w:p>
            <w:pPr>
              <w:pStyle w:val="TableText"/>
              <w:rPr/>
            </w:pPr>
            <w:r/>
          </w:p>
        </w:tc>
      </w:tr>
    </w:tbl>
    <w:p>
      <w:pPr>
        <w:rPr>
          <w:rFonts w:ascii="Arial"/>
          <w:sz w:val="21"/>
        </w:rPr>
      </w:pPr>
      <w:r/>
    </w:p>
    <w:p>
      <w:pPr>
        <w:sectPr>
          <w:headerReference w:type="default" r:id="rId16"/>
          <w:footerReference w:type="default" r:id="rId17"/>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90"/>
        <w:gridCol w:w="3186"/>
        <w:gridCol w:w="1544"/>
        <w:gridCol w:w="1350"/>
        <w:gridCol w:w="1388"/>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70"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单位名称：兴县孟家坪乡卫生院贺家会分院</w:t>
            </w:r>
          </w:p>
        </w:tc>
        <w:tc>
          <w:tcPr>
            <w:tcW w:w="1388" w:type="dxa"/>
            <w:vAlign w:val="top"/>
            <w:tcBorders>
              <w:top w:val="single" w:color="FFFFFF" w:sz="4" w:space="0"/>
              <w:left w:val="single" w:color="FFFFFF" w:sz="2" w:space="0"/>
              <w:right w:val="single" w:color="FFFFFF" w:sz="2" w:space="0"/>
            </w:tcBorders>
          </w:tcPr>
          <w:p>
            <w:pPr>
              <w:ind w:left="715"/>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876" w:type="dxa"/>
            <w:vAlign w:val="top"/>
            <w:gridSpan w:val="2"/>
          </w:tcPr>
          <w:p>
            <w:pPr>
              <w:ind w:left="2262"/>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282" w:type="dxa"/>
            <w:vAlign w:val="top"/>
            <w:gridSpan w:val="3"/>
          </w:tcPr>
          <w:p>
            <w:pPr>
              <w:ind w:left="1644"/>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90" w:type="dxa"/>
            <w:vAlign w:val="top"/>
          </w:tcPr>
          <w:p>
            <w:pPr>
              <w:ind w:left="504"/>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86" w:type="dxa"/>
            <w:vAlign w:val="top"/>
          </w:tcPr>
          <w:p>
            <w:pPr>
              <w:ind w:left="1250"/>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44" w:type="dxa"/>
            <w:vAlign w:val="top"/>
          </w:tcPr>
          <w:p>
            <w:pPr>
              <w:ind w:left="601"/>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50" w:type="dxa"/>
            <w:vAlign w:val="top"/>
          </w:tcPr>
          <w:p>
            <w:pPr>
              <w:ind w:left="338"/>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388" w:type="dxa"/>
            <w:vAlign w:val="top"/>
          </w:tcPr>
          <w:p>
            <w:pPr>
              <w:ind w:left="35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876" w:type="dxa"/>
            <w:vAlign w:val="top"/>
            <w:gridSpan w:val="2"/>
          </w:tcPr>
          <w:p>
            <w:pPr>
              <w:ind w:left="2264"/>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44" w:type="dxa"/>
            <w:vAlign w:val="top"/>
          </w:tcPr>
          <w:p>
            <w:pPr>
              <w:pStyle w:val="TableText"/>
              <w:ind w:right="17"/>
              <w:spacing w:before="87" w:line="186" w:lineRule="auto"/>
              <w:jc w:val="right"/>
              <w:rPr>
                <w:sz w:val="13"/>
                <w:szCs w:val="13"/>
              </w:rPr>
            </w:pPr>
            <w:r>
              <w:rPr>
                <w:sz w:val="13"/>
                <w:szCs w:val="13"/>
                <w:color w:val="212529"/>
                <w:spacing w:val="3"/>
              </w:rPr>
              <w:t>131.</w:t>
            </w:r>
            <w:r>
              <w:rPr>
                <w:sz w:val="13"/>
                <w:szCs w:val="13"/>
                <w:color w:val="212529"/>
                <w:spacing w:val="14"/>
                <w:w w:val="102"/>
              </w:rPr>
              <w:t xml:space="preserve"> </w:t>
            </w:r>
            <w:r>
              <w:rPr>
                <w:sz w:val="13"/>
                <w:szCs w:val="13"/>
                <w:color w:val="212529"/>
                <w:spacing w:val="3"/>
              </w:rPr>
              <w:t>94</w:t>
            </w:r>
          </w:p>
        </w:tc>
        <w:tc>
          <w:tcPr>
            <w:tcW w:w="1350" w:type="dxa"/>
            <w:vAlign w:val="top"/>
          </w:tcPr>
          <w:p>
            <w:pPr>
              <w:pStyle w:val="TableText"/>
              <w:ind w:left="919"/>
              <w:spacing w:before="87" w:line="186" w:lineRule="auto"/>
              <w:rPr>
                <w:sz w:val="13"/>
                <w:szCs w:val="13"/>
              </w:rPr>
            </w:pPr>
            <w:r>
              <w:rPr>
                <w:sz w:val="13"/>
                <w:szCs w:val="13"/>
                <w:color w:val="212529"/>
                <w:spacing w:val="4"/>
              </w:rPr>
              <w:t>90.</w:t>
            </w:r>
            <w:r>
              <w:rPr>
                <w:sz w:val="13"/>
                <w:szCs w:val="13"/>
                <w:color w:val="212529"/>
                <w:spacing w:val="11"/>
              </w:rPr>
              <w:t xml:space="preserve"> </w:t>
            </w:r>
            <w:r>
              <w:rPr>
                <w:sz w:val="13"/>
                <w:szCs w:val="13"/>
                <w:color w:val="212529"/>
                <w:spacing w:val="4"/>
              </w:rPr>
              <w:t>23</w:t>
            </w:r>
          </w:p>
        </w:tc>
        <w:tc>
          <w:tcPr>
            <w:tcW w:w="1388" w:type="dxa"/>
            <w:vAlign w:val="top"/>
          </w:tcPr>
          <w:p>
            <w:pPr>
              <w:pStyle w:val="TableText"/>
              <w:ind w:left="955"/>
              <w:spacing w:before="87" w:line="186" w:lineRule="auto"/>
              <w:rPr>
                <w:sz w:val="13"/>
                <w:szCs w:val="13"/>
              </w:rPr>
            </w:pPr>
            <w:r>
              <w:rPr>
                <w:sz w:val="13"/>
                <w:szCs w:val="13"/>
                <w:color w:val="212529"/>
                <w:spacing w:val="4"/>
              </w:rPr>
              <w:t>41.</w:t>
            </w:r>
            <w:r>
              <w:rPr>
                <w:sz w:val="13"/>
                <w:szCs w:val="13"/>
                <w:color w:val="212529"/>
                <w:spacing w:val="4"/>
              </w:rPr>
              <w:t xml:space="preserve"> </w:t>
            </w:r>
            <w:r>
              <w:rPr>
                <w:sz w:val="13"/>
                <w:szCs w:val="13"/>
                <w:color w:val="212529"/>
                <w:spacing w:val="4"/>
              </w:rPr>
              <w:t>71</w:t>
            </w:r>
          </w:p>
        </w:tc>
      </w:tr>
      <w:tr>
        <w:trPr>
          <w:trHeight w:val="292" w:hRule="atLeast"/>
        </w:trPr>
        <w:tc>
          <w:tcPr>
            <w:tcW w:w="1690"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86" w:type="dxa"/>
            <w:vAlign w:val="top"/>
          </w:tcPr>
          <w:p>
            <w:pPr>
              <w:ind w:left="1"/>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44" w:type="dxa"/>
            <w:vAlign w:val="top"/>
          </w:tcPr>
          <w:p>
            <w:pPr>
              <w:ind w:right="18"/>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8.21</w:t>
            </w:r>
          </w:p>
        </w:tc>
        <w:tc>
          <w:tcPr>
            <w:tcW w:w="1350"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8.21</w:t>
            </w:r>
          </w:p>
        </w:tc>
        <w:tc>
          <w:tcPr>
            <w:tcW w:w="1388" w:type="dxa"/>
            <w:vAlign w:val="top"/>
          </w:tcPr>
          <w:p>
            <w:pPr>
              <w:pStyle w:val="TableText"/>
              <w:rPr/>
            </w:pPr>
            <w:r/>
          </w:p>
        </w:tc>
      </w:tr>
      <w:tr>
        <w:trPr>
          <w:trHeight w:val="292" w:hRule="atLeast"/>
        </w:trPr>
        <w:tc>
          <w:tcPr>
            <w:tcW w:w="1690"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86"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44" w:type="dxa"/>
            <w:vAlign w:val="top"/>
          </w:tcPr>
          <w:p>
            <w:pPr>
              <w:ind w:right="18"/>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8.21</w:t>
            </w:r>
          </w:p>
        </w:tc>
        <w:tc>
          <w:tcPr>
            <w:tcW w:w="1350"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8.21</w:t>
            </w:r>
          </w:p>
        </w:tc>
        <w:tc>
          <w:tcPr>
            <w:tcW w:w="1388" w:type="dxa"/>
            <w:vAlign w:val="top"/>
          </w:tcPr>
          <w:p>
            <w:pPr>
              <w:pStyle w:val="TableText"/>
              <w:rPr/>
            </w:pPr>
            <w:r/>
          </w:p>
        </w:tc>
      </w:tr>
      <w:tr>
        <w:trPr>
          <w:trHeight w:val="292" w:hRule="atLeast"/>
        </w:trPr>
        <w:tc>
          <w:tcPr>
            <w:tcW w:w="1690"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86" w:type="dxa"/>
            <w:vAlign w:val="top"/>
          </w:tcPr>
          <w:p>
            <w:pPr>
              <w:spacing w:before="70"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44" w:type="dxa"/>
            <w:vAlign w:val="top"/>
          </w:tcPr>
          <w:p>
            <w:pPr>
              <w:ind w:right="18"/>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8.21</w:t>
            </w:r>
          </w:p>
        </w:tc>
        <w:tc>
          <w:tcPr>
            <w:tcW w:w="1350"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8.21</w:t>
            </w:r>
          </w:p>
        </w:tc>
        <w:tc>
          <w:tcPr>
            <w:tcW w:w="1388" w:type="dxa"/>
            <w:vAlign w:val="top"/>
          </w:tcPr>
          <w:p>
            <w:pPr>
              <w:pStyle w:val="TableText"/>
              <w:rPr/>
            </w:pPr>
            <w:r/>
          </w:p>
        </w:tc>
      </w:tr>
      <w:tr>
        <w:trPr>
          <w:trHeight w:val="292" w:hRule="atLeast"/>
        </w:trPr>
        <w:tc>
          <w:tcPr>
            <w:tcW w:w="1690"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86" w:type="dxa"/>
            <w:vAlign w:val="top"/>
          </w:tcPr>
          <w:p>
            <w:pPr>
              <w:ind w:left="1"/>
              <w:spacing w:before="71"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44" w:type="dxa"/>
            <w:vAlign w:val="top"/>
          </w:tcPr>
          <w:p>
            <w:pPr>
              <w:ind w:right="18"/>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116.19</w:t>
            </w:r>
          </w:p>
        </w:tc>
        <w:tc>
          <w:tcPr>
            <w:tcW w:w="1350"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74.48</w:t>
            </w:r>
          </w:p>
        </w:tc>
        <w:tc>
          <w:tcPr>
            <w:tcW w:w="1388"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41.71</w:t>
            </w:r>
          </w:p>
        </w:tc>
      </w:tr>
      <w:tr>
        <w:trPr>
          <w:trHeight w:val="292" w:hRule="atLeast"/>
        </w:trPr>
        <w:tc>
          <w:tcPr>
            <w:tcW w:w="1690"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186" w:type="dxa"/>
            <w:vAlign w:val="top"/>
          </w:tcPr>
          <w:p>
            <w:pPr>
              <w:spacing w:before="72" w:line="228" w:lineRule="auto"/>
              <w:rPr>
                <w:rFonts w:ascii="SimSun" w:hAnsi="SimSun" w:eastAsia="SimSun" w:cs="SimSun"/>
                <w:sz w:val="15"/>
                <w:szCs w:val="15"/>
              </w:rPr>
            </w:pPr>
            <w:r>
              <w:rPr>
                <w:rFonts w:ascii="SimSun" w:hAnsi="SimSun" w:eastAsia="SimSun" w:cs="SimSun"/>
                <w:sz w:val="15"/>
                <w:szCs w:val="15"/>
                <w:color w:val="212529"/>
                <w:spacing w:val="10"/>
              </w:rPr>
              <w:t>基层医疗卫生机构</w:t>
            </w:r>
          </w:p>
        </w:tc>
        <w:tc>
          <w:tcPr>
            <w:tcW w:w="1544" w:type="dxa"/>
            <w:vAlign w:val="top"/>
          </w:tcPr>
          <w:p>
            <w:pPr>
              <w:ind w:right="18"/>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107.83</w:t>
            </w:r>
          </w:p>
        </w:tc>
        <w:tc>
          <w:tcPr>
            <w:tcW w:w="1350"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71.11</w:t>
            </w:r>
          </w:p>
        </w:tc>
        <w:tc>
          <w:tcPr>
            <w:tcW w:w="1388"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36.73</w:t>
            </w:r>
          </w:p>
        </w:tc>
      </w:tr>
      <w:tr>
        <w:trPr>
          <w:trHeight w:val="292" w:hRule="atLeast"/>
        </w:trPr>
        <w:tc>
          <w:tcPr>
            <w:tcW w:w="1690"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186" w:type="dxa"/>
            <w:vAlign w:val="top"/>
          </w:tcPr>
          <w:p>
            <w:pPr>
              <w:ind w:left="7"/>
              <w:spacing w:before="72"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544" w:type="dxa"/>
            <w:vAlign w:val="top"/>
          </w:tcPr>
          <w:p>
            <w:pPr>
              <w:ind w:right="18"/>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96.11</w:t>
            </w:r>
          </w:p>
        </w:tc>
        <w:tc>
          <w:tcPr>
            <w:tcW w:w="1350"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71.11</w:t>
            </w:r>
          </w:p>
        </w:tc>
        <w:tc>
          <w:tcPr>
            <w:tcW w:w="1388"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w:t>
            </w:r>
          </w:p>
        </w:tc>
      </w:tr>
      <w:tr>
        <w:trPr>
          <w:trHeight w:val="292" w:hRule="atLeast"/>
        </w:trPr>
        <w:tc>
          <w:tcPr>
            <w:tcW w:w="1690"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186" w:type="dxa"/>
            <w:vAlign w:val="top"/>
          </w:tcPr>
          <w:p>
            <w:pPr>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544" w:type="dxa"/>
            <w:vAlign w:val="top"/>
          </w:tcPr>
          <w:p>
            <w:pPr>
              <w:ind w:right="18"/>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11.73</w:t>
            </w:r>
          </w:p>
        </w:tc>
        <w:tc>
          <w:tcPr>
            <w:tcW w:w="1350" w:type="dxa"/>
            <w:vAlign w:val="top"/>
          </w:tcPr>
          <w:p>
            <w:pPr>
              <w:pStyle w:val="TableText"/>
              <w:rPr/>
            </w:pPr>
            <w:r/>
          </w:p>
        </w:tc>
        <w:tc>
          <w:tcPr>
            <w:tcW w:w="1388"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11.73</w:t>
            </w:r>
          </w:p>
        </w:tc>
      </w:tr>
      <w:tr>
        <w:trPr>
          <w:trHeight w:val="292" w:hRule="atLeast"/>
        </w:trPr>
        <w:tc>
          <w:tcPr>
            <w:tcW w:w="1690"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21004</w:t>
            </w:r>
          </w:p>
        </w:tc>
        <w:tc>
          <w:tcPr>
            <w:tcW w:w="3186" w:type="dxa"/>
            <w:vAlign w:val="top"/>
          </w:tcPr>
          <w:p>
            <w:pPr>
              <w:ind w:left="5"/>
              <w:spacing w:before="74" w:line="229" w:lineRule="auto"/>
              <w:rPr>
                <w:rFonts w:ascii="SimSun" w:hAnsi="SimSun" w:eastAsia="SimSun" w:cs="SimSun"/>
                <w:sz w:val="15"/>
                <w:szCs w:val="15"/>
              </w:rPr>
            </w:pPr>
            <w:r>
              <w:rPr>
                <w:rFonts w:ascii="SimSun" w:hAnsi="SimSun" w:eastAsia="SimSun" w:cs="SimSun"/>
                <w:sz w:val="15"/>
                <w:szCs w:val="15"/>
                <w:color w:val="212529"/>
                <w:spacing w:val="8"/>
              </w:rPr>
              <w:t>公共卫生</w:t>
            </w:r>
          </w:p>
        </w:tc>
        <w:tc>
          <w:tcPr>
            <w:tcW w:w="1544" w:type="dxa"/>
            <w:vAlign w:val="top"/>
          </w:tcPr>
          <w:p>
            <w:pPr>
              <w:ind w:right="18"/>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4.98</w:t>
            </w:r>
          </w:p>
        </w:tc>
        <w:tc>
          <w:tcPr>
            <w:tcW w:w="1350" w:type="dxa"/>
            <w:vAlign w:val="top"/>
          </w:tcPr>
          <w:p>
            <w:pPr>
              <w:pStyle w:val="TableText"/>
              <w:rPr/>
            </w:pPr>
            <w:r/>
          </w:p>
        </w:tc>
        <w:tc>
          <w:tcPr>
            <w:tcW w:w="1388" w:type="dxa"/>
            <w:vAlign w:val="top"/>
          </w:tcPr>
          <w:p>
            <w:pPr>
              <w:ind w:right="24"/>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4.98</w:t>
            </w:r>
          </w:p>
        </w:tc>
      </w:tr>
      <w:tr>
        <w:trPr>
          <w:trHeight w:val="292" w:hRule="atLeast"/>
        </w:trPr>
        <w:tc>
          <w:tcPr>
            <w:tcW w:w="1690"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2100408</w:t>
            </w:r>
          </w:p>
        </w:tc>
        <w:tc>
          <w:tcPr>
            <w:tcW w:w="3186" w:type="dxa"/>
            <w:vAlign w:val="top"/>
          </w:tcPr>
          <w:p>
            <w:pPr>
              <w:spacing w:before="75" w:line="228" w:lineRule="auto"/>
              <w:rPr>
                <w:rFonts w:ascii="SimSun" w:hAnsi="SimSun" w:eastAsia="SimSun" w:cs="SimSun"/>
                <w:sz w:val="15"/>
                <w:szCs w:val="15"/>
              </w:rPr>
            </w:pPr>
            <w:r>
              <w:rPr>
                <w:rFonts w:ascii="SimSun" w:hAnsi="SimSun" w:eastAsia="SimSun" w:cs="SimSun"/>
                <w:sz w:val="15"/>
                <w:szCs w:val="15"/>
                <w:color w:val="212529"/>
                <w:spacing w:val="10"/>
              </w:rPr>
              <w:t>基本公共卫生服务</w:t>
            </w:r>
          </w:p>
        </w:tc>
        <w:tc>
          <w:tcPr>
            <w:tcW w:w="1544" w:type="dxa"/>
            <w:vAlign w:val="top"/>
          </w:tcPr>
          <w:p>
            <w:pPr>
              <w:ind w:right="18"/>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4.98</w:t>
            </w:r>
          </w:p>
        </w:tc>
        <w:tc>
          <w:tcPr>
            <w:tcW w:w="1350" w:type="dxa"/>
            <w:vAlign w:val="top"/>
          </w:tcPr>
          <w:p>
            <w:pPr>
              <w:pStyle w:val="TableText"/>
              <w:rPr/>
            </w:pPr>
            <w:r/>
          </w:p>
        </w:tc>
        <w:tc>
          <w:tcPr>
            <w:tcW w:w="1388"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4.98</w:t>
            </w:r>
          </w:p>
        </w:tc>
      </w:tr>
      <w:tr>
        <w:trPr>
          <w:trHeight w:val="293" w:hRule="atLeast"/>
        </w:trPr>
        <w:tc>
          <w:tcPr>
            <w:tcW w:w="1690"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186"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4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3.37</w:t>
            </w:r>
          </w:p>
        </w:tc>
        <w:tc>
          <w:tcPr>
            <w:tcW w:w="1350"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3.37</w:t>
            </w:r>
          </w:p>
        </w:tc>
        <w:tc>
          <w:tcPr>
            <w:tcW w:w="1388" w:type="dxa"/>
            <w:vAlign w:val="top"/>
          </w:tcPr>
          <w:p>
            <w:pPr>
              <w:pStyle w:val="TableText"/>
              <w:rPr/>
            </w:pPr>
            <w:r/>
          </w:p>
        </w:tc>
      </w:tr>
      <w:tr>
        <w:trPr>
          <w:trHeight w:val="293" w:hRule="atLeast"/>
        </w:trPr>
        <w:tc>
          <w:tcPr>
            <w:tcW w:w="1690"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186" w:type="dxa"/>
            <w:vAlign w:val="top"/>
          </w:tcPr>
          <w:p>
            <w:pPr>
              <w:ind w:left="1"/>
              <w:spacing w:before="75"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4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3.37</w:t>
            </w:r>
          </w:p>
        </w:tc>
        <w:tc>
          <w:tcPr>
            <w:tcW w:w="1350"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3.37</w:t>
            </w:r>
          </w:p>
        </w:tc>
        <w:tc>
          <w:tcPr>
            <w:tcW w:w="1388" w:type="dxa"/>
            <w:vAlign w:val="top"/>
          </w:tcPr>
          <w:p>
            <w:pPr>
              <w:pStyle w:val="TableText"/>
              <w:rPr/>
            </w:pPr>
            <w:r/>
          </w:p>
        </w:tc>
      </w:tr>
      <w:tr>
        <w:trPr>
          <w:trHeight w:val="292" w:hRule="atLeast"/>
        </w:trPr>
        <w:tc>
          <w:tcPr>
            <w:tcW w:w="1690" w:type="dxa"/>
            <w:vAlign w:val="top"/>
          </w:tcPr>
          <w:p>
            <w:pPr>
              <w:ind w:left="8"/>
              <w:spacing w:before="74"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86" w:type="dxa"/>
            <w:vAlign w:val="top"/>
          </w:tcPr>
          <w:p>
            <w:pPr>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44" w:type="dxa"/>
            <w:vAlign w:val="top"/>
          </w:tcPr>
          <w:p>
            <w:pPr>
              <w:ind w:right="18"/>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7.54</w:t>
            </w:r>
          </w:p>
        </w:tc>
        <w:tc>
          <w:tcPr>
            <w:tcW w:w="1350"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7.54</w:t>
            </w:r>
          </w:p>
        </w:tc>
        <w:tc>
          <w:tcPr>
            <w:tcW w:w="1388" w:type="dxa"/>
            <w:vAlign w:val="top"/>
          </w:tcPr>
          <w:p>
            <w:pPr>
              <w:pStyle w:val="TableText"/>
              <w:rPr/>
            </w:pPr>
            <w:r/>
          </w:p>
        </w:tc>
      </w:tr>
      <w:tr>
        <w:trPr>
          <w:trHeight w:val="293" w:hRule="atLeast"/>
        </w:trPr>
        <w:tc>
          <w:tcPr>
            <w:tcW w:w="1690"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86"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4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7.54</w:t>
            </w:r>
          </w:p>
        </w:tc>
        <w:tc>
          <w:tcPr>
            <w:tcW w:w="1350"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7.54</w:t>
            </w:r>
          </w:p>
        </w:tc>
        <w:tc>
          <w:tcPr>
            <w:tcW w:w="1388" w:type="dxa"/>
            <w:vAlign w:val="top"/>
          </w:tcPr>
          <w:p>
            <w:pPr>
              <w:pStyle w:val="TableText"/>
              <w:rPr/>
            </w:pPr>
            <w:r/>
          </w:p>
        </w:tc>
      </w:tr>
      <w:tr>
        <w:trPr>
          <w:trHeight w:val="298" w:hRule="atLeast"/>
        </w:trPr>
        <w:tc>
          <w:tcPr>
            <w:tcW w:w="1690"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86"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4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7.54</w:t>
            </w:r>
          </w:p>
        </w:tc>
        <w:tc>
          <w:tcPr>
            <w:tcW w:w="1350"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7.54</w:t>
            </w:r>
          </w:p>
        </w:tc>
        <w:tc>
          <w:tcPr>
            <w:tcW w:w="1388" w:type="dxa"/>
            <w:vAlign w:val="top"/>
          </w:tcPr>
          <w:p>
            <w:pPr>
              <w:pStyle w:val="TableText"/>
              <w:rPr/>
            </w:pPr>
            <w:r/>
          </w:p>
        </w:tc>
      </w:tr>
    </w:tbl>
    <w:p>
      <w:pPr>
        <w:rPr>
          <w:rFonts w:ascii="Arial"/>
          <w:sz w:val="21"/>
        </w:rPr>
      </w:pPr>
      <w:r/>
    </w:p>
    <w:p>
      <w:pPr>
        <w:sectPr>
          <w:headerReference w:type="default" r:id="rId13"/>
          <w:footerReference w:type="default" r:id="rId18"/>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407"/>
        <w:gridCol w:w="2343"/>
        <w:gridCol w:w="1134"/>
        <w:gridCol w:w="1134"/>
        <w:gridCol w:w="1064"/>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884" w:type="dxa"/>
            <w:vAlign w:val="top"/>
            <w:gridSpan w:val="3"/>
            <w:tcBorders>
              <w:top w:val="single" w:color="FFFFFF" w:sz="4" w:space="0"/>
              <w:left w:val="single" w:color="FFFFFF" w:sz="2" w:space="0"/>
              <w:right w:val="single" w:color="FFFFFF" w:sz="2" w:space="0"/>
            </w:tcBorders>
          </w:tcPr>
          <w:p>
            <w:pPr>
              <w:ind w:left="9"/>
              <w:spacing w:before="79" w:line="233"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单位名称：兴县孟家坪乡卫生院贺家会分院</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064" w:type="dxa"/>
            <w:vAlign w:val="top"/>
            <w:tcBorders>
              <w:top w:val="single" w:color="FFFFFF" w:sz="4" w:space="0"/>
              <w:left w:val="single" w:color="FFFFFF" w:sz="2" w:space="0"/>
              <w:right w:val="single" w:color="FFFFFF" w:sz="2" w:space="0"/>
            </w:tcBorders>
          </w:tcPr>
          <w:p>
            <w:pPr>
              <w:ind w:left="393"/>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407" w:type="dxa"/>
            <w:vAlign w:val="top"/>
            <w:vMerge w:val="restart"/>
            <w:tcBorders>
              <w:bottom w:val="nil"/>
            </w:tcBorders>
          </w:tcPr>
          <w:p>
            <w:pPr>
              <w:ind w:left="71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343" w:type="dxa"/>
            <w:vAlign w:val="top"/>
            <w:vMerge w:val="restart"/>
            <w:tcBorders>
              <w:bottom w:val="nil"/>
            </w:tcBorders>
          </w:tcPr>
          <w:p>
            <w:pPr>
              <w:ind w:left="188"/>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332" w:type="dxa"/>
            <w:vAlign w:val="top"/>
            <w:gridSpan w:val="3"/>
          </w:tcPr>
          <w:p>
            <w:pPr>
              <w:ind w:left="1174"/>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407" w:type="dxa"/>
            <w:vAlign w:val="top"/>
            <w:vMerge w:val="continue"/>
            <w:tcBorders>
              <w:top w:val="nil"/>
            </w:tcBorders>
          </w:tcPr>
          <w:p>
            <w:pPr>
              <w:pStyle w:val="TableText"/>
              <w:rPr/>
            </w:pPr>
            <w:r/>
          </w:p>
        </w:tc>
        <w:tc>
          <w:tcPr>
            <w:tcW w:w="2343" w:type="dxa"/>
            <w:vAlign w:val="top"/>
            <w:vMerge w:val="continue"/>
            <w:tcBorders>
              <w:top w:val="nil"/>
            </w:tcBorders>
          </w:tcPr>
          <w:p>
            <w:pPr>
              <w:pStyle w:val="TableText"/>
              <w:rPr/>
            </w:pPr>
            <w:r/>
          </w:p>
        </w:tc>
        <w:tc>
          <w:tcPr>
            <w:tcW w:w="1134" w:type="dxa"/>
            <w:vAlign w:val="top"/>
          </w:tcPr>
          <w:p>
            <w:pPr>
              <w:ind w:left="400"/>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8"/>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064" w:type="dxa"/>
            <w:vAlign w:val="top"/>
          </w:tcPr>
          <w:p>
            <w:pPr>
              <w:ind w:left="206"/>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750" w:type="dxa"/>
            <w:vAlign w:val="top"/>
            <w:gridSpan w:val="2"/>
          </w:tcPr>
          <w:p>
            <w:pPr>
              <w:ind w:left="2717"/>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34" w:type="dxa"/>
            <w:vAlign w:val="top"/>
          </w:tcPr>
          <w:p>
            <w:pPr>
              <w:pStyle w:val="TableText"/>
              <w:ind w:left="709"/>
              <w:spacing w:before="87" w:line="186" w:lineRule="auto"/>
              <w:rPr>
                <w:sz w:val="13"/>
                <w:szCs w:val="13"/>
              </w:rPr>
            </w:pPr>
            <w:r>
              <w:rPr>
                <w:sz w:val="13"/>
                <w:szCs w:val="13"/>
                <w:color w:val="212529"/>
                <w:spacing w:val="4"/>
              </w:rPr>
              <w:t>90.</w:t>
            </w:r>
            <w:r>
              <w:rPr>
                <w:sz w:val="13"/>
                <w:szCs w:val="13"/>
                <w:color w:val="212529"/>
                <w:spacing w:val="11"/>
              </w:rPr>
              <w:t xml:space="preserve"> </w:t>
            </w:r>
            <w:r>
              <w:rPr>
                <w:sz w:val="13"/>
                <w:szCs w:val="13"/>
                <w:color w:val="212529"/>
                <w:spacing w:val="4"/>
              </w:rPr>
              <w:t>23</w:t>
            </w:r>
          </w:p>
        </w:tc>
        <w:tc>
          <w:tcPr>
            <w:tcW w:w="1134" w:type="dxa"/>
            <w:vAlign w:val="top"/>
          </w:tcPr>
          <w:p>
            <w:pPr>
              <w:pStyle w:val="TableText"/>
              <w:ind w:left="711"/>
              <w:spacing w:before="87" w:line="186" w:lineRule="auto"/>
              <w:rPr>
                <w:sz w:val="13"/>
                <w:szCs w:val="13"/>
              </w:rPr>
            </w:pPr>
            <w:r>
              <w:rPr>
                <w:sz w:val="13"/>
                <w:szCs w:val="13"/>
                <w:color w:val="212529"/>
                <w:spacing w:val="4"/>
              </w:rPr>
              <w:t>81.</w:t>
            </w:r>
            <w:r>
              <w:rPr>
                <w:sz w:val="13"/>
                <w:szCs w:val="13"/>
                <w:color w:val="212529"/>
                <w:spacing w:val="4"/>
              </w:rPr>
              <w:t xml:space="preserve"> </w:t>
            </w:r>
            <w:r>
              <w:rPr>
                <w:sz w:val="13"/>
                <w:szCs w:val="13"/>
                <w:color w:val="212529"/>
                <w:spacing w:val="4"/>
              </w:rPr>
              <w:t>41</w:t>
            </w:r>
          </w:p>
        </w:tc>
        <w:tc>
          <w:tcPr>
            <w:tcW w:w="1064" w:type="dxa"/>
            <w:vAlign w:val="top"/>
          </w:tcPr>
          <w:p>
            <w:pPr>
              <w:pStyle w:val="TableText"/>
              <w:ind w:left="715"/>
              <w:spacing w:before="87" w:line="186" w:lineRule="auto"/>
              <w:rPr>
                <w:sz w:val="13"/>
                <w:szCs w:val="13"/>
              </w:rPr>
            </w:pPr>
            <w:r>
              <w:rPr>
                <w:sz w:val="13"/>
                <w:szCs w:val="13"/>
                <w:color w:val="212529"/>
                <w:spacing w:val="3"/>
              </w:rPr>
              <w:t>8.</w:t>
            </w:r>
            <w:r>
              <w:rPr>
                <w:sz w:val="13"/>
                <w:szCs w:val="13"/>
                <w:color w:val="212529"/>
                <w:spacing w:val="10"/>
                <w:w w:val="102"/>
              </w:rPr>
              <w:t xml:space="preserve"> </w:t>
            </w:r>
            <w:r>
              <w:rPr>
                <w:sz w:val="13"/>
                <w:szCs w:val="13"/>
                <w:color w:val="212529"/>
                <w:spacing w:val="3"/>
              </w:rPr>
              <w:t>82</w:t>
            </w:r>
          </w:p>
        </w:tc>
      </w:tr>
      <w:tr>
        <w:trPr>
          <w:trHeight w:val="292" w:hRule="atLeast"/>
        </w:trPr>
        <w:tc>
          <w:tcPr>
            <w:tcW w:w="3407"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343" w:type="dxa"/>
            <w:vAlign w:val="top"/>
          </w:tcPr>
          <w:p>
            <w:pPr>
              <w:pStyle w:val="TableText"/>
              <w:rPr/>
            </w:pPr>
            <w:r/>
          </w:p>
        </w:tc>
        <w:tc>
          <w:tcPr>
            <w:tcW w:w="1134" w:type="dxa"/>
            <w:vAlign w:val="top"/>
          </w:tcPr>
          <w:p>
            <w:pPr>
              <w:ind w:right="18"/>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81.41</w:t>
            </w:r>
          </w:p>
        </w:tc>
        <w:tc>
          <w:tcPr>
            <w:tcW w:w="1134" w:type="dxa"/>
            <w:vAlign w:val="top"/>
          </w:tcPr>
          <w:p>
            <w:pPr>
              <w:ind w:right="15"/>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81.41</w:t>
            </w:r>
          </w:p>
        </w:tc>
        <w:tc>
          <w:tcPr>
            <w:tcW w:w="1064" w:type="dxa"/>
            <w:vAlign w:val="top"/>
          </w:tcPr>
          <w:p>
            <w:pPr>
              <w:pStyle w:val="TableText"/>
              <w:rPr/>
            </w:pPr>
            <w:r/>
          </w:p>
        </w:tc>
      </w:tr>
      <w:tr>
        <w:trPr>
          <w:trHeight w:val="292" w:hRule="atLeast"/>
        </w:trPr>
        <w:tc>
          <w:tcPr>
            <w:tcW w:w="3407"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343" w:type="dxa"/>
            <w:vAlign w:val="top"/>
          </w:tcPr>
          <w:p>
            <w:pPr>
              <w:ind w:left="331"/>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30.72</w:t>
            </w:r>
          </w:p>
        </w:tc>
        <w:tc>
          <w:tcPr>
            <w:tcW w:w="1134" w:type="dxa"/>
            <w:vAlign w:val="top"/>
          </w:tcPr>
          <w:p>
            <w:pPr>
              <w:ind w:right="15"/>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30.72</w:t>
            </w:r>
          </w:p>
        </w:tc>
        <w:tc>
          <w:tcPr>
            <w:tcW w:w="1064" w:type="dxa"/>
            <w:vAlign w:val="top"/>
          </w:tcPr>
          <w:p>
            <w:pPr>
              <w:pStyle w:val="TableText"/>
              <w:rPr/>
            </w:pPr>
            <w:r/>
          </w:p>
        </w:tc>
      </w:tr>
      <w:tr>
        <w:trPr>
          <w:trHeight w:val="292" w:hRule="atLeast"/>
        </w:trPr>
        <w:tc>
          <w:tcPr>
            <w:tcW w:w="3407"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343" w:type="dxa"/>
            <w:vAlign w:val="top"/>
          </w:tcPr>
          <w:p>
            <w:pPr>
              <w:ind w:left="331"/>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5.22</w:t>
            </w:r>
          </w:p>
        </w:tc>
        <w:tc>
          <w:tcPr>
            <w:tcW w:w="1134" w:type="dxa"/>
            <w:vAlign w:val="top"/>
          </w:tcPr>
          <w:p>
            <w:pPr>
              <w:ind w:right="15"/>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5.22</w:t>
            </w:r>
          </w:p>
        </w:tc>
        <w:tc>
          <w:tcPr>
            <w:tcW w:w="1064" w:type="dxa"/>
            <w:vAlign w:val="top"/>
          </w:tcPr>
          <w:p>
            <w:pPr>
              <w:pStyle w:val="TableText"/>
              <w:rPr/>
            </w:pPr>
            <w:r/>
          </w:p>
        </w:tc>
      </w:tr>
      <w:tr>
        <w:trPr>
          <w:trHeight w:val="292" w:hRule="atLeast"/>
        </w:trPr>
        <w:tc>
          <w:tcPr>
            <w:tcW w:w="3407"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343" w:type="dxa"/>
            <w:vAlign w:val="top"/>
          </w:tcPr>
          <w:p>
            <w:pPr>
              <w:ind w:left="331"/>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19.61</w:t>
            </w:r>
          </w:p>
        </w:tc>
        <w:tc>
          <w:tcPr>
            <w:tcW w:w="1134" w:type="dxa"/>
            <w:vAlign w:val="top"/>
          </w:tcPr>
          <w:p>
            <w:pPr>
              <w:ind w:right="15"/>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19.61</w:t>
            </w:r>
          </w:p>
        </w:tc>
        <w:tc>
          <w:tcPr>
            <w:tcW w:w="1064" w:type="dxa"/>
            <w:vAlign w:val="top"/>
          </w:tcPr>
          <w:p>
            <w:pPr>
              <w:pStyle w:val="TableText"/>
              <w:rPr/>
            </w:pPr>
            <w:r/>
          </w:p>
        </w:tc>
      </w:tr>
      <w:tr>
        <w:trPr>
          <w:trHeight w:val="292" w:hRule="atLeast"/>
        </w:trPr>
        <w:tc>
          <w:tcPr>
            <w:tcW w:w="3407"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343" w:type="dxa"/>
            <w:vAlign w:val="top"/>
          </w:tcPr>
          <w:p>
            <w:pPr>
              <w:ind w:left="331"/>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8.21</w:t>
            </w:r>
          </w:p>
        </w:tc>
        <w:tc>
          <w:tcPr>
            <w:tcW w:w="1134" w:type="dxa"/>
            <w:vAlign w:val="top"/>
          </w:tcPr>
          <w:p>
            <w:pPr>
              <w:ind w:right="15"/>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8.21</w:t>
            </w:r>
          </w:p>
        </w:tc>
        <w:tc>
          <w:tcPr>
            <w:tcW w:w="1064" w:type="dxa"/>
            <w:vAlign w:val="top"/>
          </w:tcPr>
          <w:p>
            <w:pPr>
              <w:pStyle w:val="TableText"/>
              <w:rPr/>
            </w:pPr>
            <w:r/>
          </w:p>
        </w:tc>
      </w:tr>
      <w:tr>
        <w:trPr>
          <w:trHeight w:val="292" w:hRule="atLeast"/>
        </w:trPr>
        <w:tc>
          <w:tcPr>
            <w:tcW w:w="3407"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343" w:type="dxa"/>
            <w:vAlign w:val="top"/>
          </w:tcPr>
          <w:p>
            <w:pPr>
              <w:ind w:left="331"/>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3.34</w:t>
            </w:r>
          </w:p>
        </w:tc>
        <w:tc>
          <w:tcPr>
            <w:tcW w:w="1134" w:type="dxa"/>
            <w:vAlign w:val="top"/>
          </w:tcPr>
          <w:p>
            <w:pPr>
              <w:ind w:right="15"/>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3.34</w:t>
            </w:r>
          </w:p>
        </w:tc>
        <w:tc>
          <w:tcPr>
            <w:tcW w:w="1064" w:type="dxa"/>
            <w:vAlign w:val="top"/>
          </w:tcPr>
          <w:p>
            <w:pPr>
              <w:pStyle w:val="TableText"/>
              <w:rPr/>
            </w:pPr>
            <w:r/>
          </w:p>
        </w:tc>
      </w:tr>
      <w:tr>
        <w:trPr>
          <w:trHeight w:val="292" w:hRule="atLeast"/>
        </w:trPr>
        <w:tc>
          <w:tcPr>
            <w:tcW w:w="3407"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343" w:type="dxa"/>
            <w:vAlign w:val="top"/>
          </w:tcPr>
          <w:p>
            <w:pPr>
              <w:ind w:left="331"/>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0.19</w:t>
            </w:r>
          </w:p>
        </w:tc>
        <w:tc>
          <w:tcPr>
            <w:tcW w:w="1134" w:type="dxa"/>
            <w:vAlign w:val="top"/>
          </w:tcPr>
          <w:p>
            <w:pPr>
              <w:ind w:right="15"/>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0.19</w:t>
            </w:r>
          </w:p>
        </w:tc>
        <w:tc>
          <w:tcPr>
            <w:tcW w:w="1064" w:type="dxa"/>
            <w:vAlign w:val="top"/>
          </w:tcPr>
          <w:p>
            <w:pPr>
              <w:pStyle w:val="TableText"/>
              <w:rPr/>
            </w:pPr>
            <w:r/>
          </w:p>
        </w:tc>
      </w:tr>
      <w:tr>
        <w:trPr>
          <w:trHeight w:val="292" w:hRule="atLeast"/>
        </w:trPr>
        <w:tc>
          <w:tcPr>
            <w:tcW w:w="3407" w:type="dxa"/>
            <w:vAlign w:val="top"/>
          </w:tcPr>
          <w:p>
            <w:pPr>
              <w:ind w:left="331"/>
              <w:spacing w:before="73"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343" w:type="dxa"/>
            <w:vAlign w:val="top"/>
          </w:tcPr>
          <w:p>
            <w:pPr>
              <w:ind w:left="331"/>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7.54</w:t>
            </w:r>
          </w:p>
        </w:tc>
        <w:tc>
          <w:tcPr>
            <w:tcW w:w="1134" w:type="dxa"/>
            <w:vAlign w:val="top"/>
          </w:tcPr>
          <w:p>
            <w:pPr>
              <w:ind w:right="15"/>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7.54</w:t>
            </w:r>
          </w:p>
        </w:tc>
        <w:tc>
          <w:tcPr>
            <w:tcW w:w="1064" w:type="dxa"/>
            <w:vAlign w:val="top"/>
          </w:tcPr>
          <w:p>
            <w:pPr>
              <w:pStyle w:val="TableText"/>
              <w:rPr/>
            </w:pPr>
            <w:r/>
          </w:p>
        </w:tc>
      </w:tr>
      <w:tr>
        <w:trPr>
          <w:trHeight w:val="292" w:hRule="atLeast"/>
        </w:trPr>
        <w:tc>
          <w:tcPr>
            <w:tcW w:w="3407"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343" w:type="dxa"/>
            <w:vAlign w:val="top"/>
          </w:tcPr>
          <w:p>
            <w:pPr>
              <w:ind w:left="331"/>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6.57</w:t>
            </w:r>
          </w:p>
        </w:tc>
        <w:tc>
          <w:tcPr>
            <w:tcW w:w="1134" w:type="dxa"/>
            <w:vAlign w:val="top"/>
          </w:tcPr>
          <w:p>
            <w:pPr>
              <w:ind w:right="15"/>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6.57</w:t>
            </w:r>
          </w:p>
        </w:tc>
        <w:tc>
          <w:tcPr>
            <w:tcW w:w="1064" w:type="dxa"/>
            <w:vAlign w:val="top"/>
          </w:tcPr>
          <w:p>
            <w:pPr>
              <w:pStyle w:val="TableText"/>
              <w:rPr/>
            </w:pPr>
            <w:r/>
          </w:p>
        </w:tc>
      </w:tr>
      <w:tr>
        <w:trPr>
          <w:trHeight w:val="293" w:hRule="atLeast"/>
        </w:trPr>
        <w:tc>
          <w:tcPr>
            <w:tcW w:w="3407"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343" w:type="dxa"/>
            <w:vAlign w:val="top"/>
          </w:tcPr>
          <w:p>
            <w:pPr>
              <w:pStyle w:val="TableText"/>
              <w:rPr/>
            </w:pPr>
            <w:r/>
          </w:p>
        </w:tc>
        <w:tc>
          <w:tcPr>
            <w:tcW w:w="113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8.82</w:t>
            </w:r>
          </w:p>
        </w:tc>
        <w:tc>
          <w:tcPr>
            <w:tcW w:w="1134" w:type="dxa"/>
            <w:vAlign w:val="top"/>
          </w:tcPr>
          <w:p>
            <w:pPr>
              <w:pStyle w:val="TableText"/>
              <w:rPr/>
            </w:pPr>
            <w:r/>
          </w:p>
        </w:tc>
        <w:tc>
          <w:tcPr>
            <w:tcW w:w="106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8.82</w:t>
            </w:r>
          </w:p>
        </w:tc>
      </w:tr>
      <w:tr>
        <w:trPr>
          <w:trHeight w:val="293" w:hRule="atLeast"/>
        </w:trPr>
        <w:tc>
          <w:tcPr>
            <w:tcW w:w="3407"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343" w:type="dxa"/>
            <w:vAlign w:val="top"/>
          </w:tcPr>
          <w:p>
            <w:pPr>
              <w:ind w:left="332"/>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3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134" w:type="dxa"/>
            <w:vAlign w:val="top"/>
          </w:tcPr>
          <w:p>
            <w:pPr>
              <w:pStyle w:val="TableText"/>
              <w:rPr/>
            </w:pPr>
            <w:r/>
          </w:p>
        </w:tc>
        <w:tc>
          <w:tcPr>
            <w:tcW w:w="106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r>
      <w:tr>
        <w:trPr>
          <w:trHeight w:val="292" w:hRule="atLeast"/>
        </w:trPr>
        <w:tc>
          <w:tcPr>
            <w:tcW w:w="3407"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343" w:type="dxa"/>
            <w:vAlign w:val="top"/>
          </w:tcPr>
          <w:p>
            <w:pPr>
              <w:ind w:left="332"/>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34" w:type="dxa"/>
            <w:vAlign w:val="top"/>
          </w:tcPr>
          <w:p>
            <w:pPr>
              <w:ind w:right="18"/>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1.03</w:t>
            </w:r>
          </w:p>
        </w:tc>
        <w:tc>
          <w:tcPr>
            <w:tcW w:w="1134" w:type="dxa"/>
            <w:vAlign w:val="top"/>
          </w:tcPr>
          <w:p>
            <w:pPr>
              <w:pStyle w:val="TableText"/>
              <w:rPr/>
            </w:pPr>
            <w:r/>
          </w:p>
        </w:tc>
        <w:tc>
          <w:tcPr>
            <w:tcW w:w="106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1.03</w:t>
            </w:r>
          </w:p>
        </w:tc>
      </w:tr>
      <w:tr>
        <w:trPr>
          <w:trHeight w:val="298" w:hRule="atLeast"/>
        </w:trPr>
        <w:tc>
          <w:tcPr>
            <w:tcW w:w="3407"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343" w:type="dxa"/>
            <w:vAlign w:val="top"/>
          </w:tcPr>
          <w:p>
            <w:pPr>
              <w:ind w:left="332"/>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3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1.80</w:t>
            </w:r>
          </w:p>
        </w:tc>
        <w:tc>
          <w:tcPr>
            <w:tcW w:w="1134" w:type="dxa"/>
            <w:vAlign w:val="top"/>
          </w:tcPr>
          <w:p>
            <w:pPr>
              <w:pStyle w:val="TableText"/>
              <w:rPr/>
            </w:pPr>
            <w:r/>
          </w:p>
        </w:tc>
        <w:tc>
          <w:tcPr>
            <w:tcW w:w="106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1.80</w:t>
            </w:r>
          </w:p>
        </w:tc>
      </w:tr>
    </w:tbl>
    <w:p>
      <w:pPr>
        <w:rPr>
          <w:rFonts w:ascii="Arial"/>
          <w:sz w:val="21"/>
        </w:rPr>
      </w:pPr>
      <w:r/>
    </w:p>
    <w:p>
      <w:pPr>
        <w:sectPr>
          <w:footerReference w:type="default" r:id="rId19"/>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ind w:left="1157"/>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单位名称：兴县孟家坪乡卫生院贺家会分院</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headerReference w:type="default" r:id="rId16"/>
          <w:footerReference w:type="default" r:id="rId20"/>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ind w:left="411"/>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单位名称：兴县孟家坪乡卫生院贺家会分院</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footerReference w:type="default" r:id="rId21"/>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ind w:left="197"/>
              <w:spacing w:before="235" w:line="211"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单位名称：兴县孟家坪乡卫生院贺家会分院</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4" w:line="233"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单位名称：兴县孟家坪乡卫生院贺家会分院</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headerReference w:type="default" r:id="rId13"/>
          <w:footerReference w:type="default" r:id="rId22"/>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ind w:left="790"/>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5" w:line="233"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单位名称：兴县孟家坪乡卫生院贺家会分院</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headerReference w:type="default" r:id="rId16"/>
          <w:footerReference w:type="default" r:id="rId23"/>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18"/>
        <w:gridCol w:w="1069"/>
        <w:gridCol w:w="1080"/>
        <w:gridCol w:w="832"/>
        <w:gridCol w:w="1242"/>
        <w:gridCol w:w="1069"/>
        <w:gridCol w:w="848"/>
      </w:tblGrid>
      <w:tr>
        <w:trPr>
          <w:trHeight w:val="384" w:hRule="atLeast"/>
        </w:trPr>
        <w:tc>
          <w:tcPr>
            <w:tcW w:w="301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8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3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4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17" w:type="dxa"/>
            <w:vAlign w:val="top"/>
            <w:gridSpan w:val="2"/>
            <w:tcBorders>
              <w:bottom w:val="single" w:color="FFFFFF" w:sz="4" w:space="0"/>
              <w:top w:val="single" w:color="FFFFFF" w:sz="4" w:space="0"/>
              <w:left w:val="single" w:color="FFFFFF" w:sz="2" w:space="0"/>
              <w:right w:val="single" w:color="FFFFFF" w:sz="2" w:space="0"/>
            </w:tcBorders>
          </w:tcPr>
          <w:p>
            <w:pPr>
              <w:ind w:left="1114"/>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41"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单位名称：兴县孟家坪乡卫生院贺家会分院</w:t>
            </w:r>
          </w:p>
        </w:tc>
        <w:tc>
          <w:tcPr>
            <w:tcW w:w="1917" w:type="dxa"/>
            <w:vAlign w:val="top"/>
            <w:gridSpan w:val="2"/>
            <w:tcBorders>
              <w:top w:val="single" w:color="FFFFFF" w:sz="4" w:space="0"/>
              <w:left w:val="single" w:color="FFFFFF" w:sz="2" w:space="0"/>
              <w:right w:val="single" w:color="FFFFFF" w:sz="2" w:space="0"/>
            </w:tcBorders>
          </w:tcPr>
          <w:p>
            <w:pPr>
              <w:ind w:left="1244"/>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018" w:type="dxa"/>
            <w:vAlign w:val="top"/>
            <w:vMerge w:val="restart"/>
            <w:tcBorders>
              <w:bottom w:val="nil"/>
            </w:tcBorders>
          </w:tcPr>
          <w:p>
            <w:pPr>
              <w:ind w:left="1170"/>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069" w:type="dxa"/>
            <w:vAlign w:val="top"/>
            <w:vMerge w:val="restart"/>
            <w:tcBorders>
              <w:bottom w:val="nil"/>
            </w:tcBorders>
          </w:tcPr>
          <w:p>
            <w:pPr>
              <w:ind w:left="362"/>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154" w:type="dxa"/>
            <w:vAlign w:val="top"/>
            <w:gridSpan w:val="3"/>
          </w:tcPr>
          <w:p>
            <w:pPr>
              <w:ind w:left="1003"/>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69" w:type="dxa"/>
            <w:vAlign w:val="top"/>
            <w:vMerge w:val="restart"/>
            <w:tcBorders>
              <w:bottom w:val="nil"/>
            </w:tcBorders>
          </w:tcPr>
          <w:p>
            <w:pPr>
              <w:ind w:left="40"/>
              <w:spacing w:before="21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70"/>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48" w:type="dxa"/>
            <w:vAlign w:val="top"/>
            <w:vMerge w:val="restart"/>
            <w:tcBorders>
              <w:bottom w:val="nil"/>
            </w:tcBorders>
          </w:tcPr>
          <w:p>
            <w:pPr>
              <w:ind w:left="88"/>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3018" w:type="dxa"/>
            <w:vAlign w:val="top"/>
            <w:vMerge w:val="continue"/>
            <w:tcBorders>
              <w:top w:val="nil"/>
            </w:tcBorders>
          </w:tcPr>
          <w:p>
            <w:pPr>
              <w:pStyle w:val="TableText"/>
              <w:rPr/>
            </w:pPr>
            <w:r/>
          </w:p>
        </w:tc>
        <w:tc>
          <w:tcPr>
            <w:tcW w:w="1069" w:type="dxa"/>
            <w:vAlign w:val="top"/>
            <w:vMerge w:val="continue"/>
            <w:tcBorders>
              <w:top w:val="nil"/>
            </w:tcBorders>
          </w:tcPr>
          <w:p>
            <w:pPr>
              <w:pStyle w:val="TableText"/>
              <w:rPr/>
            </w:pPr>
            <w:r/>
          </w:p>
        </w:tc>
        <w:tc>
          <w:tcPr>
            <w:tcW w:w="1080" w:type="dxa"/>
            <w:vAlign w:val="top"/>
          </w:tcPr>
          <w:p>
            <w:pPr>
              <w:ind w:left="45"/>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32" w:type="dxa"/>
            <w:vAlign w:val="top"/>
          </w:tcPr>
          <w:p>
            <w:pPr>
              <w:ind w:left="160" w:right="97"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42" w:type="dxa"/>
            <w:vAlign w:val="top"/>
          </w:tcPr>
          <w:p>
            <w:pPr>
              <w:ind w:left="57"/>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23"/>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69" w:type="dxa"/>
            <w:vAlign w:val="top"/>
            <w:vMerge w:val="continue"/>
            <w:tcBorders>
              <w:top w:val="nil"/>
            </w:tcBorders>
          </w:tcPr>
          <w:p>
            <w:pPr>
              <w:pStyle w:val="TableText"/>
              <w:rPr/>
            </w:pPr>
            <w:r/>
          </w:p>
        </w:tc>
        <w:tc>
          <w:tcPr>
            <w:tcW w:w="848" w:type="dxa"/>
            <w:vAlign w:val="top"/>
            <w:vMerge w:val="continue"/>
            <w:tcBorders>
              <w:top w:val="nil"/>
            </w:tcBorders>
          </w:tcPr>
          <w:p>
            <w:pPr>
              <w:pStyle w:val="TableText"/>
              <w:rPr/>
            </w:pPr>
            <w:r/>
          </w:p>
        </w:tc>
      </w:tr>
      <w:tr>
        <w:trPr>
          <w:trHeight w:val="379" w:hRule="atLeast"/>
        </w:trPr>
        <w:tc>
          <w:tcPr>
            <w:tcW w:w="3018" w:type="dxa"/>
            <w:vAlign w:val="top"/>
          </w:tcPr>
          <w:p>
            <w:pPr>
              <w:ind w:left="1467"/>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069" w:type="dxa"/>
            <w:vAlign w:val="top"/>
          </w:tcPr>
          <w:p>
            <w:pPr>
              <w:ind w:left="485"/>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080" w:type="dxa"/>
            <w:vAlign w:val="top"/>
          </w:tcPr>
          <w:p>
            <w:pPr>
              <w:ind w:left="497"/>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32" w:type="dxa"/>
            <w:vAlign w:val="top"/>
          </w:tcPr>
          <w:p>
            <w:pPr>
              <w:ind w:left="366"/>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2" w:type="dxa"/>
            <w:vAlign w:val="top"/>
          </w:tcPr>
          <w:p>
            <w:pPr>
              <w:ind w:left="572"/>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69" w:type="dxa"/>
            <w:vAlign w:val="top"/>
          </w:tcPr>
          <w:p>
            <w:pPr>
              <w:ind w:left="487"/>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48" w:type="dxa"/>
            <w:vAlign w:val="top"/>
          </w:tcPr>
          <w:p>
            <w:pPr>
              <w:ind w:left="379"/>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3018" w:type="dxa"/>
            <w:vAlign w:val="top"/>
          </w:tcPr>
          <w:p>
            <w:pPr>
              <w:ind w:left="91"/>
              <w:spacing w:before="114" w:line="228" w:lineRule="auto"/>
              <w:rPr>
                <w:rFonts w:ascii="SimSun" w:hAnsi="SimSun" w:eastAsia="SimSun" w:cs="SimSun"/>
                <w:sz w:val="15"/>
                <w:szCs w:val="15"/>
              </w:rPr>
            </w:pPr>
            <w:r>
              <w:rPr>
                <w:rFonts w:ascii="SimSun" w:hAnsi="SimSun" w:eastAsia="SimSun" w:cs="SimSun"/>
                <w:sz w:val="15"/>
                <w:szCs w:val="15"/>
                <w:color w:val="212529"/>
                <w:spacing w:val="11"/>
              </w:rPr>
              <w:t>兴县孟家坪乡卫生院贺家会分院</w:t>
            </w:r>
          </w:p>
        </w:tc>
        <w:tc>
          <w:tcPr>
            <w:tcW w:w="1069" w:type="dxa"/>
            <w:vAlign w:val="top"/>
          </w:tcPr>
          <w:p>
            <w:pPr>
              <w:ind w:right="18"/>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41.71</w:t>
            </w:r>
          </w:p>
        </w:tc>
        <w:tc>
          <w:tcPr>
            <w:tcW w:w="1080" w:type="dxa"/>
            <w:vAlign w:val="top"/>
          </w:tcPr>
          <w:p>
            <w:pPr>
              <w:ind w:right="19"/>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41.71</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6" w:right="91" w:firstLine="164"/>
              <w:spacing w:before="27" w:line="210"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2025年中央财政基本药物制度（基层医</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疗卫生机构）晋财社[2024]208号</w:t>
            </w:r>
          </w:p>
        </w:tc>
        <w:tc>
          <w:tcPr>
            <w:tcW w:w="1069" w:type="dxa"/>
            <w:vAlign w:val="top"/>
          </w:tcPr>
          <w:p>
            <w:pPr>
              <w:ind w:right="18"/>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1.53</w:t>
            </w:r>
          </w:p>
        </w:tc>
        <w:tc>
          <w:tcPr>
            <w:tcW w:w="1080" w:type="dxa"/>
            <w:vAlign w:val="top"/>
          </w:tcPr>
          <w:p>
            <w:pPr>
              <w:ind w:right="19"/>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1.53</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551" w:hRule="atLeast"/>
        </w:trPr>
        <w:tc>
          <w:tcPr>
            <w:tcW w:w="3018" w:type="dxa"/>
            <w:vAlign w:val="top"/>
          </w:tcPr>
          <w:p>
            <w:pPr>
              <w:ind w:left="8" w:right="91" w:firstLine="162"/>
              <w:spacing w:before="16" w:line="215" w:lineRule="auto"/>
              <w:jc w:val="both"/>
              <w:rPr>
                <w:rFonts w:ascii="SimSun" w:hAnsi="SimSun" w:eastAsia="SimSun" w:cs="SimSun"/>
                <w:sz w:val="15"/>
                <w:szCs w:val="15"/>
              </w:rPr>
            </w:pPr>
            <w:r>
              <w:rPr>
                <w:rFonts w:ascii="SimSun" w:hAnsi="SimSun" w:eastAsia="SimSun" w:cs="SimSun"/>
                <w:sz w:val="15"/>
                <w:szCs w:val="15"/>
                <w:color w:val="212529"/>
                <w:spacing w:val="10"/>
              </w:rPr>
              <w:t>2025年省级财政医疗卫生机构改革与发</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11"/>
              </w:rPr>
              <w:t>展补助资金（村卫生室运行维护费）晋财</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6"/>
              </w:rPr>
              <w:t>社[2024]209号</w:t>
            </w:r>
          </w:p>
        </w:tc>
        <w:tc>
          <w:tcPr>
            <w:tcW w:w="1069" w:type="dxa"/>
            <w:vAlign w:val="top"/>
          </w:tcPr>
          <w:p>
            <w:pPr>
              <w:ind w:right="18"/>
              <w:spacing w:before="20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0.63</w:t>
            </w:r>
          </w:p>
        </w:tc>
        <w:tc>
          <w:tcPr>
            <w:tcW w:w="1080" w:type="dxa"/>
            <w:vAlign w:val="top"/>
          </w:tcPr>
          <w:p>
            <w:pPr>
              <w:ind w:right="19"/>
              <w:spacing w:before="20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0.63</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551" w:hRule="atLeast"/>
        </w:trPr>
        <w:tc>
          <w:tcPr>
            <w:tcW w:w="3018" w:type="dxa"/>
            <w:vAlign w:val="top"/>
          </w:tcPr>
          <w:p>
            <w:pPr>
              <w:ind w:left="8" w:right="91" w:firstLine="162"/>
              <w:spacing w:before="19" w:line="214" w:lineRule="auto"/>
              <w:jc w:val="both"/>
              <w:rPr>
                <w:rFonts w:ascii="SimSun" w:hAnsi="SimSun" w:eastAsia="SimSun" w:cs="SimSun"/>
                <w:sz w:val="15"/>
                <w:szCs w:val="15"/>
              </w:rPr>
            </w:pPr>
            <w:r>
              <w:rPr>
                <w:rFonts w:ascii="SimSun" w:hAnsi="SimSun" w:eastAsia="SimSun" w:cs="SimSun"/>
                <w:sz w:val="15"/>
                <w:szCs w:val="15"/>
                <w:color w:val="212529"/>
                <w:spacing w:val="10"/>
              </w:rPr>
              <w:t>2025年省级财政医疗卫生机构改革与发</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11"/>
              </w:rPr>
              <w:t>展补助资金（村卫生室药品零差率）晋财</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6"/>
              </w:rPr>
              <w:t>社[2024]209号</w:t>
            </w:r>
          </w:p>
        </w:tc>
        <w:tc>
          <w:tcPr>
            <w:tcW w:w="1069" w:type="dxa"/>
            <w:vAlign w:val="top"/>
          </w:tcPr>
          <w:p>
            <w:pPr>
              <w:ind w:right="18"/>
              <w:spacing w:before="20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2.64</w:t>
            </w:r>
          </w:p>
        </w:tc>
        <w:tc>
          <w:tcPr>
            <w:tcW w:w="1080" w:type="dxa"/>
            <w:vAlign w:val="top"/>
          </w:tcPr>
          <w:p>
            <w:pPr>
              <w:ind w:right="19"/>
              <w:spacing w:before="20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2.64</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24" w:right="91" w:firstLine="146"/>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2025年省级财政卫生健康人才培养（在</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岗村医岗位补助）晋财社[2024]218号</w:t>
            </w:r>
          </w:p>
        </w:tc>
        <w:tc>
          <w:tcPr>
            <w:tcW w:w="1069" w:type="dxa"/>
            <w:vAlign w:val="top"/>
          </w:tcPr>
          <w:p>
            <w:pPr>
              <w:ind w:right="18"/>
              <w:spacing w:before="117"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5.40</w:t>
            </w:r>
          </w:p>
        </w:tc>
        <w:tc>
          <w:tcPr>
            <w:tcW w:w="1080" w:type="dxa"/>
            <w:vAlign w:val="top"/>
          </w:tcPr>
          <w:p>
            <w:pPr>
              <w:ind w:right="19"/>
              <w:spacing w:before="117"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5.40</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11" w:right="172" w:firstLine="181"/>
              <w:spacing w:before="31" w:line="208" w:lineRule="auto"/>
              <w:rPr>
                <w:rFonts w:ascii="SimSun" w:hAnsi="SimSun" w:eastAsia="SimSun" w:cs="SimSun"/>
                <w:sz w:val="15"/>
                <w:szCs w:val="15"/>
              </w:rPr>
            </w:pPr>
            <w:r>
              <w:rPr>
                <w:rFonts w:ascii="SimSun" w:hAnsi="SimSun" w:eastAsia="SimSun" w:cs="SimSun"/>
                <w:sz w:val="15"/>
                <w:szCs w:val="15"/>
                <w:color w:val="212529"/>
                <w:spacing w:val="7"/>
              </w:rPr>
              <w:t>吕财社〔2025〕6号预拨2025年驻村医</w:t>
            </w:r>
            <w:r>
              <w:rPr>
                <w:rFonts w:ascii="SimSun" w:hAnsi="SimSun" w:eastAsia="SimSun" w:cs="SimSun"/>
                <w:sz w:val="15"/>
                <w:szCs w:val="15"/>
                <w:color w:val="212529"/>
                <w:spacing w:val="18"/>
                <w:w w:val="101"/>
              </w:rPr>
              <w:t xml:space="preserve"> </w:t>
            </w:r>
            <w:r>
              <w:rPr>
                <w:rFonts w:ascii="SimSun" w:hAnsi="SimSun" w:eastAsia="SimSun" w:cs="SimSun"/>
                <w:sz w:val="15"/>
                <w:szCs w:val="15"/>
                <w:color w:val="212529"/>
                <w:spacing w:val="10"/>
              </w:rPr>
              <w:t>生岗位津贴市级补助资金</w:t>
            </w:r>
          </w:p>
        </w:tc>
        <w:tc>
          <w:tcPr>
            <w:tcW w:w="1069"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1.52</w:t>
            </w:r>
          </w:p>
        </w:tc>
        <w:tc>
          <w:tcPr>
            <w:tcW w:w="1080"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1.52</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551" w:hRule="atLeast"/>
        </w:trPr>
        <w:tc>
          <w:tcPr>
            <w:tcW w:w="3018" w:type="dxa"/>
            <w:vAlign w:val="top"/>
          </w:tcPr>
          <w:p>
            <w:pPr>
              <w:ind w:left="6" w:right="91" w:firstLine="165"/>
              <w:spacing w:before="19" w:line="214" w:lineRule="auto"/>
              <w:rPr>
                <w:rFonts w:ascii="SimSun" w:hAnsi="SimSun" w:eastAsia="SimSun" w:cs="SimSun"/>
                <w:sz w:val="15"/>
                <w:szCs w:val="15"/>
              </w:rPr>
            </w:pPr>
            <w:r>
              <w:rPr>
                <w:rFonts w:ascii="SimSun" w:hAnsi="SimSun" w:eastAsia="SimSun" w:cs="SimSun"/>
                <w:sz w:val="15"/>
                <w:szCs w:val="15"/>
                <w:color w:val="212529"/>
                <w:spacing w:val="8"/>
              </w:rPr>
              <w:t>兴财社〔2023〕650号关于下达2023年</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11"/>
              </w:rPr>
              <w:t>基本公共卫生服务（第二批）市级配套资</w:t>
            </w:r>
            <w:r>
              <w:rPr>
                <w:rFonts w:ascii="SimSun" w:hAnsi="SimSun" w:eastAsia="SimSun" w:cs="SimSun"/>
                <w:sz w:val="15"/>
                <w:szCs w:val="15"/>
                <w:color w:val="212529"/>
                <w:spacing w:val="10"/>
              </w:rPr>
              <w:t xml:space="preserve"> </w:t>
            </w:r>
            <w:r>
              <w:rPr>
                <w:rFonts w:ascii="SimSun" w:hAnsi="SimSun" w:eastAsia="SimSun" w:cs="SimSun"/>
                <w:sz w:val="15"/>
                <w:szCs w:val="15"/>
                <w:color w:val="212529"/>
                <w:spacing w:val="6"/>
              </w:rPr>
              <w:t>金吕财社〔2023〕</w:t>
            </w:r>
            <w:r>
              <w:rPr>
                <w:rFonts w:ascii="SimSun" w:hAnsi="SimSun" w:eastAsia="SimSun" w:cs="SimSun"/>
                <w:sz w:val="15"/>
                <w:szCs w:val="15"/>
                <w:color w:val="212529"/>
                <w:spacing w:val="-42"/>
              </w:rPr>
              <w:t xml:space="preserve"> </w:t>
            </w:r>
            <w:r>
              <w:rPr>
                <w:rFonts w:ascii="SimSun" w:hAnsi="SimSun" w:eastAsia="SimSun" w:cs="SimSun"/>
                <w:sz w:val="15"/>
                <w:szCs w:val="15"/>
                <w:color w:val="212529"/>
                <w:spacing w:val="6"/>
              </w:rPr>
              <w:t>173号</w:t>
            </w:r>
          </w:p>
        </w:tc>
        <w:tc>
          <w:tcPr>
            <w:tcW w:w="1069" w:type="dxa"/>
            <w:vAlign w:val="top"/>
          </w:tcPr>
          <w:p>
            <w:pPr>
              <w:ind w:right="18"/>
              <w:spacing w:before="20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4.98</w:t>
            </w:r>
          </w:p>
        </w:tc>
        <w:tc>
          <w:tcPr>
            <w:tcW w:w="1080" w:type="dxa"/>
            <w:vAlign w:val="top"/>
          </w:tcPr>
          <w:p>
            <w:pPr>
              <w:ind w:right="19"/>
              <w:spacing w:before="20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4.98</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84" w:hRule="atLeast"/>
        </w:trPr>
        <w:tc>
          <w:tcPr>
            <w:tcW w:w="3018" w:type="dxa"/>
            <w:vAlign w:val="top"/>
          </w:tcPr>
          <w:p>
            <w:pPr>
              <w:ind w:left="171"/>
              <w:spacing w:before="118" w:line="228" w:lineRule="auto"/>
              <w:rPr>
                <w:rFonts w:ascii="SimSun" w:hAnsi="SimSun" w:eastAsia="SimSun" w:cs="SimSun"/>
                <w:sz w:val="15"/>
                <w:szCs w:val="15"/>
              </w:rPr>
            </w:pPr>
            <w:r>
              <w:rPr>
                <w:rFonts w:ascii="SimSun" w:hAnsi="SimSun" w:eastAsia="SimSun" w:cs="SimSun"/>
                <w:sz w:val="15"/>
                <w:szCs w:val="15"/>
                <w:color w:val="212529"/>
                <w:spacing w:val="11"/>
              </w:rPr>
              <w:t>贺家会乡卫生院建设项目工程款</w:t>
            </w:r>
          </w:p>
        </w:tc>
        <w:tc>
          <w:tcPr>
            <w:tcW w:w="1069"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w:t>
            </w:r>
          </w:p>
        </w:tc>
        <w:tc>
          <w:tcPr>
            <w:tcW w:w="1080"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25.00</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bl>
    <w:p>
      <w:pPr>
        <w:rPr>
          <w:rFonts w:ascii="Arial"/>
          <w:sz w:val="21"/>
        </w:rPr>
      </w:pPr>
      <w:r/>
    </w:p>
    <w:p>
      <w:pPr>
        <w:sectPr>
          <w:headerReference w:type="default" r:id="rId13"/>
          <w:footerReference w:type="default" r:id="rId24"/>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034"/>
        <w:gridCol w:w="1253"/>
        <w:gridCol w:w="1350"/>
        <w:gridCol w:w="1328"/>
        <w:gridCol w:w="1193"/>
      </w:tblGrid>
      <w:tr>
        <w:trPr>
          <w:trHeight w:val="383" w:hRule="atLeast"/>
        </w:trPr>
        <w:tc>
          <w:tcPr>
            <w:tcW w:w="40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93" w:type="dxa"/>
            <w:vAlign w:val="top"/>
            <w:tcBorders>
              <w:bottom w:val="single" w:color="FFFFFF" w:sz="4" w:space="0"/>
              <w:top w:val="single" w:color="FFFFFF" w:sz="4" w:space="0"/>
              <w:left w:val="single" w:color="FFFFFF" w:sz="2" w:space="0"/>
              <w:right w:val="single" w:color="FFFFFF" w:sz="2" w:space="0"/>
            </w:tcBorders>
          </w:tcPr>
          <w:p>
            <w:pPr>
              <w:ind w:left="390"/>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32"/>
            <w:bookmarkEnd w:id="32"/>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65" w:type="dxa"/>
            <w:vAlign w:val="top"/>
            <w:gridSpan w:val="4"/>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单位名称：兴县孟家坪乡卫生院贺家会分院</w:t>
            </w:r>
          </w:p>
        </w:tc>
        <w:tc>
          <w:tcPr>
            <w:tcW w:w="1193" w:type="dxa"/>
            <w:vAlign w:val="top"/>
            <w:tcBorders>
              <w:top w:val="single" w:color="FFFFFF" w:sz="4" w:space="0"/>
              <w:left w:val="single" w:color="FFFFFF" w:sz="2" w:space="0"/>
              <w:right w:val="single" w:color="FFFFFF" w:sz="2" w:space="0"/>
            </w:tcBorders>
          </w:tcPr>
          <w:p>
            <w:pPr>
              <w:ind w:left="520"/>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4034" w:type="dxa"/>
            <w:vAlign w:val="top"/>
            <w:vMerge w:val="restart"/>
            <w:tcBorders>
              <w:bottom w:val="nil"/>
            </w:tcBorders>
          </w:tcPr>
          <w:p>
            <w:pPr>
              <w:ind w:left="1680"/>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53" w:type="dxa"/>
            <w:vAlign w:val="top"/>
            <w:vMerge w:val="restart"/>
            <w:tcBorders>
              <w:bottom w:val="nil"/>
            </w:tcBorders>
          </w:tcPr>
          <w:p>
            <w:pPr>
              <w:ind w:left="452"/>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871" w:type="dxa"/>
            <w:vAlign w:val="top"/>
            <w:gridSpan w:val="3"/>
          </w:tcPr>
          <w:p>
            <w:pPr>
              <w:ind w:left="1358"/>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4034" w:type="dxa"/>
            <w:vAlign w:val="top"/>
            <w:vMerge w:val="continue"/>
            <w:tcBorders>
              <w:top w:val="nil"/>
            </w:tcBorders>
          </w:tcPr>
          <w:p>
            <w:pPr>
              <w:pStyle w:val="TableText"/>
              <w:rPr/>
            </w:pPr>
            <w:r/>
          </w:p>
        </w:tc>
        <w:tc>
          <w:tcPr>
            <w:tcW w:w="1253" w:type="dxa"/>
            <w:vAlign w:val="top"/>
            <w:vMerge w:val="continue"/>
            <w:tcBorders>
              <w:top w:val="nil"/>
            </w:tcBorders>
          </w:tcPr>
          <w:p>
            <w:pPr>
              <w:pStyle w:val="TableText"/>
              <w:rPr/>
            </w:pPr>
            <w:r/>
          </w:p>
        </w:tc>
        <w:tc>
          <w:tcPr>
            <w:tcW w:w="1350" w:type="dxa"/>
            <w:vAlign w:val="top"/>
          </w:tcPr>
          <w:p>
            <w:pPr>
              <w:ind w:left="177"/>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28" w:type="dxa"/>
            <w:vAlign w:val="top"/>
          </w:tcPr>
          <w:p>
            <w:pPr>
              <w:ind w:left="249"/>
              <w:spacing w:before="2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489"/>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193" w:type="dxa"/>
            <w:vAlign w:val="top"/>
          </w:tcPr>
          <w:p>
            <w:pPr>
              <w:ind w:left="276"/>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60"/>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4034" w:type="dxa"/>
            <w:vAlign w:val="top"/>
          </w:tcPr>
          <w:p>
            <w:pPr>
              <w:ind w:left="1978"/>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53" w:type="dxa"/>
            <w:vAlign w:val="top"/>
          </w:tcPr>
          <w:p>
            <w:pPr>
              <w:ind w:left="575"/>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350" w:type="dxa"/>
            <w:vAlign w:val="top"/>
          </w:tcPr>
          <w:p>
            <w:pPr>
              <w:ind w:left="629"/>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28" w:type="dxa"/>
            <w:vAlign w:val="top"/>
          </w:tcPr>
          <w:p>
            <w:pPr>
              <w:ind w:left="615"/>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193" w:type="dxa"/>
            <w:vAlign w:val="top"/>
          </w:tcPr>
          <w:p>
            <w:pPr>
              <w:ind w:left="548"/>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4034" w:type="dxa"/>
            <w:vAlign w:val="top"/>
          </w:tcPr>
          <w:p>
            <w:pPr>
              <w:ind w:left="10"/>
              <w:spacing w:before="116" w:line="229" w:lineRule="auto"/>
              <w:rPr>
                <w:rFonts w:ascii="SimSun" w:hAnsi="SimSun" w:eastAsia="SimSun" w:cs="SimSun"/>
                <w:sz w:val="15"/>
                <w:szCs w:val="15"/>
              </w:rPr>
            </w:pPr>
            <w:r>
              <w:rPr>
                <w:rFonts w:ascii="SimSun" w:hAnsi="SimSun" w:eastAsia="SimSun" w:cs="SimSun"/>
                <w:sz w:val="15"/>
                <w:szCs w:val="15"/>
                <w:color w:val="212529"/>
                <w:spacing w:val="10"/>
              </w:rPr>
              <w:t>兴县医疗集团</w:t>
            </w:r>
          </w:p>
        </w:tc>
        <w:tc>
          <w:tcPr>
            <w:tcW w:w="1253"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5.53</w:t>
            </w:r>
          </w:p>
        </w:tc>
        <w:tc>
          <w:tcPr>
            <w:tcW w:w="1350" w:type="dxa"/>
            <w:vAlign w:val="top"/>
          </w:tcPr>
          <w:p>
            <w:pPr>
              <w:ind w:right="1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5.53</w:t>
            </w:r>
          </w:p>
        </w:tc>
        <w:tc>
          <w:tcPr>
            <w:tcW w:w="1328" w:type="dxa"/>
            <w:vAlign w:val="top"/>
          </w:tcPr>
          <w:p>
            <w:pPr>
              <w:pStyle w:val="TableText"/>
              <w:rPr/>
            </w:pPr>
            <w:r/>
          </w:p>
        </w:tc>
        <w:tc>
          <w:tcPr>
            <w:tcW w:w="1193" w:type="dxa"/>
            <w:vAlign w:val="top"/>
          </w:tcPr>
          <w:p>
            <w:pPr>
              <w:pStyle w:val="TableText"/>
              <w:rPr/>
            </w:pPr>
            <w:r/>
          </w:p>
        </w:tc>
      </w:tr>
      <w:tr>
        <w:trPr>
          <w:trHeight w:val="378" w:hRule="atLeast"/>
        </w:trPr>
        <w:tc>
          <w:tcPr>
            <w:tcW w:w="4034" w:type="dxa"/>
            <w:vAlign w:val="top"/>
          </w:tcPr>
          <w:p>
            <w:pPr>
              <w:ind w:left="91"/>
              <w:spacing w:before="117" w:line="228" w:lineRule="auto"/>
              <w:rPr>
                <w:rFonts w:ascii="SimSun" w:hAnsi="SimSun" w:eastAsia="SimSun" w:cs="SimSun"/>
                <w:sz w:val="15"/>
                <w:szCs w:val="15"/>
              </w:rPr>
            </w:pPr>
            <w:r>
              <w:rPr>
                <w:rFonts w:ascii="SimSun" w:hAnsi="SimSun" w:eastAsia="SimSun" w:cs="SimSun"/>
                <w:sz w:val="15"/>
                <w:szCs w:val="15"/>
                <w:color w:val="212529"/>
                <w:spacing w:val="11"/>
              </w:rPr>
              <w:t>兴县孟家坪乡卫生院贺家会分院</w:t>
            </w:r>
          </w:p>
        </w:tc>
        <w:tc>
          <w:tcPr>
            <w:tcW w:w="1253"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5.53</w:t>
            </w:r>
          </w:p>
        </w:tc>
        <w:tc>
          <w:tcPr>
            <w:tcW w:w="1350" w:type="dxa"/>
            <w:vAlign w:val="top"/>
          </w:tcPr>
          <w:p>
            <w:pPr>
              <w:ind w:right="1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5.53</w:t>
            </w:r>
          </w:p>
        </w:tc>
        <w:tc>
          <w:tcPr>
            <w:tcW w:w="1328" w:type="dxa"/>
            <w:vAlign w:val="top"/>
          </w:tcPr>
          <w:p>
            <w:pPr>
              <w:pStyle w:val="TableText"/>
              <w:rPr/>
            </w:pPr>
            <w:r/>
          </w:p>
        </w:tc>
        <w:tc>
          <w:tcPr>
            <w:tcW w:w="1193" w:type="dxa"/>
            <w:vAlign w:val="top"/>
          </w:tcPr>
          <w:p>
            <w:pPr>
              <w:pStyle w:val="TableText"/>
              <w:rPr/>
            </w:pPr>
            <w:r/>
          </w:p>
        </w:tc>
      </w:tr>
      <w:tr>
        <w:trPr>
          <w:trHeight w:val="384" w:hRule="atLeast"/>
        </w:trPr>
        <w:tc>
          <w:tcPr>
            <w:tcW w:w="4034" w:type="dxa"/>
            <w:vAlign w:val="top"/>
          </w:tcPr>
          <w:p>
            <w:pPr>
              <w:ind w:left="6" w:right="134" w:firstLine="170"/>
              <w:spacing w:before="32" w:line="210" w:lineRule="auto"/>
              <w:rPr>
                <w:rFonts w:ascii="SimSun" w:hAnsi="SimSun" w:eastAsia="SimSun" w:cs="SimSun"/>
                <w:sz w:val="15"/>
                <w:szCs w:val="15"/>
              </w:rPr>
            </w:pPr>
            <w:r>
              <w:rPr>
                <w:rFonts w:ascii="SimSun" w:hAnsi="SimSun" w:eastAsia="SimSun" w:cs="SimSun"/>
                <w:sz w:val="15"/>
                <w:szCs w:val="15"/>
                <w:color w:val="212529"/>
                <w:spacing w:val="8"/>
              </w:rPr>
              <w:t>（兴财社〔2024〕69号）</w:t>
            </w:r>
            <w:r>
              <w:rPr>
                <w:rFonts w:ascii="SimSun" w:hAnsi="SimSun" w:eastAsia="SimSun" w:cs="SimSun"/>
                <w:sz w:val="15"/>
                <w:szCs w:val="15"/>
                <w:color w:val="212529"/>
                <w:spacing w:val="-23"/>
              </w:rPr>
              <w:t xml:space="preserve"> </w:t>
            </w:r>
            <w:r>
              <w:rPr>
                <w:rFonts w:ascii="SimSun" w:hAnsi="SimSun" w:eastAsia="SimSun" w:cs="SimSun"/>
                <w:sz w:val="15"/>
                <w:szCs w:val="15"/>
                <w:color w:val="212529"/>
                <w:spacing w:val="8"/>
              </w:rPr>
              <w:t>中央财政基本公共卫生服务</w:t>
            </w:r>
            <w:r>
              <w:rPr>
                <w:rFonts w:ascii="SimSun" w:hAnsi="SimSun" w:eastAsia="SimSun" w:cs="SimSun"/>
                <w:sz w:val="15"/>
                <w:szCs w:val="15"/>
                <w:color w:val="212529"/>
              </w:rPr>
              <w:t xml:space="preserve"> </w:t>
            </w:r>
            <w:r>
              <w:rPr>
                <w:rFonts w:ascii="SimSun" w:hAnsi="SimSun" w:eastAsia="SimSun" w:cs="SimSun"/>
                <w:sz w:val="15"/>
                <w:szCs w:val="15"/>
                <w:color w:val="212529"/>
                <w:spacing w:val="7"/>
              </w:rPr>
              <w:t>补助（晋财社[2023]322号）</w:t>
            </w:r>
          </w:p>
        </w:tc>
        <w:tc>
          <w:tcPr>
            <w:tcW w:w="1253" w:type="dxa"/>
            <w:vAlign w:val="top"/>
          </w:tcPr>
          <w:p>
            <w:pPr>
              <w:ind w:right="27"/>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5.53</w:t>
            </w:r>
          </w:p>
        </w:tc>
        <w:tc>
          <w:tcPr>
            <w:tcW w:w="1350" w:type="dxa"/>
            <w:vAlign w:val="top"/>
          </w:tcPr>
          <w:p>
            <w:pPr>
              <w:ind w:right="17"/>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5.53</w:t>
            </w:r>
          </w:p>
        </w:tc>
        <w:tc>
          <w:tcPr>
            <w:tcW w:w="1328" w:type="dxa"/>
            <w:vAlign w:val="top"/>
          </w:tcPr>
          <w:p>
            <w:pPr>
              <w:pStyle w:val="TableText"/>
              <w:rPr/>
            </w:pPr>
            <w:r/>
          </w:p>
        </w:tc>
        <w:tc>
          <w:tcPr>
            <w:tcW w:w="1193" w:type="dxa"/>
            <w:vAlign w:val="top"/>
          </w:tcPr>
          <w:p>
            <w:pPr>
              <w:pStyle w:val="TableText"/>
              <w:rPr/>
            </w:pPr>
            <w:r/>
          </w:p>
        </w:tc>
      </w:tr>
    </w:tbl>
    <w:p>
      <w:pPr>
        <w:rPr>
          <w:rFonts w:ascii="Arial"/>
          <w:sz w:val="21"/>
        </w:rPr>
      </w:pPr>
      <w:r/>
    </w:p>
    <w:p>
      <w:pPr>
        <w:sectPr>
          <w:headerReference w:type="default" r:id="rId16"/>
          <w:footerReference w:type="default" r:id="rId25"/>
          <w:pgSz w:w="11900" w:h="16840"/>
          <w:pgMar w:top="642" w:right="0" w:bottom="340" w:left="0" w:header="326" w:footer="111" w:gutter="0"/>
        </w:sectPr>
        <w:rPr>
          <w:rFonts w:ascii="Arial" w:hAnsi="Arial" w:eastAsia="Arial" w:cs="Arial"/>
          <w:sz w:val="21"/>
          <w:szCs w:val="21"/>
        </w:rPr>
      </w:pPr>
    </w:p>
    <w:p>
      <w:pPr>
        <w:spacing w:line="334" w:lineRule="auto"/>
        <w:rPr>
          <w:rFonts w:ascii="Arial"/>
          <w:sz w:val="21"/>
        </w:rPr>
      </w:pPr>
      <w:r/>
    </w:p>
    <w:p>
      <w:pPr>
        <w:spacing w:line="335" w:lineRule="auto"/>
        <w:rPr>
          <w:rFonts w:ascii="Arial"/>
          <w:sz w:val="21"/>
        </w:rPr>
      </w:pPr>
      <w:r/>
    </w:p>
    <w:p>
      <w:pPr>
        <w:ind w:left="4064"/>
        <w:spacing w:before="94" w:line="230" w:lineRule="exact"/>
        <w:outlineLvl w:val="0"/>
        <w:rPr>
          <w:rFonts w:ascii="Microsoft YaHei" w:hAnsi="Microsoft YaHei" w:eastAsia="Microsoft YaHei" w:cs="Microsoft YaHei"/>
          <w:sz w:val="22"/>
          <w:szCs w:val="22"/>
        </w:rPr>
      </w:pPr>
      <w:bookmarkStart w:name="bookmark19" w:id="33"/>
      <w:bookmarkEnd w:id="33"/>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9"/>
          <w:position w:val="-1"/>
        </w:rPr>
        <w:t>一、单位预算收支数据变动情况及原因</w:t>
      </w:r>
    </w:p>
    <w:p>
      <w:pPr>
        <w:ind w:left="1263" w:right="1223" w:firstLine="456"/>
        <w:spacing w:before="187" w:line="322" w:lineRule="auto"/>
        <w:jc w:val="both"/>
        <w:rPr>
          <w:rFonts w:ascii="FangSong" w:hAnsi="FangSong" w:eastAsia="FangSong" w:cs="FangSong"/>
          <w:sz w:val="23"/>
          <w:szCs w:val="23"/>
        </w:rPr>
      </w:pPr>
      <w:r>
        <w:rPr>
          <w:rFonts w:ascii="FangSong" w:hAnsi="FangSong" w:eastAsia="FangSong" w:cs="FangSong"/>
          <w:sz w:val="23"/>
          <w:szCs w:val="23"/>
          <w:spacing w:val="11"/>
        </w:rPr>
        <w:t>2025年度兴县孟家坪乡卫生院贺家会分院预算收入</w:t>
      </w:r>
      <w:r>
        <w:rPr>
          <w:rFonts w:ascii="FangSong" w:hAnsi="FangSong" w:eastAsia="FangSong" w:cs="FangSong"/>
          <w:sz w:val="23"/>
          <w:szCs w:val="23"/>
          <w:spacing w:val="10"/>
        </w:rPr>
        <w:t>总计137.47万元，其中：本年收入</w:t>
      </w:r>
      <w:r>
        <w:rPr>
          <w:rFonts w:ascii="FangSong" w:hAnsi="FangSong" w:eastAsia="FangSong" w:cs="FangSong"/>
          <w:sz w:val="23"/>
          <w:szCs w:val="23"/>
        </w:rPr>
        <w:t xml:space="preserve"> </w:t>
      </w:r>
      <w:r>
        <w:rPr>
          <w:rFonts w:ascii="FangSong" w:hAnsi="FangSong" w:eastAsia="FangSong" w:cs="FangSong"/>
          <w:sz w:val="23"/>
          <w:szCs w:val="23"/>
          <w:spacing w:val="3"/>
        </w:rPr>
        <w:t>131.94万元，上年结转5.53万元，</w:t>
      </w:r>
      <w:r>
        <w:rPr>
          <w:rFonts w:ascii="FangSong" w:hAnsi="FangSong" w:eastAsia="FangSong" w:cs="FangSong"/>
          <w:sz w:val="23"/>
          <w:szCs w:val="23"/>
          <w:spacing w:val="-54"/>
        </w:rPr>
        <w:t xml:space="preserve"> </w:t>
      </w:r>
      <w:r>
        <w:rPr>
          <w:rFonts w:ascii="FangSong" w:hAnsi="FangSong" w:eastAsia="FangSong" w:cs="FangSong"/>
          <w:sz w:val="23"/>
          <w:szCs w:val="23"/>
          <w:spacing w:val="3"/>
        </w:rPr>
        <w:t>比上年减少14.82万元，下降9.73%，主要原因是公卫资金</w:t>
      </w:r>
      <w:r>
        <w:rPr>
          <w:rFonts w:ascii="FangSong" w:hAnsi="FangSong" w:eastAsia="FangSong" w:cs="FangSong"/>
          <w:sz w:val="23"/>
          <w:szCs w:val="23"/>
        </w:rPr>
        <w:t xml:space="preserve"> </w:t>
      </w:r>
      <w:r>
        <w:rPr>
          <w:rFonts w:ascii="FangSong" w:hAnsi="FangSong" w:eastAsia="FangSong" w:cs="FangSong"/>
          <w:sz w:val="23"/>
          <w:szCs w:val="23"/>
          <w:spacing w:val="5"/>
        </w:rPr>
        <w:t>减少，基药补助资金减少；本年单位预算支出总计137.4</w:t>
      </w:r>
      <w:r>
        <w:rPr>
          <w:rFonts w:ascii="FangSong" w:hAnsi="FangSong" w:eastAsia="FangSong" w:cs="FangSong"/>
          <w:sz w:val="23"/>
          <w:szCs w:val="23"/>
          <w:spacing w:val="4"/>
        </w:rPr>
        <w:t>7万元，其中：本年预算安排131.94</w:t>
      </w:r>
      <w:r>
        <w:rPr>
          <w:rFonts w:ascii="FangSong" w:hAnsi="FangSong" w:eastAsia="FangSong" w:cs="FangSong"/>
          <w:sz w:val="23"/>
          <w:szCs w:val="23"/>
        </w:rPr>
        <w:t xml:space="preserve"> </w:t>
      </w:r>
      <w:r>
        <w:rPr>
          <w:rFonts w:ascii="FangSong" w:hAnsi="FangSong" w:eastAsia="FangSong" w:cs="FangSong"/>
          <w:sz w:val="23"/>
          <w:szCs w:val="23"/>
          <w:spacing w:val="4"/>
        </w:rPr>
        <w:t>万元，上年结转5.53万元，</w:t>
      </w:r>
      <w:r>
        <w:rPr>
          <w:rFonts w:ascii="FangSong" w:hAnsi="FangSong" w:eastAsia="FangSong" w:cs="FangSong"/>
          <w:sz w:val="23"/>
          <w:szCs w:val="23"/>
          <w:spacing w:val="-68"/>
        </w:rPr>
        <w:t xml:space="preserve"> </w:t>
      </w:r>
      <w:r>
        <w:rPr>
          <w:rFonts w:ascii="FangSong" w:hAnsi="FangSong" w:eastAsia="FangSong" w:cs="FangSong"/>
          <w:sz w:val="23"/>
          <w:szCs w:val="23"/>
          <w:spacing w:val="4"/>
        </w:rPr>
        <w:t>比上年减少14.8</w:t>
      </w:r>
      <w:r>
        <w:rPr>
          <w:rFonts w:ascii="FangSong" w:hAnsi="FangSong" w:eastAsia="FangSong" w:cs="FangSong"/>
          <w:sz w:val="23"/>
          <w:szCs w:val="23"/>
          <w:spacing w:val="3"/>
        </w:rPr>
        <w:t>2万元，下降9.73%，主要原因是公卫资金减少，</w:t>
      </w:r>
      <w:r>
        <w:rPr>
          <w:rFonts w:ascii="FangSong" w:hAnsi="FangSong" w:eastAsia="FangSong" w:cs="FangSong"/>
          <w:sz w:val="23"/>
          <w:szCs w:val="23"/>
        </w:rPr>
        <w:t xml:space="preserve"> </w:t>
      </w:r>
      <w:r>
        <w:rPr>
          <w:rFonts w:ascii="FangSong" w:hAnsi="FangSong" w:eastAsia="FangSong" w:cs="FangSong"/>
          <w:sz w:val="23"/>
          <w:szCs w:val="23"/>
          <w:spacing w:val="-2"/>
        </w:rPr>
        <w:t>基药补助资金减少</w:t>
      </w:r>
    </w:p>
    <w:p>
      <w:pPr>
        <w:ind w:left="1261"/>
        <w:spacing w:line="229"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1263" w:right="1223" w:firstLine="456"/>
        <w:spacing w:before="183" w:line="324" w:lineRule="auto"/>
        <w:jc w:val="both"/>
        <w:rPr>
          <w:rFonts w:ascii="FangSong" w:hAnsi="FangSong" w:eastAsia="FangSong" w:cs="FangSong"/>
          <w:sz w:val="23"/>
          <w:szCs w:val="23"/>
        </w:rPr>
      </w:pPr>
      <w:r>
        <w:rPr>
          <w:rFonts w:ascii="FangSong" w:hAnsi="FangSong" w:eastAsia="FangSong" w:cs="FangSong"/>
          <w:sz w:val="23"/>
          <w:szCs w:val="23"/>
          <w:spacing w:val="5"/>
        </w:rPr>
        <w:t>2025年度兴县孟家坪乡卫生院贺家会分院预算收入137.47万元，主要包括一般公共预算</w:t>
      </w:r>
      <w:r>
        <w:rPr>
          <w:rFonts w:ascii="FangSong" w:hAnsi="FangSong" w:eastAsia="FangSong" w:cs="FangSong"/>
          <w:sz w:val="23"/>
          <w:szCs w:val="23"/>
        </w:rPr>
        <w:t xml:space="preserve"> </w:t>
      </w:r>
      <w:r>
        <w:rPr>
          <w:rFonts w:ascii="FangSong" w:hAnsi="FangSong" w:eastAsia="FangSong" w:cs="FangSong"/>
          <w:sz w:val="23"/>
          <w:szCs w:val="23"/>
        </w:rPr>
        <w:t>拨款收入131.94万元，</w:t>
      </w:r>
      <w:r>
        <w:rPr>
          <w:rFonts w:ascii="FangSong" w:hAnsi="FangSong" w:eastAsia="FangSong" w:cs="FangSong"/>
          <w:sz w:val="23"/>
          <w:szCs w:val="23"/>
          <w:spacing w:val="-57"/>
        </w:rPr>
        <w:t xml:space="preserve"> </w:t>
      </w:r>
      <w:r>
        <w:rPr>
          <w:rFonts w:ascii="FangSong" w:hAnsi="FangSong" w:eastAsia="FangSong" w:cs="FangSong"/>
          <w:sz w:val="23"/>
          <w:szCs w:val="23"/>
        </w:rPr>
        <w:t>占95.98%；政府性基金预算</w:t>
      </w:r>
      <w:r>
        <w:rPr>
          <w:rFonts w:ascii="FangSong" w:hAnsi="FangSong" w:eastAsia="FangSong" w:cs="FangSong"/>
          <w:sz w:val="23"/>
          <w:szCs w:val="23"/>
          <w:spacing w:val="-1"/>
        </w:rPr>
        <w:t>拨款收入0万元，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占0%；国有资本经营预算</w:t>
      </w:r>
      <w:r>
        <w:rPr>
          <w:rFonts w:ascii="FangSong" w:hAnsi="FangSong" w:eastAsia="FangSong" w:cs="FangSong"/>
          <w:sz w:val="23"/>
          <w:szCs w:val="23"/>
        </w:rPr>
        <w:t xml:space="preserve"> </w:t>
      </w:r>
      <w:r>
        <w:rPr>
          <w:rFonts w:ascii="FangSong" w:hAnsi="FangSong" w:eastAsia="FangSong" w:cs="FangSong"/>
          <w:sz w:val="23"/>
          <w:szCs w:val="23"/>
          <w:spacing w:val="-2"/>
        </w:rPr>
        <w:t>拨款收入0万元，</w:t>
      </w:r>
      <w:r>
        <w:rPr>
          <w:rFonts w:ascii="FangSong" w:hAnsi="FangSong" w:eastAsia="FangSong" w:cs="FangSong"/>
          <w:sz w:val="23"/>
          <w:szCs w:val="23"/>
          <w:spacing w:val="-44"/>
        </w:rPr>
        <w:t xml:space="preserve"> </w:t>
      </w:r>
      <w:r>
        <w:rPr>
          <w:rFonts w:ascii="FangSong" w:hAnsi="FangSong" w:eastAsia="FangSong" w:cs="FangSong"/>
          <w:sz w:val="23"/>
          <w:szCs w:val="23"/>
          <w:spacing w:val="-2"/>
        </w:rPr>
        <w:t>占0%；财政专户管理资金收入0万元，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占0%；单位资金0万元，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占0%；上年结</w:t>
      </w:r>
      <w:r>
        <w:rPr>
          <w:rFonts w:ascii="FangSong" w:hAnsi="FangSong" w:eastAsia="FangSong" w:cs="FangSong"/>
          <w:sz w:val="23"/>
          <w:szCs w:val="23"/>
        </w:rPr>
        <w:t xml:space="preserve"> </w:t>
      </w:r>
      <w:r>
        <w:rPr>
          <w:rFonts w:ascii="FangSong" w:hAnsi="FangSong" w:eastAsia="FangSong" w:cs="FangSong"/>
          <w:sz w:val="23"/>
          <w:szCs w:val="23"/>
          <w:spacing w:val="-5"/>
        </w:rPr>
        <w:t>转5.53万元，</w:t>
      </w:r>
      <w:r>
        <w:rPr>
          <w:rFonts w:ascii="FangSong" w:hAnsi="FangSong" w:eastAsia="FangSong" w:cs="FangSong"/>
          <w:sz w:val="23"/>
          <w:szCs w:val="23"/>
          <w:spacing w:val="-51"/>
        </w:rPr>
        <w:t xml:space="preserve"> </w:t>
      </w:r>
      <w:r>
        <w:rPr>
          <w:rFonts w:ascii="FangSong" w:hAnsi="FangSong" w:eastAsia="FangSong" w:cs="FangSong"/>
          <w:sz w:val="23"/>
          <w:szCs w:val="23"/>
          <w:spacing w:val="-5"/>
        </w:rPr>
        <w:t>占4.02%。</w:t>
      </w:r>
    </w:p>
    <w:p>
      <w:pPr>
        <w:spacing w:line="362" w:lineRule="auto"/>
        <w:rPr>
          <w:rFonts w:ascii="Arial"/>
          <w:sz w:val="21"/>
        </w:rPr>
      </w:pPr>
      <w:r/>
    </w:p>
    <w:p>
      <w:pPr>
        <w:ind w:firstLine="3465"/>
        <w:spacing w:line="2855" w:lineRule="exact"/>
        <w:rPr/>
      </w:pPr>
      <w:r>
        <w:rPr>
          <w:position w:val="-57"/>
        </w:rPr>
        <w:drawing>
          <wp:inline distT="0" distB="0" distL="0" distR="0">
            <wp:extent cx="2562036" cy="1813292"/>
            <wp:effectExtent l="0" t="0" r="0" b="0"/>
            <wp:docPr id="4" name="IM 4"/>
            <wp:cNvGraphicFramePr/>
            <a:graphic>
              <a:graphicData uri="http://schemas.openxmlformats.org/drawingml/2006/picture">
                <pic:pic>
                  <pic:nvPicPr>
                    <pic:cNvPr id="4" name="IM 4"/>
                    <pic:cNvPicPr/>
                  </pic:nvPicPr>
                  <pic:blipFill>
                    <a:blip r:embed="rId28"/>
                    <a:stretch>
                      <a:fillRect/>
                    </a:stretch>
                  </pic:blipFill>
                  <pic:spPr>
                    <a:xfrm rot="0">
                      <a:off x="0" y="0"/>
                      <a:ext cx="2562036" cy="1813292"/>
                    </a:xfrm>
                    <a:prstGeom prst="rect">
                      <a:avLst/>
                    </a:prstGeom>
                  </pic:spPr>
                </pic:pic>
              </a:graphicData>
            </a:graphic>
          </wp:inline>
        </w:drawing>
      </w:r>
    </w:p>
    <w:p>
      <w:pPr>
        <w:spacing w:line="284" w:lineRule="auto"/>
        <w:rPr>
          <w:rFonts w:ascii="Arial"/>
          <w:sz w:val="21"/>
        </w:rPr>
      </w:pPr>
      <w:r/>
    </w:p>
    <w:p>
      <w:pPr>
        <w:spacing w:line="284" w:lineRule="auto"/>
        <w:rPr>
          <w:rFonts w:ascii="Arial"/>
          <w:sz w:val="21"/>
        </w:rPr>
      </w:pPr>
      <w:r/>
    </w:p>
    <w:p>
      <w:pPr>
        <w:ind w:left="1262"/>
        <w:spacing w:before="95"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1267" w:right="1223" w:firstLine="453"/>
        <w:spacing w:before="174" w:line="324" w:lineRule="auto"/>
        <w:rPr>
          <w:rFonts w:ascii="FangSong" w:hAnsi="FangSong" w:eastAsia="FangSong" w:cs="FangSong"/>
          <w:sz w:val="23"/>
          <w:szCs w:val="23"/>
        </w:rPr>
      </w:pPr>
      <w:r>
        <w:rPr>
          <w:rFonts w:ascii="FangSong" w:hAnsi="FangSong" w:eastAsia="FangSong" w:cs="FangSong"/>
          <w:sz w:val="23"/>
          <w:szCs w:val="23"/>
          <w:spacing w:val="2"/>
        </w:rPr>
        <w:t>2025年度兴县孟家坪乡卫生院贺家会分院支出预算137.47万元，其中：基本支出90.23万</w:t>
      </w:r>
      <w:r>
        <w:rPr>
          <w:rFonts w:ascii="FangSong" w:hAnsi="FangSong" w:eastAsia="FangSong" w:cs="FangSong"/>
          <w:sz w:val="23"/>
          <w:szCs w:val="23"/>
          <w:spacing w:val="7"/>
        </w:rPr>
        <w:t xml:space="preserve"> </w:t>
      </w:r>
      <w:r>
        <w:rPr>
          <w:rFonts w:ascii="FangSong" w:hAnsi="FangSong" w:eastAsia="FangSong" w:cs="FangSong"/>
          <w:sz w:val="23"/>
          <w:szCs w:val="23"/>
          <w:spacing w:val="-4"/>
        </w:rPr>
        <w:t>元，</w:t>
      </w:r>
      <w:r>
        <w:rPr>
          <w:rFonts w:ascii="FangSong" w:hAnsi="FangSong" w:eastAsia="FangSong" w:cs="FangSong"/>
          <w:sz w:val="23"/>
          <w:szCs w:val="23"/>
          <w:spacing w:val="-59"/>
        </w:rPr>
        <w:t xml:space="preserve"> </w:t>
      </w:r>
      <w:r>
        <w:rPr>
          <w:rFonts w:ascii="FangSong" w:hAnsi="FangSong" w:eastAsia="FangSong" w:cs="FangSong"/>
          <w:sz w:val="23"/>
          <w:szCs w:val="23"/>
          <w:spacing w:val="-4"/>
        </w:rPr>
        <w:t>占65.64%；项目支出47.24万元，</w:t>
      </w:r>
      <w:r>
        <w:rPr>
          <w:rFonts w:ascii="FangSong" w:hAnsi="FangSong" w:eastAsia="FangSong" w:cs="FangSong"/>
          <w:sz w:val="23"/>
          <w:szCs w:val="23"/>
          <w:spacing w:val="-59"/>
        </w:rPr>
        <w:t xml:space="preserve"> </w:t>
      </w:r>
      <w:r>
        <w:rPr>
          <w:rFonts w:ascii="FangSong" w:hAnsi="FangSong" w:eastAsia="FangSong" w:cs="FangSong"/>
          <w:sz w:val="23"/>
          <w:szCs w:val="23"/>
          <w:spacing w:val="-4"/>
        </w:rPr>
        <w:t>占34.36%。</w:t>
      </w:r>
    </w:p>
    <w:p>
      <w:pPr>
        <w:ind w:left="1271"/>
        <w:spacing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8"/>
          <w:position w:val="-1"/>
        </w:rPr>
        <w:t>四、财政拨款收支预算总体情况说明</w:t>
      </w:r>
    </w:p>
    <w:p>
      <w:pPr>
        <w:ind w:left="1257" w:right="1223" w:firstLine="463"/>
        <w:spacing w:before="175" w:line="324" w:lineRule="auto"/>
        <w:jc w:val="both"/>
        <w:rPr>
          <w:rFonts w:ascii="FangSong" w:hAnsi="FangSong" w:eastAsia="FangSong" w:cs="FangSong"/>
          <w:sz w:val="23"/>
          <w:szCs w:val="23"/>
        </w:rPr>
      </w:pPr>
      <w:r>
        <w:rPr>
          <w:rFonts w:ascii="FangSong" w:hAnsi="FangSong" w:eastAsia="FangSong" w:cs="FangSong"/>
          <w:sz w:val="23"/>
          <w:szCs w:val="23"/>
          <w:spacing w:val="5"/>
        </w:rPr>
        <w:t>2025年度兴县孟家坪乡卫生院贺家会分院财政拨款收支总预算137.47万元。其中：一般</w:t>
      </w:r>
      <w:r>
        <w:rPr>
          <w:rFonts w:ascii="FangSong" w:hAnsi="FangSong" w:eastAsia="FangSong" w:cs="FangSong"/>
          <w:sz w:val="23"/>
          <w:szCs w:val="23"/>
        </w:rPr>
        <w:t xml:space="preserve"> </w:t>
      </w:r>
      <w:r>
        <w:rPr>
          <w:rFonts w:ascii="FangSong" w:hAnsi="FangSong" w:eastAsia="FangSong" w:cs="FangSong"/>
          <w:sz w:val="23"/>
          <w:szCs w:val="23"/>
          <w:spacing w:val="9"/>
        </w:rPr>
        <w:t>公共预算拨款137.47万元，政府性基金预算拨款0万元，</w:t>
      </w:r>
      <w:r>
        <w:rPr>
          <w:rFonts w:ascii="FangSong" w:hAnsi="FangSong" w:eastAsia="FangSong" w:cs="FangSong"/>
          <w:sz w:val="23"/>
          <w:szCs w:val="23"/>
          <w:spacing w:val="-55"/>
        </w:rPr>
        <w:t xml:space="preserve"> </w:t>
      </w:r>
      <w:r>
        <w:rPr>
          <w:rFonts w:ascii="FangSong" w:hAnsi="FangSong" w:eastAsia="FangSong" w:cs="FangSong"/>
          <w:sz w:val="23"/>
          <w:szCs w:val="23"/>
          <w:spacing w:val="9"/>
        </w:rPr>
        <w:t>国有资本经营预算拨款0万元。其</w:t>
      </w:r>
      <w:r>
        <w:rPr>
          <w:rFonts w:ascii="FangSong" w:hAnsi="FangSong" w:eastAsia="FangSong" w:cs="FangSong"/>
          <w:sz w:val="23"/>
          <w:szCs w:val="23"/>
        </w:rPr>
        <w:t xml:space="preserve"> </w:t>
      </w:r>
      <w:r>
        <w:rPr>
          <w:rFonts w:ascii="FangSong" w:hAnsi="FangSong" w:eastAsia="FangSong" w:cs="FangSong"/>
          <w:sz w:val="23"/>
          <w:szCs w:val="23"/>
          <w:spacing w:val="9"/>
        </w:rPr>
        <w:t>中：</w:t>
      </w:r>
      <w:r>
        <w:rPr>
          <w:rFonts w:ascii="FangSong" w:hAnsi="FangSong" w:eastAsia="FangSong" w:cs="FangSong"/>
          <w:sz w:val="23"/>
          <w:szCs w:val="23"/>
          <w:spacing w:val="-63"/>
        </w:rPr>
        <w:t xml:space="preserve"> </w:t>
      </w:r>
      <w:r>
        <w:rPr>
          <w:rFonts w:ascii="FangSong" w:hAnsi="FangSong" w:eastAsia="FangSong" w:cs="FangSong"/>
          <w:sz w:val="23"/>
          <w:szCs w:val="23"/>
          <w:spacing w:val="9"/>
        </w:rPr>
        <w:t>当年拨款收入131.94万元，上年结转收入5.53万元。支出包括：社会保障和就业支出</w:t>
      </w:r>
      <w:r>
        <w:rPr>
          <w:rFonts w:ascii="FangSong" w:hAnsi="FangSong" w:eastAsia="FangSong" w:cs="FangSong"/>
          <w:sz w:val="23"/>
          <w:szCs w:val="23"/>
        </w:rPr>
        <w:t xml:space="preserve"> </w:t>
      </w:r>
      <w:r>
        <w:rPr>
          <w:rFonts w:ascii="FangSong" w:hAnsi="FangSong" w:eastAsia="FangSong" w:cs="FangSong"/>
          <w:sz w:val="23"/>
          <w:szCs w:val="23"/>
        </w:rPr>
        <w:t>8.21万元、卫生健康支出121.72万元、住房保障支出7.54万元等。</w:t>
      </w:r>
    </w:p>
    <w:p>
      <w:pPr>
        <w:ind w:left="1264"/>
        <w:spacing w:before="2"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8"/>
          <w:position w:val="-1"/>
        </w:rPr>
        <w:t>五、一般公共预算支出情况说明</w:t>
      </w:r>
    </w:p>
    <w:p>
      <w:pPr>
        <w:ind w:left="1725"/>
        <w:spacing w:before="17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59" w:right="1223" w:firstLine="461"/>
        <w:spacing w:before="124" w:line="325" w:lineRule="auto"/>
        <w:rPr>
          <w:rFonts w:ascii="FangSong" w:hAnsi="FangSong" w:eastAsia="FangSong" w:cs="FangSong"/>
          <w:sz w:val="23"/>
          <w:szCs w:val="23"/>
        </w:rPr>
      </w:pPr>
      <w:r>
        <w:rPr>
          <w:rFonts w:ascii="FangSong" w:hAnsi="FangSong" w:eastAsia="FangSong" w:cs="FangSong"/>
          <w:sz w:val="23"/>
          <w:szCs w:val="23"/>
          <w:spacing w:val="2"/>
        </w:rPr>
        <w:t>2025年度兴县孟家坪乡卫生院贺家会分院一般公共预算当年支出131.94万元,比上年减少</w:t>
      </w:r>
      <w:r>
        <w:rPr>
          <w:rFonts w:ascii="FangSong" w:hAnsi="FangSong" w:eastAsia="FangSong" w:cs="FangSong"/>
          <w:sz w:val="23"/>
          <w:szCs w:val="23"/>
          <w:spacing w:val="11"/>
        </w:rPr>
        <w:t xml:space="preserve"> </w:t>
      </w:r>
      <w:r>
        <w:rPr>
          <w:rFonts w:ascii="FangSong" w:hAnsi="FangSong" w:eastAsia="FangSong" w:cs="FangSong"/>
          <w:sz w:val="23"/>
          <w:szCs w:val="23"/>
          <w:spacing w:val="-1"/>
        </w:rPr>
        <w:t>20.35万元，下降13.36%。</w:t>
      </w:r>
    </w:p>
    <w:p>
      <w:pPr>
        <w:ind w:left="1725"/>
        <w:spacing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1268" w:right="1223" w:firstLine="452"/>
        <w:spacing w:before="123" w:line="330" w:lineRule="auto"/>
        <w:rPr>
          <w:rFonts w:ascii="FangSong" w:hAnsi="FangSong" w:eastAsia="FangSong" w:cs="FangSong"/>
          <w:sz w:val="23"/>
          <w:szCs w:val="23"/>
        </w:rPr>
      </w:pPr>
      <w:r>
        <w:rPr>
          <w:rFonts w:ascii="FangSong" w:hAnsi="FangSong" w:eastAsia="FangSong" w:cs="FangSong"/>
          <w:sz w:val="23"/>
          <w:szCs w:val="23"/>
          <w:spacing w:val="2"/>
        </w:rPr>
        <w:t>2025年度兴县孟家坪乡卫生院贺家会分院一般公共预算当年支出131.94万元,主要用于以</w:t>
      </w:r>
      <w:r>
        <w:rPr>
          <w:rFonts w:ascii="FangSong" w:hAnsi="FangSong" w:eastAsia="FangSong" w:cs="FangSong"/>
          <w:sz w:val="23"/>
          <w:szCs w:val="23"/>
          <w:spacing w:val="11"/>
        </w:rPr>
        <w:t xml:space="preserve"> </w:t>
      </w:r>
      <w:r>
        <w:rPr>
          <w:rFonts w:ascii="FangSong" w:hAnsi="FangSong" w:eastAsia="FangSong" w:cs="FangSong"/>
          <w:sz w:val="23"/>
          <w:szCs w:val="23"/>
        </w:rPr>
        <w:t>下方面：社会保障和就业支出8.21万元，</w:t>
      </w:r>
      <w:r>
        <w:rPr>
          <w:rFonts w:ascii="FangSong" w:hAnsi="FangSong" w:eastAsia="FangSong" w:cs="FangSong"/>
          <w:sz w:val="23"/>
          <w:szCs w:val="23"/>
          <w:spacing w:val="-57"/>
        </w:rPr>
        <w:t xml:space="preserve"> </w:t>
      </w:r>
      <w:r>
        <w:rPr>
          <w:rFonts w:ascii="FangSong" w:hAnsi="FangSong" w:eastAsia="FangSong" w:cs="FangSong"/>
          <w:sz w:val="23"/>
          <w:szCs w:val="23"/>
        </w:rPr>
        <w:t>占6.22%</w:t>
      </w:r>
      <w:r>
        <w:rPr>
          <w:rFonts w:ascii="FangSong" w:hAnsi="FangSong" w:eastAsia="FangSong" w:cs="FangSong"/>
          <w:sz w:val="23"/>
          <w:szCs w:val="23"/>
          <w:spacing w:val="-1"/>
        </w:rPr>
        <w:t>；卫生健康支出116.19万元，</w:t>
      </w:r>
      <w:r>
        <w:rPr>
          <w:rFonts w:ascii="FangSong" w:hAnsi="FangSong" w:eastAsia="FangSong" w:cs="FangSong"/>
          <w:sz w:val="23"/>
          <w:szCs w:val="23"/>
          <w:spacing w:val="-56"/>
        </w:rPr>
        <w:t xml:space="preserve"> </w:t>
      </w:r>
      <w:r>
        <w:rPr>
          <w:rFonts w:ascii="FangSong" w:hAnsi="FangSong" w:eastAsia="FangSong" w:cs="FangSong"/>
          <w:sz w:val="23"/>
          <w:szCs w:val="23"/>
          <w:spacing w:val="-1"/>
        </w:rPr>
        <w:t>占88.06%；住</w:t>
      </w:r>
    </w:p>
    <w:p>
      <w:pPr>
        <w:spacing w:line="330" w:lineRule="auto"/>
        <w:sectPr>
          <w:headerReference w:type="default" r:id="rId26"/>
          <w:footerReference w:type="default" r:id="rId27"/>
          <w:pgSz w:w="11900" w:h="16840"/>
          <w:pgMar w:top="642" w:right="0" w:bottom="340" w:left="0" w:header="326" w:footer="111" w:gutter="0"/>
        </w:sectPr>
        <w:rPr>
          <w:rFonts w:ascii="FangSong" w:hAnsi="FangSong" w:eastAsia="FangSong" w:cs="FangSong"/>
          <w:sz w:val="23"/>
          <w:szCs w:val="23"/>
        </w:rPr>
      </w:pPr>
    </w:p>
    <w:p>
      <w:pPr>
        <w:spacing w:line="282" w:lineRule="auto"/>
        <w:rPr>
          <w:rFonts w:ascii="Arial"/>
          <w:sz w:val="21"/>
        </w:rPr>
      </w:pPr>
      <w:r/>
    </w:p>
    <w:p>
      <w:pPr>
        <w:spacing w:line="282" w:lineRule="auto"/>
        <w:rPr>
          <w:rFonts w:ascii="Arial"/>
          <w:sz w:val="21"/>
        </w:rPr>
      </w:pPr>
      <w:r/>
    </w:p>
    <w:p>
      <w:pPr>
        <w:ind w:left="1268"/>
        <w:spacing w:before="75" w:line="221" w:lineRule="auto"/>
        <w:rPr>
          <w:rFonts w:ascii="FangSong" w:hAnsi="FangSong" w:eastAsia="FangSong" w:cs="FangSong"/>
          <w:sz w:val="23"/>
          <w:szCs w:val="23"/>
        </w:rPr>
      </w:pPr>
      <w:r>
        <w:rPr>
          <w:rFonts w:ascii="FangSong" w:hAnsi="FangSong" w:eastAsia="FangSong" w:cs="FangSong"/>
          <w:sz w:val="23"/>
          <w:szCs w:val="23"/>
          <w:spacing w:val="-4"/>
        </w:rPr>
        <w:t>房保障支出7.54万元，</w:t>
      </w:r>
      <w:r>
        <w:rPr>
          <w:rFonts w:ascii="FangSong" w:hAnsi="FangSong" w:eastAsia="FangSong" w:cs="FangSong"/>
          <w:sz w:val="23"/>
          <w:szCs w:val="23"/>
          <w:spacing w:val="-48"/>
        </w:rPr>
        <w:t xml:space="preserve"> </w:t>
      </w:r>
      <w:r>
        <w:rPr>
          <w:rFonts w:ascii="FangSong" w:hAnsi="FangSong" w:eastAsia="FangSong" w:cs="FangSong"/>
          <w:sz w:val="23"/>
          <w:szCs w:val="23"/>
          <w:spacing w:val="-4"/>
        </w:rPr>
        <w:t>占5.71%等。</w:t>
      </w:r>
    </w:p>
    <w:p>
      <w:pPr>
        <w:spacing w:line="270" w:lineRule="auto"/>
        <w:rPr>
          <w:rFonts w:ascii="Arial"/>
          <w:sz w:val="21"/>
        </w:rPr>
      </w:pPr>
      <w:r/>
    </w:p>
    <w:p>
      <w:pPr>
        <w:ind w:firstLine="4684"/>
        <w:spacing w:line="2464" w:lineRule="exact"/>
        <w:rPr/>
      </w:pPr>
      <w:r>
        <w:rPr>
          <w:position w:val="-49"/>
        </w:rPr>
        <w:drawing>
          <wp:inline distT="0" distB="0" distL="0" distR="0">
            <wp:extent cx="1864451" cy="1564258"/>
            <wp:effectExtent l="0" t="0" r="0" b="0"/>
            <wp:docPr id="6" name="IM 6"/>
            <wp:cNvGraphicFramePr/>
            <a:graphic>
              <a:graphicData uri="http://schemas.openxmlformats.org/drawingml/2006/picture">
                <pic:pic>
                  <pic:nvPicPr>
                    <pic:cNvPr id="6" name="IM 6"/>
                    <pic:cNvPicPr/>
                  </pic:nvPicPr>
                  <pic:blipFill>
                    <a:blip r:embed="rId31"/>
                    <a:stretch>
                      <a:fillRect/>
                    </a:stretch>
                  </pic:blipFill>
                  <pic:spPr>
                    <a:xfrm rot="0">
                      <a:off x="0" y="0"/>
                      <a:ext cx="1864451" cy="1564258"/>
                    </a:xfrm>
                    <a:prstGeom prst="rect">
                      <a:avLst/>
                    </a:prstGeom>
                  </pic:spPr>
                </pic:pic>
              </a:graphicData>
            </a:graphic>
          </wp:inline>
        </w:drawing>
      </w:r>
    </w:p>
    <w:p>
      <w:pPr>
        <w:spacing w:line="265" w:lineRule="auto"/>
        <w:rPr>
          <w:rFonts w:ascii="Arial"/>
          <w:sz w:val="21"/>
        </w:rPr>
      </w:pPr>
      <w:r/>
    </w:p>
    <w:p>
      <w:pPr>
        <w:spacing w:line="265" w:lineRule="auto"/>
        <w:rPr>
          <w:rFonts w:ascii="Arial"/>
          <w:sz w:val="21"/>
        </w:rPr>
      </w:pPr>
      <w:r/>
    </w:p>
    <w:p>
      <w:pPr>
        <w:ind w:left="1262"/>
        <w:spacing w:before="94"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六、一般公共预算基本支出情况说明</w:t>
      </w:r>
    </w:p>
    <w:p>
      <w:pPr>
        <w:ind w:left="1720"/>
        <w:spacing w:before="185" w:line="222" w:lineRule="auto"/>
        <w:rPr>
          <w:rFonts w:ascii="FangSong" w:hAnsi="FangSong" w:eastAsia="FangSong" w:cs="FangSong"/>
          <w:sz w:val="23"/>
          <w:szCs w:val="23"/>
        </w:rPr>
      </w:pPr>
      <w:r>
        <w:rPr>
          <w:rFonts w:ascii="FangSong" w:hAnsi="FangSong" w:eastAsia="FangSong" w:cs="FangSong"/>
          <w:sz w:val="23"/>
          <w:szCs w:val="23"/>
        </w:rPr>
        <w:t>2025年度兴县孟家坪乡卫生院贺家会分院一般公共预算安排基本支出90.23万元，其中：</w:t>
      </w:r>
    </w:p>
    <w:p>
      <w:pPr>
        <w:ind w:left="1264" w:right="1223" w:firstLine="463"/>
        <w:spacing w:before="123" w:line="324" w:lineRule="auto"/>
        <w:jc w:val="both"/>
        <w:rPr>
          <w:rFonts w:ascii="FangSong" w:hAnsi="FangSong" w:eastAsia="FangSong" w:cs="FangSong"/>
          <w:sz w:val="23"/>
          <w:szCs w:val="23"/>
        </w:rPr>
      </w:pPr>
      <w:r>
        <w:rPr>
          <w:rFonts w:ascii="FangSong" w:hAnsi="FangSong" w:eastAsia="FangSong" w:cs="FangSong"/>
          <w:sz w:val="23"/>
          <w:szCs w:val="23"/>
          <w:spacing w:val="2"/>
        </w:rPr>
        <w:t>人员经费81.41万元，主要包括：其他工资福利支出、其他社会保障缴费、绩效工资、基</w:t>
      </w:r>
      <w:r>
        <w:rPr>
          <w:rFonts w:ascii="FangSong" w:hAnsi="FangSong" w:eastAsia="FangSong" w:cs="FangSong"/>
          <w:sz w:val="23"/>
          <w:szCs w:val="23"/>
          <w:spacing w:val="10"/>
        </w:rPr>
        <w:t xml:space="preserve"> </w:t>
      </w:r>
      <w:r>
        <w:rPr>
          <w:rFonts w:ascii="FangSong" w:hAnsi="FangSong" w:eastAsia="FangSong" w:cs="FangSong"/>
          <w:sz w:val="23"/>
          <w:szCs w:val="23"/>
          <w:spacing w:val="5"/>
        </w:rPr>
        <w:t>本工资、住房公积金、机关事业单位基本养老保险缴费、职工基本医疗保险缴费、津贴补贴</w:t>
      </w:r>
      <w:r>
        <w:rPr>
          <w:rFonts w:ascii="FangSong" w:hAnsi="FangSong" w:eastAsia="FangSong" w:cs="FangSong"/>
          <w:sz w:val="23"/>
          <w:szCs w:val="23"/>
          <w:spacing w:val="10"/>
        </w:rPr>
        <w:t xml:space="preserve"> </w:t>
      </w:r>
      <w:r>
        <w:rPr>
          <w:rFonts w:ascii="FangSong" w:hAnsi="FangSong" w:eastAsia="FangSong" w:cs="FangSong"/>
          <w:sz w:val="23"/>
          <w:szCs w:val="23"/>
          <w:spacing w:val="-8"/>
        </w:rPr>
        <w:t>等；</w:t>
      </w:r>
    </w:p>
    <w:p>
      <w:pPr>
        <w:ind w:left="1729"/>
        <w:spacing w:before="1" w:line="222" w:lineRule="auto"/>
        <w:rPr>
          <w:rFonts w:ascii="FangSong" w:hAnsi="FangSong" w:eastAsia="FangSong" w:cs="FangSong"/>
          <w:sz w:val="23"/>
          <w:szCs w:val="23"/>
        </w:rPr>
      </w:pPr>
      <w:r>
        <w:rPr>
          <w:rFonts w:ascii="FangSong" w:hAnsi="FangSong" w:eastAsia="FangSong" w:cs="FangSong"/>
          <w:sz w:val="23"/>
          <w:szCs w:val="23"/>
        </w:rPr>
        <w:t>公用经费8.82万元，主要包括：福利费、工会经费、</w:t>
      </w:r>
      <w:r>
        <w:rPr>
          <w:rFonts w:ascii="FangSong" w:hAnsi="FangSong" w:eastAsia="FangSong" w:cs="FangSong"/>
          <w:sz w:val="23"/>
          <w:szCs w:val="23"/>
          <w:spacing w:val="-1"/>
        </w:rPr>
        <w:t>取暖费等。</w:t>
      </w:r>
    </w:p>
    <w:p>
      <w:pPr>
        <w:ind w:left="1255"/>
        <w:spacing w:before="119" w:line="229"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85"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19" w:line="230"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rPr>
        <w:t>本单位本年度没有机关运行经费。上年度也没有机关运行经</w:t>
      </w:r>
      <w:r>
        <w:rPr>
          <w:rFonts w:ascii="FangSong" w:hAnsi="FangSong" w:eastAsia="FangSong" w:cs="FangSong"/>
          <w:sz w:val="23"/>
          <w:szCs w:val="23"/>
          <w:spacing w:val="-1"/>
        </w:rPr>
        <w:t>费。</w:t>
      </w:r>
    </w:p>
    <w:p>
      <w:pPr>
        <w:ind w:left="1258"/>
        <w:spacing w:before="133" w:line="225" w:lineRule="exact"/>
        <w:outlineLvl w:val="1"/>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9"/>
          <w:position w:val="-1"/>
        </w:rPr>
        <w:t>九、政府采购情况</w:t>
      </w:r>
    </w:p>
    <w:p>
      <w:pPr>
        <w:ind w:left="1263" w:right="1223" w:firstLine="456"/>
        <w:spacing w:before="176" w:line="322" w:lineRule="auto"/>
        <w:rPr>
          <w:rFonts w:ascii="FangSong" w:hAnsi="FangSong" w:eastAsia="FangSong" w:cs="FangSong"/>
          <w:sz w:val="23"/>
          <w:szCs w:val="23"/>
        </w:rPr>
      </w:pPr>
      <w:r>
        <w:rPr>
          <w:rFonts w:ascii="FangSong" w:hAnsi="FangSong" w:eastAsia="FangSong" w:cs="FangSong"/>
          <w:sz w:val="23"/>
          <w:szCs w:val="23"/>
          <w:spacing w:val="2"/>
        </w:rPr>
        <w:t>2025年兴县孟家坪乡卫生院贺家会分院政府采购预算总额0万元。其中：政府采购货物预</w:t>
      </w:r>
      <w:r>
        <w:rPr>
          <w:rFonts w:ascii="FangSong" w:hAnsi="FangSong" w:eastAsia="FangSong" w:cs="FangSong"/>
          <w:sz w:val="23"/>
          <w:szCs w:val="23"/>
          <w:spacing w:val="17"/>
        </w:rPr>
        <w:t xml:space="preserve"> </w:t>
      </w:r>
      <w:r>
        <w:rPr>
          <w:rFonts w:ascii="FangSong" w:hAnsi="FangSong" w:eastAsia="FangSong" w:cs="FangSong"/>
          <w:sz w:val="23"/>
          <w:szCs w:val="23"/>
        </w:rPr>
        <w:t>算0万元、政府采购工程预算0万元、政府采购服务预算0万元。</w:t>
      </w:r>
    </w:p>
    <w:p>
      <w:pPr>
        <w:ind w:left="1260"/>
        <w:spacing w:before="5" w:line="230" w:lineRule="exact"/>
        <w:outlineLvl w:val="1"/>
        <w:rPr>
          <w:rFonts w:ascii="Microsoft YaHei" w:hAnsi="Microsoft YaHei" w:eastAsia="Microsoft YaHei" w:cs="Microsoft YaHei"/>
          <w:sz w:val="22"/>
          <w:szCs w:val="22"/>
        </w:rPr>
      </w:pPr>
      <w:bookmarkStart w:name="bookmark29" w:id="43"/>
      <w:bookmarkEnd w:id="43"/>
      <w:r>
        <w:rPr>
          <w:rFonts w:ascii="Microsoft YaHei" w:hAnsi="Microsoft YaHei" w:eastAsia="Microsoft YaHei" w:cs="Microsoft YaHei"/>
          <w:sz w:val="22"/>
          <w:szCs w:val="22"/>
          <w:spacing w:val="9"/>
          <w:position w:val="-1"/>
        </w:rPr>
        <w:t>十、绩效管理情况</w:t>
      </w:r>
    </w:p>
    <w:p>
      <w:pPr>
        <w:ind w:left="1735"/>
        <w:spacing w:before="175"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1259"/>
        <w:spacing w:before="122" w:line="221" w:lineRule="auto"/>
        <w:rPr>
          <w:rFonts w:ascii="FangSong" w:hAnsi="FangSong" w:eastAsia="FangSong" w:cs="FangSong"/>
          <w:sz w:val="23"/>
          <w:szCs w:val="23"/>
        </w:rPr>
      </w:pPr>
      <w:r>
        <w:rPr>
          <w:rFonts w:ascii="FangSong" w:hAnsi="FangSong" w:eastAsia="FangSong" w:cs="FangSong"/>
          <w:sz w:val="23"/>
          <w:szCs w:val="23"/>
        </w:rPr>
        <w:t>2025年编报单位整体绩效目标，涉及资金131.94万元。</w:t>
      </w:r>
    </w:p>
    <w:p>
      <w:pPr>
        <w:ind w:left="1720"/>
        <w:spacing w:before="135"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58" w:right="1223" w:firstLine="462"/>
        <w:spacing w:before="125" w:line="324" w:lineRule="auto"/>
        <w:rPr>
          <w:rFonts w:ascii="FangSong" w:hAnsi="FangSong" w:eastAsia="FangSong" w:cs="FangSong"/>
          <w:sz w:val="23"/>
          <w:szCs w:val="23"/>
        </w:rPr>
      </w:pPr>
      <w:r>
        <w:rPr>
          <w:rFonts w:ascii="FangSong" w:hAnsi="FangSong" w:eastAsia="FangSong" w:cs="FangSong"/>
          <w:sz w:val="23"/>
          <w:szCs w:val="23"/>
          <w:spacing w:val="9"/>
        </w:rPr>
        <w:t>2025年兴县孟家坪乡卫生院贺家会分院纳入绩效</w:t>
      </w:r>
      <w:r>
        <w:rPr>
          <w:rFonts w:ascii="FangSong" w:hAnsi="FangSong" w:eastAsia="FangSong" w:cs="FangSong"/>
          <w:sz w:val="23"/>
          <w:szCs w:val="23"/>
          <w:spacing w:val="-26"/>
        </w:rPr>
        <w:t xml:space="preserve"> </w:t>
      </w:r>
      <w:r>
        <w:rPr>
          <w:rFonts w:ascii="FangSong" w:hAnsi="FangSong" w:eastAsia="FangSong" w:cs="FangSong"/>
          <w:sz w:val="23"/>
          <w:szCs w:val="23"/>
          <w:spacing w:val="9"/>
        </w:rPr>
        <w:t>目标管理的二级项</w:t>
      </w:r>
      <w:r>
        <w:rPr>
          <w:rFonts w:ascii="FangSong" w:hAnsi="FangSong" w:eastAsia="FangSong" w:cs="FangSong"/>
          <w:sz w:val="23"/>
          <w:szCs w:val="23"/>
          <w:spacing w:val="-43"/>
        </w:rPr>
        <w:t xml:space="preserve"> </w:t>
      </w:r>
      <w:r>
        <w:rPr>
          <w:rFonts w:ascii="FangSong" w:hAnsi="FangSong" w:eastAsia="FangSong" w:cs="FangSong"/>
          <w:sz w:val="23"/>
          <w:szCs w:val="23"/>
          <w:spacing w:val="9"/>
        </w:rPr>
        <w:t>目7个</w:t>
      </w:r>
      <w:r>
        <w:rPr>
          <w:rFonts w:ascii="FangSong" w:hAnsi="FangSong" w:eastAsia="FangSong" w:cs="FangSong"/>
          <w:sz w:val="23"/>
          <w:szCs w:val="23"/>
          <w:spacing w:val="-68"/>
        </w:rPr>
        <w:t xml:space="preserve"> </w:t>
      </w:r>
      <w:r>
        <w:rPr>
          <w:rFonts w:ascii="FangSong" w:hAnsi="FangSong" w:eastAsia="FangSong" w:cs="FangSong"/>
          <w:sz w:val="23"/>
          <w:szCs w:val="23"/>
          <w:spacing w:val="9"/>
        </w:rPr>
        <w:t>，共计金额</w:t>
      </w:r>
      <w:r>
        <w:rPr>
          <w:rFonts w:ascii="FangSong" w:hAnsi="FangSong" w:eastAsia="FangSong" w:cs="FangSong"/>
          <w:sz w:val="23"/>
          <w:szCs w:val="23"/>
        </w:rPr>
        <w:t xml:space="preserve"> </w:t>
      </w:r>
      <w:r>
        <w:rPr>
          <w:rFonts w:ascii="FangSong" w:hAnsi="FangSong" w:eastAsia="FangSong" w:cs="FangSong"/>
          <w:sz w:val="23"/>
          <w:szCs w:val="23"/>
          <w:spacing w:val="5"/>
        </w:rPr>
        <w:t>131.94万元。其中：其他运转类项目0个，涉及金额0万元；特定目标类项</w:t>
      </w:r>
      <w:r>
        <w:rPr>
          <w:rFonts w:ascii="FangSong" w:hAnsi="FangSong" w:eastAsia="FangSong" w:cs="FangSong"/>
          <w:sz w:val="23"/>
          <w:szCs w:val="23"/>
          <w:spacing w:val="4"/>
        </w:rPr>
        <w:t>目0个，涉及金额0</w:t>
      </w:r>
      <w:r>
        <w:rPr>
          <w:rFonts w:ascii="FangSong" w:hAnsi="FangSong" w:eastAsia="FangSong" w:cs="FangSong"/>
          <w:sz w:val="23"/>
          <w:szCs w:val="23"/>
        </w:rPr>
        <w:t xml:space="preserve"> </w:t>
      </w:r>
      <w:r>
        <w:rPr>
          <w:rFonts w:ascii="FangSong" w:hAnsi="FangSong" w:eastAsia="FangSong" w:cs="FangSong"/>
          <w:sz w:val="23"/>
          <w:szCs w:val="23"/>
          <w:spacing w:val="6"/>
        </w:rPr>
        <w:t>万元。公开项目绩效目标7个，涉及项目金额131.94万元，</w:t>
      </w:r>
      <w:r>
        <w:rPr>
          <w:rFonts w:ascii="FangSong" w:hAnsi="FangSong" w:eastAsia="FangSong" w:cs="FangSong"/>
          <w:sz w:val="23"/>
          <w:szCs w:val="23"/>
          <w:spacing w:val="-42"/>
        </w:rPr>
        <w:t xml:space="preserve"> </w:t>
      </w:r>
      <w:r>
        <w:rPr>
          <w:rFonts w:ascii="FangSong" w:hAnsi="FangSong" w:eastAsia="FangSong" w:cs="FangSong"/>
          <w:sz w:val="23"/>
          <w:szCs w:val="23"/>
          <w:spacing w:val="6"/>
        </w:rPr>
        <w:t>占部门（单位）项目支出总额的</w:t>
      </w:r>
      <w:r>
        <w:rPr>
          <w:rFonts w:ascii="FangSong" w:hAnsi="FangSong" w:eastAsia="FangSong" w:cs="FangSong"/>
          <w:sz w:val="23"/>
          <w:szCs w:val="23"/>
        </w:rPr>
        <w:t xml:space="preserve"> </w:t>
      </w:r>
      <w:r>
        <w:rPr>
          <w:rFonts w:ascii="FangSong" w:hAnsi="FangSong" w:eastAsia="FangSong" w:cs="FangSong"/>
          <w:sz w:val="23"/>
          <w:szCs w:val="23"/>
          <w:spacing w:val="2"/>
        </w:rPr>
        <w:t>100%。其中：其他运转类项目0个，涉及项目金额0万元；特定目标类项目0个，涉及项目金额</w:t>
      </w:r>
      <w:r>
        <w:rPr>
          <w:rFonts w:ascii="FangSong" w:hAnsi="FangSong" w:eastAsia="FangSong" w:cs="FangSong"/>
          <w:sz w:val="23"/>
          <w:szCs w:val="23"/>
          <w:spacing w:val="13"/>
        </w:rPr>
        <w:t xml:space="preserve"> </w:t>
      </w:r>
      <w:r>
        <w:rPr>
          <w:rFonts w:ascii="FangSong" w:hAnsi="FangSong" w:eastAsia="FangSong" w:cs="FangSong"/>
          <w:sz w:val="23"/>
          <w:szCs w:val="23"/>
          <w:spacing w:val="-3"/>
        </w:rPr>
        <w:t>0万元。</w:t>
      </w:r>
    </w:p>
    <w:p>
      <w:pPr>
        <w:ind w:left="1264"/>
        <w:spacing w:before="1" w:line="223"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3" w:lineRule="auto"/>
        <w:sectPr>
          <w:headerReference w:type="default" r:id="rId29"/>
          <w:footerReference w:type="default" r:id="rId30"/>
          <w:pgSz w:w="11900" w:h="16840"/>
          <w:pgMar w:top="642" w:right="0" w:bottom="340" w:left="0" w:header="326" w:footer="111" w:gutter="0"/>
        </w:sectPr>
        <w:rPr>
          <w:rFonts w:ascii="FangSong" w:hAnsi="FangSong" w:eastAsia="FangSong" w:cs="FangSong"/>
          <w:sz w:val="23"/>
          <w:szCs w:val="23"/>
        </w:rPr>
      </w:pPr>
    </w:p>
    <w:p>
      <w:pPr>
        <w:spacing w:line="277" w:lineRule="auto"/>
        <w:rPr>
          <w:rFonts w:ascii="Arial"/>
          <w:sz w:val="21"/>
        </w:rPr>
      </w:pPr>
      <w:r/>
    </w:p>
    <w:p>
      <w:pPr>
        <w:spacing w:line="278" w:lineRule="auto"/>
        <w:rPr>
          <w:rFonts w:ascii="Arial"/>
          <w:sz w:val="21"/>
        </w:rPr>
      </w:pPr>
      <w:r/>
    </w:p>
    <w:p>
      <w:pPr>
        <w:ind w:firstLine="2178"/>
        <w:spacing w:line="12336" w:lineRule="exact"/>
        <w:rPr/>
      </w:pPr>
      <w:r>
        <w:pict>
          <v:shape id="_x0000_s206" style="position:absolute;margin-left:391.92pt;margin-top:228.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208" style="position:absolute;margin-left:86.92pt;margin-top:472.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rPr>
          <w:position w:val="-246"/>
        </w:rPr>
        <w:drawing>
          <wp:inline distT="0" distB="0" distL="0" distR="0">
            <wp:extent cx="4805707" cy="7833304"/>
            <wp:effectExtent l="0" t="0" r="0" b="0"/>
            <wp:docPr id="8" name="IM 8"/>
            <wp:cNvGraphicFramePr/>
            <a:graphic>
              <a:graphicData uri="http://schemas.openxmlformats.org/drawingml/2006/picture">
                <pic:pic>
                  <pic:nvPicPr>
                    <pic:cNvPr id="8" name="IM 8"/>
                    <pic:cNvPicPr/>
                  </pic:nvPicPr>
                  <pic:blipFill>
                    <a:blip r:embed="rId34"/>
                    <a:stretch>
                      <a:fillRect/>
                    </a:stretch>
                  </pic:blipFill>
                  <pic:spPr>
                    <a:xfrm rot="0">
                      <a:off x="0" y="0"/>
                      <a:ext cx="4805707" cy="7833304"/>
                    </a:xfrm>
                    <a:prstGeom prst="rect">
                      <a:avLst/>
                    </a:prstGeom>
                  </pic:spPr>
                </pic:pic>
              </a:graphicData>
            </a:graphic>
          </wp:inline>
        </w:drawing>
      </w:r>
    </w:p>
    <w:p>
      <w:pPr>
        <w:spacing w:line="12336" w:lineRule="exact"/>
        <w:sectPr>
          <w:headerReference w:type="default" r:id="rId32"/>
          <w:footerReference w:type="default" r:id="rId33"/>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178"/>
        <w:spacing w:line="12185" w:lineRule="exact"/>
        <w:rPr/>
      </w:pPr>
      <w:r>
        <w:pict>
          <v:shape id="_x0000_s210" style="position:absolute;margin-left:86.92pt;margin-top:472.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212" style="position:absolute;margin-left:391.92pt;margin-top:228.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rPr>
          <w:position w:val="-243"/>
        </w:rPr>
        <w:drawing>
          <wp:inline distT="0" distB="0" distL="0" distR="0">
            <wp:extent cx="4805707" cy="7737189"/>
            <wp:effectExtent l="0" t="0" r="0" b="0"/>
            <wp:docPr id="10" name="IM 10"/>
            <wp:cNvGraphicFramePr/>
            <a:graphic>
              <a:graphicData uri="http://schemas.openxmlformats.org/drawingml/2006/picture">
                <pic:pic>
                  <pic:nvPicPr>
                    <pic:cNvPr id="10" name="IM 10"/>
                    <pic:cNvPicPr/>
                  </pic:nvPicPr>
                  <pic:blipFill>
                    <a:blip r:embed="rId36"/>
                    <a:stretch>
                      <a:fillRect/>
                    </a:stretch>
                  </pic:blipFill>
                  <pic:spPr>
                    <a:xfrm rot="0">
                      <a:off x="0" y="0"/>
                      <a:ext cx="4805707" cy="7737189"/>
                    </a:xfrm>
                    <a:prstGeom prst="rect">
                      <a:avLst/>
                    </a:prstGeom>
                  </pic:spPr>
                </pic:pic>
              </a:graphicData>
            </a:graphic>
          </wp:inline>
        </w:drawing>
      </w:r>
    </w:p>
    <w:p>
      <w:pPr>
        <w:spacing w:line="12185" w:lineRule="exact"/>
        <w:sectPr>
          <w:footerReference w:type="default" r:id="rId35"/>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178"/>
        <w:spacing w:line="12185" w:lineRule="exact"/>
        <w:rPr/>
      </w:pPr>
      <w:r>
        <w:pict>
          <v:shape id="_x0000_s214" style="position:absolute;margin-left:391.92pt;margin-top:228.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pict>
          <v:shape id="_x0000_s216" style="position:absolute;margin-left:86.92pt;margin-top:472.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rPr>
          <w:position w:val="-243"/>
        </w:rPr>
        <w:drawing>
          <wp:inline distT="0" distB="0" distL="0" distR="0">
            <wp:extent cx="4805707" cy="7737189"/>
            <wp:effectExtent l="0" t="0" r="0" b="0"/>
            <wp:docPr id="12" name="IM 12"/>
            <wp:cNvGraphicFramePr/>
            <a:graphic>
              <a:graphicData uri="http://schemas.openxmlformats.org/drawingml/2006/picture">
                <pic:pic>
                  <pic:nvPicPr>
                    <pic:cNvPr id="12" name="IM 12"/>
                    <pic:cNvPicPr/>
                  </pic:nvPicPr>
                  <pic:blipFill>
                    <a:blip r:embed="rId38"/>
                    <a:stretch>
                      <a:fillRect/>
                    </a:stretch>
                  </pic:blipFill>
                  <pic:spPr>
                    <a:xfrm rot="0">
                      <a:off x="0" y="0"/>
                      <a:ext cx="4805707" cy="7737189"/>
                    </a:xfrm>
                    <a:prstGeom prst="rect">
                      <a:avLst/>
                    </a:prstGeom>
                  </pic:spPr>
                </pic:pic>
              </a:graphicData>
            </a:graphic>
          </wp:inline>
        </w:drawing>
      </w:r>
    </w:p>
    <w:p>
      <w:pPr>
        <w:spacing w:line="12185" w:lineRule="exact"/>
        <w:sectPr>
          <w:footerReference w:type="default" r:id="rId37"/>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178"/>
        <w:spacing w:line="12488" w:lineRule="exact"/>
        <w:rPr/>
      </w:pPr>
      <w:r>
        <w:pict>
          <v:shape id="_x0000_s218" style="position:absolute;margin-left:86.92pt;margin-top:472.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220" style="position:absolute;margin-left:391.92pt;margin-top:228.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4805707" cy="7929418"/>
            <wp:effectExtent l="0" t="0" r="0" b="0"/>
            <wp:docPr id="14" name="IM 14"/>
            <wp:cNvGraphicFramePr/>
            <a:graphic>
              <a:graphicData uri="http://schemas.openxmlformats.org/drawingml/2006/picture">
                <pic:pic>
                  <pic:nvPicPr>
                    <pic:cNvPr id="14" name="IM 14"/>
                    <pic:cNvPicPr/>
                  </pic:nvPicPr>
                  <pic:blipFill>
                    <a:blip r:embed="rId40"/>
                    <a:stretch>
                      <a:fillRect/>
                    </a:stretch>
                  </pic:blipFill>
                  <pic:spPr>
                    <a:xfrm rot="0">
                      <a:off x="0" y="0"/>
                      <a:ext cx="4805707" cy="7929418"/>
                    </a:xfrm>
                    <a:prstGeom prst="rect">
                      <a:avLst/>
                    </a:prstGeom>
                  </pic:spPr>
                </pic:pic>
              </a:graphicData>
            </a:graphic>
          </wp:inline>
        </w:drawing>
      </w:r>
    </w:p>
    <w:p>
      <w:pPr>
        <w:spacing w:line="12488" w:lineRule="exact"/>
        <w:sectPr>
          <w:footerReference w:type="default" r:id="rId39"/>
          <w:pgSz w:w="11900" w:h="16840"/>
          <w:pgMar w:top="642" w:right="0" w:bottom="340" w:left="0" w:header="326" w:footer="110" w:gutter="0"/>
        </w:sectPr>
        <w:rPr/>
      </w:pPr>
    </w:p>
    <w:p>
      <w:pPr>
        <w:spacing w:line="277" w:lineRule="auto"/>
        <w:rPr>
          <w:rFonts w:ascii="Arial"/>
          <w:sz w:val="21"/>
        </w:rPr>
      </w:pPr>
      <w:r/>
    </w:p>
    <w:p>
      <w:pPr>
        <w:spacing w:line="278" w:lineRule="auto"/>
        <w:rPr>
          <w:rFonts w:ascii="Arial"/>
          <w:sz w:val="21"/>
        </w:rPr>
      </w:pPr>
      <w:r/>
    </w:p>
    <w:p>
      <w:pPr>
        <w:ind w:firstLine="2178"/>
        <w:spacing w:line="12066" w:lineRule="exact"/>
        <w:rPr/>
      </w:pPr>
      <w:r>
        <w:pict>
          <v:shape id="_x0000_s222" style="position:absolute;margin-left:86.92pt;margin-top:472.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224" style="position:absolute;margin-left:391.92pt;margin-top:228.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241"/>
        </w:rPr>
        <w:drawing>
          <wp:inline distT="0" distB="0" distL="0" distR="0">
            <wp:extent cx="4805707" cy="7661672"/>
            <wp:effectExtent l="0" t="0" r="0" b="0"/>
            <wp:docPr id="16" name="IM 16"/>
            <wp:cNvGraphicFramePr/>
            <a:graphic>
              <a:graphicData uri="http://schemas.openxmlformats.org/drawingml/2006/picture">
                <pic:pic>
                  <pic:nvPicPr>
                    <pic:cNvPr id="16" name="IM 16"/>
                    <pic:cNvPicPr/>
                  </pic:nvPicPr>
                  <pic:blipFill>
                    <a:blip r:embed="rId42"/>
                    <a:stretch>
                      <a:fillRect/>
                    </a:stretch>
                  </pic:blipFill>
                  <pic:spPr>
                    <a:xfrm rot="0">
                      <a:off x="0" y="0"/>
                      <a:ext cx="4805707" cy="7661672"/>
                    </a:xfrm>
                    <a:prstGeom prst="rect">
                      <a:avLst/>
                    </a:prstGeom>
                  </pic:spPr>
                </pic:pic>
              </a:graphicData>
            </a:graphic>
          </wp:inline>
        </w:drawing>
      </w:r>
    </w:p>
    <w:p>
      <w:pPr>
        <w:spacing w:line="12066" w:lineRule="exact"/>
        <w:sectPr>
          <w:footerReference w:type="default" r:id="rId41"/>
          <w:pgSz w:w="11900" w:h="16840"/>
          <w:pgMar w:top="642" w:right="0" w:bottom="340" w:left="0" w:header="326" w:footer="110" w:gutter="0"/>
        </w:sectPr>
        <w:rPr/>
      </w:pPr>
    </w:p>
    <w:p>
      <w:pPr>
        <w:spacing w:line="277" w:lineRule="auto"/>
        <w:rPr>
          <w:rFonts w:ascii="Arial"/>
          <w:sz w:val="21"/>
        </w:rPr>
      </w:pPr>
      <w:r/>
    </w:p>
    <w:p>
      <w:pPr>
        <w:spacing w:line="278" w:lineRule="auto"/>
        <w:rPr>
          <w:rFonts w:ascii="Arial"/>
          <w:sz w:val="21"/>
        </w:rPr>
      </w:pPr>
      <w:r/>
    </w:p>
    <w:p>
      <w:pPr>
        <w:ind w:firstLine="2178"/>
        <w:spacing w:line="12271" w:lineRule="exact"/>
        <w:rPr/>
      </w:pPr>
      <w:r>
        <w:pict>
          <v:shape id="_x0000_s226" style="position:absolute;margin-left:86.92pt;margin-top:472.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228" style="position:absolute;margin-left:391.92pt;margin-top:228.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4805707" cy="7792112"/>
            <wp:effectExtent l="0" t="0" r="0" b="0"/>
            <wp:docPr id="18" name="IM 18"/>
            <wp:cNvGraphicFramePr/>
            <a:graphic>
              <a:graphicData uri="http://schemas.openxmlformats.org/drawingml/2006/picture">
                <pic:pic>
                  <pic:nvPicPr>
                    <pic:cNvPr id="18" name="IM 18"/>
                    <pic:cNvPicPr/>
                  </pic:nvPicPr>
                  <pic:blipFill>
                    <a:blip r:embed="rId44"/>
                    <a:stretch>
                      <a:fillRect/>
                    </a:stretch>
                  </pic:blipFill>
                  <pic:spPr>
                    <a:xfrm rot="0">
                      <a:off x="0" y="0"/>
                      <a:ext cx="4805707" cy="7792112"/>
                    </a:xfrm>
                    <a:prstGeom prst="rect">
                      <a:avLst/>
                    </a:prstGeom>
                  </pic:spPr>
                </pic:pic>
              </a:graphicData>
            </a:graphic>
          </wp:inline>
        </w:drawing>
      </w:r>
    </w:p>
    <w:p>
      <w:pPr>
        <w:spacing w:line="12271" w:lineRule="exact"/>
        <w:sectPr>
          <w:footerReference w:type="default" r:id="rId43"/>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178"/>
        <w:spacing w:line="12282" w:lineRule="exact"/>
        <w:rPr/>
      </w:pPr>
      <w:r>
        <w:pict>
          <v:shape id="_x0000_s230" style="position:absolute;margin-left:391.92pt;margin-top:228.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232" style="position:absolute;margin-left:86.92pt;margin-top:472.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4805707" cy="7798977"/>
            <wp:effectExtent l="0" t="0" r="0" b="0"/>
            <wp:docPr id="20" name="IM 20"/>
            <wp:cNvGraphicFramePr/>
            <a:graphic>
              <a:graphicData uri="http://schemas.openxmlformats.org/drawingml/2006/picture">
                <pic:pic>
                  <pic:nvPicPr>
                    <pic:cNvPr id="20" name="IM 20"/>
                    <pic:cNvPicPr/>
                  </pic:nvPicPr>
                  <pic:blipFill>
                    <a:blip r:embed="rId46"/>
                    <a:stretch>
                      <a:fillRect/>
                    </a:stretch>
                  </pic:blipFill>
                  <pic:spPr>
                    <a:xfrm rot="0">
                      <a:off x="0" y="0"/>
                      <a:ext cx="4805707" cy="7798977"/>
                    </a:xfrm>
                    <a:prstGeom prst="rect">
                      <a:avLst/>
                    </a:prstGeom>
                  </pic:spPr>
                </pic:pic>
              </a:graphicData>
            </a:graphic>
          </wp:inline>
        </w:drawing>
      </w:r>
    </w:p>
    <w:p>
      <w:pPr>
        <w:spacing w:line="12282" w:lineRule="exact"/>
        <w:sectPr>
          <w:footerReference w:type="default" r:id="rId45"/>
          <w:pgSz w:w="11900" w:h="16840"/>
          <w:pgMar w:top="642" w:right="0" w:bottom="340" w:left="0" w:header="326" w:footer="110" w:gutter="0"/>
        </w:sectPr>
        <w:rPr/>
      </w:pPr>
    </w:p>
    <w:p>
      <w:pPr>
        <w:spacing w:line="277" w:lineRule="auto"/>
        <w:rPr>
          <w:rFonts w:ascii="Arial"/>
          <w:sz w:val="21"/>
        </w:rPr>
      </w:pPr>
      <w:r/>
    </w:p>
    <w:p>
      <w:pPr>
        <w:spacing w:line="278" w:lineRule="auto"/>
        <w:rPr>
          <w:rFonts w:ascii="Arial"/>
          <w:sz w:val="21"/>
        </w:rPr>
      </w:pPr>
      <w:r/>
    </w:p>
    <w:p>
      <w:pPr>
        <w:ind w:firstLine="2178"/>
        <w:spacing w:line="12066" w:lineRule="exact"/>
        <w:rPr/>
      </w:pPr>
      <w:r>
        <w:pict>
          <v:shape id="_x0000_s234" style="position:absolute;margin-left:391.92pt;margin-top:228.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pict>
          <v:shape id="_x0000_s236" style="position:absolute;margin-left:86.92pt;margin-top:472.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rPr>
          <w:position w:val="-241"/>
        </w:rPr>
        <w:drawing>
          <wp:inline distT="0" distB="0" distL="0" distR="0">
            <wp:extent cx="4805707" cy="7661672"/>
            <wp:effectExtent l="0" t="0" r="0" b="0"/>
            <wp:docPr id="22" name="IM 22"/>
            <wp:cNvGraphicFramePr/>
            <a:graphic>
              <a:graphicData uri="http://schemas.openxmlformats.org/drawingml/2006/picture">
                <pic:pic>
                  <pic:nvPicPr>
                    <pic:cNvPr id="22" name="IM 22"/>
                    <pic:cNvPicPr/>
                  </pic:nvPicPr>
                  <pic:blipFill>
                    <a:blip r:embed="rId48"/>
                    <a:stretch>
                      <a:fillRect/>
                    </a:stretch>
                  </pic:blipFill>
                  <pic:spPr>
                    <a:xfrm rot="0">
                      <a:off x="0" y="0"/>
                      <a:ext cx="4805707" cy="7661672"/>
                    </a:xfrm>
                    <a:prstGeom prst="rect">
                      <a:avLst/>
                    </a:prstGeom>
                  </pic:spPr>
                </pic:pic>
              </a:graphicData>
            </a:graphic>
          </wp:inline>
        </w:drawing>
      </w:r>
    </w:p>
    <w:p>
      <w:pPr>
        <w:spacing w:line="12066" w:lineRule="exact"/>
        <w:sectPr>
          <w:footerReference w:type="default" r:id="rId47"/>
          <w:pgSz w:w="11900" w:h="16840"/>
          <w:pgMar w:top="642" w:right="0" w:bottom="340" w:left="0" w:header="326" w:footer="111" w:gutter="0"/>
        </w:sectPr>
        <w:rPr/>
      </w:pPr>
    </w:p>
    <w:p>
      <w:pPr>
        <w:spacing w:line="277" w:lineRule="auto"/>
        <w:rPr>
          <w:rFonts w:ascii="Arial"/>
          <w:sz w:val="21"/>
        </w:rPr>
      </w:pPr>
      <w:r/>
    </w:p>
    <w:p>
      <w:pPr>
        <w:spacing w:line="278" w:lineRule="auto"/>
        <w:rPr>
          <w:rFonts w:ascii="Arial"/>
          <w:sz w:val="21"/>
        </w:rPr>
      </w:pPr>
      <w:r/>
    </w:p>
    <w:p>
      <w:pPr>
        <w:ind w:firstLine="2178"/>
        <w:spacing w:line="7849" w:lineRule="exact"/>
        <w:rPr/>
      </w:pPr>
      <w:r>
        <w:pict>
          <v:shape id="_x0000_s254" style="position:absolute;margin-left:391.92pt;margin-top:228.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rPr>
          <w:position w:val="-156"/>
        </w:rPr>
        <w:drawing>
          <wp:inline distT="0" distB="0" distL="0" distR="0">
            <wp:extent cx="4805707" cy="4984205"/>
            <wp:effectExtent l="0" t="0" r="0" b="0"/>
            <wp:docPr id="24" name="IM 24"/>
            <wp:cNvGraphicFramePr/>
            <a:graphic>
              <a:graphicData uri="http://schemas.openxmlformats.org/drawingml/2006/picture">
                <pic:pic>
                  <pic:nvPicPr>
                    <pic:cNvPr id="24" name="IM 24"/>
                    <pic:cNvPicPr/>
                  </pic:nvPicPr>
                  <pic:blipFill>
                    <a:blip r:embed="rId51"/>
                    <a:stretch>
                      <a:fillRect/>
                    </a:stretch>
                  </pic:blipFill>
                  <pic:spPr>
                    <a:xfrm rot="0">
                      <a:off x="0" y="0"/>
                      <a:ext cx="4805707" cy="4984205"/>
                    </a:xfrm>
                    <a:prstGeom prst="rect">
                      <a:avLst/>
                    </a:prstGeom>
                  </pic:spPr>
                </pic:pic>
              </a:graphicData>
            </a:graphic>
          </wp:inline>
        </w:drawing>
      </w:r>
    </w:p>
    <w:p>
      <w:pPr>
        <w:spacing w:line="7849" w:lineRule="exact"/>
        <w:sectPr>
          <w:headerReference w:type="default" r:id="rId49"/>
          <w:footerReference w:type="default" r:id="rId50"/>
          <w:pgSz w:w="11900" w:h="16840"/>
          <w:pgMar w:top="642" w:right="0" w:bottom="340" w:left="0" w:header="326" w:footer="111" w:gutter="0"/>
        </w:sectPr>
        <w:rPr/>
      </w:pPr>
    </w:p>
    <w:p>
      <w:pPr>
        <w:spacing w:line="271" w:lineRule="auto"/>
        <w:rPr>
          <w:rFonts w:ascii="Arial"/>
          <w:sz w:val="21"/>
        </w:rPr>
      </w:pPr>
      <w:r/>
    </w:p>
    <w:p>
      <w:pPr>
        <w:spacing w:line="271" w:lineRule="auto"/>
        <w:rPr>
          <w:rFonts w:ascii="Arial"/>
          <w:sz w:val="21"/>
        </w:rPr>
      </w:pPr>
      <w:r/>
    </w:p>
    <w:p>
      <w:pPr>
        <w:ind w:left="1260"/>
        <w:spacing w:before="94" w:line="227" w:lineRule="exact"/>
        <w:outlineLvl w:val="1"/>
        <w:rPr>
          <w:rFonts w:ascii="Microsoft YaHei" w:hAnsi="Microsoft YaHei" w:eastAsia="Microsoft YaHei" w:cs="Microsoft YaHei"/>
          <w:sz w:val="22"/>
          <w:szCs w:val="22"/>
        </w:rPr>
      </w:pPr>
      <w:bookmarkStart w:name="bookmark30" w:id="45"/>
      <w:bookmarkEnd w:id="45"/>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9"/>
        </w:rPr>
        <w:t>截至2024年12月31</w:t>
      </w:r>
      <w:r>
        <w:rPr>
          <w:rFonts w:ascii="FangSong" w:hAnsi="FangSong" w:eastAsia="FangSong" w:cs="FangSong"/>
          <w:sz w:val="23"/>
          <w:szCs w:val="23"/>
          <w:spacing w:val="-39"/>
        </w:rPr>
        <w:t xml:space="preserve"> </w:t>
      </w:r>
      <w:r>
        <w:rPr>
          <w:rFonts w:ascii="FangSong" w:hAnsi="FangSong" w:eastAsia="FangSong" w:cs="FangSong"/>
          <w:sz w:val="23"/>
          <w:szCs w:val="23"/>
          <w:spacing w:val="9"/>
        </w:rPr>
        <w:t>日，兴县孟家坪乡卫生院贺家会分院</w:t>
      </w:r>
      <w:r>
        <w:rPr>
          <w:rFonts w:ascii="FangSong" w:hAnsi="FangSong" w:eastAsia="FangSong" w:cs="FangSong"/>
          <w:sz w:val="23"/>
          <w:szCs w:val="23"/>
          <w:spacing w:val="8"/>
        </w:rPr>
        <w:t>共有公务用车编制0辆，实有0</w:t>
      </w:r>
      <w:r>
        <w:rPr>
          <w:rFonts w:ascii="FangSong" w:hAnsi="FangSong" w:eastAsia="FangSong" w:cs="FangSong"/>
          <w:sz w:val="23"/>
          <w:szCs w:val="23"/>
        </w:rPr>
        <w:t xml:space="preserve"> </w:t>
      </w:r>
      <w:r>
        <w:rPr>
          <w:rFonts w:ascii="FangSong" w:hAnsi="FangSong" w:eastAsia="FangSong" w:cs="FangSong"/>
          <w:sz w:val="23"/>
          <w:szCs w:val="23"/>
          <w:spacing w:val="5"/>
        </w:rPr>
        <w:t>辆，其中：领导用车0辆，机要通信用车0辆，应急保障用车0辆，执法执勤用车0辆，特种专</w:t>
      </w:r>
      <w:r>
        <w:rPr>
          <w:rFonts w:ascii="FangSong" w:hAnsi="FangSong" w:eastAsia="FangSong" w:cs="FangSong"/>
          <w:sz w:val="23"/>
          <w:szCs w:val="23"/>
          <w:spacing w:val="2"/>
        </w:rPr>
        <w:t xml:space="preserve"> </w:t>
      </w:r>
      <w:r>
        <w:rPr>
          <w:rFonts w:ascii="FangSong" w:hAnsi="FangSong" w:eastAsia="FangSong" w:cs="FangSong"/>
          <w:sz w:val="23"/>
          <w:szCs w:val="23"/>
        </w:rPr>
        <w:t>业技术用车0辆，事业单位业务用车0辆，其他公务用车0辆。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269" w:right="1223" w:firstLine="455"/>
        <w:spacing w:before="123" w:line="322" w:lineRule="auto"/>
        <w:rPr>
          <w:rFonts w:ascii="FangSong" w:hAnsi="FangSong" w:eastAsia="FangSong" w:cs="FangSong"/>
          <w:sz w:val="23"/>
          <w:szCs w:val="23"/>
        </w:rPr>
      </w:pPr>
      <w:r>
        <w:rPr>
          <w:rFonts w:ascii="FangSong" w:hAnsi="FangSong" w:eastAsia="FangSong" w:cs="FangSong"/>
          <w:sz w:val="23"/>
          <w:szCs w:val="23"/>
          <w:spacing w:val="2"/>
        </w:rPr>
        <w:t>截至2024年12月31日，兴县孟家坪乡卫生院贺家会分院使用的办公用房建筑总面积360平</w:t>
      </w:r>
      <w:r>
        <w:rPr>
          <w:rFonts w:ascii="FangSong" w:hAnsi="FangSong" w:eastAsia="FangSong" w:cs="FangSong"/>
          <w:sz w:val="23"/>
          <w:szCs w:val="23"/>
          <w:spacing w:val="7"/>
        </w:rPr>
        <w:t xml:space="preserve"> </w:t>
      </w:r>
      <w:r>
        <w:rPr>
          <w:rFonts w:ascii="FangSong" w:hAnsi="FangSong" w:eastAsia="FangSong" w:cs="FangSong"/>
          <w:sz w:val="23"/>
          <w:szCs w:val="23"/>
          <w:spacing w:val="-7"/>
        </w:rPr>
        <w:t>方米。</w:t>
      </w:r>
    </w:p>
    <w:p>
      <w:pPr>
        <w:ind w:left="1722"/>
        <w:spacing w:before="8"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5" w:right="1223" w:firstLine="459"/>
        <w:spacing w:before="124" w:line="321" w:lineRule="auto"/>
        <w:rPr>
          <w:rFonts w:ascii="FangSong" w:hAnsi="FangSong" w:eastAsia="FangSong" w:cs="FangSong"/>
          <w:sz w:val="23"/>
          <w:szCs w:val="23"/>
        </w:rPr>
      </w:pPr>
      <w:r>
        <w:rPr>
          <w:rFonts w:ascii="FangSong" w:hAnsi="FangSong" w:eastAsia="FangSong" w:cs="FangSong"/>
          <w:sz w:val="23"/>
          <w:szCs w:val="23"/>
          <w:spacing w:val="2"/>
        </w:rPr>
        <w:t>截至2024年12月31</w:t>
      </w:r>
      <w:r>
        <w:rPr>
          <w:rFonts w:ascii="FangSong" w:hAnsi="FangSong" w:eastAsia="FangSong" w:cs="FangSong"/>
          <w:sz w:val="23"/>
          <w:szCs w:val="23"/>
          <w:spacing w:val="-41"/>
        </w:rPr>
        <w:t xml:space="preserve"> </w:t>
      </w:r>
      <w:r>
        <w:rPr>
          <w:rFonts w:ascii="FangSong" w:hAnsi="FangSong" w:eastAsia="FangSong" w:cs="FangSong"/>
          <w:sz w:val="23"/>
          <w:szCs w:val="23"/>
          <w:spacing w:val="2"/>
        </w:rPr>
        <w:t>日，兴县孟家坪乡卫生院贺家会分院占有使用价值50万元（原值）</w:t>
      </w:r>
      <w:r>
        <w:rPr>
          <w:rFonts w:ascii="FangSong" w:hAnsi="FangSong" w:eastAsia="FangSong" w:cs="FangSong"/>
          <w:sz w:val="23"/>
          <w:szCs w:val="23"/>
          <w:spacing w:val="-65"/>
        </w:rPr>
        <w:t xml:space="preserve"> </w:t>
      </w:r>
      <w:r>
        <w:rPr>
          <w:rFonts w:ascii="FangSong" w:hAnsi="FangSong" w:eastAsia="FangSong" w:cs="FangSong"/>
          <w:sz w:val="23"/>
          <w:szCs w:val="23"/>
          <w:spacing w:val="2"/>
        </w:rPr>
        <w:t>以</w:t>
      </w:r>
      <w:r>
        <w:rPr>
          <w:rFonts w:ascii="FangSong" w:hAnsi="FangSong" w:eastAsia="FangSong" w:cs="FangSong"/>
          <w:sz w:val="23"/>
          <w:szCs w:val="23"/>
        </w:rPr>
        <w:t xml:space="preserve"> </w:t>
      </w:r>
      <w:r>
        <w:rPr>
          <w:rFonts w:ascii="FangSong" w:hAnsi="FangSong" w:eastAsia="FangSong" w:cs="FangSong"/>
          <w:sz w:val="23"/>
          <w:szCs w:val="23"/>
          <w:spacing w:val="3"/>
        </w:rPr>
        <w:t>上的通用设备0台（套</w:t>
      </w:r>
      <w:r>
        <w:rPr>
          <w:rFonts w:ascii="FangSong" w:hAnsi="FangSong" w:eastAsia="FangSong" w:cs="FangSong"/>
          <w:sz w:val="23"/>
          <w:szCs w:val="23"/>
          <w:spacing w:val="19"/>
        </w:rPr>
        <w:t>）；</w:t>
      </w:r>
      <w:r>
        <w:rPr>
          <w:rFonts w:ascii="FangSong" w:hAnsi="FangSong" w:eastAsia="FangSong" w:cs="FangSong"/>
          <w:sz w:val="23"/>
          <w:szCs w:val="23"/>
          <w:spacing w:val="3"/>
        </w:rPr>
        <w:t>兴县孟家坪乡卫生院贺家会分院占有使用价值100万元（原值）</w:t>
      </w:r>
      <w:r>
        <w:rPr>
          <w:rFonts w:ascii="FangSong" w:hAnsi="FangSong" w:eastAsia="FangSong" w:cs="FangSong"/>
          <w:sz w:val="23"/>
          <w:szCs w:val="23"/>
          <w:spacing w:val="-64"/>
        </w:rPr>
        <w:t xml:space="preserve"> </w:t>
      </w:r>
      <w:r>
        <w:rPr>
          <w:rFonts w:ascii="FangSong" w:hAnsi="FangSong" w:eastAsia="FangSong" w:cs="FangSong"/>
          <w:sz w:val="23"/>
          <w:szCs w:val="23"/>
          <w:spacing w:val="3"/>
        </w:rPr>
        <w:t>以</w:t>
      </w:r>
    </w:p>
    <w:p>
      <w:pPr>
        <w:ind w:left="1265"/>
        <w:spacing w:before="11" w:line="221" w:lineRule="auto"/>
        <w:rPr>
          <w:rFonts w:ascii="FangSong" w:hAnsi="FangSong" w:eastAsia="FangSong" w:cs="FangSong"/>
          <w:sz w:val="23"/>
          <w:szCs w:val="23"/>
        </w:rPr>
      </w:pPr>
      <w:r>
        <w:rPr>
          <w:rFonts w:ascii="FangSong" w:hAnsi="FangSong" w:eastAsia="FangSong" w:cs="FangSong"/>
          <w:sz w:val="23"/>
          <w:szCs w:val="23"/>
          <w:spacing w:val="-1"/>
        </w:rPr>
        <w:t>上的通用设备0台（套）。</w:t>
      </w:r>
    </w:p>
    <w:p>
      <w:pPr>
        <w:ind w:left="1260"/>
        <w:spacing w:before="122" w:line="228" w:lineRule="exact"/>
        <w:outlineLvl w:val="1"/>
        <w:rPr>
          <w:rFonts w:ascii="Microsoft YaHei" w:hAnsi="Microsoft YaHei" w:eastAsia="Microsoft YaHei" w:cs="Microsoft YaHei"/>
          <w:sz w:val="22"/>
          <w:szCs w:val="22"/>
        </w:rPr>
      </w:pPr>
      <w:bookmarkStart w:name="bookmark31" w:id="46"/>
      <w:bookmarkEnd w:id="46"/>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47"/>
      <w:bookmarkEnd w:id="47"/>
      <w:r>
        <w:rPr>
          <w:rFonts w:ascii="FangSong" w:hAnsi="FangSong" w:eastAsia="FangSong" w:cs="FangSong"/>
          <w:sz w:val="23"/>
          <w:szCs w:val="23"/>
          <w:spacing w:val="-1"/>
        </w:rPr>
        <w:t>（一）政府购买服务指导性目录</w:t>
      </w:r>
    </w:p>
    <w:p>
      <w:pPr>
        <w:ind w:left="1727"/>
        <w:spacing w:before="265" w:line="226" w:lineRule="auto"/>
        <w:rPr>
          <w:rFonts w:ascii="FangSong" w:hAnsi="FangSong" w:eastAsia="FangSong" w:cs="FangSong"/>
          <w:sz w:val="23"/>
          <w:szCs w:val="23"/>
        </w:rPr>
      </w:pPr>
      <w:r>
        <w:rPr>
          <w:rFonts w:ascii="FangSong" w:hAnsi="FangSong" w:eastAsia="FangSong" w:cs="FangSong"/>
          <w:sz w:val="23"/>
          <w:szCs w:val="23"/>
        </w:rPr>
        <w:t>无</w:t>
      </w:r>
    </w:p>
    <w:p>
      <w:pPr>
        <w:ind w:left="1725"/>
        <w:spacing w:before="249" w:line="222" w:lineRule="auto"/>
        <w:outlineLvl w:val="2"/>
        <w:rPr>
          <w:rFonts w:ascii="FangSong" w:hAnsi="FangSong" w:eastAsia="FangSong" w:cs="FangSong"/>
          <w:sz w:val="23"/>
          <w:szCs w:val="23"/>
        </w:rPr>
      </w:pPr>
      <w:bookmarkStart w:name="bookmark33" w:id="48"/>
      <w:bookmarkEnd w:id="48"/>
      <w:r>
        <w:rPr>
          <w:rFonts w:ascii="FangSong" w:hAnsi="FangSong" w:eastAsia="FangSong" w:cs="FangSong"/>
          <w:sz w:val="23"/>
          <w:szCs w:val="23"/>
          <w:spacing w:val="-3"/>
        </w:rPr>
        <w:t>（二）其他</w:t>
      </w:r>
    </w:p>
    <w:p>
      <w:pPr>
        <w:ind w:left="1727"/>
        <w:spacing w:before="253"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9"/>
          <w:footerReference w:type="default" r:id="rId52"/>
          <w:pgSz w:w="11900" w:h="16840"/>
          <w:pgMar w:top="642" w:right="0" w:bottom="340" w:left="0" w:header="326" w:footer="111" w:gutter="0"/>
        </w:sectPr>
        <w:rPr>
          <w:rFonts w:ascii="FangSong" w:hAnsi="FangSong" w:eastAsia="FangSong" w:cs="FangSong"/>
          <w:sz w:val="23"/>
          <w:szCs w:val="23"/>
        </w:rPr>
      </w:pPr>
    </w:p>
    <w:p>
      <w:pPr>
        <w:spacing w:line="277" w:lineRule="auto"/>
        <w:rPr>
          <w:rFonts w:ascii="Arial"/>
          <w:sz w:val="21"/>
        </w:rPr>
      </w:pPr>
      <w:r>
        <w:pict>
          <v:shape id="_x0000_s264" style="position:absolute;margin-left:491.92pt;margin-top:44.1055pt;mso-position-vertical-relative:page;mso-position-horizontal-relative:page;width:119.4pt;height:18.85pt;z-index:251681792;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35"/>
        <w:spacing w:line="13461" w:lineRule="exact"/>
        <w:rPr/>
      </w:pPr>
      <w:r>
        <w:pict>
          <v:shape id="_x0000_s266" style="position:absolute;margin-left:86.92pt;margin-top:472.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268" style="position:absolute;margin-left:391.92pt;margin-top:228.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pict>
          <v:shape id="_x0000_s270" style="position:absolute;margin-left:491.92pt;margin-top:472.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_x0000_s272" style="position:absolute;margin-left:-13.08pt;margin-top:228.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76694" cy="8547295"/>
            <wp:effectExtent l="0" t="0" r="0" b="0"/>
            <wp:docPr id="26" name="IM 26"/>
            <wp:cNvGraphicFramePr/>
            <a:graphic>
              <a:graphicData uri="http://schemas.openxmlformats.org/drawingml/2006/picture">
                <pic:pic>
                  <pic:nvPicPr>
                    <pic:cNvPr id="26" name="IM 26"/>
                    <pic:cNvPicPr/>
                  </pic:nvPicPr>
                  <pic:blipFill>
                    <a:blip r:embed="rId55"/>
                    <a:stretch>
                      <a:fillRect/>
                    </a:stretch>
                  </pic:blipFill>
                  <pic:spPr>
                    <a:xfrm rot="0">
                      <a:off x="0" y="0"/>
                      <a:ext cx="5876694" cy="8547295"/>
                    </a:xfrm>
                    <a:prstGeom prst="rect">
                      <a:avLst/>
                    </a:prstGeom>
                  </pic:spPr>
                </pic:pic>
              </a:graphicData>
            </a:graphic>
          </wp:inline>
        </w:drawing>
      </w:r>
    </w:p>
    <w:p>
      <w:pPr>
        <w:spacing w:line="13461" w:lineRule="exact"/>
        <w:sectPr>
          <w:headerReference w:type="default" r:id="rId53"/>
          <w:footerReference w:type="default" r:id="rId54"/>
          <w:pgSz w:w="11900" w:h="16840"/>
          <w:pgMar w:top="642" w:right="0" w:bottom="340" w:left="0" w:header="326" w:footer="111" w:gutter="0"/>
        </w:sectPr>
        <w:rPr/>
      </w:pPr>
    </w:p>
    <w:p>
      <w:pPr>
        <w:spacing w:line="277" w:lineRule="auto"/>
        <w:rPr>
          <w:rFonts w:ascii="Arial"/>
          <w:sz w:val="21"/>
        </w:rPr>
      </w:pPr>
      <w:r>
        <w:pict>
          <v:shape id="_x0000_s274" style="position:absolute;margin-left:491.92pt;margin-top:44.1055pt;mso-position-vertical-relative:page;mso-position-horizontal-relative:page;width:119.4pt;height:18.85pt;z-index:251685888;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78"/>
        <w:spacing w:line="13461" w:lineRule="exact"/>
        <w:rPr/>
      </w:pPr>
      <w:r>
        <w:pict>
          <v:shape id="_x0000_s276" style="position:absolute;margin-left:491.92pt;margin-top:472.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pict>
          <v:shape id="_x0000_s278" style="position:absolute;margin-left:86.92pt;margin-top:472.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280" style="position:absolute;margin-left:-13.08pt;margin-top:228.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282" style="position:absolute;margin-left:391.92pt;margin-top:228.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21771" cy="8547295"/>
            <wp:effectExtent l="0" t="0" r="0" b="0"/>
            <wp:docPr id="28" name="IM 28"/>
            <wp:cNvGraphicFramePr/>
            <a:graphic>
              <a:graphicData uri="http://schemas.openxmlformats.org/drawingml/2006/picture">
                <pic:pic>
                  <pic:nvPicPr>
                    <pic:cNvPr id="28" name="IM 28"/>
                    <pic:cNvPicPr/>
                  </pic:nvPicPr>
                  <pic:blipFill>
                    <a:blip r:embed="rId57"/>
                    <a:stretch>
                      <a:fillRect/>
                    </a:stretch>
                  </pic:blipFill>
                  <pic:spPr>
                    <a:xfrm rot="0">
                      <a:off x="0" y="0"/>
                      <a:ext cx="5821771" cy="8547295"/>
                    </a:xfrm>
                    <a:prstGeom prst="rect">
                      <a:avLst/>
                    </a:prstGeom>
                  </pic:spPr>
                </pic:pic>
              </a:graphicData>
            </a:graphic>
          </wp:inline>
        </w:drawing>
      </w:r>
    </w:p>
    <w:p>
      <w:pPr>
        <w:spacing w:line="13461" w:lineRule="exact"/>
        <w:sectPr>
          <w:footerReference w:type="default" r:id="rId56"/>
          <w:pgSz w:w="11900" w:h="16840"/>
          <w:pgMar w:top="642" w:right="0" w:bottom="340" w:left="0" w:header="326" w:footer="111" w:gutter="0"/>
        </w:sectPr>
        <w:rPr/>
      </w:pPr>
    </w:p>
    <w:p>
      <w:pPr>
        <w:spacing w:line="277" w:lineRule="auto"/>
        <w:rPr>
          <w:rFonts w:ascii="Arial"/>
          <w:sz w:val="21"/>
        </w:rPr>
      </w:pPr>
      <w:r>
        <w:pict>
          <v:shape id="_x0000_s284" style="position:absolute;margin-left:491.92pt;margin-top:44.1055pt;mso-position-vertical-relative:page;mso-position-horizontal-relative:page;width:119.4pt;height:18.85pt;z-index:251688960;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45"/>
        <w:spacing w:line="13461" w:lineRule="exact"/>
        <w:rPr/>
      </w:pPr>
      <w:r>
        <w:pict>
          <v:shape id="_x0000_s286" style="position:absolute;margin-left:86.92pt;margin-top:472.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pict>
          <v:shape id="_x0000_s288" style="position:absolute;margin-left:391.92pt;margin-top:228.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290" style="position:absolute;margin-left:491.92pt;margin-top:472.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292" style="position:absolute;margin-left:-13.08pt;margin-top:228.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30" name="IM 30"/>
            <wp:cNvGraphicFramePr/>
            <a:graphic>
              <a:graphicData uri="http://schemas.openxmlformats.org/drawingml/2006/picture">
                <pic:pic>
                  <pic:nvPicPr>
                    <pic:cNvPr id="30" name="IM 30"/>
                    <pic:cNvPicPr/>
                  </pic:nvPicPr>
                  <pic:blipFill>
                    <a:blip r:embed="rId59"/>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58"/>
          <w:pgSz w:w="11900" w:h="16840"/>
          <w:pgMar w:top="642" w:right="0" w:bottom="340" w:left="0" w:header="326" w:footer="111" w:gutter="0"/>
        </w:sectPr>
        <w:rPr/>
      </w:pPr>
    </w:p>
    <w:p>
      <w:pPr>
        <w:spacing w:line="277" w:lineRule="auto"/>
        <w:rPr>
          <w:rFonts w:ascii="Arial"/>
          <w:sz w:val="21"/>
        </w:rPr>
      </w:pPr>
      <w:r>
        <w:pict>
          <v:shape id="_x0000_s294" style="position:absolute;margin-left:491.92pt;margin-top:44.1055pt;mso-position-vertical-relative:page;mso-position-horizontal-relative:page;width:119.4pt;height:18.85pt;z-index:251694080;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45"/>
        <w:spacing w:line="13461" w:lineRule="exact"/>
        <w:rPr/>
      </w:pPr>
      <w:r>
        <w:pict>
          <v:shape id="_x0000_s296" style="position:absolute;margin-left:-13.08pt;margin-top:228.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298" style="position:absolute;margin-left:86.92pt;margin-top:472.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pict>
          <v:shape id="_x0000_s300" style="position:absolute;margin-left:391.92pt;margin-top:228.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302" style="position:absolute;margin-left:491.92pt;margin-top:472.067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32" name="IM 32"/>
            <wp:cNvGraphicFramePr/>
            <a:graphic>
              <a:graphicData uri="http://schemas.openxmlformats.org/drawingml/2006/picture">
                <pic:pic>
                  <pic:nvPicPr>
                    <pic:cNvPr id="32" name="IM 32"/>
                    <pic:cNvPicPr/>
                  </pic:nvPicPr>
                  <pic:blipFill>
                    <a:blip r:embed="rId61"/>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60"/>
          <w:pgSz w:w="11900" w:h="16840"/>
          <w:pgMar w:top="642" w:right="0" w:bottom="340" w:left="0" w:header="326" w:footer="111" w:gutter="0"/>
        </w:sectPr>
        <w:rPr/>
      </w:pPr>
    </w:p>
    <w:p>
      <w:pPr>
        <w:spacing w:line="277" w:lineRule="auto"/>
        <w:rPr>
          <w:rFonts w:ascii="Arial"/>
          <w:sz w:val="21"/>
        </w:rPr>
      </w:pPr>
      <w:r>
        <w:pict>
          <v:shape id="_x0000_s304" style="position:absolute;margin-left:491.92pt;margin-top:44.1055pt;mso-position-vertical-relative:page;mso-position-horizontal-relative:page;width:119.4pt;height:18.85pt;z-index:251700224;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45"/>
        <w:spacing w:line="13461" w:lineRule="exact"/>
        <w:rPr/>
      </w:pPr>
      <w:r>
        <w:pict>
          <v:shape id="_x0000_s306" style="position:absolute;margin-left:391.92pt;margin-top:228.067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pict>
          <v:shape id="_x0000_s308" style="position:absolute;margin-left:-13.08pt;margin-top:228.067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310" style="position:absolute;margin-left:86.92pt;margin-top:472.067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pict>
          <v:shape id="_x0000_s312" style="position:absolute;margin-left:491.92pt;margin-top:472.067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34" name="IM 34"/>
            <wp:cNvGraphicFramePr/>
            <a:graphic>
              <a:graphicData uri="http://schemas.openxmlformats.org/drawingml/2006/picture">
                <pic:pic>
                  <pic:nvPicPr>
                    <pic:cNvPr id="34" name="IM 34"/>
                    <pic:cNvPicPr/>
                  </pic:nvPicPr>
                  <pic:blipFill>
                    <a:blip r:embed="rId63"/>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62"/>
          <w:pgSz w:w="11900" w:h="16840"/>
          <w:pgMar w:top="642" w:right="0" w:bottom="340" w:left="0" w:header="326" w:footer="111" w:gutter="0"/>
        </w:sectPr>
        <w:rPr/>
      </w:pPr>
    </w:p>
    <w:p>
      <w:pPr>
        <w:spacing w:line="277" w:lineRule="auto"/>
        <w:rPr>
          <w:rFonts w:ascii="Arial"/>
          <w:sz w:val="21"/>
        </w:rPr>
      </w:pPr>
      <w:r>
        <w:pict>
          <v:shape id="_x0000_s314" style="position:absolute;margin-left:491.92pt;margin-top:44.1055pt;mso-position-vertical-relative:page;mso-position-horizontal-relative:page;width:119.4pt;height:18.85pt;z-index:251708416;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67"/>
        <w:spacing w:line="13461" w:lineRule="exact"/>
        <w:rPr/>
      </w:pPr>
      <w:r>
        <w:pict>
          <v:shape id="_x0000_s316" style="position:absolute;margin-left:-13.08pt;margin-top:228.067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pict>
          <v:shape id="_x0000_s318" style="position:absolute;margin-left:86.92pt;margin-top:472.067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320" style="position:absolute;margin-left:491.92pt;margin-top:472.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_x0000_s322" style="position:absolute;margin-left:391.92pt;margin-top:228.067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36" name="IM 36"/>
            <wp:cNvGraphicFramePr/>
            <a:graphic>
              <a:graphicData uri="http://schemas.openxmlformats.org/drawingml/2006/picture">
                <pic:pic>
                  <pic:nvPicPr>
                    <pic:cNvPr id="36" name="IM 36"/>
                    <pic:cNvPicPr/>
                  </pic:nvPicPr>
                  <pic:blipFill>
                    <a:blip r:embed="rId65"/>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64"/>
          <w:pgSz w:w="11900" w:h="16840"/>
          <w:pgMar w:top="642" w:right="0" w:bottom="340" w:left="0" w:header="326" w:footer="111" w:gutter="0"/>
        </w:sectPr>
        <w:rPr/>
      </w:pPr>
    </w:p>
    <w:p>
      <w:pPr>
        <w:spacing w:line="277" w:lineRule="auto"/>
        <w:rPr>
          <w:rFonts w:ascii="Arial"/>
          <w:sz w:val="21"/>
        </w:rPr>
      </w:pPr>
      <w:r>
        <w:pict>
          <v:shape id="_x0000_s324" style="position:absolute;margin-left:491.92pt;margin-top:44.1055pt;mso-position-vertical-relative:page;mso-position-horizontal-relative:page;width:119.4pt;height:18.85pt;z-index:251711488;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89"/>
        <w:spacing w:line="13461" w:lineRule="exact"/>
        <w:rPr/>
      </w:pPr>
      <w:r>
        <w:pict>
          <v:shape id="_x0000_s326" style="position:absolute;margin-left:86.92pt;margin-top:472.067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pict>
          <v:shape id="_x0000_s328" style="position:absolute;margin-left:-13.08pt;margin-top:228.067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330" style="position:absolute;margin-left:391.92pt;margin-top:228.067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pict>
          <v:shape id="_x0000_s332" style="position:absolute;margin-left:491.92pt;margin-top:472.067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08041" cy="8547295"/>
            <wp:effectExtent l="0" t="0" r="0" b="0"/>
            <wp:docPr id="38" name="IM 38"/>
            <wp:cNvGraphicFramePr/>
            <a:graphic>
              <a:graphicData uri="http://schemas.openxmlformats.org/drawingml/2006/picture">
                <pic:pic>
                  <pic:nvPicPr>
                    <pic:cNvPr id="38" name="IM 38"/>
                    <pic:cNvPicPr/>
                  </pic:nvPicPr>
                  <pic:blipFill>
                    <a:blip r:embed="rId67"/>
                    <a:stretch>
                      <a:fillRect/>
                    </a:stretch>
                  </pic:blipFill>
                  <pic:spPr>
                    <a:xfrm rot="0">
                      <a:off x="0" y="0"/>
                      <a:ext cx="5808041" cy="8547295"/>
                    </a:xfrm>
                    <a:prstGeom prst="rect">
                      <a:avLst/>
                    </a:prstGeom>
                  </pic:spPr>
                </pic:pic>
              </a:graphicData>
            </a:graphic>
          </wp:inline>
        </w:drawing>
      </w:r>
    </w:p>
    <w:p>
      <w:pPr>
        <w:spacing w:line="13461" w:lineRule="exact"/>
        <w:sectPr>
          <w:footerReference w:type="default" r:id="rId66"/>
          <w:pgSz w:w="11900" w:h="16840"/>
          <w:pgMar w:top="642" w:right="0" w:bottom="340" w:left="0" w:header="326" w:footer="111" w:gutter="0"/>
        </w:sectPr>
        <w:rPr/>
      </w:pPr>
    </w:p>
    <w:p>
      <w:pPr>
        <w:spacing w:line="277" w:lineRule="auto"/>
        <w:rPr>
          <w:rFonts w:ascii="Arial"/>
          <w:sz w:val="21"/>
        </w:rPr>
      </w:pPr>
      <w:r>
        <w:pict>
          <v:shape id="_x0000_s334" style="position:absolute;margin-left:491.92pt;margin-top:44.1055pt;mso-position-vertical-relative:page;mso-position-horizontal-relative:page;width:119.4pt;height:18.85pt;z-index:251718656;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67"/>
        <w:spacing w:line="13461" w:lineRule="exact"/>
        <w:rPr/>
      </w:pPr>
      <w:r>
        <w:pict>
          <v:shape id="_x0000_s336" style="position:absolute;margin-left:86.92pt;margin-top:472.067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_x0000_s338" style="position:absolute;margin-left:391.92pt;margin-top:228.067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pict>
          <v:shape id="_x0000_s340" style="position:absolute;margin-left:-13.08pt;margin-top:228.067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342" style="position:absolute;margin-left:491.92pt;margin-top:472.067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40" name="IM 40"/>
            <wp:cNvGraphicFramePr/>
            <a:graphic>
              <a:graphicData uri="http://schemas.openxmlformats.org/drawingml/2006/picture">
                <pic:pic>
                  <pic:nvPicPr>
                    <pic:cNvPr id="40" name="IM 40"/>
                    <pic:cNvPicPr/>
                  </pic:nvPicPr>
                  <pic:blipFill>
                    <a:blip r:embed="rId69"/>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68"/>
          <w:pgSz w:w="11900" w:h="16840"/>
          <w:pgMar w:top="642" w:right="0" w:bottom="340" w:left="0" w:header="326" w:footer="111" w:gutter="0"/>
        </w:sectPr>
        <w:rPr/>
      </w:pPr>
    </w:p>
    <w:p>
      <w:pPr>
        <w:spacing w:line="269" w:lineRule="auto"/>
        <w:rPr>
          <w:rFonts w:ascii="Arial"/>
          <w:sz w:val="21"/>
        </w:rPr>
      </w:pPr>
      <w:r/>
    </w:p>
    <w:p>
      <w:pPr>
        <w:spacing w:line="270" w:lineRule="auto"/>
        <w:rPr>
          <w:rFonts w:ascii="Arial"/>
          <w:sz w:val="21"/>
        </w:rPr>
      </w:pPr>
      <w:r/>
    </w:p>
    <w:p>
      <w:pPr>
        <w:ind w:left="4986"/>
        <w:spacing w:before="94" w:line="228" w:lineRule="exact"/>
        <w:outlineLvl w:val="0"/>
        <w:rPr>
          <w:rFonts w:ascii="Microsoft YaHei" w:hAnsi="Microsoft YaHei" w:eastAsia="Microsoft YaHei" w:cs="Microsoft YaHei"/>
          <w:sz w:val="22"/>
          <w:szCs w:val="22"/>
        </w:rPr>
      </w:pPr>
      <w:bookmarkStart w:name="bookmark34" w:id="50"/>
      <w:bookmarkEnd w:id="5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9"/>
      <w:footerReference w:type="default" r:id="rId70"/>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bookmarkStart w:name="bookmark48" w:id="44"/>
    <w:bookmarkEnd w:id="44"/>
    <w:r>
      <w:rPr>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bookmarkStart w:name="bookmark49" w:id="49"/>
    <w:bookmarkEnd w:id="49"/>
    <w:r>
      <w:rPr>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-36-</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56" style="position:absolute;margin-left:86.92pt;margin-top:27.7633pt;mso-position-vertical-relative:text;mso-position-horizontal-relative:text;width:119.4pt;height:18.85pt;z-index:-251571200;rotation:330;" fillcolor="#404040" filled="true" stroked="false" type="#_x0000_t136">
          <v:fill opacity="0.400000"/>
          <v:textpath style="font-family:&quot;SimSun&quot;;font-size:20;v-text-kern:t;mso-text-shadow:auto" string="仅供内部审核"/>
        </v:shape>
      </w:pict>
    </w:r>
    <w:r>
      <w:pict>
        <v:shape id="PowerPlusWaterMarkObject158" style="position:absolute;margin-left:-13.08pt;margin-top:288.105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60" style="position:absolute;margin-left:491.92pt;margin-top:44.105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391.92pt;margin-top:288.105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86.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13.08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491.92pt;margin-top:532.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391.92pt;margin-top:776.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_x0000_s172" style="position:absolute;margin-left:30pt;margin-top:29.5pt;mso-position-vertical-relative:page;mso-position-horizontal-relative:page;width:535pt;height:1pt;z-index:-251573248;" o:allowincell="f" filled="false" strokecolor="#646464" strokeweight="1.00pt" coordsize="10700,20" coordorigin="0,0" path="m0,10l10700,10e">
          <v:stroke joinstyle="miter" miterlimit="10"/>
        </v:shape>
      </w:pict>
    </w:r>
    <w:r>
      <w:rPr>
        <w:sz w:val="16"/>
        <w:szCs w:val="16"/>
        <w:spacing w:val="-1"/>
        <w:position w:val="1"/>
      </w:rPr>
      <w:t>兴县孟家坪乡卫生院贺家会分院2025年单</w:t>
    </w:r>
    <w:r>
      <w:rPr>
        <w:sz w:val="16"/>
        <w:szCs w:val="16"/>
        <w:spacing w:val="-2"/>
        <w:position w:val="1"/>
      </w:rPr>
      <w:t>位预算公开报告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74" style="position:absolute;margin-left:86.92pt;margin-top:27.7633pt;mso-position-vertical-relative:text;mso-position-horizontal-relative:text;width:119.4pt;height:18.85pt;z-index:-251561984;rotation:330;" fillcolor="#404040" filled="true" stroked="false" type="#_x0000_t136">
          <v:fill opacity="0.400000"/>
          <v:textpath style="font-family:&quot;SimSun&quot;;font-size:20;v-text-kern:t;mso-text-shadow:auto" string="仅供内部审核"/>
        </v:shape>
      </w:pict>
    </w:r>
    <w:r>
      <w:pict>
        <v:shape id="PowerPlusWaterMarkObject176" style="position:absolute;margin-left:-13.08pt;margin-top:288.105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491.92pt;margin-top:44.105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391.92pt;margin-top:288.105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86.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13.08pt;margin-top:776.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491.92pt;margin-top:532.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391.92pt;margin-top:776.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_x0000_s190" style="position:absolute;margin-left:30pt;margin-top:29.5pt;mso-position-vertical-relative:page;mso-position-horizontal-relative:page;width:535pt;height:1pt;z-index:-251564032;" o:allowincell="f" filled="false" strokecolor="#646464" strokeweight="1.00pt" coordsize="10700,20" coordorigin="0,0" path="m0,10l10700,10e">
          <v:stroke joinstyle="miter" miterlimit="10"/>
        </v:shape>
      </w:pict>
    </w:r>
    <w:r>
      <w:rPr>
        <w:sz w:val="16"/>
        <w:szCs w:val="16"/>
        <w:spacing w:val="-1"/>
        <w:position w:val="1"/>
      </w:rPr>
      <w:t>兴县孟家坪乡卫生院贺家会分院2025年单</w:t>
    </w:r>
    <w:r>
      <w:rPr>
        <w:sz w:val="16"/>
        <w:szCs w:val="16"/>
        <w:spacing w:val="-2"/>
        <w:position w:val="1"/>
      </w:rPr>
      <w:t>位预算公开报告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92" style="position:absolute;margin-left:86.92pt;margin-top:27.7633pt;mso-position-vertical-relative:text;mso-position-horizontal-relative:text;width:119.4pt;height:18.85pt;z-index:-251554816;rotation:330;" fillcolor="#404040" filled="true" stroked="false" type="#_x0000_t136">
          <v:fill opacity="0.400000"/>
          <v:textpath style="font-family:&quot;SimSun&quot;;font-size:20;v-text-kern:t;mso-text-shadow:auto" string="仅供内部审核"/>
        </v:shape>
      </w:pict>
    </w:r>
    <w:r>
      <w:pict>
        <v:shape id="PowerPlusWaterMarkObject194" style="position:absolute;margin-left:-13.08pt;margin-top:288.105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196" style="position:absolute;margin-left:491.92pt;margin-top:44.1055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13.08pt;margin-top:776.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491.92pt;margin-top:532.106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391.92pt;margin-top:776.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_x0000_s204" style="position:absolute;margin-left:30pt;margin-top:29.5pt;mso-position-vertical-relative:page;mso-position-horizontal-relative:page;width:535pt;height:1pt;z-index:-251556864;" o:allowincell="f" filled="false" strokecolor="#646464" strokeweight="1.00pt" coordsize="10700,20" coordorigin="0,0" path="m0,10l10700,10e">
          <v:stroke joinstyle="miter" miterlimit="10"/>
        </v:shape>
      </w:pict>
    </w:r>
    <w:r>
      <w:rPr>
        <w:sz w:val="16"/>
        <w:szCs w:val="16"/>
        <w:spacing w:val="-1"/>
        <w:position w:val="1"/>
      </w:rPr>
      <w:t>兴县孟家坪乡卫生院贺家会分院2025年单</w:t>
    </w:r>
    <w:r>
      <w:rPr>
        <w:sz w:val="16"/>
        <w:szCs w:val="16"/>
        <w:spacing w:val="-2"/>
        <w:position w:val="1"/>
      </w:rPr>
      <w:t>位预算公开报告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38" style="position:absolute;margin-left:86.92pt;margin-top:27.7633pt;mso-position-vertical-relative:text;mso-position-horizontal-relative:text;width:119.4pt;height:18.85pt;z-index:-251546624;rotation:330;" fillcolor="#404040" filled="true" stroked="false" type="#_x0000_t136">
          <v:fill opacity="0.400000"/>
          <v:textpath style="font-family:&quot;SimSun&quot;;font-size:20;v-text-kern:t;mso-text-shadow:auto" string="仅供内部审核"/>
        </v:shape>
      </w:pict>
    </w:r>
    <w:r>
      <w:pict>
        <v:shape id="PowerPlusWaterMarkObject240" style="position:absolute;margin-left:-13.08pt;margin-top:288.105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42" style="position:absolute;margin-left:491.92pt;margin-top:44.1055pt;mso-position-vertical-relative:page;mso-position-horizontal-relative:page;width:119.4pt;height:18.85pt;z-index:-251547648;rotation:330;" o:allowincell="f" fillcolor="#404040" filled="true" stroked="false" type="#_x0000_t136">
          <v:fill opacity="0.400000"/>
          <v:textpath style="font-family:&quot;SimSun&quot;;font-size:20;v-text-kern:t;mso-text-shadow:auto" string="仅供内部审核"/>
        </v:shape>
      </w:pict>
    </w:r>
    <w:r>
      <w:pict>
        <v:shape id="PowerPlusWaterMarkObject244" style="position:absolute;margin-left:86.92pt;margin-top:532.106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PowerPlusWaterMarkObject246" style="position:absolute;margin-left:-13.08pt;margin-top:776.106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491.92pt;margin-top:532.106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391.92pt;margin-top:776.106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_x0000_s252" style="position:absolute;margin-left:30pt;margin-top:29.5pt;mso-position-vertical-relative:page;mso-position-horizontal-relative:page;width:535pt;height:1pt;z-index:-251548672;" o:allowincell="f" filled="false" strokecolor="#646464" strokeweight="1.00pt" coordsize="10700,20" coordorigin="0,0" path="m0,10l10700,10e">
          <v:stroke joinstyle="miter" miterlimit="10"/>
        </v:shape>
      </w:pict>
    </w:r>
    <w:r>
      <w:rPr>
        <w:sz w:val="16"/>
        <w:szCs w:val="16"/>
        <w:spacing w:val="-1"/>
        <w:position w:val="1"/>
      </w:rPr>
      <w:t>兴县孟家坪乡卫生院贺家会分院2025年单</w:t>
    </w:r>
    <w:r>
      <w:rPr>
        <w:sz w:val="16"/>
        <w:szCs w:val="16"/>
        <w:spacing w:val="-2"/>
        <w:position w:val="1"/>
      </w:rPr>
      <w:t>位预算公开报告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56" style="position:absolute;margin-left:86.92pt;margin-top:27.7633pt;mso-position-vertical-relative:text;mso-position-horizontal-relative:text;width:119.4pt;height:18.85pt;z-index:-251542528;rotation:330;" fillcolor="#404040" filled="true" stroked="false" type="#_x0000_t136">
          <v:fill opacity="0.400000"/>
          <v:textpath style="font-family:&quot;SimSun&quot;;font-size:20;v-text-kern:t;mso-text-shadow:auto" string="仅供内部审核"/>
        </v:shape>
      </w:pict>
    </w:r>
    <w:r>
      <w:pict>
        <v:shape id="PowerPlusWaterMarkObject258" style="position:absolute;margin-left:-13.08pt;margin-top:776.106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60" style="position:absolute;margin-left:391.92pt;margin-top:776.106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_x0000_s262" style="position:absolute;margin-left:30pt;margin-top:29.5pt;mso-position-vertical-relative:page;mso-position-horizontal-relative:page;width:535pt;height:1pt;z-index:-251543552;" o:allowincell="f" filled="false" strokecolor="#646464" strokeweight="1.00pt" coordsize="10700,20" coordorigin="0,0" path="m0,10l10700,10e">
          <v:stroke joinstyle="miter" miterlimit="10"/>
        </v:shape>
      </w:pict>
    </w:r>
    <w:r>
      <w:rPr>
        <w:sz w:val="16"/>
        <w:szCs w:val="16"/>
        <w:spacing w:val="-1"/>
        <w:position w:val="1"/>
      </w:rPr>
      <w:t>兴县孟家坪乡卫生院贺家会分院2025年单</w:t>
    </w:r>
    <w:r>
      <w:rPr>
        <w:sz w:val="16"/>
        <w:szCs w:val="16"/>
        <w:spacing w:val="-2"/>
        <w:position w:val="1"/>
      </w:rPr>
      <w:t>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34" style="position:absolute;margin-left:491.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86.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sz w:val="16"/>
        <w:szCs w:val="16"/>
        <w:spacing w:val="-1"/>
        <w:position w:val="1"/>
      </w:rPr>
      <w:t>兴县孟家坪乡卫生院贺家会分院2025年单</w:t>
    </w:r>
    <w:r>
      <w:rPr>
        <w:sz w:val="16"/>
        <w:szCs w:val="16"/>
        <w:spacing w:val="-2"/>
        <w:position w:val="1"/>
      </w:rPr>
      <w:t>位预算公开报告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sz w:val="16"/>
        <w:szCs w:val="16"/>
        <w:spacing w:val="-1"/>
        <w:position w:val="1"/>
      </w:rPr>
      <w:t>兴县孟家坪乡卫生院贺家会分院2025年单</w:t>
    </w:r>
    <w:r>
      <w:rPr>
        <w:sz w:val="16"/>
        <w:szCs w:val="16"/>
        <w:spacing w:val="-2"/>
        <w:position w:val="1"/>
      </w:rPr>
      <w:t>位预算公开报告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86" style="position:absolute;margin-left:86.92pt;margin-top:27.7633pt;mso-position-vertical-relative:text;mso-position-horizontal-relative:text;width:119.4pt;height:18.85pt;z-index:-251607040;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sz w:val="16"/>
        <w:szCs w:val="16"/>
        <w:spacing w:val="-1"/>
        <w:position w:val="1"/>
      </w:rPr>
      <w:t>兴县孟家坪乡卫生院贺家会分院2025年单</w:t>
    </w:r>
    <w:r>
      <w:rPr>
        <w:sz w:val="16"/>
        <w:szCs w:val="16"/>
        <w:spacing w:val="-2"/>
        <w:position w:val="1"/>
      </w:rPr>
      <w:t>位预算公开报告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04" style="position:absolute;margin-left:-13.08pt;margin-top:28.7633pt;mso-position-vertical-relative:text;mso-position-horizontal-relative:text;width:119.4pt;height:18.85pt;z-index:-251598848;rotation:330;" fillcolor="#404040" filled="true" stroked="false" type="#_x0000_t136">
          <v:fill opacity="0.400000"/>
          <v:textpath style="font-family:&quot;SimSun&quot;;font-size:20;v-text-kern:t;mso-text-shadow:auto" string="仅供内部审核"/>
        </v:shape>
      </w:pict>
    </w:r>
    <w:r>
      <w:pict>
        <v:shape id="PowerPlusWaterMarkObject106" style="position:absolute;margin-left:312.92pt;margin-top:45.105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86.92pt;margin-top:287.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638.92pt;margin-top:45.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45.0434pt;margin-top:406.395pt;mso-position-vertical-relative:page;mso-position-horizontal-relative:page;width:609.35pt;height:22.25pt;z-index:-25160499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4" style="position:absolute;margin-left:280.957pt;margin-top:406.395pt;mso-position-vertical-relative:page;mso-position-horizontal-relative:page;width:609.35pt;height:22.25pt;z-index:-2516039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6" style="position:absolute;margin-left:638.92pt;margin-top:529.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18"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rPr>
        <w:sz w:val="16"/>
        <w:szCs w:val="16"/>
        <w:spacing w:val="-1"/>
        <w:position w:val="1"/>
      </w:rPr>
      <w:t>兴县孟家坪乡卫生院贺家会分院2025年单</w:t>
    </w:r>
    <w:r>
      <w:rPr>
        <w:sz w:val="16"/>
        <w:szCs w:val="16"/>
        <w:spacing w:val="-2"/>
        <w:position w:val="1"/>
      </w:rPr>
      <w:t>位预算公开报告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20" style="position:absolute;margin-left:86.92pt;margin-top:27.7633pt;mso-position-vertical-relative:text;mso-position-horizontal-relative:text;width:119.4pt;height:18.85pt;z-index:-251589632;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13.08pt;margin-top:288.10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491.92pt;margin-top:44.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391.92pt;margin-top:288.105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86.92pt;margin-top:532.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13.08pt;margin-top:776.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491.92pt;margin-top:532.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391.92pt;margin-top:776.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_x0000_s136" style="position:absolute;margin-left:30pt;margin-top:29.5pt;mso-position-vertical-relative:page;mso-position-horizontal-relative:page;width:535pt;height:1pt;z-index:-251591680;" o:allowincell="f" filled="false" strokecolor="#646464" strokeweight="1.00pt" coordsize="10700,20" coordorigin="0,0" path="m0,10l10700,10e">
          <v:stroke joinstyle="miter" miterlimit="10"/>
        </v:shape>
      </w:pict>
    </w:r>
    <w:r>
      <w:rPr>
        <w:sz w:val="16"/>
        <w:szCs w:val="16"/>
        <w:spacing w:val="-1"/>
        <w:position w:val="1"/>
      </w:rPr>
      <w:t>兴县孟家坪乡卫生院贺家会分院2025年单</w:t>
    </w:r>
    <w:r>
      <w:rPr>
        <w:sz w:val="16"/>
        <w:szCs w:val="16"/>
        <w:spacing w:val="-2"/>
        <w:position w:val="1"/>
      </w:rPr>
      <w:t>位预算公开报告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38" style="position:absolute;margin-left:86.92pt;margin-top:27.7633pt;mso-position-vertical-relative:text;mso-position-horizontal-relative:text;width:119.4pt;height:18.85pt;z-index:-251580416;rotation:330;" fillcolor="#404040" filled="true" stroked="false" type="#_x0000_t136">
          <v:fill opacity="0.400000"/>
          <v:textpath style="font-family:&quot;SimSun&quot;;font-size:20;v-text-kern:t;mso-text-shadow:auto" string="仅供内部审核"/>
        </v:shape>
      </w:pict>
    </w:r>
    <w:r>
      <w:pict>
        <v:shape id="PowerPlusWaterMarkObject140" style="position:absolute;margin-left:-13.08pt;margin-top:288.105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42" style="position:absolute;margin-left:491.92pt;margin-top:44.105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391.92pt;margin-top:288.105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86.92pt;margin-top:532.106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13.08pt;margin-top:776.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491.92pt;margin-top:532.106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391.92pt;margin-top:776.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_x0000_s154" style="position:absolute;margin-left:30pt;margin-top:29.5pt;mso-position-vertical-relative:page;mso-position-horizontal-relative:page;width:535pt;height:1pt;z-index:-251582464;" o:allowincell="f" filled="false" strokecolor="#646464" strokeweight="1.00pt" coordsize="10700,20" coordorigin="0,0" path="m0,10l10700,10e">
          <v:stroke joinstyle="miter" miterlimit="10"/>
        </v:shape>
      </w:pict>
    </w:r>
    <w:r>
      <w:rPr>
        <w:sz w:val="16"/>
        <w:szCs w:val="16"/>
        <w:spacing w:val="-1"/>
        <w:position w:val="1"/>
      </w:rPr>
      <w:t>兴县孟家坪乡卫生院贺家会分院2025年单</w:t>
    </w:r>
    <w:r>
      <w:rPr>
        <w:sz w:val="16"/>
        <w:szCs w:val="16"/>
        <w:spacing w:val="-2"/>
        <w:position w:val="1"/>
      </w:rPr>
      <w:t>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2.xml"/><Relationship Id="rId73" Type="http://schemas.openxmlformats.org/officeDocument/2006/relationships/fontTable" Target="fontTable.xml"/><Relationship Id="rId72" Type="http://schemas.openxmlformats.org/officeDocument/2006/relationships/styles" Target="styles.xml"/><Relationship Id="rId71" Type="http://schemas.openxmlformats.org/officeDocument/2006/relationships/settings" Target="settings.xml"/><Relationship Id="rId70" Type="http://schemas.openxmlformats.org/officeDocument/2006/relationships/footer" Target="footer36.xml"/><Relationship Id="rId7" Type="http://schemas.openxmlformats.org/officeDocument/2006/relationships/header" Target="header5.xml"/><Relationship Id="rId69" Type="http://schemas.openxmlformats.org/officeDocument/2006/relationships/image" Target="media/image20.png"/><Relationship Id="rId68" Type="http://schemas.openxmlformats.org/officeDocument/2006/relationships/footer" Target="footer35.xml"/><Relationship Id="rId67" Type="http://schemas.openxmlformats.org/officeDocument/2006/relationships/image" Target="media/image19.png"/><Relationship Id="rId66" Type="http://schemas.openxmlformats.org/officeDocument/2006/relationships/footer" Target="footer34.xml"/><Relationship Id="rId65" Type="http://schemas.openxmlformats.org/officeDocument/2006/relationships/image" Target="media/image18.png"/><Relationship Id="rId64" Type="http://schemas.openxmlformats.org/officeDocument/2006/relationships/footer" Target="footer33.xml"/><Relationship Id="rId63" Type="http://schemas.openxmlformats.org/officeDocument/2006/relationships/image" Target="media/image17.png"/><Relationship Id="rId62" Type="http://schemas.openxmlformats.org/officeDocument/2006/relationships/footer" Target="footer32.xml"/><Relationship Id="rId61" Type="http://schemas.openxmlformats.org/officeDocument/2006/relationships/image" Target="media/image16.png"/><Relationship Id="rId60" Type="http://schemas.openxmlformats.org/officeDocument/2006/relationships/footer" Target="footer31.xml"/><Relationship Id="rId6" Type="http://schemas.openxmlformats.org/officeDocument/2006/relationships/footer" Target="footer1.xml"/><Relationship Id="rId59" Type="http://schemas.openxmlformats.org/officeDocument/2006/relationships/image" Target="media/image15.png"/><Relationship Id="rId58" Type="http://schemas.openxmlformats.org/officeDocument/2006/relationships/footer" Target="footer30.xml"/><Relationship Id="rId57" Type="http://schemas.openxmlformats.org/officeDocument/2006/relationships/image" Target="media/image14.png"/><Relationship Id="rId56" Type="http://schemas.openxmlformats.org/officeDocument/2006/relationships/footer" Target="footer29.xml"/><Relationship Id="rId55" Type="http://schemas.openxmlformats.org/officeDocument/2006/relationships/image" Target="media/image13.png"/><Relationship Id="rId54" Type="http://schemas.openxmlformats.org/officeDocument/2006/relationships/footer" Target="footer28.xml"/><Relationship Id="rId53" Type="http://schemas.openxmlformats.org/officeDocument/2006/relationships/header" Target="header14.xml"/><Relationship Id="rId52" Type="http://schemas.openxmlformats.org/officeDocument/2006/relationships/footer" Target="footer27.xml"/><Relationship Id="rId51" Type="http://schemas.openxmlformats.org/officeDocument/2006/relationships/image" Target="media/image12.png"/><Relationship Id="rId50" Type="http://schemas.openxmlformats.org/officeDocument/2006/relationships/footer" Target="footer26.xml"/><Relationship Id="rId5" Type="http://schemas.openxmlformats.org/officeDocument/2006/relationships/header" Target="header4.xml"/><Relationship Id="rId49" Type="http://schemas.openxmlformats.org/officeDocument/2006/relationships/header" Target="header13.xml"/><Relationship Id="rId48" Type="http://schemas.openxmlformats.org/officeDocument/2006/relationships/image" Target="media/image11.png"/><Relationship Id="rId47" Type="http://schemas.openxmlformats.org/officeDocument/2006/relationships/footer" Target="footer25.xml"/><Relationship Id="rId46" Type="http://schemas.openxmlformats.org/officeDocument/2006/relationships/image" Target="media/image10.png"/><Relationship Id="rId45" Type="http://schemas.openxmlformats.org/officeDocument/2006/relationships/footer" Target="footer24.xml"/><Relationship Id="rId44" Type="http://schemas.openxmlformats.org/officeDocument/2006/relationships/image" Target="media/image9.png"/><Relationship Id="rId43" Type="http://schemas.openxmlformats.org/officeDocument/2006/relationships/footer" Target="footer23.xml"/><Relationship Id="rId42" Type="http://schemas.openxmlformats.org/officeDocument/2006/relationships/image" Target="media/image8.png"/><Relationship Id="rId41" Type="http://schemas.openxmlformats.org/officeDocument/2006/relationships/footer" Target="footer22.xml"/><Relationship Id="rId40" Type="http://schemas.openxmlformats.org/officeDocument/2006/relationships/image" Target="media/image7.png"/><Relationship Id="rId4" Type="http://schemas.openxmlformats.org/officeDocument/2006/relationships/header" Target="header3.xml"/><Relationship Id="rId39" Type="http://schemas.openxmlformats.org/officeDocument/2006/relationships/footer" Target="footer21.xml"/><Relationship Id="rId38" Type="http://schemas.openxmlformats.org/officeDocument/2006/relationships/image" Target="media/image6.png"/><Relationship Id="rId37" Type="http://schemas.openxmlformats.org/officeDocument/2006/relationships/footer" Target="footer20.xml"/><Relationship Id="rId36" Type="http://schemas.openxmlformats.org/officeDocument/2006/relationships/image" Target="media/image5.png"/><Relationship Id="rId35" Type="http://schemas.openxmlformats.org/officeDocument/2006/relationships/footer" Target="footer19.xml"/><Relationship Id="rId34" Type="http://schemas.openxmlformats.org/officeDocument/2006/relationships/image" Target="media/image4.png"/><Relationship Id="rId33" Type="http://schemas.openxmlformats.org/officeDocument/2006/relationships/footer" Target="footer18.xml"/><Relationship Id="rId32" Type="http://schemas.openxmlformats.org/officeDocument/2006/relationships/header" Target="header12.xml"/><Relationship Id="rId31" Type="http://schemas.openxmlformats.org/officeDocument/2006/relationships/image" Target="media/image3.png"/><Relationship Id="rId30" Type="http://schemas.openxmlformats.org/officeDocument/2006/relationships/footer" Target="footer17.xml"/><Relationship Id="rId3" Type="http://schemas.openxmlformats.org/officeDocument/2006/relationships/image" Target="media/image1.png"/><Relationship Id="rId29" Type="http://schemas.openxmlformats.org/officeDocument/2006/relationships/header" Target="header11.xml"/><Relationship Id="rId28" Type="http://schemas.openxmlformats.org/officeDocument/2006/relationships/image" Target="media/image2.png"/><Relationship Id="rId27" Type="http://schemas.openxmlformats.org/officeDocument/2006/relationships/footer" Target="footer16.xml"/><Relationship Id="rId26" Type="http://schemas.openxmlformats.org/officeDocument/2006/relationships/header" Target="header10.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header" Target="header2.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9.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8.xml"/><Relationship Id="rId12" Type="http://schemas.openxmlformats.org/officeDocument/2006/relationships/footer" Target="footer4.xml"/><Relationship Id="rId11" Type="http://schemas.openxmlformats.org/officeDocument/2006/relationships/header" Target="header7.xml"/><Relationship Id="rId10" Type="http://schemas.openxmlformats.org/officeDocument/2006/relationships/footer" Target="footer3.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2025-09-25T18:26:05Z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2025-09-25T20:20:06</vt:filetime>
  </property>
</Properties>
</file>