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2463"/>
        <w:spacing w:before="139" w:line="219" w:lineRule="auto"/>
        <w:rPr/>
      </w:pPr>
      <w:r>
        <w:rPr>
          <w:spacing w:val="1"/>
        </w:rPr>
        <w:t>兴</w:t>
      </w:r>
      <w:r>
        <w:rPr>
          <w:spacing w:val="-98"/>
        </w:rPr>
        <w:t xml:space="preserve"> </w:t>
      </w:r>
      <w:r>
        <w:rPr>
          <w:spacing w:val="1"/>
        </w:rPr>
        <w:t>县</w:t>
      </w:r>
      <w:r>
        <w:rPr>
          <w:spacing w:val="-102"/>
        </w:rPr>
        <w:t xml:space="preserve"> </w:t>
      </w:r>
      <w:r>
        <w:rPr>
          <w:spacing w:val="1"/>
        </w:rPr>
        <w:t>孟</w:t>
      </w:r>
      <w:r>
        <w:rPr>
          <w:spacing w:val="-97"/>
        </w:rPr>
        <w:t xml:space="preserve"> </w:t>
      </w:r>
      <w:r>
        <w:rPr>
          <w:spacing w:val="1"/>
        </w:rPr>
        <w:t>家</w:t>
      </w:r>
      <w:r>
        <w:rPr>
          <w:spacing w:val="-110"/>
        </w:rPr>
        <w:t xml:space="preserve"> </w:t>
      </w:r>
      <w:r>
        <w:rPr>
          <w:spacing w:val="1"/>
        </w:rPr>
        <w:t>坪</w:t>
      </w:r>
      <w:r>
        <w:rPr>
          <w:spacing w:val="-95"/>
        </w:rPr>
        <w:t xml:space="preserve"> </w:t>
      </w:r>
      <w:r>
        <w:rPr>
          <w:spacing w:val="1"/>
        </w:rPr>
        <w:t>乡卫</w:t>
      </w:r>
      <w:r>
        <w:rPr>
          <w:spacing w:val="-75"/>
        </w:rPr>
        <w:t xml:space="preserve"> </w:t>
      </w:r>
      <w:r>
        <w:rPr>
          <w:spacing w:val="1"/>
        </w:rPr>
        <w:t>生</w:t>
      </w:r>
      <w:r>
        <w:rPr>
          <w:spacing w:val="-76"/>
        </w:rPr>
        <w:t xml:space="preserve"> </w:t>
      </w:r>
      <w:r>
        <w:rPr>
          <w:spacing w:val="1"/>
        </w:rPr>
        <w:t>院</w:t>
      </w:r>
      <w:r>
        <w:rPr>
          <w:spacing w:val="-103"/>
        </w:rPr>
        <w:t xml:space="preserve"> </w:t>
      </w:r>
      <w:r>
        <w:rPr>
          <w:spacing w:val="1"/>
        </w:rPr>
        <w:t>小</w:t>
      </w:r>
      <w:r>
        <w:rPr>
          <w:spacing w:val="-101"/>
        </w:rPr>
        <w:t xml:space="preserve"> </w:t>
      </w:r>
      <w:r>
        <w:rPr>
          <w:spacing w:val="1"/>
        </w:rPr>
        <w:t>善</w:t>
      </w:r>
      <w:r>
        <w:rPr>
          <w:spacing w:val="-99"/>
        </w:rPr>
        <w:t xml:space="preserve"> </w:t>
      </w:r>
      <w:r>
        <w:rPr>
          <w:spacing w:val="1"/>
        </w:rPr>
        <w:t>分</w:t>
      </w:r>
      <w:r>
        <w:rPr>
          <w:spacing w:val="-76"/>
        </w:rPr>
        <w:t xml:space="preserve"> </w:t>
      </w:r>
      <w:r>
        <w:rPr>
          <w:spacing w:val="1"/>
        </w:rPr>
        <w:t>院</w:t>
      </w:r>
    </w:p>
    <w:p>
      <w:pPr>
        <w:spacing w:line="376" w:lineRule="auto"/>
        <w:rPr>
          <w:rFonts w:ascii="Arial"/>
          <w:sz w:val="21"/>
        </w:rPr>
      </w:pPr>
      <w:r/>
    </w:p>
    <w:p>
      <w:pPr>
        <w:pStyle w:val="BodyText"/>
        <w:ind w:left="3079"/>
        <w:spacing w:before="140"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24</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33</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1474" w:firstLine="6"/>
        <w:spacing w:before="281" w:line="308" w:lineRule="auto"/>
        <w:jc w:val="both"/>
        <w:rPr>
          <w:rFonts w:ascii="FangSong" w:hAnsi="FangSong" w:eastAsia="FangSong" w:cs="FangSong"/>
          <w:sz w:val="24"/>
          <w:szCs w:val="24"/>
        </w:rPr>
      </w:pPr>
      <w:r>
        <w:rPr>
          <w:rFonts w:ascii="FangSong" w:hAnsi="FangSong" w:eastAsia="FangSong" w:cs="FangSong"/>
          <w:sz w:val="24"/>
          <w:szCs w:val="24"/>
          <w:spacing w:val="13"/>
        </w:rPr>
        <w:t>1</w:t>
      </w:r>
      <w:r>
        <w:rPr>
          <w:rFonts w:ascii="FangSong" w:hAnsi="FangSong" w:eastAsia="FangSong" w:cs="FangSong"/>
          <w:sz w:val="24"/>
          <w:szCs w:val="24"/>
          <w:spacing w:val="-59"/>
        </w:rPr>
        <w:t xml:space="preserve"> </w:t>
      </w:r>
      <w:r>
        <w:rPr>
          <w:rFonts w:ascii="FangSong" w:hAnsi="FangSong" w:eastAsia="FangSong" w:cs="FangSong"/>
          <w:sz w:val="24"/>
          <w:szCs w:val="24"/>
          <w:spacing w:val="13"/>
        </w:rPr>
        <w:t>、提供基本医疗服务</w:t>
      </w:r>
      <w:r>
        <w:rPr>
          <w:rFonts w:ascii="FangSong" w:hAnsi="FangSong" w:eastAsia="FangSong" w:cs="FangSong"/>
          <w:sz w:val="24"/>
          <w:szCs w:val="24"/>
          <w:spacing w:val="-61"/>
        </w:rPr>
        <w:t xml:space="preserve"> </w:t>
      </w:r>
      <w:r>
        <w:rPr>
          <w:rFonts w:ascii="FangSong" w:hAnsi="FangSong" w:eastAsia="FangSong" w:cs="FangSong"/>
          <w:sz w:val="24"/>
          <w:szCs w:val="24"/>
          <w:spacing w:val="13"/>
        </w:rPr>
        <w:t>，</w:t>
      </w:r>
      <w:r>
        <w:rPr>
          <w:rFonts w:ascii="FangSong" w:hAnsi="FangSong" w:eastAsia="FangSong" w:cs="FangSong"/>
          <w:sz w:val="24"/>
          <w:szCs w:val="24"/>
          <w:spacing w:val="-52"/>
        </w:rPr>
        <w:t xml:space="preserve"> </w:t>
      </w:r>
      <w:r>
        <w:rPr>
          <w:rFonts w:ascii="FangSong" w:hAnsi="FangSong" w:eastAsia="FangSong" w:cs="FangSong"/>
          <w:sz w:val="24"/>
          <w:szCs w:val="24"/>
          <w:spacing w:val="13"/>
        </w:rPr>
        <w:t>以常见病</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3"/>
        </w:rPr>
        <w:t xml:space="preserve"> </w:t>
      </w:r>
      <w:r>
        <w:rPr>
          <w:rFonts w:ascii="FangSong" w:hAnsi="FangSong" w:eastAsia="FangSong" w:cs="FangSong"/>
          <w:sz w:val="24"/>
          <w:szCs w:val="24"/>
          <w:spacing w:val="13"/>
        </w:rPr>
        <w:t>多发病的诊疗</w:t>
      </w:r>
      <w:r>
        <w:rPr>
          <w:rFonts w:ascii="FangSong" w:hAnsi="FangSong" w:eastAsia="FangSong" w:cs="FangSong"/>
          <w:sz w:val="24"/>
          <w:szCs w:val="24"/>
          <w:spacing w:val="-59"/>
        </w:rPr>
        <w:t xml:space="preserve"> </w:t>
      </w:r>
      <w:r>
        <w:rPr>
          <w:rFonts w:ascii="FangSong" w:hAnsi="FangSong" w:eastAsia="FangSong" w:cs="FangSong"/>
          <w:sz w:val="24"/>
          <w:szCs w:val="24"/>
          <w:spacing w:val="13"/>
        </w:rPr>
        <w:t>、</w:t>
      </w:r>
      <w:r>
        <w:rPr>
          <w:rFonts w:ascii="FangSong" w:hAnsi="FangSong" w:eastAsia="FangSong" w:cs="FangSong"/>
          <w:sz w:val="24"/>
          <w:szCs w:val="24"/>
          <w:spacing w:val="12"/>
        </w:rPr>
        <w:t>护理</w:t>
      </w:r>
      <w:r>
        <w:rPr>
          <w:rFonts w:ascii="FangSong" w:hAnsi="FangSong" w:eastAsia="FangSong" w:cs="FangSong"/>
          <w:sz w:val="24"/>
          <w:szCs w:val="24"/>
          <w:spacing w:val="-60"/>
        </w:rPr>
        <w:t xml:space="preserve"> </w:t>
      </w:r>
      <w:r>
        <w:rPr>
          <w:rFonts w:ascii="FangSong" w:hAnsi="FangSong" w:eastAsia="FangSong" w:cs="FangSong"/>
          <w:sz w:val="24"/>
          <w:szCs w:val="24"/>
          <w:spacing w:val="12"/>
        </w:rPr>
        <w:t>、康复等综合服务为</w:t>
      </w:r>
      <w:r>
        <w:rPr>
          <w:rFonts w:ascii="FangSong" w:hAnsi="FangSong" w:eastAsia="FangSong" w:cs="FangSong"/>
          <w:sz w:val="24"/>
          <w:szCs w:val="24"/>
        </w:rPr>
        <w:t xml:space="preserve"> </w:t>
      </w:r>
      <w:r>
        <w:rPr>
          <w:rFonts w:ascii="FangSong" w:hAnsi="FangSong" w:eastAsia="FangSong" w:cs="FangSong"/>
          <w:sz w:val="24"/>
          <w:szCs w:val="24"/>
          <w:spacing w:val="1"/>
        </w:rPr>
        <w:t>主。</w:t>
      </w:r>
      <w:r>
        <w:rPr>
          <w:rFonts w:ascii="FangSong" w:hAnsi="FangSong" w:eastAsia="FangSong" w:cs="FangSong"/>
          <w:sz w:val="24"/>
          <w:szCs w:val="24"/>
          <w:spacing w:val="1"/>
        </w:rPr>
        <w:t xml:space="preserve"> </w:t>
      </w:r>
      <w:r>
        <w:rPr>
          <w:rFonts w:ascii="FangSong" w:hAnsi="FangSong" w:eastAsia="FangSong" w:cs="FangSong"/>
          <w:sz w:val="24"/>
          <w:szCs w:val="24"/>
          <w:spacing w:val="1"/>
        </w:rPr>
        <w:t>2、提供基本公共卫生服务，承担辖区内的公共</w:t>
      </w:r>
      <w:r>
        <w:rPr>
          <w:rFonts w:ascii="FangSong" w:hAnsi="FangSong" w:eastAsia="FangSong" w:cs="FangSong"/>
          <w:sz w:val="24"/>
          <w:szCs w:val="24"/>
        </w:rPr>
        <w:t>卫生管理工作，负责对村卫生室</w:t>
      </w:r>
      <w:r>
        <w:rPr>
          <w:rFonts w:ascii="FangSong" w:hAnsi="FangSong" w:eastAsia="FangSong" w:cs="FangSong"/>
          <w:sz w:val="24"/>
          <w:szCs w:val="24"/>
        </w:rPr>
        <w:t xml:space="preserve"> </w:t>
      </w:r>
      <w:r>
        <w:rPr>
          <w:rFonts w:ascii="FangSong" w:hAnsi="FangSong" w:eastAsia="FangSong" w:cs="FangSong"/>
          <w:sz w:val="24"/>
          <w:szCs w:val="24"/>
          <w:spacing w:val="4"/>
        </w:rPr>
        <w:t>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r>
        <w:rPr>
          <w:rFonts w:ascii="FangSong" w:hAnsi="FangSong" w:eastAsia="FangSong" w:cs="FangSong"/>
          <w:sz w:val="24"/>
          <w:szCs w:val="24"/>
          <w:spacing w:val="4"/>
        </w:rPr>
        <w:t xml:space="preserve"> </w:t>
      </w:r>
      <w:r>
        <w:rPr>
          <w:rFonts w:ascii="FangSong" w:hAnsi="FangSong" w:eastAsia="FangSong" w:cs="FangSong"/>
          <w:sz w:val="24"/>
          <w:szCs w:val="24"/>
          <w:spacing w:val="4"/>
        </w:rPr>
        <w:t>3、实施国家基本药物</w:t>
      </w:r>
      <w:r>
        <w:rPr>
          <w:rFonts w:ascii="FangSong" w:hAnsi="FangSong" w:eastAsia="FangSong" w:cs="FangSong"/>
          <w:sz w:val="24"/>
          <w:szCs w:val="24"/>
          <w:spacing w:val="3"/>
        </w:rPr>
        <w:t>制度和新型农村合</w:t>
      </w:r>
      <w:r>
        <w:rPr>
          <w:rFonts w:ascii="FangSong" w:hAnsi="FangSong" w:eastAsia="FangSong" w:cs="FangSong"/>
          <w:sz w:val="24"/>
          <w:szCs w:val="24"/>
        </w:rPr>
        <w:t xml:space="preserve"> </w:t>
      </w:r>
      <w:r>
        <w:rPr>
          <w:rFonts w:ascii="FangSong" w:hAnsi="FangSong" w:eastAsia="FangSong" w:cs="FangSong"/>
          <w:sz w:val="24"/>
          <w:szCs w:val="24"/>
          <w:spacing w:val="-3"/>
        </w:rPr>
        <w:t>作医疗制度，推行分级诊疗和乡村一体化管理。</w:t>
      </w:r>
    </w:p>
    <w:p>
      <w:pPr>
        <w:ind w:left="1513"/>
        <w:spacing w:before="18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2" w:right="1474" w:hanging="3"/>
        <w:spacing w:before="117" w:line="301" w:lineRule="auto"/>
        <w:rPr>
          <w:rFonts w:ascii="FangSong" w:hAnsi="FangSong" w:eastAsia="FangSong" w:cs="FangSong"/>
          <w:sz w:val="24"/>
          <w:szCs w:val="24"/>
        </w:rPr>
      </w:pPr>
      <w:r>
        <w:rPr>
          <w:rFonts w:ascii="FangSong" w:hAnsi="FangSong" w:eastAsia="FangSong" w:cs="FangSong"/>
          <w:sz w:val="24"/>
          <w:szCs w:val="24"/>
          <w:spacing w:val="2"/>
        </w:rPr>
        <w:t>人员构成：设院长1名，工作人员5名。</w:t>
      </w:r>
      <w:r>
        <w:rPr>
          <w:rFonts w:ascii="FangSong" w:hAnsi="FangSong" w:eastAsia="FangSong" w:cs="FangSong"/>
          <w:sz w:val="24"/>
          <w:szCs w:val="24"/>
          <w:spacing w:val="70"/>
        </w:rPr>
        <w:t xml:space="preserve"> </w:t>
      </w:r>
      <w:r>
        <w:rPr>
          <w:rFonts w:ascii="FangSong" w:hAnsi="FangSong" w:eastAsia="FangSong" w:cs="FangSong"/>
          <w:sz w:val="24"/>
          <w:szCs w:val="24"/>
          <w:spacing w:val="2"/>
        </w:rPr>
        <w:t>内设科室：办公室、门诊、住院、药房、收</w:t>
      </w:r>
      <w:r>
        <w:rPr>
          <w:rFonts w:ascii="FangSong" w:hAnsi="FangSong" w:eastAsia="FangSong" w:cs="FangSong"/>
          <w:sz w:val="24"/>
          <w:szCs w:val="24"/>
        </w:rPr>
        <w:t xml:space="preserve"> </w:t>
      </w:r>
      <w:r>
        <w:rPr>
          <w:rFonts w:ascii="FangSong" w:hAnsi="FangSong" w:eastAsia="FangSong" w:cs="FangSong"/>
          <w:sz w:val="24"/>
          <w:szCs w:val="24"/>
          <w:spacing w:val="-2"/>
        </w:rPr>
        <w:t>费室、财务室、农合办等</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79"/>
        <w:gridCol w:w="1078"/>
        <w:gridCol w:w="2246"/>
        <w:gridCol w:w="1108"/>
        <w:gridCol w:w="1078"/>
        <w:gridCol w:w="861"/>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503"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单位名称：兴县孟家坪乡卫生院小善分院</w:t>
            </w:r>
          </w:p>
        </w:tc>
        <w:tc>
          <w:tcPr>
            <w:tcW w:w="3047" w:type="dxa"/>
            <w:vAlign w:val="top"/>
            <w:gridSpan w:val="3"/>
            <w:tcBorders>
              <w:top w:val="single" w:color="FFFFFF" w:sz="6" w:space="0"/>
              <w:left w:val="single" w:color="FFFFFF" w:sz="2" w:space="0"/>
              <w:right w:val="single" w:color="FFFFFF" w:sz="2" w:space="0"/>
            </w:tcBorders>
          </w:tcPr>
          <w:p>
            <w:pPr>
              <w:ind w:left="2115"/>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57" w:type="dxa"/>
            <w:vAlign w:val="top"/>
            <w:gridSpan w:val="2"/>
          </w:tcPr>
          <w:p>
            <w:pPr>
              <w:ind w:left="143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293" w:type="dxa"/>
            <w:vAlign w:val="top"/>
            <w:gridSpan w:val="4"/>
          </w:tcPr>
          <w:p>
            <w:pPr>
              <w:ind w:left="244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79" w:type="dxa"/>
            <w:vAlign w:val="top"/>
          </w:tcPr>
          <w:p>
            <w:pPr>
              <w:ind w:left="88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78" w:type="dxa"/>
            <w:vAlign w:val="top"/>
          </w:tcPr>
          <w:p>
            <w:pPr>
              <w:ind w:left="251"/>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246" w:type="dxa"/>
            <w:vAlign w:val="top"/>
          </w:tcPr>
          <w:p>
            <w:pPr>
              <w:ind w:left="92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tcPr>
          <w:p>
            <w:pPr>
              <w:ind w:left="93"/>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078" w:type="dxa"/>
            <w:vAlign w:val="top"/>
          </w:tcPr>
          <w:p>
            <w:pPr>
              <w:ind w:left="81"/>
              <w:spacing w:before="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当年预算安</w:t>
            </w:r>
          </w:p>
          <w:p>
            <w:pPr>
              <w:ind w:left="430"/>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c>
          <w:tcPr>
            <w:tcW w:w="861" w:type="dxa"/>
            <w:vAlign w:val="top"/>
          </w:tcPr>
          <w:p>
            <w:pPr>
              <w:ind w:left="52"/>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35"/>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7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78" w:type="dxa"/>
            <w:vAlign w:val="top"/>
          </w:tcPr>
          <w:p>
            <w:pPr>
              <w:ind w:right="3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80.02</w:t>
            </w:r>
          </w:p>
        </w:tc>
        <w:tc>
          <w:tcPr>
            <w:tcW w:w="2246" w:type="dxa"/>
            <w:vAlign w:val="top"/>
          </w:tcPr>
          <w:p>
            <w:pPr>
              <w:ind w:left="5"/>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078" w:type="dxa"/>
            <w:vAlign w:val="top"/>
          </w:tcPr>
          <w:p>
            <w:pPr>
              <w:pStyle w:val="TableText"/>
              <w:rPr/>
            </w:pPr>
            <w:r/>
          </w:p>
        </w:tc>
        <w:tc>
          <w:tcPr>
            <w:tcW w:w="2246" w:type="dxa"/>
            <w:vAlign w:val="top"/>
          </w:tcPr>
          <w:p>
            <w:pPr>
              <w:ind w:left="6"/>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78" w:type="dxa"/>
            <w:vAlign w:val="top"/>
          </w:tcPr>
          <w:p>
            <w:pPr>
              <w:pStyle w:val="TableText"/>
              <w:rPr/>
            </w:pPr>
            <w:r/>
          </w:p>
        </w:tc>
        <w:tc>
          <w:tcPr>
            <w:tcW w:w="2246"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078" w:type="dxa"/>
            <w:vAlign w:val="top"/>
          </w:tcPr>
          <w:p>
            <w:pPr>
              <w:pStyle w:val="TableText"/>
              <w:rPr/>
            </w:pPr>
            <w:r/>
          </w:p>
        </w:tc>
        <w:tc>
          <w:tcPr>
            <w:tcW w:w="2246" w:type="dxa"/>
            <w:vAlign w:val="top"/>
          </w:tcPr>
          <w:p>
            <w:pPr>
              <w:ind w:left="20"/>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078" w:type="dxa"/>
            <w:vAlign w:val="top"/>
          </w:tcPr>
          <w:p>
            <w:pPr>
              <w:pStyle w:val="TableText"/>
              <w:rPr/>
            </w:pPr>
            <w:r/>
          </w:p>
        </w:tc>
        <w:tc>
          <w:tcPr>
            <w:tcW w:w="2246" w:type="dxa"/>
            <w:vAlign w:val="top"/>
          </w:tcPr>
          <w:p>
            <w:pPr>
              <w:ind w:left="6"/>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3"/>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18" w:right="74" w:hanging="15"/>
              <w:spacing w:before="74" w:line="219" w:lineRule="auto"/>
              <w:rPr>
                <w:rFonts w:ascii="SimSun" w:hAnsi="SimSun" w:eastAsia="SimSun" w:cs="SimSun"/>
                <w:sz w:val="18"/>
                <w:szCs w:val="18"/>
              </w:rPr>
            </w:pPr>
            <w:r>
              <w:rPr>
                <w:rFonts w:ascii="SimSun" w:hAnsi="SimSun" w:eastAsia="SimSun" w:cs="SimSun"/>
                <w:sz w:val="18"/>
                <w:szCs w:val="18"/>
                <w:color w:val="212529"/>
                <w:spacing w:val="-1"/>
              </w:rPr>
              <w:t>七、文化旅游体育与传媒支</w:t>
            </w:r>
            <w:r>
              <w:rPr>
                <w:rFonts w:ascii="SimSun" w:hAnsi="SimSun" w:eastAsia="SimSun" w:cs="SimSun"/>
                <w:sz w:val="18"/>
                <w:szCs w:val="18"/>
                <w:color w:val="212529"/>
                <w:spacing w:val="3"/>
              </w:rPr>
              <w:t xml:space="preserve"> </w:t>
            </w:r>
            <w:r>
              <w:rPr>
                <w:rFonts w:ascii="SimSun" w:hAnsi="SimSun" w:eastAsia="SimSun" w:cs="SimSun"/>
                <w:sz w:val="18"/>
                <w:szCs w:val="18"/>
                <w:color w:val="212529"/>
              </w:rPr>
              <w:t>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08" w:type="dxa"/>
            <w:vAlign w:val="top"/>
          </w:tcPr>
          <w:p>
            <w:pPr>
              <w:ind w:right="2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6.02</w:t>
            </w:r>
          </w:p>
        </w:tc>
        <w:tc>
          <w:tcPr>
            <w:tcW w:w="1078" w:type="dxa"/>
            <w:vAlign w:val="top"/>
          </w:tcPr>
          <w:p>
            <w:pPr>
              <w:ind w:right="22"/>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6.02</w:t>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08" w:type="dxa"/>
            <w:vAlign w:val="top"/>
          </w:tcPr>
          <w:p>
            <w:pPr>
              <w:ind w:right="29"/>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68.51</w:t>
            </w:r>
          </w:p>
        </w:tc>
        <w:tc>
          <w:tcPr>
            <w:tcW w:w="1078" w:type="dxa"/>
            <w:vAlign w:val="top"/>
          </w:tcPr>
          <w:p>
            <w:pPr>
              <w:ind w:right="23"/>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68.51</w:t>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5"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5"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5"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5"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right="74"/>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十五、资源勘探工业信息等</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2"/>
              </w:rPr>
              <w:t>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5"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5"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5"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5"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right="74"/>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十九、自然资源海洋气象等</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2"/>
              </w:rPr>
              <w:t>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5"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08" w:type="dxa"/>
            <w:vAlign w:val="top"/>
          </w:tcPr>
          <w:p>
            <w:pPr>
              <w:ind w:right="2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5.49</w:t>
            </w:r>
          </w:p>
        </w:tc>
        <w:tc>
          <w:tcPr>
            <w:tcW w:w="1078" w:type="dxa"/>
            <w:vAlign w:val="top"/>
          </w:tcPr>
          <w:p>
            <w:pPr>
              <w:ind w:right="22"/>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5.49</w:t>
            </w:r>
          </w:p>
        </w:tc>
        <w:tc>
          <w:tcPr>
            <w:tcW w:w="861" w:type="dxa"/>
            <w:vAlign w:val="top"/>
          </w:tcPr>
          <w:p>
            <w:pPr>
              <w:pStyle w:val="TableText"/>
              <w:rPr/>
            </w:pPr>
            <w:r/>
          </w:p>
        </w:tc>
      </w:tr>
      <w:tr>
        <w:trPr>
          <w:trHeight w:val="532"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83" w:line="218" w:lineRule="auto"/>
              <w:rPr>
                <w:rFonts w:ascii="SimSun" w:hAnsi="SimSun" w:eastAsia="SimSun" w:cs="SimSun"/>
                <w:sz w:val="18"/>
                <w:szCs w:val="18"/>
              </w:rPr>
            </w:pPr>
            <w:r>
              <w:rPr>
                <w:rFonts w:ascii="SimSun" w:hAnsi="SimSun" w:eastAsia="SimSun" w:cs="SimSun"/>
                <w:sz w:val="18"/>
                <w:szCs w:val="18"/>
                <w:color w:val="212529"/>
                <w:spacing w:val="-3"/>
              </w:rPr>
              <w:t>二十一、粮油物资储备支出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79"/>
        <w:gridCol w:w="1078"/>
        <w:gridCol w:w="2246"/>
        <w:gridCol w:w="1108"/>
        <w:gridCol w:w="1078"/>
        <w:gridCol w:w="861"/>
      </w:tblGrid>
      <w:tr>
        <w:trPr>
          <w:trHeight w:val="531"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right="74"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二十二、国有资本经营预算</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3"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5" w:right="74"/>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二十三、灾害防治及应急管</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理支出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61"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3" w:right="74" w:hanging="1"/>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三十、抗疫特别国债安排的</w:t>
            </w:r>
            <w:r>
              <w:rPr>
                <w:rFonts w:ascii="SimSun" w:hAnsi="SimSun" w:eastAsia="SimSun" w:cs="SimSun"/>
                <w:sz w:val="18"/>
                <w:szCs w:val="18"/>
                <w:color w:val="212529"/>
                <w:spacing w:val="4"/>
              </w:rPr>
              <w:t xml:space="preserve"> </w:t>
            </w:r>
            <w:r>
              <w:rPr>
                <w:rFonts w:ascii="SimSun" w:hAnsi="SimSun" w:eastAsia="SimSun" w:cs="SimSun"/>
                <w:sz w:val="18"/>
                <w:szCs w:val="18"/>
                <w:color w:val="212529"/>
                <w:spacing w:val="-2"/>
              </w:rPr>
              <w:t>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pStyle w:val="TableText"/>
              <w:rPr/>
            </w:pPr>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078" w:type="dxa"/>
            <w:vAlign w:val="top"/>
          </w:tcPr>
          <w:p>
            <w:pPr>
              <w:pStyle w:val="TableText"/>
              <w:ind w:left="587"/>
              <w:spacing w:before="186" w:line="183" w:lineRule="auto"/>
              <w:rPr>
                <w:sz w:val="15"/>
                <w:szCs w:val="15"/>
              </w:rPr>
            </w:pPr>
            <w:r>
              <w:rPr>
                <w:sz w:val="15"/>
                <w:szCs w:val="15"/>
                <w:color w:val="212529"/>
                <w:spacing w:val="3"/>
              </w:rPr>
              <w:t>80.</w:t>
            </w:r>
            <w:r>
              <w:rPr>
                <w:sz w:val="15"/>
                <w:szCs w:val="15"/>
                <w:color w:val="212529"/>
                <w:spacing w:val="3"/>
              </w:rPr>
              <w:t xml:space="preserve"> </w:t>
            </w:r>
            <w:r>
              <w:rPr>
                <w:sz w:val="15"/>
                <w:szCs w:val="15"/>
                <w:color w:val="212529"/>
                <w:spacing w:val="3"/>
              </w:rPr>
              <w:t>02</w:t>
            </w:r>
          </w:p>
        </w:tc>
        <w:tc>
          <w:tcPr>
            <w:tcW w:w="2246" w:type="dxa"/>
            <w:vAlign w:val="top"/>
          </w:tcPr>
          <w:p>
            <w:pPr>
              <w:ind w:left="3"/>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tcPr>
          <w:p>
            <w:pPr>
              <w:pStyle w:val="TableText"/>
              <w:ind w:left="619"/>
              <w:spacing w:before="186" w:line="183" w:lineRule="auto"/>
              <w:rPr>
                <w:sz w:val="15"/>
                <w:szCs w:val="15"/>
              </w:rPr>
            </w:pPr>
            <w:r>
              <w:rPr>
                <w:sz w:val="15"/>
                <w:szCs w:val="15"/>
                <w:color w:val="212529"/>
                <w:spacing w:val="2"/>
              </w:rPr>
              <w:t>80.</w:t>
            </w:r>
            <w:r>
              <w:rPr>
                <w:sz w:val="15"/>
                <w:szCs w:val="15"/>
                <w:color w:val="212529"/>
                <w:spacing w:val="11"/>
              </w:rPr>
              <w:t xml:space="preserve"> </w:t>
            </w:r>
            <w:r>
              <w:rPr>
                <w:sz w:val="15"/>
                <w:szCs w:val="15"/>
                <w:color w:val="212529"/>
                <w:spacing w:val="2"/>
              </w:rPr>
              <w:t>02</w:t>
            </w:r>
          </w:p>
        </w:tc>
        <w:tc>
          <w:tcPr>
            <w:tcW w:w="1078" w:type="dxa"/>
            <w:vAlign w:val="top"/>
          </w:tcPr>
          <w:p>
            <w:pPr>
              <w:pStyle w:val="TableText"/>
              <w:ind w:left="596"/>
              <w:spacing w:before="186" w:line="183" w:lineRule="auto"/>
              <w:rPr>
                <w:sz w:val="15"/>
                <w:szCs w:val="15"/>
              </w:rPr>
            </w:pPr>
            <w:r>
              <w:rPr>
                <w:sz w:val="15"/>
                <w:szCs w:val="15"/>
                <w:color w:val="212529"/>
                <w:spacing w:val="2"/>
              </w:rPr>
              <w:t>80.</w:t>
            </w:r>
            <w:r>
              <w:rPr>
                <w:sz w:val="15"/>
                <w:szCs w:val="15"/>
                <w:color w:val="212529"/>
                <w:spacing w:val="11"/>
              </w:rPr>
              <w:t xml:space="preserve"> </w:t>
            </w:r>
            <w:r>
              <w:rPr>
                <w:sz w:val="15"/>
                <w:szCs w:val="15"/>
                <w:color w:val="212529"/>
                <w:spacing w:val="2"/>
              </w:rPr>
              <w:t>02</w:t>
            </w:r>
          </w:p>
        </w:tc>
        <w:tc>
          <w:tcPr>
            <w:tcW w:w="861" w:type="dxa"/>
            <w:vAlign w:val="top"/>
          </w:tcPr>
          <w:p>
            <w:pPr>
              <w:pStyle w:val="TableText"/>
              <w:rPr/>
            </w:pPr>
            <w:r/>
          </w:p>
        </w:tc>
      </w:tr>
      <w:tr>
        <w:trPr>
          <w:trHeight w:val="524" w:hRule="atLeast"/>
        </w:trPr>
        <w:tc>
          <w:tcPr>
            <w:tcW w:w="217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078" w:type="dxa"/>
            <w:vAlign w:val="top"/>
          </w:tcPr>
          <w:p>
            <w:pPr>
              <w:pStyle w:val="TableText"/>
              <w:rPr/>
            </w:pPr>
            <w:r/>
          </w:p>
        </w:tc>
        <w:tc>
          <w:tcPr>
            <w:tcW w:w="2246" w:type="dxa"/>
            <w:vAlign w:val="top"/>
          </w:tcPr>
          <w:p>
            <w:pPr>
              <w:ind w:left="192"/>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31" w:hRule="atLeast"/>
        </w:trPr>
        <w:tc>
          <w:tcPr>
            <w:tcW w:w="217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078" w:type="dxa"/>
            <w:vAlign w:val="top"/>
          </w:tcPr>
          <w:p>
            <w:pPr>
              <w:pStyle w:val="TableText"/>
              <w:ind w:left="587"/>
              <w:spacing w:before="188" w:line="183" w:lineRule="auto"/>
              <w:rPr>
                <w:sz w:val="15"/>
                <w:szCs w:val="15"/>
              </w:rPr>
            </w:pPr>
            <w:r>
              <w:rPr>
                <w:sz w:val="15"/>
                <w:szCs w:val="15"/>
                <w:color w:val="212529"/>
                <w:spacing w:val="3"/>
              </w:rPr>
              <w:t>80.</w:t>
            </w:r>
            <w:r>
              <w:rPr>
                <w:sz w:val="15"/>
                <w:szCs w:val="15"/>
                <w:color w:val="212529"/>
                <w:spacing w:val="3"/>
              </w:rPr>
              <w:t xml:space="preserve"> </w:t>
            </w:r>
            <w:r>
              <w:rPr>
                <w:sz w:val="15"/>
                <w:szCs w:val="15"/>
                <w:color w:val="212529"/>
                <w:spacing w:val="3"/>
              </w:rPr>
              <w:t>02</w:t>
            </w:r>
          </w:p>
        </w:tc>
        <w:tc>
          <w:tcPr>
            <w:tcW w:w="2246" w:type="dxa"/>
            <w:vAlign w:val="top"/>
          </w:tcPr>
          <w:p>
            <w:pPr>
              <w:ind w:left="2"/>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08" w:type="dxa"/>
            <w:vAlign w:val="top"/>
          </w:tcPr>
          <w:p>
            <w:pPr>
              <w:pStyle w:val="TableText"/>
              <w:ind w:left="619"/>
              <w:spacing w:before="188" w:line="183" w:lineRule="auto"/>
              <w:rPr>
                <w:sz w:val="15"/>
                <w:szCs w:val="15"/>
              </w:rPr>
            </w:pPr>
            <w:r>
              <w:rPr>
                <w:sz w:val="15"/>
                <w:szCs w:val="15"/>
                <w:color w:val="212529"/>
                <w:spacing w:val="2"/>
              </w:rPr>
              <w:t>80.</w:t>
            </w:r>
            <w:r>
              <w:rPr>
                <w:sz w:val="15"/>
                <w:szCs w:val="15"/>
                <w:color w:val="212529"/>
                <w:spacing w:val="11"/>
              </w:rPr>
              <w:t xml:space="preserve"> </w:t>
            </w:r>
            <w:r>
              <w:rPr>
                <w:sz w:val="15"/>
                <w:szCs w:val="15"/>
                <w:color w:val="212529"/>
                <w:spacing w:val="2"/>
              </w:rPr>
              <w:t>02</w:t>
            </w:r>
          </w:p>
        </w:tc>
        <w:tc>
          <w:tcPr>
            <w:tcW w:w="1078" w:type="dxa"/>
            <w:vAlign w:val="top"/>
          </w:tcPr>
          <w:p>
            <w:pPr>
              <w:pStyle w:val="TableText"/>
              <w:ind w:left="596"/>
              <w:spacing w:before="188" w:line="183" w:lineRule="auto"/>
              <w:rPr>
                <w:sz w:val="15"/>
                <w:szCs w:val="15"/>
              </w:rPr>
            </w:pPr>
            <w:r>
              <w:rPr>
                <w:sz w:val="15"/>
                <w:szCs w:val="15"/>
                <w:color w:val="212529"/>
                <w:spacing w:val="2"/>
              </w:rPr>
              <w:t>80.</w:t>
            </w:r>
            <w:r>
              <w:rPr>
                <w:sz w:val="15"/>
                <w:szCs w:val="15"/>
                <w:color w:val="212529"/>
                <w:spacing w:val="11"/>
              </w:rPr>
              <w:t xml:space="preserve"> </w:t>
            </w:r>
            <w:r>
              <w:rPr>
                <w:sz w:val="15"/>
                <w:szCs w:val="15"/>
                <w:color w:val="212529"/>
                <w:spacing w:val="2"/>
              </w:rPr>
              <w:t>02</w:t>
            </w:r>
          </w:p>
        </w:tc>
        <w:tc>
          <w:tcPr>
            <w:tcW w:w="861" w:type="dxa"/>
            <w:vAlign w:val="top"/>
          </w:tcPr>
          <w:p>
            <w:pPr>
              <w:pStyle w:val="TableText"/>
              <w:rPr/>
            </w:pPr>
            <w:r/>
          </w:p>
        </w:tc>
      </w:tr>
    </w:tbl>
    <w:p>
      <w:pPr>
        <w:rPr>
          <w:rFonts w:ascii="Arial"/>
          <w:sz w:val="21"/>
        </w:rPr>
      </w:pPr>
      <w:r/>
    </w:p>
    <w:p>
      <w:pPr>
        <w:sectPr>
          <w:headerReference w:type="default" r:id="rId9"/>
          <w:footerReference w:type="default" r:id="rId10"/>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单位名称：兴县孟家坪乡卫生院小善分院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954"/>
              <w:spacing w:before="149" w:line="183" w:lineRule="auto"/>
              <w:rPr>
                <w:sz w:val="15"/>
                <w:szCs w:val="15"/>
              </w:rPr>
            </w:pPr>
            <w:r>
              <w:rPr>
                <w:sz w:val="15"/>
                <w:szCs w:val="15"/>
                <w:color w:val="212529"/>
                <w:spacing w:val="2"/>
              </w:rPr>
              <w:t>80.</w:t>
            </w:r>
            <w:r>
              <w:rPr>
                <w:sz w:val="15"/>
                <w:szCs w:val="15"/>
                <w:color w:val="212529"/>
                <w:spacing w:val="11"/>
              </w:rPr>
              <w:t xml:space="preserve"> </w:t>
            </w:r>
            <w:r>
              <w:rPr>
                <w:sz w:val="15"/>
                <w:szCs w:val="15"/>
                <w:color w:val="212529"/>
                <w:spacing w:val="2"/>
              </w:rPr>
              <w:t>02</w:t>
            </w:r>
          </w:p>
        </w:tc>
        <w:tc>
          <w:tcPr>
            <w:tcW w:w="1274" w:type="dxa"/>
            <w:vAlign w:val="top"/>
          </w:tcPr>
          <w:p>
            <w:pPr>
              <w:pStyle w:val="TableText"/>
              <w:ind w:left="791"/>
              <w:spacing w:before="149" w:line="183" w:lineRule="auto"/>
              <w:rPr>
                <w:sz w:val="15"/>
                <w:szCs w:val="15"/>
              </w:rPr>
            </w:pPr>
            <w:r>
              <w:rPr>
                <w:sz w:val="15"/>
                <w:szCs w:val="15"/>
                <w:color w:val="212529"/>
                <w:spacing w:val="3"/>
              </w:rPr>
              <w:t>80.</w:t>
            </w:r>
            <w:r>
              <w:rPr>
                <w:sz w:val="15"/>
                <w:szCs w:val="15"/>
                <w:color w:val="212529"/>
                <w:spacing w:val="3"/>
              </w:rPr>
              <w:t xml:space="preserve"> </w:t>
            </w:r>
            <w:r>
              <w:rPr>
                <w:sz w:val="15"/>
                <w:szCs w:val="15"/>
                <w:color w:val="212529"/>
                <w:spacing w:val="3"/>
              </w:rPr>
              <w:t>02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6.02</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6.02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6.02</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6.02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6.02</w:t>
            </w:r>
          </w:p>
        </w:tc>
        <w:tc>
          <w:tcPr>
            <w:tcW w:w="1274"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6.02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68.51</w:t>
            </w:r>
          </w:p>
        </w:tc>
        <w:tc>
          <w:tcPr>
            <w:tcW w:w="1274"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68.51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2"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66.04</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66.04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57.65</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57.65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8.39</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8.39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2.47</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2.47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2.47</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2.47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8"/>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5.49</w:t>
            </w:r>
          </w:p>
        </w:tc>
        <w:tc>
          <w:tcPr>
            <w:tcW w:w="1274"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5.49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5.49</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5.49</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9"/>
        <w:gridCol w:w="3413"/>
        <w:gridCol w:w="1382"/>
        <w:gridCol w:w="1328"/>
        <w:gridCol w:w="1226"/>
      </w:tblGrid>
      <w:tr>
        <w:trPr>
          <w:trHeight w:val="319" w:hRule="atLeast"/>
        </w:trPr>
        <w:tc>
          <w:tcPr>
            <w:tcW w:w="180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41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6" w:type="dxa"/>
            <w:vAlign w:val="top"/>
            <w:tcBorders>
              <w:bottom w:val="single" w:color="FFFFFF" w:sz="4" w:space="0"/>
              <w:top w:val="single" w:color="FFFFFF" w:sz="4" w:space="0"/>
              <w:left w:val="single" w:color="FFFFFF" w:sz="2" w:space="0"/>
              <w:right w:val="single" w:color="FFFFFF" w:sz="2" w:space="0"/>
            </w:tcBorders>
          </w:tcPr>
          <w:p>
            <w:pPr>
              <w:ind w:left="487"/>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604"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1328" w:type="dxa"/>
            <w:vAlign w:val="top"/>
            <w:tcBorders>
              <w:top w:val="single" w:color="FFFFFF" w:sz="4" w:space="0"/>
              <w:left w:val="single" w:color="FFFFFF" w:sz="2" w:space="0"/>
              <w:right w:val="single" w:color="FFFFFF" w:sz="2" w:space="0"/>
            </w:tcBorders>
          </w:tcPr>
          <w:p>
            <w:pPr>
              <w:pStyle w:val="TableText"/>
              <w:rPr/>
            </w:pPr>
            <w:r/>
          </w:p>
        </w:tc>
        <w:tc>
          <w:tcPr>
            <w:tcW w:w="1226" w:type="dxa"/>
            <w:vAlign w:val="top"/>
            <w:tcBorders>
              <w:top w:val="single" w:color="FFFFFF" w:sz="4" w:space="0"/>
              <w:left w:val="single" w:color="FFFFFF" w:sz="2" w:space="0"/>
              <w:right w:val="single" w:color="FFFFFF" w:sz="2" w:space="0"/>
            </w:tcBorders>
          </w:tcPr>
          <w:p>
            <w:pPr>
              <w:ind w:left="553"/>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222" w:type="dxa"/>
            <w:vAlign w:val="top"/>
            <w:gridSpan w:val="2"/>
          </w:tcPr>
          <w:p>
            <w:pPr>
              <w:ind w:left="2438"/>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936" w:type="dxa"/>
            <w:vAlign w:val="top"/>
            <w:gridSpan w:val="3"/>
          </w:tcPr>
          <w:p>
            <w:pPr>
              <w:ind w:left="147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809" w:type="dxa"/>
            <w:vAlign w:val="top"/>
          </w:tcPr>
          <w:p>
            <w:pPr>
              <w:ind w:left="56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413" w:type="dxa"/>
            <w:vAlign w:val="top"/>
          </w:tcPr>
          <w:p>
            <w:pPr>
              <w:ind w:left="136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82" w:type="dxa"/>
            <w:vAlign w:val="top"/>
          </w:tcPr>
          <w:p>
            <w:pPr>
              <w:ind w:left="522"/>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327"/>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26" w:type="dxa"/>
            <w:vAlign w:val="top"/>
          </w:tcPr>
          <w:p>
            <w:pPr>
              <w:ind w:left="278"/>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222" w:type="dxa"/>
            <w:vAlign w:val="top"/>
            <w:gridSpan w:val="2"/>
          </w:tcPr>
          <w:p>
            <w:pPr>
              <w:ind w:left="2441"/>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pStyle w:val="TableText"/>
              <w:ind w:left="954"/>
              <w:spacing w:before="99"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02</w:t>
            </w:r>
          </w:p>
        </w:tc>
        <w:tc>
          <w:tcPr>
            <w:tcW w:w="1328" w:type="dxa"/>
            <w:vAlign w:val="top"/>
          </w:tcPr>
          <w:p>
            <w:pPr>
              <w:pStyle w:val="TableText"/>
              <w:ind w:left="902"/>
              <w:spacing w:before="99" w:line="186" w:lineRule="auto"/>
              <w:rPr>
                <w:sz w:val="13"/>
                <w:szCs w:val="13"/>
              </w:rPr>
            </w:pPr>
            <w:r>
              <w:rPr>
                <w:sz w:val="13"/>
                <w:szCs w:val="13"/>
                <w:color w:val="212529"/>
                <w:spacing w:val="4"/>
              </w:rPr>
              <w:t>71.</w:t>
            </w:r>
            <w:r>
              <w:rPr>
                <w:sz w:val="13"/>
                <w:szCs w:val="13"/>
                <w:color w:val="212529"/>
                <w:spacing w:val="9"/>
              </w:rPr>
              <w:t xml:space="preserve"> </w:t>
            </w:r>
            <w:r>
              <w:rPr>
                <w:sz w:val="13"/>
                <w:szCs w:val="13"/>
                <w:color w:val="212529"/>
                <w:spacing w:val="4"/>
              </w:rPr>
              <w:t>63</w:t>
            </w:r>
          </w:p>
        </w:tc>
        <w:tc>
          <w:tcPr>
            <w:tcW w:w="1226" w:type="dxa"/>
            <w:vAlign w:val="top"/>
          </w:tcPr>
          <w:p>
            <w:pPr>
              <w:pStyle w:val="TableText"/>
              <w:ind w:left="876"/>
              <w:spacing w:before="99" w:line="186" w:lineRule="auto"/>
              <w:rPr>
                <w:sz w:val="13"/>
                <w:szCs w:val="13"/>
              </w:rPr>
            </w:pPr>
            <w:r>
              <w:rPr>
                <w:sz w:val="13"/>
                <w:szCs w:val="13"/>
                <w:color w:val="212529"/>
                <w:spacing w:val="3"/>
              </w:rPr>
              <w:t>8.</w:t>
            </w:r>
            <w:r>
              <w:rPr>
                <w:sz w:val="13"/>
                <w:szCs w:val="13"/>
                <w:color w:val="212529"/>
                <w:spacing w:val="11"/>
                <w:w w:val="101"/>
              </w:rPr>
              <w:t xml:space="preserve"> </w:t>
            </w:r>
            <w:r>
              <w:rPr>
                <w:sz w:val="13"/>
                <w:szCs w:val="13"/>
                <w:color w:val="212529"/>
                <w:spacing w:val="3"/>
              </w:rPr>
              <w:t>39</w:t>
            </w:r>
          </w:p>
        </w:tc>
      </w:tr>
      <w:tr>
        <w:trPr>
          <w:trHeight w:val="314" w:hRule="atLeast"/>
        </w:trPr>
        <w:tc>
          <w:tcPr>
            <w:tcW w:w="180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413"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82" w:type="dxa"/>
            <w:vAlign w:val="top"/>
          </w:tcPr>
          <w:p>
            <w:pPr>
              <w:ind w:right="21"/>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328" w:type="dxa"/>
            <w:vAlign w:val="top"/>
          </w:tcPr>
          <w:p>
            <w:pPr>
              <w:pStyle w:val="TableText"/>
              <w:ind w:left="981"/>
              <w:spacing w:before="99" w:line="186" w:lineRule="auto"/>
              <w:rPr>
                <w:sz w:val="13"/>
                <w:szCs w:val="13"/>
              </w:rPr>
            </w:pPr>
            <w:r>
              <w:rPr>
                <w:sz w:val="13"/>
                <w:szCs w:val="13"/>
                <w:color w:val="212529"/>
                <w:spacing w:val="3"/>
              </w:rPr>
              <w:t>6.</w:t>
            </w:r>
            <w:r>
              <w:rPr>
                <w:sz w:val="13"/>
                <w:szCs w:val="13"/>
                <w:color w:val="212529"/>
                <w:spacing w:val="10"/>
              </w:rPr>
              <w:t xml:space="preserve"> </w:t>
            </w:r>
            <w:r>
              <w:rPr>
                <w:sz w:val="13"/>
                <w:szCs w:val="13"/>
                <w:color w:val="212529"/>
                <w:spacing w:val="3"/>
              </w:rPr>
              <w:t>02</w:t>
            </w:r>
          </w:p>
        </w:tc>
        <w:tc>
          <w:tcPr>
            <w:tcW w:w="1226" w:type="dxa"/>
            <w:vAlign w:val="top"/>
          </w:tcPr>
          <w:p>
            <w:pPr>
              <w:pStyle w:val="TableText"/>
              <w:rPr/>
            </w:pPr>
            <w:r/>
          </w:p>
        </w:tc>
      </w:tr>
      <w:tr>
        <w:trPr>
          <w:trHeight w:val="313" w:hRule="atLeast"/>
        </w:trPr>
        <w:tc>
          <w:tcPr>
            <w:tcW w:w="180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413"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82" w:type="dxa"/>
            <w:vAlign w:val="top"/>
          </w:tcPr>
          <w:p>
            <w:pPr>
              <w:ind w:right="21"/>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328" w:type="dxa"/>
            <w:vAlign w:val="top"/>
          </w:tcPr>
          <w:p>
            <w:pPr>
              <w:pStyle w:val="TableText"/>
              <w:ind w:left="981"/>
              <w:spacing w:before="99" w:line="186" w:lineRule="auto"/>
              <w:rPr>
                <w:sz w:val="13"/>
                <w:szCs w:val="13"/>
              </w:rPr>
            </w:pPr>
            <w:r>
              <w:rPr>
                <w:sz w:val="13"/>
                <w:szCs w:val="13"/>
                <w:color w:val="212529"/>
                <w:spacing w:val="3"/>
              </w:rPr>
              <w:t>6.</w:t>
            </w:r>
            <w:r>
              <w:rPr>
                <w:sz w:val="13"/>
                <w:szCs w:val="13"/>
                <w:color w:val="212529"/>
                <w:spacing w:val="10"/>
              </w:rPr>
              <w:t xml:space="preserve"> </w:t>
            </w:r>
            <w:r>
              <w:rPr>
                <w:sz w:val="13"/>
                <w:szCs w:val="13"/>
                <w:color w:val="212529"/>
                <w:spacing w:val="3"/>
              </w:rPr>
              <w:t>02</w:t>
            </w:r>
          </w:p>
        </w:tc>
        <w:tc>
          <w:tcPr>
            <w:tcW w:w="1226" w:type="dxa"/>
            <w:vAlign w:val="top"/>
          </w:tcPr>
          <w:p>
            <w:pPr>
              <w:pStyle w:val="TableText"/>
              <w:rPr/>
            </w:pPr>
            <w:r/>
          </w:p>
        </w:tc>
      </w:tr>
      <w:tr>
        <w:trPr>
          <w:trHeight w:val="314" w:hRule="atLeast"/>
        </w:trPr>
        <w:tc>
          <w:tcPr>
            <w:tcW w:w="1809"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413"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82"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328"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226" w:type="dxa"/>
            <w:vAlign w:val="top"/>
          </w:tcPr>
          <w:p>
            <w:pPr>
              <w:pStyle w:val="TableText"/>
              <w:rPr/>
            </w:pPr>
            <w:r/>
          </w:p>
        </w:tc>
      </w:tr>
      <w:tr>
        <w:trPr>
          <w:trHeight w:val="314" w:hRule="atLeast"/>
        </w:trPr>
        <w:tc>
          <w:tcPr>
            <w:tcW w:w="180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413"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82"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68.51</w:t>
            </w:r>
          </w:p>
        </w:tc>
        <w:tc>
          <w:tcPr>
            <w:tcW w:w="1328" w:type="dxa"/>
            <w:vAlign w:val="top"/>
          </w:tcPr>
          <w:p>
            <w:pPr>
              <w:pStyle w:val="TableText"/>
              <w:ind w:left="900"/>
              <w:spacing w:before="101" w:line="187" w:lineRule="auto"/>
              <w:rPr>
                <w:sz w:val="13"/>
                <w:szCs w:val="13"/>
              </w:rPr>
            </w:pPr>
            <w:r>
              <w:rPr>
                <w:sz w:val="13"/>
                <w:szCs w:val="13"/>
                <w:color w:val="212529"/>
                <w:spacing w:val="1"/>
              </w:rPr>
              <w:t>60.</w:t>
            </w:r>
            <w:r>
              <w:rPr>
                <w:sz w:val="13"/>
                <w:szCs w:val="13"/>
                <w:color w:val="212529"/>
                <w:spacing w:val="25"/>
                <w:w w:val="102"/>
              </w:rPr>
              <w:t xml:space="preserve"> </w:t>
            </w:r>
            <w:r>
              <w:rPr>
                <w:sz w:val="13"/>
                <w:szCs w:val="13"/>
                <w:color w:val="212529"/>
                <w:spacing w:val="1"/>
              </w:rPr>
              <w:t>12</w:t>
            </w:r>
          </w:p>
        </w:tc>
        <w:tc>
          <w:tcPr>
            <w:tcW w:w="1226" w:type="dxa"/>
            <w:vAlign w:val="top"/>
          </w:tcPr>
          <w:p>
            <w:pPr>
              <w:pStyle w:val="TableText"/>
              <w:ind w:left="876"/>
              <w:spacing w:before="101" w:line="186" w:lineRule="auto"/>
              <w:rPr>
                <w:sz w:val="13"/>
                <w:szCs w:val="13"/>
              </w:rPr>
            </w:pPr>
            <w:r>
              <w:rPr>
                <w:sz w:val="13"/>
                <w:szCs w:val="13"/>
                <w:color w:val="212529"/>
                <w:spacing w:val="3"/>
              </w:rPr>
              <w:t>8.</w:t>
            </w:r>
            <w:r>
              <w:rPr>
                <w:sz w:val="13"/>
                <w:szCs w:val="13"/>
                <w:color w:val="212529"/>
                <w:spacing w:val="11"/>
                <w:w w:val="101"/>
              </w:rPr>
              <w:t xml:space="preserve"> </w:t>
            </w:r>
            <w:r>
              <w:rPr>
                <w:sz w:val="13"/>
                <w:szCs w:val="13"/>
                <w:color w:val="212529"/>
                <w:spacing w:val="3"/>
              </w:rPr>
              <w:t>39</w:t>
            </w:r>
          </w:p>
        </w:tc>
      </w:tr>
      <w:tr>
        <w:trPr>
          <w:trHeight w:val="314" w:hRule="atLeast"/>
        </w:trPr>
        <w:tc>
          <w:tcPr>
            <w:tcW w:w="180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413"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382"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66.04</w:t>
            </w:r>
          </w:p>
        </w:tc>
        <w:tc>
          <w:tcPr>
            <w:tcW w:w="1328" w:type="dxa"/>
            <w:vAlign w:val="top"/>
          </w:tcPr>
          <w:p>
            <w:pPr>
              <w:pStyle w:val="TableText"/>
              <w:ind w:left="902"/>
              <w:spacing w:before="102" w:line="186" w:lineRule="auto"/>
              <w:rPr>
                <w:sz w:val="13"/>
                <w:szCs w:val="13"/>
              </w:rPr>
            </w:pPr>
            <w:r>
              <w:rPr>
                <w:sz w:val="13"/>
                <w:szCs w:val="13"/>
                <w:color w:val="212529"/>
                <w:spacing w:val="4"/>
              </w:rPr>
              <w:t>57.</w:t>
            </w:r>
            <w:r>
              <w:rPr>
                <w:sz w:val="13"/>
                <w:szCs w:val="13"/>
                <w:color w:val="212529"/>
                <w:spacing w:val="9"/>
              </w:rPr>
              <w:t xml:space="preserve"> </w:t>
            </w:r>
            <w:r>
              <w:rPr>
                <w:sz w:val="13"/>
                <w:szCs w:val="13"/>
                <w:color w:val="212529"/>
                <w:spacing w:val="4"/>
              </w:rPr>
              <w:t>65</w:t>
            </w:r>
          </w:p>
        </w:tc>
        <w:tc>
          <w:tcPr>
            <w:tcW w:w="1226" w:type="dxa"/>
            <w:vAlign w:val="top"/>
          </w:tcPr>
          <w:p>
            <w:pPr>
              <w:pStyle w:val="TableText"/>
              <w:ind w:left="876"/>
              <w:spacing w:before="102" w:line="186" w:lineRule="auto"/>
              <w:rPr>
                <w:sz w:val="13"/>
                <w:szCs w:val="13"/>
              </w:rPr>
            </w:pPr>
            <w:r>
              <w:rPr>
                <w:sz w:val="13"/>
                <w:szCs w:val="13"/>
                <w:color w:val="212529"/>
                <w:spacing w:val="3"/>
              </w:rPr>
              <w:t>8.</w:t>
            </w:r>
            <w:r>
              <w:rPr>
                <w:sz w:val="13"/>
                <w:szCs w:val="13"/>
                <w:color w:val="212529"/>
                <w:spacing w:val="11"/>
                <w:w w:val="101"/>
              </w:rPr>
              <w:t xml:space="preserve"> </w:t>
            </w:r>
            <w:r>
              <w:rPr>
                <w:sz w:val="13"/>
                <w:szCs w:val="13"/>
                <w:color w:val="212529"/>
                <w:spacing w:val="3"/>
              </w:rPr>
              <w:t>39</w:t>
            </w:r>
          </w:p>
        </w:tc>
      </w:tr>
      <w:tr>
        <w:trPr>
          <w:trHeight w:val="314" w:hRule="atLeast"/>
        </w:trPr>
        <w:tc>
          <w:tcPr>
            <w:tcW w:w="1809"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413" w:type="dxa"/>
            <w:vAlign w:val="top"/>
          </w:tcPr>
          <w:p>
            <w:pPr>
              <w:ind w:left="9"/>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382" w:type="dxa"/>
            <w:vAlign w:val="top"/>
          </w:tcPr>
          <w:p>
            <w:pPr>
              <w:ind w:right="21"/>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57.65</w:t>
            </w:r>
          </w:p>
        </w:tc>
        <w:tc>
          <w:tcPr>
            <w:tcW w:w="1328" w:type="dxa"/>
            <w:vAlign w:val="top"/>
          </w:tcPr>
          <w:p>
            <w:pPr>
              <w:ind w:right="21"/>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57.65</w:t>
            </w:r>
          </w:p>
        </w:tc>
        <w:tc>
          <w:tcPr>
            <w:tcW w:w="1226" w:type="dxa"/>
            <w:vAlign w:val="top"/>
          </w:tcPr>
          <w:p>
            <w:pPr>
              <w:pStyle w:val="TableText"/>
              <w:rPr/>
            </w:pPr>
            <w:r/>
          </w:p>
        </w:tc>
      </w:tr>
      <w:tr>
        <w:trPr>
          <w:trHeight w:val="314" w:hRule="atLeast"/>
        </w:trPr>
        <w:tc>
          <w:tcPr>
            <w:tcW w:w="180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413"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382" w:type="dxa"/>
            <w:vAlign w:val="top"/>
          </w:tcPr>
          <w:p>
            <w:pPr>
              <w:ind w:right="21"/>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c>
          <w:tcPr>
            <w:tcW w:w="1328" w:type="dxa"/>
            <w:vAlign w:val="top"/>
          </w:tcPr>
          <w:p>
            <w:pPr>
              <w:pStyle w:val="TableText"/>
              <w:rPr/>
            </w:pPr>
            <w:r/>
          </w:p>
        </w:tc>
        <w:tc>
          <w:tcPr>
            <w:tcW w:w="1226"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r>
      <w:tr>
        <w:trPr>
          <w:trHeight w:val="314" w:hRule="atLeast"/>
        </w:trPr>
        <w:tc>
          <w:tcPr>
            <w:tcW w:w="180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413"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82" w:type="dxa"/>
            <w:vAlign w:val="top"/>
          </w:tcPr>
          <w:p>
            <w:pPr>
              <w:ind w:right="21"/>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2.47</w:t>
            </w:r>
          </w:p>
        </w:tc>
        <w:tc>
          <w:tcPr>
            <w:tcW w:w="1328" w:type="dxa"/>
            <w:vAlign w:val="top"/>
          </w:tcPr>
          <w:p>
            <w:pPr>
              <w:pStyle w:val="TableText"/>
              <w:rPr/>
            </w:pPr>
            <w:r/>
          </w:p>
        </w:tc>
        <w:tc>
          <w:tcPr>
            <w:tcW w:w="1226" w:type="dxa"/>
            <w:vAlign w:val="top"/>
          </w:tcPr>
          <w:p>
            <w:pPr>
              <w:pStyle w:val="TableText"/>
              <w:rPr/>
            </w:pPr>
            <w:r/>
          </w:p>
        </w:tc>
      </w:tr>
      <w:tr>
        <w:trPr>
          <w:trHeight w:val="314" w:hRule="atLeast"/>
        </w:trPr>
        <w:tc>
          <w:tcPr>
            <w:tcW w:w="180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413"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82" w:type="dxa"/>
            <w:vAlign w:val="top"/>
          </w:tcPr>
          <w:p>
            <w:pPr>
              <w:ind w:right="21"/>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2.47</w:t>
            </w:r>
          </w:p>
        </w:tc>
        <w:tc>
          <w:tcPr>
            <w:tcW w:w="1328" w:type="dxa"/>
            <w:vAlign w:val="top"/>
          </w:tcPr>
          <w:p>
            <w:pPr>
              <w:ind w:right="21"/>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2.47</w:t>
            </w:r>
          </w:p>
        </w:tc>
        <w:tc>
          <w:tcPr>
            <w:tcW w:w="1226" w:type="dxa"/>
            <w:vAlign w:val="top"/>
          </w:tcPr>
          <w:p>
            <w:pPr>
              <w:pStyle w:val="TableText"/>
              <w:rPr/>
            </w:pPr>
            <w:r/>
          </w:p>
        </w:tc>
      </w:tr>
      <w:tr>
        <w:trPr>
          <w:trHeight w:val="314" w:hRule="atLeast"/>
        </w:trPr>
        <w:tc>
          <w:tcPr>
            <w:tcW w:w="1809"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413"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82" w:type="dxa"/>
            <w:vAlign w:val="top"/>
          </w:tcPr>
          <w:p>
            <w:pPr>
              <w:ind w:right="21"/>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328" w:type="dxa"/>
            <w:vAlign w:val="top"/>
          </w:tcPr>
          <w:p>
            <w:pPr>
              <w:pStyle w:val="TableText"/>
              <w:ind w:left="983"/>
              <w:spacing w:before="103" w:line="186" w:lineRule="auto"/>
              <w:rPr>
                <w:sz w:val="13"/>
                <w:szCs w:val="13"/>
              </w:rPr>
            </w:pPr>
            <w:r>
              <w:rPr>
                <w:sz w:val="13"/>
                <w:szCs w:val="13"/>
                <w:color w:val="212529"/>
                <w:spacing w:val="3"/>
              </w:rPr>
              <w:t>5.</w:t>
            </w:r>
            <w:r>
              <w:rPr>
                <w:sz w:val="13"/>
                <w:szCs w:val="13"/>
                <w:color w:val="212529"/>
                <w:spacing w:val="9"/>
              </w:rPr>
              <w:t xml:space="preserve"> </w:t>
            </w:r>
            <w:r>
              <w:rPr>
                <w:sz w:val="13"/>
                <w:szCs w:val="13"/>
                <w:color w:val="212529"/>
                <w:spacing w:val="3"/>
              </w:rPr>
              <w:t>49</w:t>
            </w:r>
          </w:p>
        </w:tc>
        <w:tc>
          <w:tcPr>
            <w:tcW w:w="1226" w:type="dxa"/>
            <w:vAlign w:val="top"/>
          </w:tcPr>
          <w:p>
            <w:pPr>
              <w:pStyle w:val="TableText"/>
              <w:rPr/>
            </w:pPr>
            <w:r/>
          </w:p>
        </w:tc>
      </w:tr>
      <w:tr>
        <w:trPr>
          <w:trHeight w:val="314" w:hRule="atLeast"/>
        </w:trPr>
        <w:tc>
          <w:tcPr>
            <w:tcW w:w="1809"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413"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82" w:type="dxa"/>
            <w:vAlign w:val="top"/>
          </w:tcPr>
          <w:p>
            <w:pPr>
              <w:ind w:right="21"/>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328" w:type="dxa"/>
            <w:vAlign w:val="top"/>
          </w:tcPr>
          <w:p>
            <w:pPr>
              <w:pStyle w:val="TableText"/>
              <w:ind w:left="983"/>
              <w:spacing w:before="104" w:line="186" w:lineRule="auto"/>
              <w:rPr>
                <w:sz w:val="13"/>
                <w:szCs w:val="13"/>
              </w:rPr>
            </w:pPr>
            <w:r>
              <w:rPr>
                <w:sz w:val="13"/>
                <w:szCs w:val="13"/>
                <w:color w:val="212529"/>
                <w:spacing w:val="3"/>
              </w:rPr>
              <w:t>5.</w:t>
            </w:r>
            <w:r>
              <w:rPr>
                <w:sz w:val="13"/>
                <w:szCs w:val="13"/>
                <w:color w:val="212529"/>
                <w:spacing w:val="9"/>
              </w:rPr>
              <w:t xml:space="preserve"> </w:t>
            </w:r>
            <w:r>
              <w:rPr>
                <w:sz w:val="13"/>
                <w:szCs w:val="13"/>
                <w:color w:val="212529"/>
                <w:spacing w:val="3"/>
              </w:rPr>
              <w:t>49</w:t>
            </w:r>
          </w:p>
        </w:tc>
        <w:tc>
          <w:tcPr>
            <w:tcW w:w="1226" w:type="dxa"/>
            <w:vAlign w:val="top"/>
          </w:tcPr>
          <w:p>
            <w:pPr>
              <w:pStyle w:val="TableText"/>
              <w:rPr/>
            </w:pPr>
            <w:r/>
          </w:p>
        </w:tc>
      </w:tr>
      <w:tr>
        <w:trPr>
          <w:trHeight w:val="319" w:hRule="atLeast"/>
        </w:trPr>
        <w:tc>
          <w:tcPr>
            <w:tcW w:w="1809"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413"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82" w:type="dxa"/>
            <w:vAlign w:val="top"/>
          </w:tcPr>
          <w:p>
            <w:pPr>
              <w:ind w:right="21"/>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328" w:type="dxa"/>
            <w:vAlign w:val="top"/>
          </w:tcPr>
          <w:p>
            <w:pPr>
              <w:ind w:right="21"/>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226" w:type="dxa"/>
            <w:vAlign w:val="top"/>
          </w:tcPr>
          <w:p>
            <w:pPr>
              <w:pStyle w:val="TableText"/>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93"/>
        <w:gridCol w:w="1004"/>
        <w:gridCol w:w="2063"/>
        <w:gridCol w:w="1015"/>
        <w:gridCol w:w="1037"/>
        <w:gridCol w:w="950"/>
        <w:gridCol w:w="1096"/>
      </w:tblGrid>
      <w:tr>
        <w:trPr>
          <w:trHeight w:val="384" w:hRule="atLeast"/>
        </w:trPr>
        <w:tc>
          <w:tcPr>
            <w:tcW w:w="19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6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46" w:type="dxa"/>
            <w:vAlign w:val="top"/>
            <w:gridSpan w:val="2"/>
            <w:tcBorders>
              <w:bottom w:val="single" w:color="FFFFFF" w:sz="4" w:space="0"/>
              <w:top w:val="single" w:color="FFFFFF" w:sz="4" w:space="0"/>
              <w:left w:val="single" w:color="FFFFFF" w:sz="2" w:space="0"/>
              <w:right w:val="single" w:color="FFFFFF" w:sz="2" w:space="0"/>
            </w:tcBorders>
          </w:tcPr>
          <w:p>
            <w:pPr>
              <w:ind w:left="1230"/>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62"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1096" w:type="dxa"/>
            <w:vAlign w:val="top"/>
            <w:tcBorders>
              <w:top w:val="single" w:color="FFFFFF" w:sz="4" w:space="0"/>
              <w:left w:val="single" w:color="FFFFFF" w:sz="2" w:space="0"/>
              <w:right w:val="single" w:color="FFFFFF" w:sz="2" w:space="0"/>
            </w:tcBorders>
          </w:tcPr>
          <w:p>
            <w:pPr>
              <w:ind w:left="423"/>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93" w:type="dxa"/>
            <w:vAlign w:val="top"/>
            <w:vMerge w:val="restart"/>
            <w:tcBorders>
              <w:bottom w:val="nil"/>
            </w:tcBorders>
          </w:tcPr>
          <w:p>
            <w:pPr>
              <w:ind w:left="819"/>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04" w:type="dxa"/>
            <w:vAlign w:val="top"/>
            <w:vMerge w:val="restart"/>
            <w:tcBorders>
              <w:bottom w:val="nil"/>
            </w:tcBorders>
          </w:tcPr>
          <w:p>
            <w:pPr>
              <w:ind w:left="32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63" w:type="dxa"/>
            <w:vAlign w:val="top"/>
            <w:vMerge w:val="restart"/>
            <w:tcBorders>
              <w:bottom w:val="nil"/>
            </w:tcBorders>
          </w:tcPr>
          <w:p>
            <w:pPr>
              <w:ind w:left="86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98" w:type="dxa"/>
            <w:vAlign w:val="top"/>
            <w:gridSpan w:val="4"/>
          </w:tcPr>
          <w:p>
            <w:pPr>
              <w:ind w:left="187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93" w:type="dxa"/>
            <w:vAlign w:val="top"/>
            <w:vMerge w:val="continue"/>
            <w:tcBorders>
              <w:top w:val="nil"/>
            </w:tcBorders>
          </w:tcPr>
          <w:p>
            <w:pPr>
              <w:pStyle w:val="TableText"/>
              <w:rPr/>
            </w:pPr>
            <w:r/>
          </w:p>
        </w:tc>
        <w:tc>
          <w:tcPr>
            <w:tcW w:w="1004" w:type="dxa"/>
            <w:vAlign w:val="top"/>
            <w:vMerge w:val="continue"/>
            <w:tcBorders>
              <w:top w:val="nil"/>
            </w:tcBorders>
          </w:tcPr>
          <w:p>
            <w:pPr>
              <w:pStyle w:val="TableText"/>
              <w:rPr/>
            </w:pPr>
            <w:r/>
          </w:p>
        </w:tc>
        <w:tc>
          <w:tcPr>
            <w:tcW w:w="2063" w:type="dxa"/>
            <w:vAlign w:val="top"/>
            <w:vMerge w:val="continue"/>
            <w:tcBorders>
              <w:top w:val="nil"/>
            </w:tcBorders>
          </w:tcPr>
          <w:p>
            <w:pPr>
              <w:pStyle w:val="TableText"/>
              <w:rPr/>
            </w:pPr>
            <w:r/>
          </w:p>
        </w:tc>
        <w:tc>
          <w:tcPr>
            <w:tcW w:w="1015" w:type="dxa"/>
            <w:vAlign w:val="top"/>
          </w:tcPr>
          <w:p>
            <w:pPr>
              <w:ind w:left="341"/>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37" w:type="dxa"/>
            <w:vAlign w:val="top"/>
          </w:tcPr>
          <w:p>
            <w:pPr>
              <w:ind w:left="1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50" w:type="dxa"/>
            <w:vAlign w:val="top"/>
          </w:tcPr>
          <w:p>
            <w:pPr>
              <w:ind w:left="59"/>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29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96" w:type="dxa"/>
            <w:vAlign w:val="top"/>
          </w:tcPr>
          <w:p>
            <w:pPr>
              <w:ind w:left="68"/>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72"/>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9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04"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80.02</w:t>
            </w:r>
          </w:p>
        </w:tc>
        <w:tc>
          <w:tcPr>
            <w:tcW w:w="2063" w:type="dxa"/>
            <w:vAlign w:val="top"/>
          </w:tcPr>
          <w:p>
            <w:pPr>
              <w:ind w:left="9"/>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04" w:type="dxa"/>
            <w:vAlign w:val="top"/>
          </w:tcPr>
          <w:p>
            <w:pPr>
              <w:pStyle w:val="TableText"/>
              <w:rPr/>
            </w:pPr>
            <w:r/>
          </w:p>
        </w:tc>
        <w:tc>
          <w:tcPr>
            <w:tcW w:w="2063" w:type="dxa"/>
            <w:vAlign w:val="top"/>
          </w:tcPr>
          <w:p>
            <w:pPr>
              <w:ind w:left="10"/>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04" w:type="dxa"/>
            <w:vAlign w:val="top"/>
          </w:tcPr>
          <w:p>
            <w:pPr>
              <w:pStyle w:val="TableText"/>
              <w:rPr/>
            </w:pPr>
            <w:r/>
          </w:p>
        </w:tc>
        <w:tc>
          <w:tcPr>
            <w:tcW w:w="2063"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22"/>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7"/>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20" w:right="108"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15"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037"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w:t>
            </w:r>
            <w:r>
              <w:rPr>
                <w:rFonts w:ascii="SimSun" w:hAnsi="SimSun" w:eastAsia="SimSun" w:cs="SimSun"/>
                <w:sz w:val="15"/>
                <w:szCs w:val="15"/>
                <w:color w:val="212529"/>
                <w:spacing w:val="16"/>
                <w:position w:val="1"/>
              </w:rPr>
              <w:t xml:space="preserve"> </w:t>
            </w:r>
            <w:r>
              <w:rPr>
                <w:rFonts w:ascii="SimSun" w:hAnsi="SimSun" w:eastAsia="SimSun" w:cs="SimSun"/>
                <w:sz w:val="15"/>
                <w:szCs w:val="15"/>
                <w:color w:val="212529"/>
                <w:spacing w:val="-4"/>
                <w:position w:val="1"/>
              </w:rPr>
              <w:t>2</w:t>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15"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68.51</w:t>
            </w:r>
          </w:p>
        </w:tc>
        <w:tc>
          <w:tcPr>
            <w:tcW w:w="1037"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68.51</w:t>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15"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037"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9" w:right="108"/>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84" w:hRule="atLeast"/>
        </w:trPr>
        <w:tc>
          <w:tcPr>
            <w:tcW w:w="1993" w:type="dxa"/>
            <w:vAlign w:val="top"/>
          </w:tcPr>
          <w:p>
            <w:pPr>
              <w:ind w:left="497"/>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04" w:type="dxa"/>
            <w:vAlign w:val="top"/>
          </w:tcPr>
          <w:p>
            <w:pPr>
              <w:pStyle w:val="TableText"/>
              <w:ind w:left="288"/>
              <w:spacing w:before="137"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02</w:t>
            </w:r>
          </w:p>
        </w:tc>
        <w:tc>
          <w:tcPr>
            <w:tcW w:w="2063" w:type="dxa"/>
            <w:vAlign w:val="top"/>
          </w:tcPr>
          <w:p>
            <w:pPr>
              <w:ind w:left="53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15" w:type="dxa"/>
            <w:vAlign w:val="top"/>
          </w:tcPr>
          <w:p>
            <w:pPr>
              <w:pStyle w:val="TableText"/>
              <w:ind w:left="298"/>
              <w:spacing w:before="137"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02</w:t>
            </w:r>
          </w:p>
        </w:tc>
        <w:tc>
          <w:tcPr>
            <w:tcW w:w="1037" w:type="dxa"/>
            <w:vAlign w:val="top"/>
          </w:tcPr>
          <w:p>
            <w:pPr>
              <w:pStyle w:val="TableText"/>
              <w:ind w:left="306"/>
              <w:spacing w:before="137"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02</w:t>
            </w:r>
          </w:p>
        </w:tc>
        <w:tc>
          <w:tcPr>
            <w:tcW w:w="950" w:type="dxa"/>
            <w:vAlign w:val="top"/>
          </w:tcPr>
          <w:p>
            <w:pPr>
              <w:pStyle w:val="TableText"/>
              <w:rPr/>
            </w:pPr>
            <w:r/>
          </w:p>
        </w:tc>
        <w:tc>
          <w:tcPr>
            <w:tcW w:w="1096" w:type="dxa"/>
            <w:vAlign w:val="top"/>
          </w:tcPr>
          <w:p>
            <w:pPr>
              <w:pStyle w:val="TableText"/>
              <w:rPr/>
            </w:pPr>
            <w:r/>
          </w:p>
        </w:tc>
      </w:tr>
    </w:tbl>
    <w:p>
      <w:pPr>
        <w:rPr>
          <w:rFonts w:ascii="Arial"/>
          <w:sz w:val="21"/>
        </w:rPr>
      </w:pPr>
      <w:r/>
    </w:p>
    <w:p>
      <w:pPr>
        <w:sectPr>
          <w:headerReference w:type="default" r:id="rId15"/>
          <w:footerReference w:type="default" r:id="rId16"/>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93"/>
        <w:gridCol w:w="1004"/>
        <w:gridCol w:w="2063"/>
        <w:gridCol w:w="1015"/>
        <w:gridCol w:w="1037"/>
        <w:gridCol w:w="950"/>
        <w:gridCol w:w="1096"/>
      </w:tblGrid>
      <w:tr>
        <w:trPr>
          <w:trHeight w:val="383" w:hRule="atLeast"/>
        </w:trPr>
        <w:tc>
          <w:tcPr>
            <w:tcW w:w="1993"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04" w:type="dxa"/>
            <w:vAlign w:val="top"/>
          </w:tcPr>
          <w:p>
            <w:pPr>
              <w:pStyle w:val="TableText"/>
              <w:rPr/>
            </w:pPr>
            <w:r/>
          </w:p>
        </w:tc>
        <w:tc>
          <w:tcPr>
            <w:tcW w:w="2063" w:type="dxa"/>
            <w:vAlign w:val="top"/>
          </w:tcPr>
          <w:p>
            <w:pPr>
              <w:ind w:left="8"/>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7" w:hRule="atLeast"/>
        </w:trPr>
        <w:tc>
          <w:tcPr>
            <w:tcW w:w="199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7" w:hRule="atLeast"/>
        </w:trPr>
        <w:tc>
          <w:tcPr>
            <w:tcW w:w="1993"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83" w:hRule="atLeast"/>
        </w:trPr>
        <w:tc>
          <w:tcPr>
            <w:tcW w:w="1993" w:type="dxa"/>
            <w:vAlign w:val="top"/>
          </w:tcPr>
          <w:p>
            <w:pPr>
              <w:ind w:left="66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04" w:type="dxa"/>
            <w:vAlign w:val="top"/>
          </w:tcPr>
          <w:p>
            <w:pPr>
              <w:pStyle w:val="TableText"/>
              <w:ind w:left="288"/>
              <w:spacing w:before="136"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02</w:t>
            </w:r>
          </w:p>
        </w:tc>
        <w:tc>
          <w:tcPr>
            <w:tcW w:w="2063" w:type="dxa"/>
            <w:vAlign w:val="top"/>
          </w:tcPr>
          <w:p>
            <w:pPr>
              <w:ind w:left="69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15" w:type="dxa"/>
            <w:vAlign w:val="top"/>
          </w:tcPr>
          <w:p>
            <w:pPr>
              <w:pStyle w:val="TableText"/>
              <w:ind w:left="298"/>
              <w:spacing w:before="136"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02</w:t>
            </w:r>
          </w:p>
        </w:tc>
        <w:tc>
          <w:tcPr>
            <w:tcW w:w="1037" w:type="dxa"/>
            <w:vAlign w:val="top"/>
          </w:tcPr>
          <w:p>
            <w:pPr>
              <w:pStyle w:val="TableText"/>
              <w:ind w:left="306"/>
              <w:spacing w:before="136"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02</w:t>
            </w:r>
          </w:p>
        </w:tc>
        <w:tc>
          <w:tcPr>
            <w:tcW w:w="950" w:type="dxa"/>
            <w:vAlign w:val="top"/>
          </w:tcPr>
          <w:p>
            <w:pPr>
              <w:pStyle w:val="TableText"/>
              <w:rPr/>
            </w:pPr>
            <w:r/>
          </w:p>
        </w:tc>
        <w:tc>
          <w:tcPr>
            <w:tcW w:w="1096" w:type="dxa"/>
            <w:vAlign w:val="top"/>
          </w:tcPr>
          <w:p>
            <w:pPr>
              <w:pStyle w:val="TableText"/>
              <w:rPr/>
            </w:pPr>
            <w:r/>
          </w:p>
        </w:tc>
      </w:tr>
    </w:tbl>
    <w:p>
      <w:pPr>
        <w:rPr>
          <w:rFonts w:ascii="Arial"/>
          <w:sz w:val="21"/>
        </w:rPr>
      </w:pPr>
      <w:r/>
    </w:p>
    <w:p>
      <w:pPr>
        <w:sectPr>
          <w:headerReference w:type="default" r:id="rId17"/>
          <w:footerReference w:type="default" r:id="rId18"/>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2"/>
        <w:gridCol w:w="3250"/>
        <w:gridCol w:w="1501"/>
        <w:gridCol w:w="1361"/>
        <w:gridCol w:w="1334"/>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824"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1334" w:type="dxa"/>
            <w:vAlign w:val="top"/>
            <w:tcBorders>
              <w:top w:val="single" w:color="FFFFFF" w:sz="4" w:space="0"/>
              <w:left w:val="single" w:color="FFFFFF" w:sz="2" w:space="0"/>
              <w:right w:val="single" w:color="FFFFFF" w:sz="2" w:space="0"/>
            </w:tcBorders>
          </w:tcPr>
          <w:p>
            <w:pPr>
              <w:ind w:left="661"/>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62" w:type="dxa"/>
            <w:vAlign w:val="top"/>
            <w:gridSpan w:val="2"/>
          </w:tcPr>
          <w:p>
            <w:pPr>
              <w:ind w:left="230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6" w:type="dxa"/>
            <w:vAlign w:val="top"/>
            <w:gridSpan w:val="3"/>
          </w:tcPr>
          <w:p>
            <w:pPr>
              <w:ind w:left="160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712" w:type="dxa"/>
            <w:vAlign w:val="top"/>
          </w:tcPr>
          <w:p>
            <w:pPr>
              <w:ind w:left="51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50" w:type="dxa"/>
            <w:vAlign w:val="top"/>
          </w:tcPr>
          <w:p>
            <w:pPr>
              <w:ind w:left="128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01" w:type="dxa"/>
            <w:vAlign w:val="top"/>
          </w:tcPr>
          <w:p>
            <w:pPr>
              <w:ind w:left="580"/>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34" w:type="dxa"/>
            <w:vAlign w:val="top"/>
          </w:tcPr>
          <w:p>
            <w:pPr>
              <w:ind w:left="3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62" w:type="dxa"/>
            <w:vAlign w:val="top"/>
            <w:gridSpan w:val="2"/>
          </w:tcPr>
          <w:p>
            <w:pPr>
              <w:ind w:left="231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01" w:type="dxa"/>
            <w:vAlign w:val="top"/>
          </w:tcPr>
          <w:p>
            <w:pPr>
              <w:pStyle w:val="TableText"/>
              <w:ind w:left="1070"/>
              <w:spacing w:before="87"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02</w:t>
            </w:r>
          </w:p>
        </w:tc>
        <w:tc>
          <w:tcPr>
            <w:tcW w:w="1361" w:type="dxa"/>
            <w:vAlign w:val="top"/>
          </w:tcPr>
          <w:p>
            <w:pPr>
              <w:pStyle w:val="TableText"/>
              <w:ind w:left="936"/>
              <w:spacing w:before="87" w:line="186" w:lineRule="auto"/>
              <w:rPr>
                <w:sz w:val="13"/>
                <w:szCs w:val="13"/>
              </w:rPr>
            </w:pPr>
            <w:r>
              <w:rPr>
                <w:sz w:val="13"/>
                <w:szCs w:val="13"/>
                <w:color w:val="212529"/>
                <w:spacing w:val="4"/>
              </w:rPr>
              <w:t>71.</w:t>
            </w:r>
            <w:r>
              <w:rPr>
                <w:sz w:val="13"/>
                <w:szCs w:val="13"/>
                <w:color w:val="212529"/>
                <w:spacing w:val="9"/>
              </w:rPr>
              <w:t xml:space="preserve"> </w:t>
            </w:r>
            <w:r>
              <w:rPr>
                <w:sz w:val="13"/>
                <w:szCs w:val="13"/>
                <w:color w:val="212529"/>
                <w:spacing w:val="4"/>
              </w:rPr>
              <w:t>63</w:t>
            </w:r>
          </w:p>
        </w:tc>
        <w:tc>
          <w:tcPr>
            <w:tcW w:w="1334" w:type="dxa"/>
            <w:vAlign w:val="top"/>
          </w:tcPr>
          <w:p>
            <w:pPr>
              <w:pStyle w:val="TableText"/>
              <w:ind w:left="984"/>
              <w:spacing w:before="87" w:line="186" w:lineRule="auto"/>
              <w:rPr>
                <w:sz w:val="13"/>
                <w:szCs w:val="13"/>
              </w:rPr>
            </w:pPr>
            <w:r>
              <w:rPr>
                <w:sz w:val="13"/>
                <w:szCs w:val="13"/>
                <w:color w:val="212529"/>
                <w:spacing w:val="3"/>
              </w:rPr>
              <w:t>8.</w:t>
            </w:r>
            <w:r>
              <w:rPr>
                <w:sz w:val="13"/>
                <w:szCs w:val="13"/>
                <w:color w:val="212529"/>
                <w:spacing w:val="11"/>
                <w:w w:val="101"/>
              </w:rPr>
              <w:t xml:space="preserve"> </w:t>
            </w:r>
            <w:r>
              <w:rPr>
                <w:sz w:val="13"/>
                <w:szCs w:val="13"/>
                <w:color w:val="212529"/>
                <w:spacing w:val="3"/>
              </w:rPr>
              <w:t>39</w:t>
            </w:r>
          </w:p>
        </w:tc>
      </w:tr>
      <w:tr>
        <w:trPr>
          <w:trHeight w:val="292" w:hRule="atLeast"/>
        </w:trPr>
        <w:tc>
          <w:tcPr>
            <w:tcW w:w="1712"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50" w:type="dxa"/>
            <w:vAlign w:val="top"/>
          </w:tcPr>
          <w:p>
            <w:pPr>
              <w:ind w:left="4"/>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01" w:type="dxa"/>
            <w:vAlign w:val="top"/>
          </w:tcPr>
          <w:p>
            <w:pPr>
              <w:ind w:right="23"/>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361"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334" w:type="dxa"/>
            <w:vAlign w:val="top"/>
          </w:tcPr>
          <w:p>
            <w:pPr>
              <w:pStyle w:val="TableText"/>
              <w:rPr/>
            </w:pPr>
            <w:r/>
          </w:p>
        </w:tc>
      </w:tr>
      <w:tr>
        <w:trPr>
          <w:trHeight w:val="292" w:hRule="atLeast"/>
        </w:trPr>
        <w:tc>
          <w:tcPr>
            <w:tcW w:w="1712"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50" w:type="dxa"/>
            <w:vAlign w:val="top"/>
          </w:tcPr>
          <w:p>
            <w:pPr>
              <w:ind w:left="2"/>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01"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361"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334" w:type="dxa"/>
            <w:vAlign w:val="top"/>
          </w:tcPr>
          <w:p>
            <w:pPr>
              <w:pStyle w:val="TableText"/>
              <w:rPr/>
            </w:pPr>
            <w:r/>
          </w:p>
        </w:tc>
      </w:tr>
      <w:tr>
        <w:trPr>
          <w:trHeight w:val="292" w:hRule="atLeast"/>
        </w:trPr>
        <w:tc>
          <w:tcPr>
            <w:tcW w:w="1712"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50" w:type="dxa"/>
            <w:vAlign w:val="top"/>
          </w:tcPr>
          <w:p>
            <w:pPr>
              <w:ind w:left="2"/>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01"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361"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334" w:type="dxa"/>
            <w:vAlign w:val="top"/>
          </w:tcPr>
          <w:p>
            <w:pPr>
              <w:pStyle w:val="TableText"/>
              <w:rPr/>
            </w:pPr>
            <w:r/>
          </w:p>
        </w:tc>
      </w:tr>
      <w:tr>
        <w:trPr>
          <w:trHeight w:val="292" w:hRule="atLeast"/>
        </w:trPr>
        <w:tc>
          <w:tcPr>
            <w:tcW w:w="1712"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50" w:type="dxa"/>
            <w:vAlign w:val="top"/>
          </w:tcPr>
          <w:p>
            <w:pPr>
              <w:ind w:left="4"/>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01"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68.51</w:t>
            </w:r>
          </w:p>
        </w:tc>
        <w:tc>
          <w:tcPr>
            <w:tcW w:w="1361"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60.12</w:t>
            </w:r>
          </w:p>
        </w:tc>
        <w:tc>
          <w:tcPr>
            <w:tcW w:w="1334"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r>
      <w:tr>
        <w:trPr>
          <w:trHeight w:val="292" w:hRule="atLeast"/>
        </w:trPr>
        <w:tc>
          <w:tcPr>
            <w:tcW w:w="1712"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250" w:type="dxa"/>
            <w:vAlign w:val="top"/>
          </w:tcPr>
          <w:p>
            <w:pPr>
              <w:ind w:left="2"/>
              <w:spacing w:before="72"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501"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66.04</w:t>
            </w:r>
          </w:p>
        </w:tc>
        <w:tc>
          <w:tcPr>
            <w:tcW w:w="1361"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57.65</w:t>
            </w:r>
          </w:p>
        </w:tc>
        <w:tc>
          <w:tcPr>
            <w:tcW w:w="1334"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r>
      <w:tr>
        <w:trPr>
          <w:trHeight w:val="292" w:hRule="atLeast"/>
        </w:trPr>
        <w:tc>
          <w:tcPr>
            <w:tcW w:w="1712"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250" w:type="dxa"/>
            <w:vAlign w:val="top"/>
          </w:tcPr>
          <w:p>
            <w:pPr>
              <w:ind w:left="9"/>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01"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57.65</w:t>
            </w:r>
          </w:p>
        </w:tc>
        <w:tc>
          <w:tcPr>
            <w:tcW w:w="1361"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57.65</w:t>
            </w:r>
          </w:p>
        </w:tc>
        <w:tc>
          <w:tcPr>
            <w:tcW w:w="1334" w:type="dxa"/>
            <w:vAlign w:val="top"/>
          </w:tcPr>
          <w:p>
            <w:pPr>
              <w:pStyle w:val="TableText"/>
              <w:rPr/>
            </w:pPr>
            <w:r/>
          </w:p>
        </w:tc>
      </w:tr>
      <w:tr>
        <w:trPr>
          <w:trHeight w:val="292" w:hRule="atLeast"/>
        </w:trPr>
        <w:tc>
          <w:tcPr>
            <w:tcW w:w="1712"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250" w:type="dxa"/>
            <w:vAlign w:val="top"/>
          </w:tcPr>
          <w:p>
            <w:pPr>
              <w:ind w:left="2"/>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01" w:type="dxa"/>
            <w:vAlign w:val="top"/>
          </w:tcPr>
          <w:p>
            <w:pPr>
              <w:ind w:right="23"/>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c>
          <w:tcPr>
            <w:tcW w:w="1361" w:type="dxa"/>
            <w:vAlign w:val="top"/>
          </w:tcPr>
          <w:p>
            <w:pPr>
              <w:pStyle w:val="TableText"/>
              <w:rPr/>
            </w:pPr>
            <w:r/>
          </w:p>
        </w:tc>
        <w:tc>
          <w:tcPr>
            <w:tcW w:w="1334"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r>
      <w:tr>
        <w:trPr>
          <w:trHeight w:val="292" w:hRule="atLeast"/>
        </w:trPr>
        <w:tc>
          <w:tcPr>
            <w:tcW w:w="1712"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250" w:type="dxa"/>
            <w:vAlign w:val="top"/>
          </w:tcPr>
          <w:p>
            <w:pPr>
              <w:ind w:left="2"/>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01" w:type="dxa"/>
            <w:vAlign w:val="top"/>
          </w:tcPr>
          <w:p>
            <w:pPr>
              <w:ind w:right="23"/>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2.47</w:t>
            </w:r>
          </w:p>
        </w:tc>
        <w:tc>
          <w:tcPr>
            <w:tcW w:w="1361"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2.47</w:t>
            </w:r>
          </w:p>
        </w:tc>
        <w:tc>
          <w:tcPr>
            <w:tcW w:w="1334" w:type="dxa"/>
            <w:vAlign w:val="top"/>
          </w:tcPr>
          <w:p>
            <w:pPr>
              <w:pStyle w:val="TableText"/>
              <w:rPr/>
            </w:pPr>
            <w:r/>
          </w:p>
        </w:tc>
      </w:tr>
      <w:tr>
        <w:trPr>
          <w:trHeight w:val="292" w:hRule="atLeast"/>
        </w:trPr>
        <w:tc>
          <w:tcPr>
            <w:tcW w:w="1712" w:type="dxa"/>
            <w:vAlign w:val="top"/>
          </w:tcPr>
          <w:p>
            <w:pPr>
              <w:ind w:left="261"/>
              <w:spacing w:before="74" w:line="203" w:lineRule="exact"/>
              <w:rPr>
                <w:rFonts w:ascii="SimSun" w:hAnsi="SimSun" w:eastAsia="SimSun" w:cs="SimSun"/>
                <w:sz w:val="15"/>
                <w:szCs w:val="15"/>
              </w:rPr>
            </w:pPr>
            <w:r>
              <w:rPr>
                <w:rFonts w:ascii="SimSun" w:hAnsi="SimSun" w:eastAsia="SimSun" w:cs="SimSun"/>
                <w:sz w:val="15"/>
                <w:szCs w:val="15"/>
                <w:color w:val="212529"/>
                <w:spacing w:val="1"/>
                <w:position w:val="1"/>
              </w:rPr>
              <w:t>1102</w:t>
            </w:r>
          </w:p>
        </w:tc>
        <w:tc>
          <w:tcPr>
            <w:tcW w:w="3250"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01" w:type="dxa"/>
            <w:vAlign w:val="top"/>
          </w:tcPr>
          <w:p>
            <w:pPr>
              <w:ind w:right="23"/>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2.47</w:t>
            </w:r>
          </w:p>
        </w:tc>
        <w:tc>
          <w:tcPr>
            <w:tcW w:w="1361" w:type="dxa"/>
            <w:vAlign w:val="top"/>
          </w:tcPr>
          <w:p>
            <w:pPr>
              <w:ind w:left="1016"/>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334" w:type="dxa"/>
            <w:vAlign w:val="top"/>
          </w:tcPr>
          <w:p>
            <w:pPr>
              <w:pStyle w:val="TableText"/>
              <w:rPr/>
            </w:pPr>
            <w:r/>
          </w:p>
        </w:tc>
      </w:tr>
      <w:tr>
        <w:trPr>
          <w:trHeight w:val="292" w:hRule="atLeast"/>
        </w:trPr>
        <w:tc>
          <w:tcPr>
            <w:tcW w:w="1712"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50" w:type="dxa"/>
            <w:vAlign w:val="top"/>
          </w:tcPr>
          <w:p>
            <w:pPr>
              <w:ind w:left="3"/>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01"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361" w:type="dxa"/>
            <w:vAlign w:val="top"/>
          </w:tcPr>
          <w:p>
            <w:pPr>
              <w:ind w:left="109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34" w:type="dxa"/>
            <w:vAlign w:val="top"/>
          </w:tcPr>
          <w:p>
            <w:pPr>
              <w:pStyle w:val="TableText"/>
              <w:rPr/>
            </w:pPr>
            <w:r/>
          </w:p>
        </w:tc>
      </w:tr>
      <w:tr>
        <w:trPr>
          <w:trHeight w:val="293" w:hRule="atLeast"/>
        </w:trPr>
        <w:tc>
          <w:tcPr>
            <w:tcW w:w="1712"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50" w:type="dxa"/>
            <w:vAlign w:val="top"/>
          </w:tcPr>
          <w:p>
            <w:pPr>
              <w:ind w:left="3"/>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01" w:type="dxa"/>
            <w:vAlign w:val="top"/>
          </w:tcPr>
          <w:p>
            <w:pPr>
              <w:ind w:right="23"/>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361" w:type="dxa"/>
            <w:vAlign w:val="top"/>
          </w:tcPr>
          <w:p>
            <w:pPr>
              <w:ind w:right="20"/>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334" w:type="dxa"/>
            <w:vAlign w:val="top"/>
          </w:tcPr>
          <w:p>
            <w:pPr>
              <w:pStyle w:val="TableText"/>
              <w:rPr/>
            </w:pPr>
            <w:r/>
          </w:p>
        </w:tc>
      </w:tr>
      <w:tr>
        <w:trPr>
          <w:trHeight w:val="298" w:hRule="atLeast"/>
        </w:trPr>
        <w:tc>
          <w:tcPr>
            <w:tcW w:w="1712"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50" w:type="dxa"/>
            <w:vAlign w:val="top"/>
          </w:tcPr>
          <w:p>
            <w:pPr>
              <w:ind w:left="3"/>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01"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361"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334" w:type="dxa"/>
            <w:vAlign w:val="top"/>
          </w:tcPr>
          <w:p>
            <w:pPr>
              <w:pStyle w:val="TableText"/>
              <w:rPr/>
            </w:pPr>
            <w:r/>
          </w:p>
        </w:tc>
      </w:tr>
    </w:tbl>
    <w:p>
      <w:pPr>
        <w:rPr>
          <w:rFonts w:ascii="Arial"/>
          <w:sz w:val="21"/>
        </w:rPr>
      </w:pPr>
      <w:r/>
    </w:p>
    <w:p>
      <w:pPr>
        <w:sectPr>
          <w:headerReference w:type="default" r:id="rId19"/>
          <w:footerReference w:type="default" r:id="rId2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07"/>
        <w:gridCol w:w="2343"/>
        <w:gridCol w:w="1134"/>
        <w:gridCol w:w="1134"/>
        <w:gridCol w:w="1064"/>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84"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064" w:type="dxa"/>
            <w:vAlign w:val="top"/>
            <w:tcBorders>
              <w:top w:val="single" w:color="FFFFFF" w:sz="4" w:space="0"/>
              <w:left w:val="single" w:color="FFFFFF" w:sz="2" w:space="0"/>
              <w:right w:val="single" w:color="FFFFFF" w:sz="2" w:space="0"/>
            </w:tcBorders>
          </w:tcPr>
          <w:p>
            <w:pPr>
              <w:ind w:left="393"/>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407" w:type="dxa"/>
            <w:vAlign w:val="top"/>
            <w:vMerge w:val="restart"/>
            <w:tcBorders>
              <w:bottom w:val="nil"/>
            </w:tcBorders>
          </w:tcPr>
          <w:p>
            <w:pPr>
              <w:ind w:left="7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43" w:type="dxa"/>
            <w:vAlign w:val="top"/>
            <w:vMerge w:val="restart"/>
            <w:tcBorders>
              <w:bottom w:val="nil"/>
            </w:tcBorders>
          </w:tcPr>
          <w:p>
            <w:pPr>
              <w:ind w:left="188"/>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32" w:type="dxa"/>
            <w:vAlign w:val="top"/>
            <w:gridSpan w:val="3"/>
          </w:tcPr>
          <w:p>
            <w:pPr>
              <w:ind w:left="117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407" w:type="dxa"/>
            <w:vAlign w:val="top"/>
            <w:vMerge w:val="continue"/>
            <w:tcBorders>
              <w:top w:val="nil"/>
            </w:tcBorders>
          </w:tcPr>
          <w:p>
            <w:pPr>
              <w:pStyle w:val="TableText"/>
              <w:rPr/>
            </w:pPr>
            <w:r/>
          </w:p>
        </w:tc>
        <w:tc>
          <w:tcPr>
            <w:tcW w:w="2343" w:type="dxa"/>
            <w:vAlign w:val="top"/>
            <w:vMerge w:val="continue"/>
            <w:tcBorders>
              <w:top w:val="nil"/>
            </w:tcBorders>
          </w:tcPr>
          <w:p>
            <w:pPr>
              <w:pStyle w:val="TableText"/>
              <w:rPr/>
            </w:pPr>
            <w:r/>
          </w:p>
        </w:tc>
        <w:tc>
          <w:tcPr>
            <w:tcW w:w="1134" w:type="dxa"/>
            <w:vAlign w:val="top"/>
          </w:tcPr>
          <w:p>
            <w:pPr>
              <w:ind w:left="400"/>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8"/>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64" w:type="dxa"/>
            <w:vAlign w:val="top"/>
          </w:tcPr>
          <w:p>
            <w:pPr>
              <w:ind w:left="20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750" w:type="dxa"/>
            <w:vAlign w:val="top"/>
            <w:gridSpan w:val="2"/>
          </w:tcPr>
          <w:p>
            <w:pPr>
              <w:ind w:left="2717"/>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34" w:type="dxa"/>
            <w:vAlign w:val="top"/>
          </w:tcPr>
          <w:p>
            <w:pPr>
              <w:pStyle w:val="TableText"/>
              <w:ind w:left="711"/>
              <w:spacing w:before="87" w:line="186" w:lineRule="auto"/>
              <w:rPr>
                <w:sz w:val="13"/>
                <w:szCs w:val="13"/>
              </w:rPr>
            </w:pPr>
            <w:r>
              <w:rPr>
                <w:sz w:val="13"/>
                <w:szCs w:val="13"/>
                <w:color w:val="212529"/>
                <w:spacing w:val="4"/>
              </w:rPr>
              <w:t>71.</w:t>
            </w:r>
            <w:r>
              <w:rPr>
                <w:sz w:val="13"/>
                <w:szCs w:val="13"/>
                <w:color w:val="212529"/>
                <w:spacing w:val="9"/>
              </w:rPr>
              <w:t xml:space="preserve"> </w:t>
            </w:r>
            <w:r>
              <w:rPr>
                <w:sz w:val="13"/>
                <w:szCs w:val="13"/>
                <w:color w:val="212529"/>
                <w:spacing w:val="4"/>
              </w:rPr>
              <w:t>63</w:t>
            </w:r>
          </w:p>
        </w:tc>
        <w:tc>
          <w:tcPr>
            <w:tcW w:w="1134" w:type="dxa"/>
            <w:vAlign w:val="top"/>
          </w:tcPr>
          <w:p>
            <w:pPr>
              <w:pStyle w:val="TableText"/>
              <w:ind w:left="711"/>
              <w:spacing w:before="87" w:line="186" w:lineRule="auto"/>
              <w:rPr>
                <w:sz w:val="13"/>
                <w:szCs w:val="13"/>
              </w:rPr>
            </w:pPr>
            <w:r>
              <w:rPr>
                <w:sz w:val="13"/>
                <w:szCs w:val="13"/>
                <w:color w:val="212529"/>
                <w:spacing w:val="4"/>
              </w:rPr>
              <w:t>67.</w:t>
            </w:r>
            <w:r>
              <w:rPr>
                <w:sz w:val="13"/>
                <w:szCs w:val="13"/>
                <w:color w:val="212529"/>
                <w:spacing w:val="4"/>
              </w:rPr>
              <w:t xml:space="preserve"> </w:t>
            </w:r>
            <w:r>
              <w:rPr>
                <w:sz w:val="13"/>
                <w:szCs w:val="13"/>
                <w:color w:val="212529"/>
                <w:spacing w:val="4"/>
              </w:rPr>
              <w:t>01</w:t>
            </w:r>
          </w:p>
        </w:tc>
        <w:tc>
          <w:tcPr>
            <w:tcW w:w="1064" w:type="dxa"/>
            <w:vAlign w:val="top"/>
          </w:tcPr>
          <w:p>
            <w:pPr>
              <w:pStyle w:val="TableText"/>
              <w:ind w:left="714"/>
              <w:spacing w:before="87" w:line="186" w:lineRule="auto"/>
              <w:rPr>
                <w:sz w:val="13"/>
                <w:szCs w:val="13"/>
              </w:rPr>
            </w:pPr>
            <w:r>
              <w:rPr>
                <w:sz w:val="13"/>
                <w:szCs w:val="13"/>
                <w:color w:val="212529"/>
                <w:spacing w:val="3"/>
              </w:rPr>
              <w:t>4.</w:t>
            </w:r>
            <w:r>
              <w:rPr>
                <w:sz w:val="13"/>
                <w:szCs w:val="13"/>
                <w:color w:val="212529"/>
                <w:spacing w:val="11"/>
                <w:w w:val="102"/>
              </w:rPr>
              <w:t xml:space="preserve"> </w:t>
            </w:r>
            <w:r>
              <w:rPr>
                <w:sz w:val="13"/>
                <w:szCs w:val="13"/>
                <w:color w:val="212529"/>
                <w:spacing w:val="3"/>
              </w:rPr>
              <w:t>62</w:t>
            </w:r>
          </w:p>
        </w:tc>
      </w:tr>
      <w:tr>
        <w:trPr>
          <w:trHeight w:val="292" w:hRule="atLeast"/>
        </w:trPr>
        <w:tc>
          <w:tcPr>
            <w:tcW w:w="3407"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43" w:type="dxa"/>
            <w:vAlign w:val="top"/>
          </w:tcPr>
          <w:p>
            <w:pPr>
              <w:pStyle w:val="TableText"/>
              <w:rPr/>
            </w:pPr>
            <w:r/>
          </w:p>
        </w:tc>
        <w:tc>
          <w:tcPr>
            <w:tcW w:w="113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61.01</w:t>
            </w:r>
          </w:p>
        </w:tc>
        <w:tc>
          <w:tcPr>
            <w:tcW w:w="1134" w:type="dxa"/>
            <w:vAlign w:val="top"/>
          </w:tcPr>
          <w:p>
            <w:pPr>
              <w:ind w:right="15"/>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61.01</w:t>
            </w:r>
          </w:p>
        </w:tc>
        <w:tc>
          <w:tcPr>
            <w:tcW w:w="1064" w:type="dxa"/>
            <w:vAlign w:val="top"/>
          </w:tcPr>
          <w:p>
            <w:pPr>
              <w:pStyle w:val="TableText"/>
              <w:rPr/>
            </w:pPr>
            <w:r/>
          </w:p>
        </w:tc>
      </w:tr>
      <w:tr>
        <w:trPr>
          <w:trHeight w:val="292" w:hRule="atLeast"/>
        </w:trPr>
        <w:tc>
          <w:tcPr>
            <w:tcW w:w="3407"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43" w:type="dxa"/>
            <w:vAlign w:val="top"/>
          </w:tcPr>
          <w:p>
            <w:pPr>
              <w:ind w:left="331"/>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21.44</w:t>
            </w:r>
          </w:p>
        </w:tc>
        <w:tc>
          <w:tcPr>
            <w:tcW w:w="1134" w:type="dxa"/>
            <w:vAlign w:val="top"/>
          </w:tcPr>
          <w:p>
            <w:pPr>
              <w:ind w:right="15"/>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21.44</w:t>
            </w:r>
          </w:p>
        </w:tc>
        <w:tc>
          <w:tcPr>
            <w:tcW w:w="1064" w:type="dxa"/>
            <w:vAlign w:val="top"/>
          </w:tcPr>
          <w:p>
            <w:pPr>
              <w:pStyle w:val="TableText"/>
              <w:rPr/>
            </w:pPr>
            <w:r/>
          </w:p>
        </w:tc>
      </w:tr>
      <w:tr>
        <w:trPr>
          <w:trHeight w:val="292" w:hRule="atLeast"/>
        </w:trPr>
        <w:tc>
          <w:tcPr>
            <w:tcW w:w="3407"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10.17</w:t>
            </w:r>
          </w:p>
        </w:tc>
        <w:tc>
          <w:tcPr>
            <w:tcW w:w="1134" w:type="dxa"/>
            <w:vAlign w:val="top"/>
          </w:tcPr>
          <w:p>
            <w:pPr>
              <w:ind w:right="1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10.17</w:t>
            </w:r>
          </w:p>
        </w:tc>
        <w:tc>
          <w:tcPr>
            <w:tcW w:w="1064" w:type="dxa"/>
            <w:vAlign w:val="top"/>
          </w:tcPr>
          <w:p>
            <w:pPr>
              <w:pStyle w:val="TableText"/>
              <w:rPr/>
            </w:pPr>
            <w:r/>
          </w:p>
        </w:tc>
      </w:tr>
      <w:tr>
        <w:trPr>
          <w:trHeight w:val="292" w:hRule="atLeast"/>
        </w:trPr>
        <w:tc>
          <w:tcPr>
            <w:tcW w:w="3407"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15.30</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15.30</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43"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6.02</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43"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2.45</w:t>
            </w:r>
          </w:p>
        </w:tc>
        <w:tc>
          <w:tcPr>
            <w:tcW w:w="1134" w:type="dxa"/>
            <w:vAlign w:val="top"/>
          </w:tcPr>
          <w:p>
            <w:pPr>
              <w:ind w:right="1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2.45</w:t>
            </w:r>
          </w:p>
        </w:tc>
        <w:tc>
          <w:tcPr>
            <w:tcW w:w="1064" w:type="dxa"/>
            <w:vAlign w:val="top"/>
          </w:tcPr>
          <w:p>
            <w:pPr>
              <w:pStyle w:val="TableText"/>
              <w:rPr/>
            </w:pPr>
            <w:r/>
          </w:p>
        </w:tc>
      </w:tr>
      <w:tr>
        <w:trPr>
          <w:trHeight w:val="292" w:hRule="atLeast"/>
        </w:trPr>
        <w:tc>
          <w:tcPr>
            <w:tcW w:w="3407"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0.14</w:t>
            </w:r>
          </w:p>
        </w:tc>
        <w:tc>
          <w:tcPr>
            <w:tcW w:w="1134" w:type="dxa"/>
            <w:vAlign w:val="top"/>
          </w:tcPr>
          <w:p>
            <w:pPr>
              <w:ind w:right="1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0.14</w:t>
            </w:r>
          </w:p>
        </w:tc>
        <w:tc>
          <w:tcPr>
            <w:tcW w:w="1064" w:type="dxa"/>
            <w:vAlign w:val="top"/>
          </w:tcPr>
          <w:p>
            <w:pPr>
              <w:pStyle w:val="TableText"/>
              <w:rPr/>
            </w:pPr>
            <w:r/>
          </w:p>
        </w:tc>
      </w:tr>
      <w:tr>
        <w:trPr>
          <w:trHeight w:val="292" w:hRule="atLeast"/>
        </w:trPr>
        <w:tc>
          <w:tcPr>
            <w:tcW w:w="3407"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134" w:type="dxa"/>
            <w:vAlign w:val="top"/>
          </w:tcPr>
          <w:p>
            <w:pPr>
              <w:ind w:right="15"/>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5.49</w:t>
            </w:r>
          </w:p>
        </w:tc>
        <w:tc>
          <w:tcPr>
            <w:tcW w:w="1064" w:type="dxa"/>
            <w:vAlign w:val="top"/>
          </w:tcPr>
          <w:p>
            <w:pPr>
              <w:pStyle w:val="TableText"/>
              <w:rPr/>
            </w:pPr>
            <w:r/>
          </w:p>
        </w:tc>
      </w:tr>
      <w:tr>
        <w:trPr>
          <w:trHeight w:val="292" w:hRule="atLeast"/>
        </w:trPr>
        <w:tc>
          <w:tcPr>
            <w:tcW w:w="3407"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10"/>
              </w:rPr>
              <w:t>和服务支出</w:t>
            </w:r>
          </w:p>
        </w:tc>
        <w:tc>
          <w:tcPr>
            <w:tcW w:w="2343" w:type="dxa"/>
            <w:vAlign w:val="top"/>
          </w:tcPr>
          <w:p>
            <w:pPr>
              <w:pStyle w:val="TableText"/>
              <w:rPr/>
            </w:pPr>
            <w:r/>
          </w:p>
        </w:tc>
        <w:tc>
          <w:tcPr>
            <w:tcW w:w="113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4.62</w:t>
            </w:r>
          </w:p>
        </w:tc>
        <w:tc>
          <w:tcPr>
            <w:tcW w:w="1134" w:type="dxa"/>
            <w:vAlign w:val="top"/>
          </w:tcPr>
          <w:p>
            <w:pPr>
              <w:pStyle w:val="TableText"/>
              <w:rPr/>
            </w:pPr>
            <w:r/>
          </w:p>
        </w:tc>
        <w:tc>
          <w:tcPr>
            <w:tcW w:w="106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4.62</w:t>
            </w:r>
          </w:p>
        </w:tc>
      </w:tr>
      <w:tr>
        <w:trPr>
          <w:trHeight w:val="293" w:hRule="atLeast"/>
        </w:trPr>
        <w:tc>
          <w:tcPr>
            <w:tcW w:w="3407"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2.55</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2.55</w:t>
            </w:r>
          </w:p>
        </w:tc>
      </w:tr>
      <w:tr>
        <w:trPr>
          <w:trHeight w:val="293" w:hRule="atLeast"/>
        </w:trPr>
        <w:tc>
          <w:tcPr>
            <w:tcW w:w="3407"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left="875"/>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0.75</w:t>
            </w:r>
          </w:p>
        </w:tc>
      </w:tr>
      <w:tr>
        <w:trPr>
          <w:trHeight w:val="292" w:hRule="atLeast"/>
        </w:trPr>
        <w:tc>
          <w:tcPr>
            <w:tcW w:w="3407"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43"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left="875"/>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34" w:type="dxa"/>
            <w:vAlign w:val="top"/>
          </w:tcPr>
          <w:p>
            <w:pPr>
              <w:pStyle w:val="TableText"/>
              <w:rPr/>
            </w:pPr>
            <w:r/>
          </w:p>
        </w:tc>
        <w:tc>
          <w:tcPr>
            <w:tcW w:w="106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1.32</w:t>
            </w:r>
          </w:p>
        </w:tc>
      </w:tr>
      <w:tr>
        <w:trPr>
          <w:trHeight w:val="293" w:hRule="atLeast"/>
        </w:trPr>
        <w:tc>
          <w:tcPr>
            <w:tcW w:w="3407"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43" w:type="dxa"/>
            <w:vAlign w:val="top"/>
          </w:tcPr>
          <w:p>
            <w:pPr>
              <w:pStyle w:val="TableText"/>
              <w:rPr/>
            </w:pPr>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34" w:type="dxa"/>
            <w:vAlign w:val="top"/>
          </w:tcPr>
          <w:p>
            <w:pPr>
              <w:ind w:right="1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64" w:type="dxa"/>
            <w:vAlign w:val="top"/>
          </w:tcPr>
          <w:p>
            <w:pPr>
              <w:pStyle w:val="TableText"/>
              <w:rPr/>
            </w:pPr>
            <w:r/>
          </w:p>
        </w:tc>
      </w:tr>
      <w:tr>
        <w:trPr>
          <w:trHeight w:val="298" w:hRule="atLeast"/>
        </w:trPr>
        <w:tc>
          <w:tcPr>
            <w:tcW w:w="3407"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343"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34" w:type="dxa"/>
            <w:vAlign w:val="top"/>
          </w:tcPr>
          <w:p>
            <w:pPr>
              <w:ind w:right="1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64" w:type="dxa"/>
            <w:vAlign w:val="top"/>
          </w:tcPr>
          <w:p>
            <w:pPr>
              <w:pStyle w:val="TableText"/>
              <w:rPr/>
            </w:pPr>
            <w:r/>
          </w:p>
        </w:tc>
      </w:tr>
    </w:tbl>
    <w:p>
      <w:pPr>
        <w:rPr>
          <w:rFonts w:ascii="Arial"/>
          <w:sz w:val="21"/>
        </w:rPr>
      </w:pPr>
      <w:r/>
    </w:p>
    <w:p>
      <w:pPr>
        <w:sectPr>
          <w:headerReference w:type="default" r:id="rId21"/>
          <w:footerReference w:type="default" r:id="rId22"/>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3"/>
          <w:footerReference w:type="default" r:id="rId2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5"/>
          <w:footerReference w:type="default" r:id="rId26"/>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7"/>
          <w:footerReference w:type="default" r:id="rId28"/>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9"/>
          <w:footerReference w:type="default" r:id="rId3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9"/>
        <w:gridCol w:w="1058"/>
        <w:gridCol w:w="1069"/>
        <w:gridCol w:w="832"/>
        <w:gridCol w:w="1242"/>
        <w:gridCol w:w="1080"/>
        <w:gridCol w:w="848"/>
      </w:tblGrid>
      <w:tr>
        <w:trPr>
          <w:trHeight w:val="384" w:hRule="atLeast"/>
        </w:trPr>
        <w:tc>
          <w:tcPr>
            <w:tcW w:w="30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28"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30"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1928" w:type="dxa"/>
            <w:vAlign w:val="top"/>
            <w:gridSpan w:val="2"/>
            <w:tcBorders>
              <w:top w:val="single" w:color="FFFFFF" w:sz="4" w:space="0"/>
              <w:left w:val="single" w:color="FFFFFF" w:sz="2" w:space="0"/>
              <w:right w:val="single" w:color="FFFFFF" w:sz="2" w:space="0"/>
            </w:tcBorders>
          </w:tcPr>
          <w:p>
            <w:pPr>
              <w:ind w:left="1255"/>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29" w:type="dxa"/>
            <w:vAlign w:val="top"/>
            <w:vMerge w:val="restart"/>
            <w:tcBorders>
              <w:bottom w:val="nil"/>
            </w:tcBorders>
          </w:tcPr>
          <w:p>
            <w:pPr>
              <w:ind w:left="1176"/>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58" w:type="dxa"/>
            <w:vAlign w:val="top"/>
            <w:vMerge w:val="restart"/>
            <w:tcBorders>
              <w:bottom w:val="nil"/>
            </w:tcBorders>
          </w:tcPr>
          <w:p>
            <w:pPr>
              <w:ind w:left="356"/>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43" w:type="dxa"/>
            <w:vAlign w:val="top"/>
            <w:gridSpan w:val="3"/>
          </w:tcPr>
          <w:p>
            <w:pPr>
              <w:ind w:left="99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5"/>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5"/>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7"/>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29" w:type="dxa"/>
            <w:vAlign w:val="top"/>
            <w:vMerge w:val="continue"/>
            <w:tcBorders>
              <w:top w:val="nil"/>
            </w:tcBorders>
          </w:tcPr>
          <w:p>
            <w:pPr>
              <w:pStyle w:val="TableText"/>
              <w:rPr/>
            </w:pPr>
            <w:r/>
          </w:p>
        </w:tc>
        <w:tc>
          <w:tcPr>
            <w:tcW w:w="1058" w:type="dxa"/>
            <w:vAlign w:val="top"/>
            <w:vMerge w:val="continue"/>
            <w:tcBorders>
              <w:top w:val="nil"/>
            </w:tcBorders>
          </w:tcPr>
          <w:p>
            <w:pPr>
              <w:pStyle w:val="TableText"/>
              <w:rPr/>
            </w:pPr>
            <w:r/>
          </w:p>
        </w:tc>
        <w:tc>
          <w:tcPr>
            <w:tcW w:w="1069" w:type="dxa"/>
            <w:vAlign w:val="top"/>
          </w:tcPr>
          <w:p>
            <w:pPr>
              <w:ind w:left="3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58" w:right="98"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8"/>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5"/>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29" w:type="dxa"/>
            <w:vAlign w:val="top"/>
          </w:tcPr>
          <w:p>
            <w:pPr>
              <w:ind w:left="147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58" w:type="dxa"/>
            <w:vAlign w:val="top"/>
          </w:tcPr>
          <w:p>
            <w:pPr>
              <w:ind w:left="480"/>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69" w:type="dxa"/>
            <w:vAlign w:val="top"/>
          </w:tcPr>
          <w:p>
            <w:pPr>
              <w:ind w:left="490"/>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4"/>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3"/>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2"/>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8"/>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29"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1"/>
              </w:rPr>
              <w:t>兴县孟家坪乡卫生院小善分院</w:t>
            </w:r>
          </w:p>
        </w:tc>
        <w:tc>
          <w:tcPr>
            <w:tcW w:w="1058"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c>
          <w:tcPr>
            <w:tcW w:w="106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6" w:right="102"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58"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1.12</w:t>
            </w:r>
          </w:p>
        </w:tc>
        <w:tc>
          <w:tcPr>
            <w:tcW w:w="106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1.12</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9" w:right="102" w:firstLine="161"/>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室）晋财社[2024 208号</w:t>
            </w:r>
          </w:p>
        </w:tc>
        <w:tc>
          <w:tcPr>
            <w:tcW w:w="1058"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06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551" w:hRule="atLeast"/>
        </w:trPr>
        <w:tc>
          <w:tcPr>
            <w:tcW w:w="3029" w:type="dxa"/>
            <w:vAlign w:val="top"/>
          </w:tcPr>
          <w:p>
            <w:pPr>
              <w:ind w:left="8" w:right="102" w:firstLine="162"/>
              <w:spacing w:before="19" w:line="226" w:lineRule="auto"/>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展补助资金（村卫生室运行维护费）晋财</w:t>
            </w:r>
          </w:p>
          <w:p>
            <w:pPr>
              <w:ind w:left="8"/>
              <w:spacing w:line="189" w:lineRule="auto"/>
              <w:rPr>
                <w:rFonts w:ascii="SimSun" w:hAnsi="SimSun" w:eastAsia="SimSun" w:cs="SimSun"/>
                <w:sz w:val="15"/>
                <w:szCs w:val="15"/>
              </w:rPr>
            </w:pPr>
            <w:r>
              <w:rPr>
                <w:rFonts w:ascii="SimSun" w:hAnsi="SimSun" w:eastAsia="SimSun" w:cs="SimSun"/>
                <w:sz w:val="15"/>
                <w:szCs w:val="15"/>
                <w:color w:val="212529"/>
                <w:spacing w:val="3"/>
              </w:rPr>
              <w:t>社</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3"/>
              </w:rPr>
              <w:t>209号</w:t>
            </w:r>
          </w:p>
        </w:tc>
        <w:tc>
          <w:tcPr>
            <w:tcW w:w="1058" w:type="dxa"/>
            <w:vAlign w:val="top"/>
          </w:tcPr>
          <w:p>
            <w:pPr>
              <w:ind w:right="20"/>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0.49</w:t>
            </w:r>
          </w:p>
        </w:tc>
        <w:tc>
          <w:tcPr>
            <w:tcW w:w="1069" w:type="dxa"/>
            <w:vAlign w:val="top"/>
          </w:tcPr>
          <w:p>
            <w:pPr>
              <w:ind w:right="22"/>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0.49</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510" w:right="102" w:firstLine="148"/>
              <w:spacing w:before="31" w:line="208" w:lineRule="auto"/>
              <w:rPr>
                <w:rFonts w:ascii="SimSun" w:hAnsi="SimSun" w:eastAsia="SimSun" w:cs="SimSun"/>
                <w:sz w:val="15"/>
                <w:szCs w:val="15"/>
              </w:rPr>
            </w:pPr>
            <w:r>
              <w:rPr>
                <w:rFonts w:ascii="SimSun" w:hAnsi="SimSun" w:eastAsia="SimSun" w:cs="SimSun"/>
                <w:sz w:val="15"/>
                <w:szCs w:val="15"/>
                <w:color w:val="212529"/>
                <w:spacing w:val="11"/>
              </w:rPr>
              <w:t>省级财政卫生健康人才培养（在</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7"/>
              </w:rPr>
              <w:t>岗位补助）晋财社[2024]218号</w:t>
            </w:r>
          </w:p>
        </w:tc>
        <w:tc>
          <w:tcPr>
            <w:tcW w:w="1058"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w:t>
            </w:r>
          </w:p>
        </w:tc>
        <w:tc>
          <w:tcPr>
            <w:tcW w:w="1069" w:type="dxa"/>
            <w:vAlign w:val="top"/>
          </w:tcPr>
          <w:p>
            <w:pPr>
              <w:ind w:right="22"/>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84" w:hRule="atLeast"/>
        </w:trPr>
        <w:tc>
          <w:tcPr>
            <w:tcW w:w="3029" w:type="dxa"/>
            <w:vAlign w:val="top"/>
          </w:tcPr>
          <w:p>
            <w:pPr>
              <w:ind w:left="11" w:right="183" w:firstLine="181"/>
              <w:spacing w:before="31" w:line="211"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58"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1.05</w:t>
            </w:r>
          </w:p>
        </w:tc>
        <w:tc>
          <w:tcPr>
            <w:tcW w:w="1069"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1.05</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31"/>
          <w:footerReference w:type="default" r:id="rId32"/>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单位名称：兴县孟家坪乡卫生院小善分院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33"/>
          <w:footerReference w:type="default" r:id="rId34"/>
          <w:pgSz w:w="11900" w:h="16840"/>
          <w:pgMar w:top="642" w:right="0" w:bottom="340" w:left="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5" w:right="1223" w:firstLine="454"/>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2025年度兴县孟家坪乡卫生院小善分院预算收入总计80.02万元，其</w:t>
      </w:r>
      <w:r>
        <w:rPr>
          <w:rFonts w:ascii="FangSong" w:hAnsi="FangSong" w:eastAsia="FangSong" w:cs="FangSong"/>
          <w:sz w:val="23"/>
          <w:szCs w:val="23"/>
          <w:spacing w:val="4"/>
        </w:rPr>
        <w:t>中：本年收入80.02</w:t>
      </w:r>
      <w:r>
        <w:rPr>
          <w:rFonts w:ascii="FangSong" w:hAnsi="FangSong" w:eastAsia="FangSong" w:cs="FangSong"/>
          <w:sz w:val="23"/>
          <w:szCs w:val="23"/>
        </w:rPr>
        <w:t xml:space="preserve"> </w:t>
      </w:r>
      <w:r>
        <w:rPr>
          <w:rFonts w:ascii="FangSong" w:hAnsi="FangSong" w:eastAsia="FangSong" w:cs="FangSong"/>
          <w:sz w:val="23"/>
          <w:szCs w:val="23"/>
          <w:spacing w:val="4"/>
        </w:rPr>
        <w:t>万元，上年结转0万元，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比上年减少29.19万元，</w:t>
      </w:r>
      <w:r>
        <w:rPr>
          <w:rFonts w:ascii="FangSong" w:hAnsi="FangSong" w:eastAsia="FangSong" w:cs="FangSong"/>
          <w:sz w:val="23"/>
          <w:szCs w:val="23"/>
          <w:spacing w:val="3"/>
        </w:rPr>
        <w:t>下降26.73%，主要原因是公卫资金减少，基</w:t>
      </w:r>
      <w:r>
        <w:rPr>
          <w:rFonts w:ascii="FangSong" w:hAnsi="FangSong" w:eastAsia="FangSong" w:cs="FangSong"/>
          <w:sz w:val="23"/>
          <w:szCs w:val="23"/>
        </w:rPr>
        <w:t xml:space="preserve"> </w:t>
      </w:r>
      <w:r>
        <w:rPr>
          <w:rFonts w:ascii="FangSong" w:hAnsi="FangSong" w:eastAsia="FangSong" w:cs="FangSong"/>
          <w:sz w:val="23"/>
          <w:szCs w:val="23"/>
          <w:spacing w:val="5"/>
        </w:rPr>
        <w:t>药补助资金减少；本年单位预算支出总计80.02万元，其中：</w:t>
      </w:r>
      <w:r>
        <w:rPr>
          <w:rFonts w:ascii="FangSong" w:hAnsi="FangSong" w:eastAsia="FangSong" w:cs="FangSong"/>
          <w:sz w:val="23"/>
          <w:szCs w:val="23"/>
          <w:spacing w:val="4"/>
        </w:rPr>
        <w:t>本年预算安排80.02万元，上年</w:t>
      </w:r>
      <w:r>
        <w:rPr>
          <w:rFonts w:ascii="FangSong" w:hAnsi="FangSong" w:eastAsia="FangSong" w:cs="FangSong"/>
          <w:sz w:val="23"/>
          <w:szCs w:val="23"/>
        </w:rPr>
        <w:t xml:space="preserve"> </w:t>
      </w:r>
      <w:r>
        <w:rPr>
          <w:rFonts w:ascii="FangSong" w:hAnsi="FangSong" w:eastAsia="FangSong" w:cs="FangSong"/>
          <w:sz w:val="23"/>
          <w:szCs w:val="23"/>
          <w:spacing w:val="4"/>
        </w:rPr>
        <w:t>结转0万元，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比上年减少29.19万元，下降26</w:t>
      </w:r>
      <w:r>
        <w:rPr>
          <w:rFonts w:ascii="FangSong" w:hAnsi="FangSong" w:eastAsia="FangSong" w:cs="FangSong"/>
          <w:sz w:val="23"/>
          <w:szCs w:val="23"/>
          <w:spacing w:val="3"/>
        </w:rPr>
        <w:t>.73%，主要原因是公卫资金减少，基药补助资金</w:t>
      </w:r>
      <w:r>
        <w:rPr>
          <w:rFonts w:ascii="FangSong" w:hAnsi="FangSong" w:eastAsia="FangSong" w:cs="FangSong"/>
          <w:sz w:val="23"/>
          <w:szCs w:val="23"/>
        </w:rPr>
        <w:t xml:space="preserve"> </w:t>
      </w:r>
      <w:r>
        <w:rPr>
          <w:rFonts w:ascii="FangSong" w:hAnsi="FangSong" w:eastAsia="FangSong" w:cs="FangSong"/>
          <w:sz w:val="23"/>
          <w:szCs w:val="23"/>
          <w:spacing w:val="-8"/>
        </w:rPr>
        <w:t>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spacing w:val="2"/>
        </w:rPr>
        <w:t>2025年度兴县孟家坪乡卫生院小善分院预算收入80.02万元，主要包括一般公共预算拨款</w:t>
      </w:r>
    </w:p>
    <w:p>
      <w:pPr>
        <w:ind w:left="1276" w:right="1223"/>
        <w:spacing w:before="124" w:line="320" w:lineRule="auto"/>
        <w:jc w:val="right"/>
        <w:rPr>
          <w:rFonts w:ascii="FangSong" w:hAnsi="FangSong" w:eastAsia="FangSong" w:cs="FangSong"/>
          <w:sz w:val="23"/>
          <w:szCs w:val="23"/>
        </w:rPr>
      </w:pPr>
      <w:r>
        <w:rPr>
          <w:rFonts w:ascii="FangSong" w:hAnsi="FangSong" w:eastAsia="FangSong" w:cs="FangSong"/>
          <w:sz w:val="23"/>
          <w:szCs w:val="23"/>
          <w:spacing w:val="-1"/>
        </w:rPr>
        <w:t>收入</w:t>
      </w:r>
      <w:r>
        <w:rPr>
          <w:rFonts w:ascii="FangSong" w:hAnsi="FangSong" w:eastAsia="FangSong" w:cs="FangSong"/>
          <w:sz w:val="23"/>
          <w:szCs w:val="23"/>
          <w:spacing w:val="-1"/>
        </w:rPr>
        <w:t xml:space="preserve">  </w:t>
      </w:r>
      <w:r>
        <w:rPr>
          <w:rFonts w:ascii="FangSong" w:hAnsi="FangSong" w:eastAsia="FangSong" w:cs="FangSong"/>
          <w:sz w:val="23"/>
          <w:szCs w:val="23"/>
          <w:spacing w:val="-1"/>
        </w:rPr>
        <w:t>.02万元，</w:t>
      </w:r>
      <w:r>
        <w:rPr>
          <w:rFonts w:ascii="FangSong" w:hAnsi="FangSong" w:eastAsia="FangSong" w:cs="FangSong"/>
          <w:sz w:val="23"/>
          <w:szCs w:val="23"/>
          <w:spacing w:val="-41"/>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占0%；国有资本经营</w:t>
      </w:r>
      <w:r>
        <w:rPr>
          <w:rFonts w:ascii="FangSong" w:hAnsi="FangSong" w:eastAsia="FangSong" w:cs="FangSong"/>
          <w:sz w:val="23"/>
          <w:szCs w:val="23"/>
          <w:spacing w:val="-1"/>
        </w:rPr>
        <w:t xml:space="preserve">  </w:t>
      </w:r>
      <w:r>
        <w:rPr>
          <w:rFonts w:ascii="FangSong" w:hAnsi="FangSong" w:eastAsia="FangSong" w:cs="FangSong"/>
          <w:sz w:val="23"/>
          <w:szCs w:val="23"/>
          <w:spacing w:val="-1"/>
        </w:rPr>
        <w:t>算拨款</w:t>
      </w:r>
      <w:r>
        <w:rPr>
          <w:rFonts w:ascii="FangSong" w:hAnsi="FangSong" w:eastAsia="FangSong" w:cs="FangSong"/>
          <w:sz w:val="23"/>
          <w:szCs w:val="23"/>
        </w:rPr>
        <w:t xml:space="preserve"> </w:t>
      </w:r>
      <w:r>
        <w:rPr>
          <w:rFonts w:ascii="FangSong" w:hAnsi="FangSong" w:eastAsia="FangSong" w:cs="FangSong"/>
          <w:sz w:val="23"/>
          <w:szCs w:val="23"/>
          <w:spacing w:val="1"/>
        </w:rPr>
        <w:t>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spacing w:val="1"/>
        </w:rPr>
        <w:t>财政专户管理资金收入0万元，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rPr>
        <w:t xml:space="preserve"> </w:t>
      </w:r>
      <w:r>
        <w:rPr>
          <w:rFonts w:ascii="FangSong" w:hAnsi="FangSong" w:eastAsia="FangSong" w:cs="FangSong"/>
          <w:sz w:val="23"/>
          <w:szCs w:val="23"/>
        </w:rPr>
        <w:t>单位资金0万元，</w:t>
      </w:r>
      <w:r>
        <w:rPr>
          <w:rFonts w:ascii="FangSong" w:hAnsi="FangSong" w:eastAsia="FangSong" w:cs="FangSong"/>
          <w:sz w:val="23"/>
          <w:szCs w:val="23"/>
          <w:spacing w:val="5"/>
        </w:rPr>
        <w:t xml:space="preserve">        </w:t>
      </w:r>
      <w:r>
        <w:rPr>
          <w:rFonts w:ascii="FangSong" w:hAnsi="FangSong" w:eastAsia="FangSong" w:cs="FangSong"/>
          <w:sz w:val="23"/>
          <w:szCs w:val="23"/>
        </w:rPr>
        <w:t>年结转0</w:t>
      </w:r>
    </w:p>
    <w:p>
      <w:pPr>
        <w:ind w:left="1265"/>
        <w:spacing w:before="13" w:line="226" w:lineRule="auto"/>
        <w:rPr>
          <w:rFonts w:ascii="FangSong" w:hAnsi="FangSong" w:eastAsia="FangSong" w:cs="FangSong"/>
          <w:sz w:val="23"/>
          <w:szCs w:val="23"/>
        </w:rPr>
      </w:pPr>
      <w:r>
        <w:rPr>
          <w:rFonts w:ascii="FangSong" w:hAnsi="FangSong" w:eastAsia="FangSong" w:cs="FangSong"/>
          <w:sz w:val="23"/>
          <w:szCs w:val="23"/>
          <w:spacing w:val="-10"/>
        </w:rPr>
        <w:t>万元，</w:t>
      </w:r>
      <w:r>
        <w:rPr>
          <w:rFonts w:ascii="FangSong" w:hAnsi="FangSong" w:eastAsia="FangSong" w:cs="FangSong"/>
          <w:sz w:val="23"/>
          <w:szCs w:val="23"/>
          <w:spacing w:val="-60"/>
        </w:rPr>
        <w:t xml:space="preserve"> </w:t>
      </w:r>
      <w:r>
        <w:rPr>
          <w:rFonts w:ascii="FangSong" w:hAnsi="FangSong" w:eastAsia="FangSong" w:cs="FangSong"/>
          <w:sz w:val="23"/>
          <w:szCs w:val="23"/>
          <w:spacing w:val="-10"/>
        </w:rPr>
        <w:t>占0%。</w:t>
      </w:r>
    </w:p>
    <w:p>
      <w:pPr>
        <w:rPr>
          <w:rFonts w:ascii="Arial"/>
          <w:sz w:val="21"/>
        </w:rPr>
      </w:pPr>
      <w:r/>
    </w:p>
    <w:p>
      <w:pPr>
        <w:rPr>
          <w:rFonts w:ascii="Arial"/>
          <w:sz w:val="21"/>
        </w:rPr>
      </w:pPr>
      <w:r/>
    </w:p>
    <w:p>
      <w:pPr>
        <w:ind w:firstLine="3705"/>
        <w:spacing w:before="1" w:line="2856" w:lineRule="exact"/>
        <w:rPr/>
      </w:pPr>
      <w:r>
        <w:rPr>
          <w:position w:val="-57"/>
        </w:rPr>
        <w:drawing>
          <wp:inline distT="0" distB="0" distL="0" distR="0">
            <wp:extent cx="2333735" cy="1813292"/>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33735"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10"/>
        </w:rPr>
        <w:t>2025年度</w:t>
      </w:r>
      <w:r>
        <w:rPr>
          <w:rFonts w:ascii="FangSong" w:hAnsi="FangSong" w:eastAsia="FangSong" w:cs="FangSong"/>
          <w:sz w:val="23"/>
          <w:szCs w:val="23"/>
          <w:spacing w:val="10"/>
        </w:rPr>
        <w:t xml:space="preserve">      </w:t>
      </w:r>
      <w:r>
        <w:rPr>
          <w:rFonts w:ascii="FangSong" w:hAnsi="FangSong" w:eastAsia="FangSong" w:cs="FangSong"/>
          <w:sz w:val="23"/>
          <w:szCs w:val="23"/>
          <w:spacing w:val="10"/>
        </w:rPr>
        <w:t>家坪乡卫生院小善分</w:t>
      </w:r>
      <w:r>
        <w:rPr>
          <w:rFonts w:ascii="FangSong" w:hAnsi="FangSong" w:eastAsia="FangSong" w:cs="FangSong"/>
          <w:sz w:val="23"/>
          <w:szCs w:val="23"/>
          <w:spacing w:val="9"/>
        </w:rPr>
        <w:t>院支出预算80.02万元，其中：基本支出71.63万</w:t>
      </w:r>
    </w:p>
    <w:p>
      <w:pPr>
        <w:ind w:left="1267"/>
        <w:spacing w:before="134" w:line="223" w:lineRule="auto"/>
        <w:rPr>
          <w:rFonts w:ascii="FangSong" w:hAnsi="FangSong" w:eastAsia="FangSong" w:cs="FangSong"/>
          <w:sz w:val="23"/>
          <w:szCs w:val="23"/>
        </w:rPr>
      </w:pPr>
      <w:r>
        <w:rPr>
          <w:rFonts w:ascii="FangSong" w:hAnsi="FangSong" w:eastAsia="FangSong" w:cs="FangSong"/>
          <w:sz w:val="23"/>
          <w:szCs w:val="23"/>
          <w:spacing w:val="-6"/>
        </w:rPr>
        <w:t>元，</w:t>
      </w:r>
      <w:r>
        <w:rPr>
          <w:rFonts w:ascii="FangSong" w:hAnsi="FangSong" w:eastAsia="FangSong" w:cs="FangSong"/>
          <w:sz w:val="23"/>
          <w:szCs w:val="23"/>
          <w:spacing w:val="-55"/>
        </w:rPr>
        <w:t xml:space="preserve"> </w:t>
      </w:r>
      <w:r>
        <w:rPr>
          <w:rFonts w:ascii="FangSong" w:hAnsi="FangSong" w:eastAsia="FangSong" w:cs="FangSong"/>
          <w:sz w:val="23"/>
          <w:szCs w:val="23"/>
          <w:spacing w:val="-6"/>
        </w:rPr>
        <w:t>占</w:t>
      </w:r>
      <w:r>
        <w:rPr>
          <w:rFonts w:ascii="FangSong" w:hAnsi="FangSong" w:eastAsia="FangSong" w:cs="FangSong"/>
          <w:sz w:val="23"/>
          <w:szCs w:val="23"/>
          <w:spacing w:val="-6"/>
        </w:rPr>
        <w:t xml:space="preserve">  </w:t>
      </w:r>
      <w:r>
        <w:rPr>
          <w:rFonts w:ascii="FangSong" w:hAnsi="FangSong" w:eastAsia="FangSong" w:cs="FangSong"/>
          <w:sz w:val="23"/>
          <w:szCs w:val="23"/>
          <w:spacing w:val="-6"/>
        </w:rPr>
        <w:t>.</w:t>
      </w:r>
      <w:r>
        <w:rPr>
          <w:rFonts w:ascii="FangSong" w:hAnsi="FangSong" w:eastAsia="FangSong" w:cs="FangSong"/>
          <w:sz w:val="23"/>
          <w:szCs w:val="23"/>
          <w:spacing w:val="10"/>
        </w:rPr>
        <w:t xml:space="preserve">   </w:t>
      </w:r>
      <w:r>
        <w:rPr>
          <w:rFonts w:ascii="FangSong" w:hAnsi="FangSong" w:eastAsia="FangSong" w:cs="FangSong"/>
          <w:sz w:val="23"/>
          <w:szCs w:val="23"/>
          <w:spacing w:val="-6"/>
        </w:rPr>
        <w:t>；项目支出8.39万元，</w:t>
      </w:r>
      <w:r>
        <w:rPr>
          <w:rFonts w:ascii="FangSong" w:hAnsi="FangSong" w:eastAsia="FangSong" w:cs="FangSong"/>
          <w:sz w:val="23"/>
          <w:szCs w:val="23"/>
          <w:spacing w:val="-58"/>
        </w:rPr>
        <w:t xml:space="preserve"> </w:t>
      </w:r>
      <w:r>
        <w:rPr>
          <w:rFonts w:ascii="FangSong" w:hAnsi="FangSong" w:eastAsia="FangSong" w:cs="FangSong"/>
          <w:sz w:val="23"/>
          <w:szCs w:val="23"/>
          <w:spacing w:val="-6"/>
        </w:rPr>
        <w:t>占10.48%。</w:t>
      </w:r>
    </w:p>
    <w:p>
      <w:pPr>
        <w:ind w:left="1271"/>
        <w:spacing w:before="118"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7"/>
        <w:spacing w:before="175" w:line="324" w:lineRule="auto"/>
        <w:jc w:val="both"/>
        <w:rPr>
          <w:rFonts w:ascii="FangSong" w:hAnsi="FangSong" w:eastAsia="FangSong" w:cs="FangSong"/>
          <w:sz w:val="23"/>
          <w:szCs w:val="23"/>
        </w:rPr>
      </w:pPr>
      <w:r>
        <w:rPr>
          <w:rFonts w:ascii="FangSong" w:hAnsi="FangSong" w:eastAsia="FangSong" w:cs="FangSong"/>
          <w:sz w:val="23"/>
          <w:szCs w:val="23"/>
          <w:spacing w:val="2"/>
        </w:rPr>
        <w:t>2025年度兴县孟家坪乡卫生院小善分院财政拨款收支总预算80.02万元。其中：一般公共</w:t>
      </w:r>
      <w:r>
        <w:rPr>
          <w:rFonts w:ascii="FangSong" w:hAnsi="FangSong" w:eastAsia="FangSong" w:cs="FangSong"/>
          <w:sz w:val="23"/>
          <w:szCs w:val="23"/>
          <w:spacing w:val="13"/>
        </w:rPr>
        <w:t xml:space="preserve"> </w:t>
      </w:r>
      <w:r>
        <w:rPr>
          <w:rFonts w:ascii="FangSong" w:hAnsi="FangSong" w:eastAsia="FangSong" w:cs="FangSong"/>
          <w:sz w:val="23"/>
          <w:szCs w:val="23"/>
          <w:spacing w:val="2"/>
        </w:rPr>
        <w:t>预算拨款80.02万元，政府性基金预算拨款0万元，国有资本经营预算拨款0万元。其中：当年</w:t>
      </w:r>
      <w:r>
        <w:rPr>
          <w:rFonts w:ascii="FangSong" w:hAnsi="FangSong" w:eastAsia="FangSong" w:cs="FangSong"/>
          <w:sz w:val="23"/>
          <w:szCs w:val="23"/>
          <w:spacing w:val="9"/>
        </w:rPr>
        <w:t xml:space="preserve"> </w:t>
      </w:r>
      <w:r>
        <w:rPr>
          <w:rFonts w:ascii="FangSong" w:hAnsi="FangSong" w:eastAsia="FangSong" w:cs="FangSong"/>
          <w:sz w:val="23"/>
          <w:szCs w:val="23"/>
          <w:spacing w:val="5"/>
        </w:rPr>
        <w:t>拨款收入80.02万元，上年结转收入0万元。支出包括：社会保障和</w:t>
      </w:r>
      <w:r>
        <w:rPr>
          <w:rFonts w:ascii="FangSong" w:hAnsi="FangSong" w:eastAsia="FangSong" w:cs="FangSong"/>
          <w:sz w:val="23"/>
          <w:szCs w:val="23"/>
          <w:spacing w:val="4"/>
        </w:rPr>
        <w:t>就业支出6.02万元、卫生</w:t>
      </w:r>
      <w:r>
        <w:rPr>
          <w:rFonts w:ascii="FangSong" w:hAnsi="FangSong" w:eastAsia="FangSong" w:cs="FangSong"/>
          <w:sz w:val="23"/>
          <w:szCs w:val="23"/>
        </w:rPr>
        <w:t xml:space="preserve"> </w:t>
      </w:r>
      <w:r>
        <w:rPr>
          <w:rFonts w:ascii="FangSong" w:hAnsi="FangSong" w:eastAsia="FangSong" w:cs="FangSong"/>
          <w:sz w:val="23"/>
          <w:szCs w:val="23"/>
        </w:rPr>
        <w:t>健康支出68.51万元、住房保障支出5.49</w:t>
      </w:r>
      <w:r>
        <w:rPr>
          <w:rFonts w:ascii="FangSong" w:hAnsi="FangSong" w:eastAsia="FangSong" w:cs="FangSong"/>
          <w:sz w:val="23"/>
          <w:szCs w:val="23"/>
          <w:spacing w:val="-1"/>
        </w:rPr>
        <w:t>万元等。</w:t>
      </w:r>
    </w:p>
    <w:p>
      <w:pPr>
        <w:ind w:left="1264"/>
        <w:spacing w:before="3" w:line="229"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59" w:right="1223" w:firstLine="461"/>
        <w:spacing w:before="124" w:line="325" w:lineRule="auto"/>
        <w:rPr>
          <w:rFonts w:ascii="FangSong" w:hAnsi="FangSong" w:eastAsia="FangSong" w:cs="FangSong"/>
          <w:sz w:val="23"/>
          <w:szCs w:val="23"/>
        </w:rPr>
      </w:pPr>
      <w:r>
        <w:rPr>
          <w:rFonts w:ascii="FangSong" w:hAnsi="FangSong" w:eastAsia="FangSong" w:cs="FangSong"/>
          <w:sz w:val="23"/>
          <w:szCs w:val="23"/>
          <w:spacing w:val="8"/>
        </w:rPr>
        <w:t>2025年度兴县孟家坪乡卫生院小善分院一般公共预算当年支出80.02万元</w:t>
      </w:r>
      <w:r>
        <w:rPr>
          <w:rFonts w:ascii="FangSong" w:hAnsi="FangSong" w:eastAsia="FangSong" w:cs="FangSong"/>
          <w:sz w:val="23"/>
          <w:szCs w:val="23"/>
          <w:spacing w:val="-61"/>
        </w:rPr>
        <w:t xml:space="preserve"> </w:t>
      </w:r>
      <w:r>
        <w:rPr>
          <w:rFonts w:ascii="FangSong" w:hAnsi="FangSong" w:eastAsia="FangSong" w:cs="FangSong"/>
          <w:sz w:val="23"/>
          <w:szCs w:val="23"/>
          <w:spacing w:val="8"/>
        </w:rPr>
        <w:t>,</w:t>
      </w:r>
      <w:r>
        <w:rPr>
          <w:rFonts w:ascii="FangSong" w:hAnsi="FangSong" w:eastAsia="FangSong" w:cs="FangSong"/>
          <w:sz w:val="23"/>
          <w:szCs w:val="23"/>
          <w:spacing w:val="-61"/>
        </w:rPr>
        <w:t xml:space="preserve"> </w:t>
      </w:r>
      <w:r>
        <w:rPr>
          <w:rFonts w:ascii="FangSong" w:hAnsi="FangSong" w:eastAsia="FangSong" w:cs="FangSong"/>
          <w:sz w:val="23"/>
          <w:szCs w:val="23"/>
          <w:spacing w:val="8"/>
        </w:rPr>
        <w:t>比上年减少</w:t>
      </w:r>
      <w:r>
        <w:rPr>
          <w:rFonts w:ascii="FangSong" w:hAnsi="FangSong" w:eastAsia="FangSong" w:cs="FangSong"/>
          <w:sz w:val="23"/>
          <w:szCs w:val="23"/>
        </w:rPr>
        <w:t xml:space="preserve"> </w:t>
      </w:r>
      <w:r>
        <w:rPr>
          <w:rFonts w:ascii="FangSong" w:hAnsi="FangSong" w:eastAsia="FangSong" w:cs="FangSong"/>
          <w:sz w:val="23"/>
          <w:szCs w:val="23"/>
          <w:spacing w:val="-1"/>
        </w:rPr>
        <w:t>29.19万元，下降26.73%。</w:t>
      </w:r>
    </w:p>
    <w:p>
      <w:pPr>
        <w:ind w:left="2204"/>
        <w:spacing w:line="222" w:lineRule="auto"/>
        <w:rPr>
          <w:rFonts w:ascii="FangSong" w:hAnsi="FangSong" w:eastAsia="FangSong" w:cs="FangSong"/>
          <w:sz w:val="23"/>
          <w:szCs w:val="23"/>
        </w:rPr>
      </w:pPr>
      <w:r>
        <w:rPr>
          <w:rFonts w:ascii="FangSong" w:hAnsi="FangSong" w:eastAsia="FangSong" w:cs="FangSong"/>
          <w:sz w:val="23"/>
          <w:szCs w:val="23"/>
          <w:spacing w:val="-4"/>
        </w:rPr>
        <w:t>)</w:t>
      </w:r>
      <w:r>
        <w:rPr>
          <w:rFonts w:ascii="FangSong" w:hAnsi="FangSong" w:eastAsia="FangSong" w:cs="FangSong"/>
          <w:sz w:val="23"/>
          <w:szCs w:val="23"/>
          <w:spacing w:val="34"/>
        </w:rPr>
        <w:t xml:space="preserve"> </w:t>
      </w:r>
      <w:r>
        <w:rPr>
          <w:rFonts w:ascii="FangSong" w:hAnsi="FangSong" w:eastAsia="FangSong" w:cs="FangSong"/>
          <w:sz w:val="23"/>
          <w:szCs w:val="23"/>
          <w:spacing w:val="-4"/>
        </w:rPr>
        <w:t>一般公共预算当年支出结构情况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spacing w:val="5"/>
        </w:rPr>
        <w:t>2025年度兴县孟家坪乡卫生院小善分院一般公共预算当</w:t>
      </w:r>
      <w:r>
        <w:rPr>
          <w:rFonts w:ascii="FangSong" w:hAnsi="FangSong" w:eastAsia="FangSong" w:cs="FangSong"/>
          <w:sz w:val="23"/>
          <w:szCs w:val="23"/>
          <w:spacing w:val="4"/>
        </w:rPr>
        <w:t>年支出80.02</w:t>
      </w:r>
      <w:r>
        <w:rPr>
          <w:rFonts w:ascii="FangSong" w:hAnsi="FangSong" w:eastAsia="FangSong" w:cs="FangSong"/>
          <w:sz w:val="23"/>
          <w:szCs w:val="23"/>
          <w:spacing w:val="4"/>
        </w:rPr>
        <w:t xml:space="preserve">    </w:t>
      </w:r>
      <w:r>
        <w:rPr>
          <w:rFonts w:ascii="FangSong" w:hAnsi="FangSong" w:eastAsia="FangSong" w:cs="FangSong"/>
          <w:sz w:val="23"/>
          <w:szCs w:val="23"/>
          <w:spacing w:val="4"/>
        </w:rPr>
        <w:t>,</w:t>
      </w:r>
      <w:r>
        <w:rPr>
          <w:rFonts w:ascii="FangSong" w:hAnsi="FangSong" w:eastAsia="FangSong" w:cs="FangSong"/>
          <w:sz w:val="23"/>
          <w:szCs w:val="23"/>
          <w:spacing w:val="4"/>
        </w:rPr>
        <w:t xml:space="preserve">    </w:t>
      </w:r>
      <w:r>
        <w:rPr>
          <w:rFonts w:ascii="FangSong" w:hAnsi="FangSong" w:eastAsia="FangSong" w:cs="FangSong"/>
          <w:sz w:val="23"/>
          <w:szCs w:val="23"/>
          <w:spacing w:val="4"/>
        </w:rPr>
        <w:t>用于以下</w:t>
      </w:r>
    </w:p>
    <w:p>
      <w:pPr>
        <w:ind w:left="1269"/>
        <w:spacing w:before="134" w:line="221" w:lineRule="auto"/>
        <w:rPr>
          <w:rFonts w:ascii="FangSong" w:hAnsi="FangSong" w:eastAsia="FangSong" w:cs="FangSong"/>
          <w:sz w:val="23"/>
          <w:szCs w:val="23"/>
        </w:rPr>
      </w:pPr>
      <w:r>
        <w:rPr>
          <w:rFonts w:ascii="FangSong" w:hAnsi="FangSong" w:eastAsia="FangSong" w:cs="FangSong"/>
          <w:sz w:val="23"/>
          <w:szCs w:val="23"/>
          <w:spacing w:val="2"/>
        </w:rPr>
        <w:t>方面：社会保障和就业支出6.02万元，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占7.52%；卫生健康</w:t>
      </w:r>
      <w:r>
        <w:rPr>
          <w:rFonts w:ascii="FangSong" w:hAnsi="FangSong" w:eastAsia="FangSong" w:cs="FangSong"/>
          <w:sz w:val="23"/>
          <w:szCs w:val="23"/>
          <w:spacing w:val="1"/>
        </w:rPr>
        <w:t>支出68.</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53"/>
        </w:rPr>
        <w:t xml:space="preserve"> </w:t>
      </w:r>
      <w:r>
        <w:rPr>
          <w:rFonts w:ascii="FangSong" w:hAnsi="FangSong" w:eastAsia="FangSong" w:cs="FangSong"/>
          <w:sz w:val="23"/>
          <w:szCs w:val="23"/>
          <w:spacing w:val="1"/>
        </w:rPr>
        <w:t>占85.62%；住房</w:t>
      </w:r>
    </w:p>
    <w:p>
      <w:pPr>
        <w:spacing w:line="221"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spacing w:before="56"/>
        <w:rPr/>
      </w:pPr>
      <w:r/>
    </w:p>
    <w:p>
      <w:pPr>
        <w:spacing w:before="56"/>
        <w:rPr/>
      </w:pPr>
      <w:r/>
    </w:p>
    <w:p>
      <w:pPr>
        <w:sectPr>
          <w:headerReference w:type="default" r:id="rId38"/>
          <w:footerReference w:type="default" r:id="rId39"/>
          <w:pgSz w:w="11900" w:h="16840"/>
          <w:pgMar w:top="642" w:right="0" w:bottom="340" w:left="0" w:header="326" w:footer="111" w:gutter="0"/>
          <w:cols w:equalWidth="0" w:num="1">
            <w:col w:w="11900" w:space="0"/>
          </w:cols>
        </w:sectPr>
        <w:rPr/>
      </w:pPr>
    </w:p>
    <w:p>
      <w:pPr>
        <w:ind w:left="1264"/>
        <w:spacing w:before="47" w:line="221" w:lineRule="auto"/>
        <w:rPr>
          <w:rFonts w:ascii="FangSong" w:hAnsi="FangSong" w:eastAsia="FangSong" w:cs="FangSong"/>
          <w:sz w:val="23"/>
          <w:szCs w:val="23"/>
        </w:rPr>
      </w:pPr>
      <w:r>
        <w:rPr>
          <w:rFonts w:ascii="FangSong" w:hAnsi="FangSong" w:eastAsia="FangSong" w:cs="FangSong"/>
          <w:sz w:val="23"/>
          <w:szCs w:val="23"/>
          <w:spacing w:val="-8"/>
        </w:rPr>
        <w:t>保障</w:t>
      </w:r>
    </w:p>
    <w:p>
      <w:pPr>
        <w:spacing w:before="12"/>
        <w:rPr/>
      </w:pPr>
      <w:r/>
    </w:p>
    <w:p>
      <w:pPr>
        <w:spacing w:before="12"/>
        <w:rPr/>
      </w:pPr>
      <w:r/>
    </w:p>
    <w:p>
      <w:pPr>
        <w:spacing w:before="12"/>
        <w:rPr/>
      </w:pPr>
      <w:r/>
    </w:p>
    <w:p>
      <w:pPr>
        <w:spacing w:before="12"/>
        <w:rPr/>
      </w:pPr>
      <w:r/>
    </w:p>
    <w:p>
      <w:pPr>
        <w:spacing w:before="12"/>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line="14" w:lineRule="auto"/>
        <w:rPr>
          <w:rFonts w:ascii="Arial"/>
          <w:sz w:val="2"/>
        </w:rPr>
      </w:pPr>
      <w:r>
        <w:rPr>
          <w:rFonts w:ascii="Arial" w:hAnsi="Arial" w:eastAsia="Arial" w:cs="Arial"/>
          <w:sz w:val="2"/>
          <w:szCs w:val="2"/>
        </w:rPr>
        <w:br w:type="column"/>
      </w:r>
    </w:p>
    <w:p>
      <w:pPr>
        <w:ind w:left="139"/>
        <w:spacing w:before="221" w:line="89" w:lineRule="exact"/>
        <w:rPr>
          <w:rFonts w:ascii="FangSong" w:hAnsi="FangSong" w:eastAsia="FangSong" w:cs="FangSong"/>
          <w:sz w:val="23"/>
          <w:szCs w:val="23"/>
        </w:rPr>
      </w:pPr>
      <w:r>
        <w:rPr>
          <w:rFonts w:ascii="FangSong" w:hAnsi="FangSong" w:eastAsia="FangSong" w:cs="FangSong"/>
          <w:sz w:val="23"/>
          <w:szCs w:val="23"/>
          <w:position w:val="2"/>
        </w:rPr>
        <w:t>.</w:t>
      </w:r>
    </w:p>
    <w:p>
      <w:pPr>
        <w:spacing w:line="14" w:lineRule="auto"/>
        <w:rPr>
          <w:rFonts w:ascii="Arial"/>
          <w:sz w:val="2"/>
        </w:rPr>
      </w:pPr>
      <w:r>
        <w:rPr>
          <w:rFonts w:ascii="Arial" w:hAnsi="Arial" w:eastAsia="Arial" w:cs="Arial"/>
          <w:sz w:val="2"/>
          <w:szCs w:val="2"/>
        </w:rPr>
        <w:br w:type="column"/>
      </w:r>
    </w:p>
    <w:p>
      <w:pPr>
        <w:spacing w:before="46" w:line="224" w:lineRule="auto"/>
        <w:jc w:val="right"/>
        <w:rPr>
          <w:rFonts w:ascii="FangSong" w:hAnsi="FangSong" w:eastAsia="FangSong" w:cs="FangSong"/>
          <w:sz w:val="23"/>
          <w:szCs w:val="23"/>
        </w:rPr>
      </w:pPr>
      <w:r>
        <w:rPr>
          <w:rFonts w:ascii="FangSong" w:hAnsi="FangSong" w:eastAsia="FangSong" w:cs="FangSong"/>
          <w:sz w:val="23"/>
          <w:szCs w:val="23"/>
          <w:spacing w:val="-11"/>
        </w:rPr>
        <w:t>元，</w:t>
      </w:r>
      <w:r>
        <w:rPr>
          <w:rFonts w:ascii="FangSong" w:hAnsi="FangSong" w:eastAsia="FangSong" w:cs="FangSong"/>
          <w:sz w:val="23"/>
          <w:szCs w:val="23"/>
          <w:spacing w:val="-52"/>
        </w:rPr>
        <w:t xml:space="preserve"> </w:t>
      </w:r>
      <w:r>
        <w:rPr>
          <w:rFonts w:ascii="FangSong" w:hAnsi="FangSong" w:eastAsia="FangSong" w:cs="FangSong"/>
          <w:sz w:val="23"/>
          <w:szCs w:val="23"/>
          <w:spacing w:val="-11"/>
        </w:rPr>
        <w:t>占6.86%等。</w:t>
      </w:r>
    </w:p>
    <w:p>
      <w:pPr>
        <w:spacing w:line="14" w:lineRule="auto"/>
        <w:rPr>
          <w:rFonts w:ascii="Arial"/>
          <w:sz w:val="2"/>
        </w:rPr>
      </w:pPr>
      <w:r>
        <w:rPr>
          <w:rFonts w:ascii="Arial" w:hAnsi="Arial" w:eastAsia="Arial" w:cs="Arial"/>
          <w:sz w:val="2"/>
          <w:szCs w:val="2"/>
        </w:rPr>
        <w:br w:type="column"/>
      </w:r>
    </w:p>
    <w:p>
      <w:pPr>
        <w:spacing w:line="295" w:lineRule="auto"/>
        <w:rPr>
          <w:rFonts w:ascii="Arial"/>
          <w:sz w:val="21"/>
        </w:rPr>
      </w:pPr>
      <w:r/>
    </w:p>
    <w:p>
      <w:pPr>
        <w:spacing w:line="295" w:lineRule="auto"/>
        <w:rPr>
          <w:rFonts w:ascii="Arial"/>
          <w:sz w:val="21"/>
        </w:rPr>
      </w:pPr>
      <w:r/>
    </w:p>
    <w:p>
      <w:pPr>
        <w:spacing w:line="2463" w:lineRule="exact"/>
        <w:rPr/>
      </w:pPr>
      <w:r>
        <w:rPr>
          <w:position w:val="-49"/>
        </w:rPr>
        <w:drawing>
          <wp:inline distT="0" distB="0" distL="0" distR="0">
            <wp:extent cx="1902501" cy="156425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1902501" cy="1564258"/>
                    </a:xfrm>
                    <a:prstGeom prst="rect">
                      <a:avLst/>
                    </a:prstGeom>
                  </pic:spPr>
                </pic:pic>
              </a:graphicData>
            </a:graphic>
          </wp:inline>
        </w:drawing>
      </w:r>
    </w:p>
    <w:p>
      <w:pPr>
        <w:spacing w:line="2463" w:lineRule="exact"/>
        <w:sectPr>
          <w:type w:val="continuous"/>
          <w:pgSz w:w="11900" w:h="16840"/>
          <w:pgMar w:top="642" w:right="0" w:bottom="340" w:left="0" w:header="326" w:footer="111" w:gutter="0"/>
          <w:cols w:equalWidth="0" w:num="4">
            <w:col w:w="2062" w:space="100"/>
            <w:col w:w="720" w:space="0"/>
            <w:col w:w="1683" w:space="100"/>
            <w:col w:w="7236" w:space="0"/>
          </w:cols>
        </w:sectPr>
        <w:rPr/>
      </w:pPr>
    </w:p>
    <w:p>
      <w:pPr>
        <w:spacing w:line="241" w:lineRule="auto"/>
        <w:rPr>
          <w:rFonts w:ascii="Arial"/>
          <w:sz w:val="21"/>
        </w:rPr>
      </w:pPr>
      <w:r/>
    </w:p>
    <w:p>
      <w:pPr>
        <w:spacing w:line="242"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2190"/>
        <w:spacing w:before="185" w:line="222" w:lineRule="auto"/>
        <w:rPr>
          <w:rFonts w:ascii="FangSong" w:hAnsi="FangSong" w:eastAsia="FangSong" w:cs="FangSong"/>
          <w:sz w:val="23"/>
          <w:szCs w:val="23"/>
        </w:rPr>
      </w:pPr>
      <w:r>
        <w:rPr>
          <w:rFonts w:ascii="FangSong" w:hAnsi="FangSong" w:eastAsia="FangSong" w:cs="FangSong"/>
          <w:sz w:val="23"/>
          <w:szCs w:val="23"/>
          <w:spacing w:val="1"/>
        </w:rPr>
        <w:t>年度兴县孟家坪乡卫生院小善分院一般公共预算安排基本支出71</w:t>
      </w:r>
      <w:r>
        <w:rPr>
          <w:rFonts w:ascii="FangSong" w:hAnsi="FangSong" w:eastAsia="FangSong" w:cs="FangSong"/>
          <w:sz w:val="23"/>
          <w:szCs w:val="23"/>
        </w:rPr>
        <w:t>.63万元</w:t>
      </w:r>
      <w:r>
        <w:rPr>
          <w:rFonts w:ascii="FangSong" w:hAnsi="FangSong" w:eastAsia="FangSong" w:cs="FangSong"/>
          <w:sz w:val="23"/>
          <w:szCs w:val="23"/>
          <w:spacing w:val="-16"/>
        </w:rPr>
        <w:t>，</w:t>
      </w:r>
      <w:r>
        <w:rPr>
          <w:rFonts w:ascii="FangSong" w:hAnsi="FangSong" w:eastAsia="FangSong" w:cs="FangSong"/>
          <w:sz w:val="23"/>
          <w:szCs w:val="23"/>
        </w:rPr>
        <w:t xml:space="preserve">    </w:t>
      </w:r>
      <w:r>
        <w:rPr>
          <w:rFonts w:ascii="FangSong" w:hAnsi="FangSong" w:eastAsia="FangSong" w:cs="FangSong"/>
          <w:sz w:val="23"/>
          <w:szCs w:val="23"/>
          <w:spacing w:val="-16"/>
        </w:rPr>
        <w:t>：</w:t>
      </w:r>
    </w:p>
    <w:p>
      <w:pPr>
        <w:ind w:left="1728"/>
        <w:spacing w:before="123" w:line="222" w:lineRule="auto"/>
        <w:rPr>
          <w:rFonts w:ascii="FangSong" w:hAnsi="FangSong" w:eastAsia="FangSong" w:cs="FangSong"/>
          <w:sz w:val="23"/>
          <w:szCs w:val="23"/>
        </w:rPr>
      </w:pPr>
      <w:r>
        <w:rPr>
          <w:rFonts w:ascii="FangSong" w:hAnsi="FangSong" w:eastAsia="FangSong" w:cs="FangSong"/>
          <w:sz w:val="23"/>
          <w:szCs w:val="23"/>
          <w:spacing w:val="2"/>
        </w:rPr>
        <w:t>人员经费67.</w:t>
      </w:r>
      <w:r>
        <w:rPr>
          <w:rFonts w:ascii="FangSong" w:hAnsi="FangSong" w:eastAsia="FangSong" w:cs="FangSong"/>
          <w:sz w:val="23"/>
          <w:szCs w:val="23"/>
          <w:spacing w:val="2"/>
        </w:rPr>
        <w:t xml:space="preserve"> </w:t>
      </w:r>
      <w:r>
        <w:rPr>
          <w:rFonts w:ascii="FangSong" w:hAnsi="FangSong" w:eastAsia="FangSong" w:cs="FangSong"/>
          <w:sz w:val="23"/>
          <w:szCs w:val="23"/>
          <w:spacing w:val="2"/>
        </w:rPr>
        <w:t>1万元，主要包括：其他对个人和家庭的补助、其他社会</w:t>
      </w:r>
      <w:r>
        <w:rPr>
          <w:rFonts w:ascii="FangSong" w:hAnsi="FangSong" w:eastAsia="FangSong" w:cs="FangSong"/>
          <w:sz w:val="23"/>
          <w:szCs w:val="23"/>
          <w:spacing w:val="2"/>
        </w:rPr>
        <w:t xml:space="preserve">        </w:t>
      </w:r>
      <w:r>
        <w:rPr>
          <w:rFonts w:ascii="FangSong" w:hAnsi="FangSong" w:eastAsia="FangSong" w:cs="FangSong"/>
          <w:sz w:val="23"/>
          <w:szCs w:val="23"/>
          <w:spacing w:val="2"/>
        </w:rPr>
        <w:t>、绩效工</w:t>
      </w:r>
    </w:p>
    <w:p>
      <w:pPr>
        <w:ind w:left="1275"/>
        <w:spacing w:before="124" w:line="221" w:lineRule="auto"/>
        <w:rPr>
          <w:rFonts w:ascii="FangSong" w:hAnsi="FangSong" w:eastAsia="FangSong" w:cs="FangSong"/>
          <w:sz w:val="23"/>
          <w:szCs w:val="23"/>
        </w:rPr>
      </w:pPr>
      <w:r>
        <w:rPr>
          <w:rFonts w:ascii="FangSong" w:hAnsi="FangSong" w:eastAsia="FangSong" w:cs="FangSong"/>
          <w:sz w:val="23"/>
          <w:szCs w:val="23"/>
          <w:spacing w:val="5"/>
        </w:rPr>
        <w:t>资、基本工资、住房公积金、机关事业单位基本养老保险缴费、</w:t>
      </w:r>
      <w:r>
        <w:rPr>
          <w:rFonts w:ascii="FangSong" w:hAnsi="FangSong" w:eastAsia="FangSong" w:cs="FangSong"/>
          <w:sz w:val="23"/>
          <w:szCs w:val="23"/>
          <w:spacing w:val="5"/>
        </w:rPr>
        <w:t xml:space="preserve">        </w:t>
      </w:r>
      <w:r>
        <w:rPr>
          <w:rFonts w:ascii="FangSong" w:hAnsi="FangSong" w:eastAsia="FangSong" w:cs="FangSong"/>
          <w:sz w:val="23"/>
          <w:szCs w:val="23"/>
          <w:spacing w:val="4"/>
        </w:rPr>
        <w:t xml:space="preserve">  </w:t>
      </w:r>
      <w:r>
        <w:rPr>
          <w:rFonts w:ascii="FangSong" w:hAnsi="FangSong" w:eastAsia="FangSong" w:cs="FangSong"/>
          <w:sz w:val="23"/>
          <w:szCs w:val="23"/>
          <w:spacing w:val="4"/>
        </w:rPr>
        <w:t>疗保险缴费、津</w:t>
      </w:r>
    </w:p>
    <w:p>
      <w:pPr>
        <w:ind w:left="1267"/>
        <w:spacing w:before="135" w:line="222" w:lineRule="auto"/>
        <w:rPr>
          <w:rFonts w:ascii="FangSong" w:hAnsi="FangSong" w:eastAsia="FangSong" w:cs="FangSong"/>
          <w:sz w:val="23"/>
          <w:szCs w:val="23"/>
        </w:rPr>
      </w:pPr>
      <w:r>
        <w:rPr>
          <w:rFonts w:ascii="FangSong" w:hAnsi="FangSong" w:eastAsia="FangSong" w:cs="FangSong"/>
          <w:sz w:val="23"/>
          <w:szCs w:val="23"/>
          <w:spacing w:val="-4"/>
        </w:rPr>
        <w:t>贴补贴等；</w:t>
      </w:r>
    </w:p>
    <w:p>
      <w:pPr>
        <w:ind w:left="1729"/>
        <w:spacing w:before="123" w:line="223" w:lineRule="auto"/>
        <w:rPr>
          <w:rFonts w:ascii="FangSong" w:hAnsi="FangSong" w:eastAsia="FangSong" w:cs="FangSong"/>
          <w:sz w:val="23"/>
          <w:szCs w:val="23"/>
        </w:rPr>
      </w:pPr>
      <w:r>
        <w:rPr>
          <w:rFonts w:ascii="FangSong" w:hAnsi="FangSong" w:eastAsia="FangSong" w:cs="FangSong"/>
          <w:sz w:val="23"/>
          <w:szCs w:val="23"/>
        </w:rPr>
        <w:t>公用经费4.62万元，主要包括：福利费、工会经费、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6"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20"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32" w:line="226"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58" w:right="1223" w:firstLine="462"/>
        <w:spacing w:before="176" w:line="322" w:lineRule="auto"/>
        <w:rPr>
          <w:rFonts w:ascii="FangSong" w:hAnsi="FangSong" w:eastAsia="FangSong" w:cs="FangSong"/>
          <w:sz w:val="23"/>
          <w:szCs w:val="23"/>
        </w:rPr>
      </w:pPr>
      <w:r>
        <w:rPr>
          <w:rFonts w:ascii="FangSong" w:hAnsi="FangSong" w:eastAsia="FangSong" w:cs="FangSong"/>
          <w:sz w:val="23"/>
          <w:szCs w:val="23"/>
          <w:spacing w:val="2"/>
        </w:rPr>
        <w:t>2025年兴县孟家坪乡卫生院小善分院政府采购预算总额0万元。其中：政府采购货物预算</w:t>
      </w:r>
      <w:r>
        <w:rPr>
          <w:rFonts w:ascii="FangSong" w:hAnsi="FangSong" w:eastAsia="FangSong" w:cs="FangSong"/>
          <w:sz w:val="23"/>
          <w:szCs w:val="23"/>
          <w:spacing w:val="17"/>
        </w:rPr>
        <w:t xml:space="preserve"> </w:t>
      </w:r>
      <w:r>
        <w:rPr>
          <w:rFonts w:ascii="FangSong" w:hAnsi="FangSong" w:eastAsia="FangSong" w:cs="FangSong"/>
          <w:sz w:val="23"/>
          <w:szCs w:val="23"/>
        </w:rPr>
        <w:t>0万元、政府采购工程预算0万元、政府采购服务预算0万元。</w:t>
      </w:r>
    </w:p>
    <w:p>
      <w:pPr>
        <w:ind w:left="1260"/>
        <w:spacing w:before="4"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5"/>
        </w:rPr>
        <w:t>1、整体绩</w:t>
      </w:r>
    </w:p>
    <w:p>
      <w:pPr>
        <w:ind w:left="1259"/>
        <w:spacing w:before="122" w:line="223" w:lineRule="auto"/>
        <w:rPr>
          <w:rFonts w:ascii="FangSong" w:hAnsi="FangSong" w:eastAsia="FangSong" w:cs="FangSong"/>
          <w:sz w:val="23"/>
          <w:szCs w:val="23"/>
        </w:rPr>
      </w:pPr>
      <w:r>
        <w:rPr>
          <w:rFonts w:ascii="FangSong" w:hAnsi="FangSong" w:eastAsia="FangSong" w:cs="FangSong"/>
          <w:sz w:val="23"/>
          <w:szCs w:val="23"/>
        </w:rPr>
        <w:t>2025年</w:t>
      </w:r>
      <w:r>
        <w:rPr>
          <w:rFonts w:ascii="FangSong" w:hAnsi="FangSong" w:eastAsia="FangSong" w:cs="FangSong"/>
          <w:sz w:val="23"/>
          <w:szCs w:val="23"/>
        </w:rPr>
        <w:t xml:space="preserve">        </w:t>
      </w:r>
      <w:r>
        <w:rPr>
          <w:rFonts w:ascii="FangSong" w:hAnsi="FangSong" w:eastAsia="FangSong" w:cs="FangSong"/>
          <w:sz w:val="23"/>
          <w:szCs w:val="23"/>
        </w:rPr>
        <w:t>整体绩效目标，涉及资金8.39万元。</w:t>
      </w:r>
    </w:p>
    <w:p>
      <w:pPr>
        <w:ind w:left="1720"/>
        <w:spacing w:before="133"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6"/>
        <w:spacing w:before="124" w:line="323" w:lineRule="auto"/>
        <w:rPr>
          <w:rFonts w:ascii="FangSong" w:hAnsi="FangSong" w:eastAsia="FangSong" w:cs="FangSong"/>
          <w:sz w:val="23"/>
          <w:szCs w:val="23"/>
        </w:rPr>
      </w:pPr>
      <w:r>
        <w:rPr>
          <w:rFonts w:ascii="FangSong" w:hAnsi="FangSong" w:eastAsia="FangSong" w:cs="FangSong"/>
          <w:sz w:val="23"/>
          <w:szCs w:val="23"/>
          <w:spacing w:val="2"/>
        </w:rPr>
        <w:t>2025年兴县孟家坪乡卫生院小善分院纳入绩效目标管理的二级项目5个，共计金额8.39万</w:t>
      </w:r>
      <w:r>
        <w:rPr>
          <w:rFonts w:ascii="FangSong" w:hAnsi="FangSong" w:eastAsia="FangSong" w:cs="FangSong"/>
          <w:sz w:val="23"/>
          <w:szCs w:val="23"/>
          <w:spacing w:val="13"/>
        </w:rPr>
        <w:t xml:space="preserve"> </w:t>
      </w:r>
      <w:r>
        <w:rPr>
          <w:rFonts w:ascii="FangSong" w:hAnsi="FangSong" w:eastAsia="FangSong" w:cs="FangSong"/>
          <w:sz w:val="23"/>
          <w:szCs w:val="23"/>
          <w:spacing w:val="5"/>
        </w:rPr>
        <w:t>元。其中：其他运转类项目0个，涉及金额0万元；特定目标类项目0个，涉及金额0万元。公</w:t>
      </w:r>
      <w:r>
        <w:rPr>
          <w:rFonts w:ascii="FangSong" w:hAnsi="FangSong" w:eastAsia="FangSong" w:cs="FangSong"/>
          <w:sz w:val="23"/>
          <w:szCs w:val="23"/>
          <w:spacing w:val="1"/>
        </w:rPr>
        <w:t xml:space="preserve"> </w:t>
      </w:r>
      <w:r>
        <w:rPr>
          <w:rFonts w:ascii="FangSong" w:hAnsi="FangSong" w:eastAsia="FangSong" w:cs="FangSong"/>
          <w:sz w:val="23"/>
          <w:szCs w:val="23"/>
          <w:spacing w:val="1"/>
        </w:rPr>
        <w:t>开项目绩效目标8个，涉及项目金额8.39万元，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占部门（单位）项目支出总额</w:t>
      </w:r>
      <w:r>
        <w:rPr>
          <w:rFonts w:ascii="FangSong" w:hAnsi="FangSong" w:eastAsia="FangSong" w:cs="FangSong"/>
          <w:sz w:val="23"/>
          <w:szCs w:val="23"/>
        </w:rPr>
        <w:t>的100%。其中：</w:t>
      </w:r>
      <w:r>
        <w:rPr>
          <w:rFonts w:ascii="FangSong" w:hAnsi="FangSong" w:eastAsia="FangSong" w:cs="FangSong"/>
          <w:sz w:val="23"/>
          <w:szCs w:val="23"/>
        </w:rPr>
        <w:t xml:space="preserve"> </w:t>
      </w:r>
      <w:r>
        <w:rPr>
          <w:rFonts w:ascii="FangSong" w:hAnsi="FangSong" w:eastAsia="FangSong" w:cs="FangSong"/>
          <w:sz w:val="23"/>
          <w:szCs w:val="23"/>
        </w:rPr>
        <w:t>其他运转类项目0个，涉及项目金额0万元；特定目标类项目0个，涉及项目金额0万元。</w:t>
      </w:r>
    </w:p>
    <w:p>
      <w:pPr>
        <w:ind w:left="1264"/>
        <w:spacing w:line="189"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189" w:lineRule="auto"/>
        <w:sectPr>
          <w:type w:val="continuous"/>
          <w:pgSz w:w="11900" w:h="16840"/>
          <w:pgMar w:top="642" w:right="0" w:bottom="340" w:left="0" w:header="326" w:footer="111" w:gutter="0"/>
          <w:cols w:equalWidth="0" w:num="1">
            <w:col w:w="11900" w:space="0"/>
          </w:cols>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2113"/>
        <w:spacing w:line="12282" w:lineRule="exact"/>
        <w:rPr/>
      </w:pPr>
      <w:r>
        <w:pict>
          <v:shape id="_x0000_s454"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94957" cy="7798977"/>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4894957" cy="7798977"/>
                    </a:xfrm>
                    <a:prstGeom prst="rect">
                      <a:avLst/>
                    </a:prstGeom>
                  </pic:spPr>
                </pic:pic>
              </a:graphicData>
            </a:graphic>
          </wp:inline>
        </w:drawing>
      </w:r>
    </w:p>
    <w:p>
      <w:pPr>
        <w:spacing w:line="12282" w:lineRule="exact"/>
        <w:sectPr>
          <w:headerReference w:type="default" r:id="rId41"/>
          <w:footerReference w:type="default" r:id="rId42"/>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13"/>
        <w:spacing w:line="12131" w:lineRule="exact"/>
        <w:rPr/>
      </w:pPr>
      <w:r>
        <w:pict>
          <v:shape id="_x0000_s458"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60"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2"/>
        </w:rPr>
        <w:drawing>
          <wp:inline distT="0" distB="0" distL="0" distR="0">
            <wp:extent cx="4894957" cy="7702864"/>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4894957" cy="7702864"/>
                    </a:xfrm>
                    <a:prstGeom prst="rect">
                      <a:avLst/>
                    </a:prstGeom>
                  </pic:spPr>
                </pic:pic>
              </a:graphicData>
            </a:graphic>
          </wp:inline>
        </w:drawing>
      </w:r>
    </w:p>
    <w:p>
      <w:pPr>
        <w:spacing w:line="12131" w:lineRule="exact"/>
        <w:sectPr>
          <w:footerReference w:type="default" r:id="rId44"/>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13"/>
        <w:spacing w:line="12282" w:lineRule="exact"/>
        <w:rPr/>
      </w:pPr>
      <w:r>
        <w:pict>
          <v:shape id="_x0000_s462"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64" style="position:absolute;margin-left:391.92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94957" cy="7798977"/>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4894957" cy="7798977"/>
                    </a:xfrm>
                    <a:prstGeom prst="rect">
                      <a:avLst/>
                    </a:prstGeom>
                  </pic:spPr>
                </pic:pic>
              </a:graphicData>
            </a:graphic>
          </wp:inline>
        </w:drawing>
      </w:r>
    </w:p>
    <w:p>
      <w:pPr>
        <w:spacing w:line="12282" w:lineRule="exact"/>
        <w:sectPr>
          <w:footerReference w:type="default" r:id="rId46"/>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13"/>
        <w:spacing w:line="12390" w:lineRule="exact"/>
        <w:rPr/>
      </w:pPr>
      <w:r>
        <w:pict>
          <v:shape id="_x0000_s466"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68"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894957" cy="7867630"/>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4894957" cy="7867630"/>
                    </a:xfrm>
                    <a:prstGeom prst="rect">
                      <a:avLst/>
                    </a:prstGeom>
                  </pic:spPr>
                </pic:pic>
              </a:graphicData>
            </a:graphic>
          </wp:inline>
        </w:drawing>
      </w:r>
    </w:p>
    <w:p>
      <w:pPr>
        <w:spacing w:line="12390" w:lineRule="exact"/>
        <w:sectPr>
          <w:footerReference w:type="default" r:id="rId48"/>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016"/>
        <w:spacing w:line="12261" w:lineRule="exact"/>
        <w:rPr/>
      </w:pPr>
      <w:r>
        <w:pict>
          <v:shape id="_x0000_s482"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84"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486" style="position:absolute;margin-left:-13.08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11667" cy="7785246"/>
            <wp:effectExtent l="0" t="0" r="0" b="0"/>
            <wp:docPr id="16" name="IM 16"/>
            <wp:cNvGraphicFramePr/>
            <a:graphic>
              <a:graphicData uri="http://schemas.openxmlformats.org/drawingml/2006/picture">
                <pic:pic>
                  <pic:nvPicPr>
                    <pic:cNvPr id="16" name="IM 16"/>
                    <pic:cNvPicPr/>
                  </pic:nvPicPr>
                  <pic:blipFill>
                    <a:blip r:embed="rId52"/>
                    <a:stretch>
                      <a:fillRect/>
                    </a:stretch>
                  </pic:blipFill>
                  <pic:spPr>
                    <a:xfrm rot="0">
                      <a:off x="0" y="0"/>
                      <a:ext cx="5011667" cy="7785246"/>
                    </a:xfrm>
                    <a:prstGeom prst="rect">
                      <a:avLst/>
                    </a:prstGeom>
                  </pic:spPr>
                </pic:pic>
              </a:graphicData>
            </a:graphic>
          </wp:inline>
        </w:drawing>
      </w:r>
    </w:p>
    <w:p>
      <w:pPr>
        <w:spacing w:line="12261" w:lineRule="exact"/>
        <w:sectPr>
          <w:headerReference w:type="default" r:id="rId50"/>
          <w:footerReference w:type="default" r:id="rId51"/>
          <w:pgSz w:w="11900" w:h="16840"/>
          <w:pgMar w:top="642" w:right="0" w:bottom="340" w:left="0" w:header="326" w:footer="110" w:gutter="0"/>
        </w:sectPr>
        <w:rPr/>
      </w:pPr>
    </w:p>
    <w:p>
      <w:pPr>
        <w:spacing w:line="277" w:lineRule="auto"/>
        <w:rPr>
          <w:rFonts w:ascii="Arial"/>
          <w:sz w:val="21"/>
        </w:rPr>
      </w:pPr>
      <w:r>
        <w:pict>
          <v:shape id="_x0000_s496" style="position:absolute;margin-left:491.92pt;margin-top:44.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864"/>
        <w:spacing w:line="12379" w:lineRule="exact"/>
        <w:rPr/>
      </w:pPr>
      <w:r>
        <w:pict>
          <v:shape id="_x0000_s498" style="position:absolute;margin-left:-13.08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500"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502"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504" style="position:absolute;margin-left:491.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5203895" cy="7860765"/>
            <wp:effectExtent l="0" t="0" r="0" b="0"/>
            <wp:docPr id="18" name="IM 18"/>
            <wp:cNvGraphicFramePr/>
            <a:graphic>
              <a:graphicData uri="http://schemas.openxmlformats.org/drawingml/2006/picture">
                <pic:pic>
                  <pic:nvPicPr>
                    <pic:cNvPr id="18" name="IM 18"/>
                    <pic:cNvPicPr/>
                  </pic:nvPicPr>
                  <pic:blipFill>
                    <a:blip r:embed="rId55"/>
                    <a:stretch>
                      <a:fillRect/>
                    </a:stretch>
                  </pic:blipFill>
                  <pic:spPr>
                    <a:xfrm rot="0">
                      <a:off x="0" y="0"/>
                      <a:ext cx="5203895" cy="7860765"/>
                    </a:xfrm>
                    <a:prstGeom prst="rect">
                      <a:avLst/>
                    </a:prstGeom>
                  </pic:spPr>
                </pic:pic>
              </a:graphicData>
            </a:graphic>
          </wp:inline>
        </w:drawing>
      </w:r>
    </w:p>
    <w:p>
      <w:pPr>
        <w:spacing w:line="12379" w:lineRule="exact"/>
        <w:sectPr>
          <w:headerReference w:type="default" r:id="rId53"/>
          <w:footerReference w:type="default" r:id="rId54"/>
          <w:pgSz w:w="11900" w:h="16840"/>
          <w:pgMar w:top="642" w:right="0" w:bottom="340" w:left="0" w:header="326" w:footer="111"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截至2025年1月1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日，兴县孟家坪乡卫生院小善分院共有公务用车编制0辆，实有0辆，其</w:t>
      </w:r>
      <w:r>
        <w:rPr>
          <w:rFonts w:ascii="FangSong" w:hAnsi="FangSong" w:eastAsia="FangSong" w:cs="FangSong"/>
          <w:sz w:val="23"/>
          <w:szCs w:val="23"/>
        </w:rPr>
        <w:t xml:space="preserve"> </w:t>
      </w:r>
      <w:r>
        <w:rPr>
          <w:rFonts w:ascii="FangSong" w:hAnsi="FangSong" w:eastAsia="FangSong" w:cs="FangSong"/>
          <w:sz w:val="23"/>
          <w:szCs w:val="23"/>
          <w:spacing w:val="5"/>
        </w:rPr>
        <w:t>中：领导用车0辆，机要通信用车0辆，应急保障用车0辆，执法执勤用车0辆，特种专业技术</w:t>
      </w:r>
      <w:r>
        <w:rPr>
          <w:rFonts w:ascii="FangSong" w:hAnsi="FangSong" w:eastAsia="FangSong" w:cs="FangSong"/>
          <w:sz w:val="23"/>
          <w:szCs w:val="23"/>
          <w:spacing w:val="1"/>
        </w:rPr>
        <w:t xml:space="preserve"> </w:t>
      </w:r>
      <w:r>
        <w:rPr>
          <w:rFonts w:ascii="FangSong" w:hAnsi="FangSong" w:eastAsia="FangSong" w:cs="FangSong"/>
          <w:sz w:val="23"/>
          <w:szCs w:val="23"/>
        </w:rPr>
        <w:t>用车0辆，事业单位业务用车0辆，其他公务用车</w:t>
      </w:r>
      <w:r>
        <w:rPr>
          <w:rFonts w:ascii="FangSong" w:hAnsi="FangSong" w:eastAsia="FangSong" w:cs="FangSong"/>
          <w:sz w:val="23"/>
          <w:szCs w:val="23"/>
          <w:spacing w:val="-1"/>
        </w:rPr>
        <w:t>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6" w:right="1223" w:firstLine="458"/>
        <w:spacing w:before="123" w:line="322" w:lineRule="auto"/>
        <w:rPr>
          <w:rFonts w:ascii="FangSong" w:hAnsi="FangSong" w:eastAsia="FangSong" w:cs="FangSong"/>
          <w:sz w:val="23"/>
          <w:szCs w:val="23"/>
        </w:rPr>
      </w:pPr>
      <w:r>
        <w:rPr>
          <w:rFonts w:ascii="FangSong" w:hAnsi="FangSong" w:eastAsia="FangSong" w:cs="FangSong"/>
          <w:sz w:val="23"/>
          <w:szCs w:val="23"/>
          <w:spacing w:val="6"/>
        </w:rPr>
        <w:t>截至2025年1月1</w:t>
      </w:r>
      <w:r>
        <w:rPr>
          <w:rFonts w:ascii="FangSong" w:hAnsi="FangSong" w:eastAsia="FangSong" w:cs="FangSong"/>
          <w:sz w:val="23"/>
          <w:szCs w:val="23"/>
          <w:spacing w:val="-42"/>
        </w:rPr>
        <w:t xml:space="preserve"> </w:t>
      </w:r>
      <w:r>
        <w:rPr>
          <w:rFonts w:ascii="FangSong" w:hAnsi="FangSong" w:eastAsia="FangSong" w:cs="FangSong"/>
          <w:sz w:val="23"/>
          <w:szCs w:val="23"/>
          <w:spacing w:val="6"/>
        </w:rPr>
        <w:t>日，兴县孟家坪乡卫生院小善分院使用的办公用房建筑总面积850平方</w:t>
      </w:r>
      <w:r>
        <w:rPr>
          <w:rFonts w:ascii="FangSong" w:hAnsi="FangSong" w:eastAsia="FangSong" w:cs="FangSong"/>
          <w:sz w:val="23"/>
          <w:szCs w:val="23"/>
        </w:rPr>
        <w:t xml:space="preserve"> </w:t>
      </w:r>
      <w:r>
        <w:rPr>
          <w:rFonts w:ascii="FangSong" w:hAnsi="FangSong" w:eastAsia="FangSong" w:cs="FangSong"/>
          <w:sz w:val="23"/>
          <w:szCs w:val="23"/>
          <w:spacing w:val="-9"/>
        </w:rPr>
        <w:t>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截至2025年1月1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日，兴县孟家坪乡卫生院小善分院占有使用价值50万元（原值）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w:t>
      </w:r>
      <w:r>
        <w:rPr>
          <w:rFonts w:ascii="FangSong" w:hAnsi="FangSong" w:eastAsia="FangSong" w:cs="FangSong"/>
          <w:sz w:val="23"/>
          <w:szCs w:val="23"/>
        </w:rPr>
        <w:t xml:space="preserve"> </w:t>
      </w:r>
      <w:r>
        <w:rPr>
          <w:rFonts w:ascii="FangSong" w:hAnsi="FangSong" w:eastAsia="FangSong" w:cs="FangSong"/>
          <w:sz w:val="23"/>
          <w:szCs w:val="23"/>
          <w:spacing w:val="3"/>
        </w:rPr>
        <w:t>通用设备0台（套</w:t>
      </w:r>
      <w:r>
        <w:rPr>
          <w:rFonts w:ascii="FangSong" w:hAnsi="FangSong" w:eastAsia="FangSong" w:cs="FangSong"/>
          <w:sz w:val="23"/>
          <w:szCs w:val="23"/>
          <w:spacing w:val="20"/>
        </w:rPr>
        <w:t>）；</w:t>
      </w:r>
      <w:r>
        <w:rPr>
          <w:rFonts w:ascii="FangSong" w:hAnsi="FangSong" w:eastAsia="FangSong" w:cs="FangSong"/>
          <w:sz w:val="23"/>
          <w:szCs w:val="23"/>
          <w:spacing w:val="3"/>
        </w:rPr>
        <w:t>兴县孟家坪乡卫生院小善分院占有使用价值100万元（原值）</w:t>
      </w:r>
      <w:r>
        <w:rPr>
          <w:rFonts w:ascii="FangSong" w:hAnsi="FangSong" w:eastAsia="FangSong" w:cs="FangSong"/>
          <w:sz w:val="23"/>
          <w:szCs w:val="23"/>
          <w:spacing w:val="-64"/>
        </w:rPr>
        <w:t xml:space="preserve"> </w:t>
      </w:r>
      <w:r>
        <w:rPr>
          <w:rFonts w:ascii="FangSong" w:hAnsi="FangSong" w:eastAsia="FangSong" w:cs="FangSong"/>
          <w:sz w:val="23"/>
          <w:szCs w:val="23"/>
          <w:spacing w:val="3"/>
        </w:rPr>
        <w:t>以上的通</w:t>
      </w:r>
      <w:r>
        <w:rPr>
          <w:rFonts w:ascii="FangSong" w:hAnsi="FangSong" w:eastAsia="FangSong" w:cs="FangSong"/>
          <w:sz w:val="23"/>
          <w:szCs w:val="23"/>
        </w:rPr>
        <w:t xml:space="preserve"> </w:t>
      </w:r>
      <w:r>
        <w:rPr>
          <w:rFonts w:ascii="FangSong" w:hAnsi="FangSong" w:eastAsia="FangSong" w:cs="FangSong"/>
          <w:sz w:val="23"/>
          <w:szCs w:val="23"/>
          <w:spacing w:val="-2"/>
        </w:rPr>
        <w:t>用设备0台（套）。</w:t>
      </w:r>
    </w:p>
    <w:p>
      <w:pPr>
        <w:ind w:left="12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6"/>
          <w:footerReference w:type="default" r:id="rId57"/>
          <w:pgSz w:w="11900" w:h="16840"/>
          <w:pgMar w:top="642" w:right="0" w:bottom="340" w:left="0" w:header="326" w:footer="110" w:gutter="0"/>
        </w:sectPr>
        <w:rPr>
          <w:rFonts w:ascii="FangSong" w:hAnsi="FangSong" w:eastAsia="FangSong" w:cs="FangSong"/>
          <w:sz w:val="23"/>
          <w:szCs w:val="23"/>
        </w:rPr>
      </w:pPr>
    </w:p>
    <w:p>
      <w:pPr>
        <w:spacing w:line="277" w:lineRule="auto"/>
        <w:rPr>
          <w:rFonts w:ascii="Arial"/>
          <w:sz w:val="21"/>
        </w:rPr>
      </w:pPr>
      <w:r>
        <w:pict>
          <v:shape id="_x0000_s524"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35"/>
        <w:spacing w:line="13461" w:lineRule="exact"/>
        <w:rPr/>
      </w:pPr>
      <w:r>
        <w:pict>
          <v:shape id="_x0000_s526" style="position:absolute;margin-left:-13.08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528" style="position:absolute;margin-left:86.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530"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532" style="position:absolute;margin-left:491.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0" name="IM 20"/>
            <wp:cNvGraphicFramePr/>
            <a:graphic>
              <a:graphicData uri="http://schemas.openxmlformats.org/drawingml/2006/picture">
                <pic:pic>
                  <pic:nvPicPr>
                    <pic:cNvPr id="20" name="IM 20"/>
                    <pic:cNvPicPr/>
                  </pic:nvPicPr>
                  <pic:blipFill>
                    <a:blip r:embed="rId59"/>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53"/>
          <w:footerReference w:type="default" r:id="rId58"/>
          <w:pgSz w:w="11900" w:h="16840"/>
          <w:pgMar w:top="642" w:right="0" w:bottom="340" w:left="0" w:header="326" w:footer="111" w:gutter="0"/>
        </w:sectPr>
        <w:rPr/>
      </w:pPr>
    </w:p>
    <w:p>
      <w:pPr>
        <w:spacing w:line="277" w:lineRule="auto"/>
        <w:rPr>
          <w:rFonts w:ascii="Arial"/>
          <w:sz w:val="21"/>
        </w:rPr>
      </w:pPr>
      <w:r>
        <w:pict>
          <v:shape id="_x0000_s534"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78"/>
        <w:spacing w:line="13461" w:lineRule="exact"/>
        <w:rPr/>
      </w:pPr>
      <w:r>
        <w:pict>
          <v:shape id="_x0000_s536" style="position:absolute;margin-left:491.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538"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40" style="position:absolute;margin-left:391.92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542" style="position:absolute;margin-left:-13.08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2" name="IM 22"/>
            <wp:cNvGraphicFramePr/>
            <a:graphic>
              <a:graphicData uri="http://schemas.openxmlformats.org/drawingml/2006/picture">
                <pic:pic>
                  <pic:nvPicPr>
                    <pic:cNvPr id="22" name="IM 22"/>
                    <pic:cNvPicPr/>
                  </pic:nvPicPr>
                  <pic:blipFill>
                    <a:blip r:embed="rId61"/>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60"/>
          <w:pgSz w:w="11900" w:h="16840"/>
          <w:pgMar w:top="642" w:right="0" w:bottom="340" w:left="0" w:header="326" w:footer="111" w:gutter="0"/>
        </w:sectPr>
        <w:rPr/>
      </w:pPr>
    </w:p>
    <w:p>
      <w:pPr>
        <w:spacing w:line="277" w:lineRule="auto"/>
        <w:rPr>
          <w:rFonts w:ascii="Arial"/>
          <w:sz w:val="21"/>
        </w:rPr>
      </w:pPr>
      <w:r>
        <w:pict>
          <v:shape id="_x0000_s544"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46" style="position:absolute;margin-left:-13.08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548" style="position:absolute;margin-left:491.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550"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552"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4" name="IM 24"/>
            <wp:cNvGraphicFramePr/>
            <a:graphic>
              <a:graphicData uri="http://schemas.openxmlformats.org/drawingml/2006/picture">
                <pic:pic>
                  <pic:nvPicPr>
                    <pic:cNvPr id="24" name="IM 24"/>
                    <pic:cNvPicPr/>
                  </pic:nvPicPr>
                  <pic:blipFill>
                    <a:blip r:embed="rId63"/>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2"/>
          <w:pgSz w:w="11900" w:h="16840"/>
          <w:pgMar w:top="642" w:right="0" w:bottom="340" w:left="0" w:header="326" w:footer="111" w:gutter="0"/>
        </w:sectPr>
        <w:rPr/>
      </w:pPr>
    </w:p>
    <w:p>
      <w:pPr>
        <w:spacing w:line="277" w:lineRule="auto"/>
        <w:rPr>
          <w:rFonts w:ascii="Arial"/>
          <w:sz w:val="21"/>
        </w:rPr>
      </w:pPr>
      <w:r>
        <w:pict>
          <v:shape id="_x0000_s554" style="position:absolute;margin-left:491.92pt;margin-top:44.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56" style="position:absolute;margin-left:391.92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558" style="position:absolute;margin-left:491.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560" style="position:absolute;margin-left:-13.08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562" style="position:absolute;margin-left:86.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6" name="IM 26"/>
            <wp:cNvGraphicFramePr/>
            <a:graphic>
              <a:graphicData uri="http://schemas.openxmlformats.org/drawingml/2006/picture">
                <pic:pic>
                  <pic:nvPicPr>
                    <pic:cNvPr id="26" name="IM 26"/>
                    <pic:cNvPicPr/>
                  </pic:nvPicPr>
                  <pic:blipFill>
                    <a:blip r:embed="rId65"/>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4"/>
          <w:pgSz w:w="11900" w:h="16840"/>
          <w:pgMar w:top="642" w:right="0" w:bottom="340" w:left="0" w:header="326" w:footer="111" w:gutter="0"/>
        </w:sectPr>
        <w:rPr/>
      </w:pPr>
    </w:p>
    <w:p>
      <w:pPr>
        <w:spacing w:line="277" w:lineRule="auto"/>
        <w:rPr>
          <w:rFonts w:ascii="Arial"/>
          <w:sz w:val="21"/>
        </w:rPr>
      </w:pPr>
      <w:r>
        <w:pict>
          <v:shape id="_x0000_s564" style="position:absolute;margin-left:491.92pt;margin-top:44.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66" style="position:absolute;margin-left:-13.08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568"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570"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572"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67"/>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6"/>
          <w:pgSz w:w="11900" w:h="16840"/>
          <w:pgMar w:top="642" w:right="0" w:bottom="340" w:left="0" w:header="326" w:footer="111" w:gutter="0"/>
        </w:sectPr>
        <w:rPr/>
      </w:pPr>
    </w:p>
    <w:p>
      <w:pPr>
        <w:spacing w:line="277" w:lineRule="auto"/>
        <w:rPr>
          <w:rFonts w:ascii="Arial"/>
          <w:sz w:val="21"/>
        </w:rPr>
      </w:pPr>
      <w:r>
        <w:pict>
          <v:shape id="_x0000_s574" style="position:absolute;margin-left:491.92pt;margin-top:44.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76" style="position:absolute;margin-left:-13.08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578" style="position:absolute;margin-left:391.92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580" style="position:absolute;margin-left:86.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582" style="position:absolute;margin-left:491.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0" name="IM 30"/>
            <wp:cNvGraphicFramePr/>
            <a:graphic>
              <a:graphicData uri="http://schemas.openxmlformats.org/drawingml/2006/picture">
                <pic:pic>
                  <pic:nvPicPr>
                    <pic:cNvPr id="30" name="IM 30"/>
                    <pic:cNvPicPr/>
                  </pic:nvPicPr>
                  <pic:blipFill>
                    <a:blip r:embed="rId69"/>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8"/>
          <w:pgSz w:w="11900" w:h="16840"/>
          <w:pgMar w:top="642" w:right="0" w:bottom="340" w:left="0" w:header="326" w:footer="111" w:gutter="0"/>
        </w:sectPr>
        <w:rPr/>
      </w:pPr>
    </w:p>
    <w:p>
      <w:pPr>
        <w:spacing w:line="277" w:lineRule="auto"/>
        <w:rPr>
          <w:rFonts w:ascii="Arial"/>
          <w:sz w:val="21"/>
        </w:rPr>
      </w:pPr>
      <w:r>
        <w:pict>
          <v:shape id="_x0000_s584" style="position:absolute;margin-left:491.92pt;margin-top:44.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89"/>
        <w:spacing w:line="13461" w:lineRule="exact"/>
        <w:rPr/>
      </w:pPr>
      <w:r>
        <w:pict>
          <v:shape id="_x0000_s586"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588" style="position:absolute;margin-left:491.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90" style="position:absolute;margin-left:86.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592" style="position:absolute;margin-left:-13.08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2" name="IM 32"/>
            <wp:cNvGraphicFramePr/>
            <a:graphic>
              <a:graphicData uri="http://schemas.openxmlformats.org/drawingml/2006/picture">
                <pic:pic>
                  <pic:nvPicPr>
                    <pic:cNvPr id="32" name="IM 32"/>
                    <pic:cNvPicPr/>
                  </pic:nvPicPr>
                  <pic:blipFill>
                    <a:blip r:embed="rId71"/>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70"/>
          <w:pgSz w:w="11900" w:h="16840"/>
          <w:pgMar w:top="642" w:right="0" w:bottom="340" w:left="0" w:header="326" w:footer="111" w:gutter="0"/>
        </w:sectPr>
        <w:rPr/>
      </w:pPr>
    </w:p>
    <w:p>
      <w:pPr>
        <w:spacing w:line="277" w:lineRule="auto"/>
        <w:rPr>
          <w:rFonts w:ascii="Arial"/>
          <w:sz w:val="21"/>
        </w:rPr>
      </w:pPr>
      <w:r>
        <w:pict>
          <v:shape id="_x0000_s594"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96" style="position:absolute;margin-left:391.92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598" style="position:absolute;margin-left:491.92pt;margin-top:472.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600" style="position:absolute;margin-left:86.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602" style="position:absolute;margin-left:-13.08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4" name="IM 34"/>
            <wp:cNvGraphicFramePr/>
            <a:graphic>
              <a:graphicData uri="http://schemas.openxmlformats.org/drawingml/2006/picture">
                <pic:pic>
                  <pic:nvPicPr>
                    <pic:cNvPr id="34" name="IM 34"/>
                    <pic:cNvPicPr/>
                  </pic:nvPicPr>
                  <pic:blipFill>
                    <a:blip r:embed="rId73"/>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2"/>
          <w:pgSz w:w="11900" w:h="16840"/>
          <w:pgMar w:top="642" w:right="0" w:bottom="340" w:left="0" w:header="326" w:footer="111"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74"/>
      <w:footerReference w:type="default" r:id="rId75"/>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bookmarkStart w:name="bookmark48" w:id="44"/>
    <w:bookmarkEnd w:id="44"/>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9" w:id="49"/>
    <w:bookmarkEnd w:id="49"/>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633pt;mso-position-vertical-relative:text;mso-position-horizontal-relative:text;width:119.4pt;height:18.85pt;z-index:-251568128;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80"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4816;"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74.4118pt;margin-top:267.372pt;mso-position-vertical-relative:page;mso-position-horizontal-relative:page;width:15.25pt;height:7.9pt;z-index:-251566080;" o:allowincell="f" fillcolor="#212529" filled="true" stroked="false" type="#_x0000_t136">
          <v:textpath style="font-family:&quot;SimSun&quot;;font-size:7.5;v-text-kern:t;mso-text-shadow:auto" string="1011"/>
        </v:shape>
      </w:pict>
    </w:r>
    <w:r>
      <w:pict>
        <v:shape id="PowerPlusWaterMarkObject188" style="position:absolute;margin-left:69.8661pt;margin-top:282.508pt;mso-position-vertical-relative:page;mso-position-horizontal-relative:page;width:11.7pt;height:7.9pt;z-index:-251565056;"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51.368pt;margin-top:282.508pt;mso-position-vertical-relative:page;mso-position-horizontal-relative:page;width:7.75pt;height:7.9pt;z-index:-251563008;" o:allowincell="f" fillcolor="#212529" filled="true" stroked="false" type="#_x0000_t136">
          <v:textpath style="font-family:&quot;SimSun&quot;;font-size:7.5;v-text-kern:t;mso-text-shadow:auto" string="47"/>
        </v:shape>
      </w:pict>
    </w:r>
    <w:r>
      <w:pict>
        <v:shape id="PowerPlusWaterMarkObject194" style="position:absolute;margin-left:443.45pt;margin-top:297.644pt;mso-position-vertical-relative:page;mso-position-horizontal-relative:page;width:15.7pt;height:7.9pt;z-index:-251561984;" o:allowincell="f" fillcolor="#212529" filled="true" stroked="false" type="#_x0000_t136">
          <v:textpath style="font-family:&quot;SimSun&quot;;font-size:7.5;v-text-kern:t;mso-text-shadow:auto" string="5 49"/>
        </v:shape>
      </w:pict>
    </w:r>
    <w:r>
      <w:pict>
        <v:shape id="PowerPlusWaterMarkObject196"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6864;"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08" style="position:absolute;margin-left:86.02pt;margin-top:267.372pt;mso-position-vertical-relative:page;mso-position-horizontal-relative:page;width:15.7pt;height:7.9pt;z-index:-251551744;" o:allowincell="f" fillcolor="#212529" filled="true" stroked="false" type="#_x0000_t136">
          <v:textpath style="font-family:&quot;SimSun&quot;;font-size:7.5;v-text-kern:t;mso-text-shadow:auto" string="住房"/>
        </v:shape>
      </w:pict>
    </w:r>
    <w:r>
      <w:pict>
        <v:shape id="PowerPlusWaterMarkObject210" style="position:absolute;margin-left:69.8978pt;margin-top:282.508pt;mso-position-vertical-relative:page;mso-position-horizontal-relative:page;width:15.6pt;height:7.9pt;z-index:-251550720;" o:allowincell="f" fillcolor="#212529" filled="true" stroked="false" type="#_x0000_t136">
          <v:textpath style="font-family:&quot;SimSun&quot;;font-size:7.5;v-text-kern:t;mso-text-shadow:auto" string="商品"/>
        </v:shape>
      </w:pict>
    </w:r>
    <w:r>
      <w:pict>
        <v:shape id="PowerPlusWaterMarkObject212" style="position:absolute;margin-left:86.92pt;margin-top:27.7633pt;mso-position-vertical-relative:text;mso-position-horizontal-relative:text;width:119.4pt;height:18.85pt;z-index:-251537408;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86.557pt;margin-top:71.2915pt;mso-position-vertical-relative:page;mso-position-horizontal-relative:page;width:35.45pt;height:6.5pt;z-index:-251538432;" o:allowincell="f" fillcolor="#212529" filled="true" stroked="false" type="#_x0000_t136">
          <v:textpath style="font-family:&quot;SimSun&quot;;font-size:6;v-text-kern:t;mso-text-shadow:auto" string="预算公开表6"/>
        </v:shape>
      </w:pict>
    </w:r>
    <w:r>
      <w:pict>
        <v:shape id="PowerPlusWaterMarkObject222" style="position:absolute;margin-left:396.468pt;margin-top:312.78pt;mso-position-vertical-relative:page;mso-position-horizontal-relative:page;width:3.6pt;height:7.9pt;z-index:-251548672;" o:allowincell="f" fillcolor="#212529" filled="true" stroked="false" type="#_x0000_t136">
          <v:textpath style="font-family:&quot;SimSun&quot;;font-size:7.5;v-text-kern:t;mso-text-shadow:auto" string="0"/>
        </v:shape>
      </w:pict>
    </w:r>
    <w:r>
      <w:pict>
        <v:shape id="PowerPlusWaterMarkObject224" style="position:absolute;margin-left:396.991pt;margin-top:327.916pt;mso-position-vertical-relative:page;mso-position-horizontal-relative:page;width:3.1pt;height:7.9pt;z-index:-251547648;" o:allowincell="f" fillcolor="#212529" filled="true" stroked="false" type="#_x0000_t136">
          <v:textpath style="font-family:&quot;SimSun&quot;;font-size:7.5;v-text-kern:t;mso-text-shadow:auto" string="1"/>
        </v:shape>
      </w:pict>
    </w:r>
    <w:r>
      <w:pict>
        <v:shape id="PowerPlusWaterMarkObject226" style="position:absolute;margin-left:404.704pt;margin-top:312.78pt;mso-position-vertical-relative:page;mso-position-horizontal-relative:page;width:7.55pt;height:7.9pt;z-index:-251546624;" o:allowincell="f" fillcolor="#212529" filled="true" stroked="false" type="#_x0000_t136">
          <v:textpath style="font-family:&quot;SimSun&quot;;font-size:7.5;v-text-kern:t;mso-text-shadow:auto" string="75"/>
        </v:shape>
      </w:pict>
    </w:r>
    <w:r>
      <w:pict>
        <v:shape id="PowerPlusWaterMarkObject228" style="position:absolute;margin-left:404.672pt;margin-top:327.916pt;mso-position-vertical-relative:page;mso-position-horizontal-relative:page;width:7.55pt;height:7.9pt;z-index:-251545600;" o:allowincell="f" fillcolor="#212529" filled="true" stroked="false" type="#_x0000_t136">
          <v:textpath style="font-family:&quot;SimSun&quot;;font-size:7.5;v-text-kern:t;mso-text-shadow:auto" string="32"/>
        </v:shape>
      </w:pict>
    </w:r>
    <w:r>
      <w:pict>
        <v:shape id="PowerPlusWaterMarkObject230" style="position:absolute;margin-left:491.92pt;margin-top:44.105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1.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_x0000_s238" style="position:absolute;margin-left:30pt;margin-top:29.5pt;mso-position-vertical-relative:page;mso-position-horizontal-relative:page;width:535pt;height:1pt;z-index:-251540480;"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40" style="position:absolute;margin-left:86.92pt;margin-top:27.763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242" style="position:absolute;margin-left:490.334pt;margin-top:73.4279pt;mso-position-vertical-relative:page;mso-position-horizontal-relative:page;width:35.4pt;height:6.5pt;z-index:-251528192;" o:allowincell="f" fillcolor="#212529" filled="true" stroked="false" type="#_x0000_t136">
          <v:textpath style="font-family:&quot;SimSun&quot;;font-size:6;v-text-kern:t;mso-text-shadow:auto" string="预算公开表7"/>
        </v:shape>
      </w:pict>
    </w:r>
    <w:r>
      <w:pict>
        <v:shape id="PowerPlusWaterMarkObject244" style="position:absolute;margin-left:491.92pt;margin-top:44.105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0pt;margin-top:29.5pt;mso-position-vertical-relative:page;mso-position-horizontal-relative:page;width:535pt;height:1pt;z-index:-251530240;"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60"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2" style="position:absolute;margin-left:490.282pt;margin-top:73.4538pt;mso-position-vertical-relative:page;mso-position-horizontal-relative:page;width:35.45pt;height:6.5pt;z-index:-251517952;" o:allowincell="f" fillcolor="#212529" filled="true" stroked="false" type="#_x0000_t136">
          <v:textpath style="font-family:&quot;SimSun&quot;;font-size:6;v-text-kern:t;mso-text-shadow:auto" string="预算公开表8"/>
        </v:shape>
      </w:pict>
    </w:r>
    <w:r>
      <w:pict>
        <v:shape id="PowerPlusWaterMarkObject264"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80" style="position:absolute;margin-left:86.92pt;margin-top:27.7633pt;mso-position-vertical-relative:text;mso-position-horizontal-relative:text;width:119.4pt;height:18.85pt;z-index:-251506688;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490.36pt;margin-top:78.8596pt;mso-position-vertical-relative:page;mso-position-horizontal-relative:page;width:35.35pt;height:6.5pt;z-index:-251507712;" o:allowincell="f" fillcolor="#212529" filled="true" stroked="false" type="#_x0000_t136">
          <v:textpath style="font-family:&quot;SimSun&quot;;font-size:6;v-text-kern:t;mso-text-shadow:auto" string="部门公开表9"/>
        </v:shape>
      </w:pict>
    </w:r>
    <w:r>
      <w:pict>
        <v:shape id="PowerPlusWaterMarkObject284"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391.92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00" style="position:absolute;margin-left:86.92pt;margin-top:27.7633pt;mso-position-vertical-relative:text;mso-position-horizontal-relative:text;width:119.4pt;height:18.85pt;z-index:-251496448;rotation:330;"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87.09pt;margin-top:67.4816pt;mso-position-vertical-relative:page;mso-position-horizontal-relative:page;width:38.65pt;height:6.5pt;z-index:-251497472;" o:allowincell="f" fillcolor="#212529" filled="true" stroked="false" type="#_x0000_t136">
          <v:textpath style="font-family:&quot;SimSun&quot;;font-size:6;v-text-kern:t;mso-text-shadow:auto" string="预算公开表11"/>
        </v:shape>
      </w:pict>
    </w:r>
    <w:r>
      <w:pict>
        <v:shape id="PowerPlusWaterMarkObject310" style="position:absolute;margin-left:491.92pt;margin-top:44.1055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491.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_x0000_s318" style="position:absolute;margin-left:30pt;margin-top:29.5pt;mso-position-vertical-relative:page;mso-position-horizontal-relative:page;width:535pt;height:1pt;z-index:-251499520;"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20" style="position:absolute;margin-left:86.92pt;margin-top:27.7633pt;mso-position-vertical-relative:text;mso-position-horizontal-relative:text;width:119.4pt;height:18.85pt;z-index:-251482112;rotation:330;" fillcolor="#404040" filled="true" stroked="false" type="#_x0000_t136">
          <v:fill opacity="0.400000"/>
          <v:textpath style="font-family:&quot;SimSun&quot;;font-size:20;v-text-kern:t;mso-text-shadow:auto" string="仅供内部审核"/>
        </v:shape>
      </w:pict>
    </w:r>
    <w:r>
      <w:pict>
        <v:shape id="PowerPlusWaterMarkObject322" style="position:absolute;margin-left:130.8pt;margin-top:233.316pt;mso-position-vertical-relative:page;mso-position-horizontal-relative:page;width:3.45pt;height:7.9pt;z-index:-251490304;" o:allowincell="f" fillcolor="#212529" filled="true" stroked="false" type="#_x0000_t136">
          <v:textpath style="font-family:&quot;SimSun&quot;;font-size:7.5;v-text-kern:t;mso-text-shadow:auto" string="]"/>
        </v:shape>
      </w:pict>
    </w:r>
    <w:r>
      <w:pict>
        <v:shape id="PowerPlusWaterMarkObject324" style="position:absolute;margin-left:79.1159pt;margin-top:261.426pt;mso-position-vertical-relative:page;mso-position-horizontal-relative:page;width:22.7pt;height:7.9pt;z-index:-251494400;" o:allowincell="f" fillcolor="#212529" filled="true" stroked="false" type="#_x0000_t136">
          <v:textpath style="font-family:&quot;SimSun&quot;;font-size:7.5;v-text-kern:t;mso-text-shadow:auto" string="[2024]"/>
        </v:shape>
      </w:pict>
    </w:r>
    <w:r>
      <w:pict>
        <v:shape id="PowerPlusWaterMarkObject326" style="position:absolute;margin-left:77.9747pt;margin-top:271.696pt;mso-position-vertical-relative:page;mso-position-horizontal-relative:page;width:23.75pt;height:7.9pt;z-index:-251493376;" o:allowincell="f" fillcolor="#212529" filled="true" stroked="false" type="#_x0000_t136">
          <v:textpath style="font-family:&quot;SimSun&quot;;font-size:7.5;v-text-kern:t;mso-text-shadow:auto" string="2025年"/>
        </v:shape>
      </w:pict>
    </w:r>
    <w:r>
      <w:pict>
        <v:shape id="PowerPlusWaterMarkObject328" style="position:absolute;margin-left:70.6348pt;margin-top:280.886pt;mso-position-vertical-relative:page;mso-position-horizontal-relative:page;width:23pt;height:7.9pt;z-index:-251492352;" o:allowincell="f" fillcolor="#212529" filled="true" stroked="false" type="#_x0000_t136">
          <v:textpath style="font-family:&quot;SimSun&quot;;font-size:7.5;v-text-kern:t;mso-text-shadow:auto" string="岗村医"/>
        </v:shape>
      </w:pict>
    </w:r>
    <w:r>
      <w:pict>
        <v:shape id="PowerPlusWaterMarkObject330" style="position:absolute;margin-left:-13.08pt;margin-top:288.105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86.92pt;margin-top:532.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13.08pt;margin-top:776.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487.09pt;margin-top:73.4279pt;mso-position-vertical-relative:page;mso-position-horizontal-relative:page;width:38.65pt;height:6.5pt;z-index:-251483136;" o:allowincell="f" fillcolor="#212529" filled="true" stroked="false" type="#_x0000_t136">
          <v:textpath style="font-family:&quot;SimSun&quot;;font-size:6;v-text-kern:t;mso-text-shadow:auto" string="预算公开表12"/>
        </v:shape>
      </w:pict>
    </w:r>
    <w:r>
      <w:pict>
        <v:shape id="PowerPlusWaterMarkObject338" style="position:absolute;margin-left:491.92pt;margin-top:44.1055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491.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391.92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_x0000_s346" style="position:absolute;margin-left:30pt;margin-top:29.5pt;mso-position-vertical-relative:page;mso-position-horizontal-relative:page;width:535pt;height:1pt;z-index:-251485184;"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8" style="position:absolute;margin-left:86.92pt;margin-top:27.7633pt;mso-position-vertical-relative:text;mso-position-horizontal-relative:text;width:119.4pt;height:18.85pt;z-index:-251471872;rotation:330;" fillcolor="#404040" filled="true" stroked="false" type="#_x0000_t136">
          <v:fill opacity="0.400000"/>
          <v:textpath style="font-family:&quot;SimSun&quot;;font-size:20;v-text-kern:t;mso-text-shadow:auto" string="仅供内部审核"/>
        </v:shape>
      </w:pict>
    </w:r>
    <w:r>
      <w:pict>
        <v:shape id="PowerPlusWaterMarkObject350" style="position:absolute;margin-left:-13.08pt;margin-top:288.105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86.92pt;margin-top:532.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PowerPlusWaterMarkObject354" style="position:absolute;margin-left:-13.08pt;margin-top:776.106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487.09pt;margin-top:73.4279pt;mso-position-vertical-relative:page;mso-position-horizontal-relative:page;width:38.65pt;height:6.5pt;z-index:-251472896;" o:allowincell="f" fillcolor="#212529" filled="true" stroked="false" type="#_x0000_t136">
          <v:textpath style="font-family:&quot;SimSun&quot;;font-size:6;v-text-kern:t;mso-text-shadow:auto" string="预算公开表13"/>
        </v:shape>
      </w:pict>
    </w:r>
    <w:r>
      <w:pict>
        <v:shape id="PowerPlusWaterMarkObject358" style="position:absolute;margin-left:491.92pt;margin-top:44.1055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391.92pt;margin-top:288.105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491.92pt;margin-top:532.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64" style="position:absolute;margin-left:391.92pt;margin-top:776.106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_x0000_s366" style="position:absolute;margin-left:30pt;margin-top:29.5pt;mso-position-vertical-relative:page;mso-position-horizontal-relative:page;width:535pt;height:1pt;z-index:-251474944;"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68" style="position:absolute;margin-left:86.92pt;margin-top:27.7633pt;mso-position-vertical-relative:text;mso-position-horizontal-relative:text;width:119.4pt;height:18.85pt;z-index:-251452416;rotation:330;" fillcolor="#404040" filled="true" stroked="false" type="#_x0000_t136">
          <v:fill opacity="0.400000"/>
          <v:textpath style="font-family:&quot;SimSun&quot;;font-size:20;v-text-kern:t;mso-text-shadow:auto" string="仅供内部审核"/>
        </v:shape>
      </w:pict>
    </w:r>
    <w:r>
      <w:pict>
        <v:shape id="PowerPlusWaterMarkObject370" style="position:absolute;margin-left:491.92pt;margin-top:44.1055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372" style="position:absolute;margin-left:86.2039pt;margin-top:258.837pt;mso-position-vertical-relative:page;mso-position-horizontal-relative:page;width:11.1pt;height:11.8pt;z-index:-251469824;" o:allowincell="f" fillcolor="#000000" filled="true" stroked="false" type="#_x0000_t136">
          <v:textpath style="font-family:&quot;FangSong&quot;;font-size:11.5;v-text-kern:t;mso-text-shadow:auto" string="80"/>
        </v:shape>
      </w:pict>
    </w:r>
    <w:r>
      <w:pict>
        <v:shape id="PowerPlusWaterMarkObject374" style="position:absolute;margin-left:63.8297pt;margin-top:278.838pt;mso-position-vertical-relative:page;mso-position-horizontal-relative:page;width:28pt;height:11.8pt;z-index:-251468800;" o:allowincell="f" fillcolor="#000000" filled="true" stroked="false" type="#_x0000_t136">
          <v:textpath style="font-family:&quot;FangSong&quot;;font-size:11.5;v-text-kern:t;mso-text-shadow:auto" string="收入0"/>
        </v:shape>
      </w:pict>
    </w:r>
    <w:r>
      <w:pict>
        <v:shape id="PowerPlusWaterMarkObject376" style="position:absolute;margin-left:-13.08pt;margin-top:288.105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78" style="position:absolute;margin-left:152.361pt;margin-top:284.408pt;mso-position-vertical-relative:page;mso-position-horizontal-relative:page;width:196.2pt;height:5.6pt;z-index:-251455488;" o:allowincell="f" fillcolor="#000000" filled="true" stroked="false" type="#_x0000_t136">
          <v:textpath style="font-family:&quot;FangSong&quot;;font-size:11.5;v-text-kern:t;mso-text-shadow:auto" string=";                                 ;"/>
        </v:shape>
      </w:pict>
    </w:r>
    <w:r>
      <w:pict>
        <v:shape id="PowerPlusWaterMarkObject380" style="position:absolute;margin-left:488.163pt;margin-top:258.837pt;mso-position-vertical-relative:page;mso-position-horizontal-relative:page;width:10.7pt;height:11.8pt;z-index:-251466752;" o:allowincell="f" fillcolor="#000000" filled="true" stroked="false" type="#_x0000_t136">
          <v:textpath style="font-family:&quot;FangSong&quot;;font-size:11.5;v-text-kern:t;mso-text-shadow:auto" string="预"/>
        </v:shape>
      </w:pict>
    </w:r>
    <w:r>
      <w:pict>
        <v:shape id="PowerPlusWaterMarkObject382" style="position:absolute;margin-left:448.473pt;margin-top:278.838pt;mso-position-vertical-relative:page;mso-position-horizontal-relative:page;width:43.95pt;height:11.8pt;z-index:-251465728;" o:allowincell="f" fillcolor="#000000" filled="true" stroked="false" type="#_x0000_t136">
          <v:textpath style="font-family:&quot;FangSong&quot;;font-size:11.5;v-text-kern:t;mso-text-shadow:auto" string="占0%； 上"/>
        </v:shape>
      </w:pict>
    </w:r>
    <w:r>
      <w:pict>
        <v:shape id="PowerPlusWaterMarkObject384" style="position:absolute;margin-left:391.92pt;margin-top:288.105pt;mso-position-vertical-relative:page;mso-position-horizontal-relative:page;width:119.4pt;height:18.85pt;z-index:-251467776;rotation:330;" o:allowincell="f" fillcolor="#404040" filled="true" stroked="false" type="#_x0000_t136">
          <v:fill opacity="0.400000"/>
          <v:textpath style="font-family:&quot;SimSun&quot;;font-size:20;v-text-kern:t;mso-text-shadow:auto" string="仅供内部审核"/>
        </v:shape>
      </w:pict>
    </w:r>
    <w:r>
      <w:pict>
        <v:shape id="PowerPlusWaterMarkObject386" style="position:absolute;margin-left:134.686pt;margin-top:533.99pt;mso-position-vertical-relative:page;mso-position-horizontal-relative:page;width:34.95pt;height:11.8pt;z-index:-251463680;" o:allowincell="f" fillcolor="#000000" filled="true" stroked="false" type="#_x0000_t136">
          <v:textpath style="font-family:&quot;FangSong&quot;;font-size:11.5;v-text-kern:t;mso-text-shadow:auto" string="兴县孟"/>
        </v:shape>
      </w:pict>
    </w:r>
    <w:r>
      <w:pict>
        <v:shape id="PowerPlusWaterMarkObject388" style="position:absolute;margin-left:97.4725pt;margin-top:554.532pt;mso-position-vertical-relative:page;mso-position-horizontal-relative:page;width:34.15pt;height:11.8pt;z-index:-251462656;" o:allowincell="f" fillcolor="#000000" filled="true" stroked="false" type="#_x0000_t136">
          <v:textpath style="font-family:&quot;FangSong&quot;;font-size:11.5;v-text-kern:t;mso-text-shadow:auto" string="89 52%"/>
        </v:shape>
      </w:pict>
    </w:r>
    <w:r>
      <w:pict>
        <v:shape id="PowerPlusWaterMarkObject390" style="position:absolute;margin-left:86.92pt;margin-top:532.106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491.92pt;margin-top:532.106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394" style="position:absolute;margin-left:86.2696pt;margin-top:756.166pt;mso-position-vertical-relative:page;mso-position-horizontal-relative:page;width:22.3pt;height:11.8pt;z-index:-251456512;" o:allowincell="f" fillcolor="#000000" filled="true" stroked="false" type="#_x0000_t136">
          <v:textpath style="font-family:&quot;FangSong&quot;;font-size:11.5;v-text-kern:t;mso-text-shadow:auto" string="（二"/>
        </v:shape>
      </w:pict>
    </w:r>
    <w:r>
      <w:pict>
        <v:shape id="PowerPlusWaterMarkObject396" style="position:absolute;margin-left:434.336pt;margin-top:776.167pt;mso-position-vertical-relative:page;mso-position-horizontal-relative:page;width:52.2pt;height:11.8pt;z-index:-251459584;" o:allowincell="f" fillcolor="#000000" filled="true" stroked="false" type="#_x0000_t136">
          <v:textpath style="font-family:&quot;FangSong&quot;;font-size:11.5;v-text-kern:t;mso-text-shadow:auto" string="万元 主要"/>
        </v:shape>
      </w:pict>
    </w:r>
    <w:r>
      <w:pict>
        <v:shape id="PowerPlusWaterMarkObject398" style="position:absolute;margin-left:405.329pt;margin-top:796.709pt;mso-position-vertical-relative:page;mso-position-horizontal-relative:page;width:34.65pt;height:11.8pt;z-index:-251458560;" o:allowincell="f" fillcolor="#000000" filled="true" stroked="false" type="#_x0000_t136">
          <v:textpath style="font-family:&quot;FangSong&quot;;font-size:11.5;v-text-kern:t;mso-text-shadow:auto" string="51万元"/>
        </v:shape>
      </w:pict>
    </w:r>
    <w:r>
      <w:pict>
        <v:shape id="PowerPlusWaterMarkObject400" style="position:absolute;margin-left:-13.08pt;margin-top:776.106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391.92pt;margin-top:776.106pt;mso-position-vertical-relative:page;mso-position-horizontal-relative:page;width:119.4pt;height:18.85pt;z-index:-251460608;rotation:330;" o:allowincell="f" fillcolor="#404040" filled="true" stroked="false" type="#_x0000_t136">
          <v:fill opacity="0.400000"/>
          <v:textpath style="font-family:&quot;SimSun&quot;;font-size:20;v-text-kern:t;mso-text-shadow:auto" string="仅供内部审核"/>
        </v:shape>
      </w:pict>
    </w:r>
    <w:r>
      <w:pict>
        <v:shape id="_x0000_s404" style="position:absolute;margin-left:30pt;margin-top:29.5pt;mso-position-vertical-relative:page;mso-position-horizontal-relative:page;width:535pt;height:1pt;z-index:-251454464;"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06" style="position:absolute;margin-left:86.2544pt;margin-top:64.2303pt;mso-position-vertical-relative:page;mso-position-horizontal-relative:page;width:56.9pt;height:11.8pt;z-index:-251438080;" o:allowincell="f" fillcolor="#000000" filled="true" stroked="false" type="#_x0000_t136">
          <v:textpath style="font-family:&quot;FangSong&quot;;font-size:11.5;v-text-kern:t;mso-text-shadow:auto" string="支出5 49万"/>
        </v:shape>
      </w:pict>
    </w:r>
    <w:r>
      <w:pict>
        <v:shape id="PowerPlusWaterMarkObject408" style="position:absolute;margin-left:86.92pt;margin-top:27.7633pt;mso-position-vertical-relative:text;mso-position-horizontal-relative:text;width:119.4pt;height:18.85pt;z-index:-251435008;rotation:330;" fillcolor="#404040" filled="true" stroked="false" type="#_x0000_t136">
          <v:fill opacity="0.400000"/>
          <v:textpath style="font-family:&quot;SimSun&quot;;font-size:20;v-text-kern:t;mso-text-shadow:auto" string="仅供内部审核"/>
        </v:shape>
      </w:pict>
    </w:r>
    <w:r>
      <w:pict>
        <v:shape id="PowerPlusWaterMarkObject410" style="position:absolute;margin-left:86.0353pt;margin-top:266.946pt;mso-position-vertical-relative:page;mso-position-horizontal-relative:page;width:22.55pt;height:11.8pt;z-index:-251446272;" o:allowincell="f" fillcolor="#000000" filled="true" stroked="false" type="#_x0000_t136">
          <v:textpath style="font-family:&quot;FangSong&quot;;font-size:11.5;v-text-kern:t;mso-text-shadow:auto" string="2025"/>
        </v:shape>
      </w:pict>
    </w:r>
    <w:r>
      <w:pict>
        <v:shape id="PowerPlusWaterMarkObject412" style="position:absolute;margin-left:149.894pt;margin-top:286.947pt;mso-position-vertical-relative:page;mso-position-horizontal-relative:page;width:5.3pt;height:11.8pt;z-index:-251442176;" o:allowincell="f" fillcolor="#000000" filled="true" stroked="false" type="#_x0000_t136">
          <v:textpath style="font-family:&quot;FangSong&quot;;font-size:11.5;v-text-kern:t;mso-text-shadow:auto" string="0"/>
        </v:shape>
      </w:pict>
    </w:r>
    <w:r>
      <w:pict>
        <v:shape id="PowerPlusWaterMarkObject414" style="position:absolute;margin-left:138.321pt;margin-top:529.125pt;mso-position-vertical-relative:page;mso-position-horizontal-relative:page;width:33.65pt;height:11.8pt;z-index:-251443200;" o:allowincell="f" fillcolor="#000000" filled="true" stroked="false" type="#_x0000_t136">
          <v:textpath style="font-family:&quot;FangSong&quot;;font-size:11.5;v-text-kern:t;mso-text-shadow:auto" string="效目标"/>
        </v:shape>
      </w:pict>
    </w:r>
    <w:r>
      <w:pict>
        <v:shape id="PowerPlusWaterMarkObject416" style="position:absolute;margin-left:97.8761pt;margin-top:549.126pt;mso-position-vertical-relative:page;mso-position-horizontal-relative:page;width:45.3pt;height:11.8pt;z-index:-251444224;" o:allowincell="f" fillcolor="#000000" filled="true" stroked="false" type="#_x0000_t136">
          <v:textpath style="font-family:&quot;FangSong&quot;;font-size:11.5;v-text-kern:t;mso-text-shadow:auto" string="编报单位"/>
        </v:shape>
      </w:pict>
    </w:r>
    <w:r>
      <w:pict>
        <v:shape id="PowerPlusWaterMarkObject418" style="position:absolute;margin-left:-13.08pt;margin-top:288.105pt;mso-position-vertical-relative:page;mso-position-horizontal-relative:page;width:119.4pt;height:18.85pt;z-index:-251447296;rotation:330;" o:allowincell="f" fillcolor="#404040" filled="true" stroked="false" type="#_x0000_t136">
          <v:fill opacity="0.400000"/>
          <v:textpath style="font-family:&quot;SimSun&quot;;font-size:20;v-text-kern:t;mso-text-shadow:auto" string="仅供内部审核"/>
        </v:shape>
      </w:pict>
    </w:r>
    <w:r>
      <w:pict>
        <v:shape id="PowerPlusWaterMarkObject420" style="position:absolute;margin-left:86.92pt;margin-top:532.106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422" style="position:absolute;margin-left:-13.08pt;margin-top:776.106pt;mso-position-vertical-relative:page;mso-position-horizontal-relative:page;width:119.4pt;height:18.85pt;z-index:-251439104;rotation:330;" o:allowincell="f" fillcolor="#404040" filled="true" stroked="false" type="#_x0000_t136">
          <v:fill opacity="0.400000"/>
          <v:textpath style="font-family:&quot;SimSun&quot;;font-size:20;v-text-kern:t;mso-text-shadow:auto" string="仅供内部审核"/>
        </v:shape>
      </w:pict>
    </w:r>
    <w:r>
      <w:pict>
        <v:shape id="PowerPlusWaterMarkObject424" style="position:absolute;margin-left:484.112pt;margin-top:266.946pt;mso-position-vertical-relative:page;mso-position-horizontal-relative:page;width:22.25pt;height:11.8pt;z-index:-251448320;" o:allowincell="f" fillcolor="#000000" filled="true" stroked="false" type="#_x0000_t136">
          <v:textpath style="font-family:&quot;FangSong&quot;;font-size:11.5;v-text-kern:t;mso-text-shadow:auto" string="其中"/>
        </v:shape>
      </w:pict>
    </w:r>
    <w:r>
      <w:pict>
        <v:shape id="PowerPlusWaterMarkObject426" style="position:absolute;margin-left:441.537pt;margin-top:286.947pt;mso-position-vertical-relative:page;mso-position-horizontal-relative:page;width:45.7pt;height:11.8pt;z-index:-251449344;" o:allowincell="f" fillcolor="#000000" filled="true" stroked="false" type="#_x0000_t136">
          <v:textpath style="font-family:&quot;FangSong&quot;;font-size:11.5;v-text-kern:t;mso-text-shadow:auto" string="保障缴费"/>
        </v:shape>
      </w:pict>
    </w:r>
    <w:r>
      <w:pict>
        <v:shape id="PowerPlusWaterMarkObject428" style="position:absolute;margin-left:393.317pt;margin-top:306.948pt;mso-position-vertical-relative:page;mso-position-horizontal-relative:page;width:58pt;height:11.8pt;z-index:-251450368;" o:allowincell="f" fillcolor="#000000" filled="true" stroked="false" type="#_x0000_t136">
          <v:textpath style="font-family:&quot;FangSong&quot;;font-size:11.5;v-text-kern:t;mso-text-shadow:auto" string="职工基本医"/>
        </v:shape>
      </w:pict>
    </w:r>
    <w:r>
      <w:pict>
        <v:shape id="PowerPlusWaterMarkObject430" style="position:absolute;margin-left:491.92pt;margin-top:44.1055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PowerPlusWaterMarkObject432" style="position:absolute;margin-left:391.92pt;margin-top:288.105pt;mso-position-vertical-relative:page;mso-position-horizontal-relative:page;width:119.4pt;height:18.85pt;z-index:-251451392;rotation:330;" o:allowincell="f" fillcolor="#404040" filled="true" stroked="false" type="#_x0000_t136">
          <v:fill opacity="0.400000"/>
          <v:textpath style="font-family:&quot;SimSun&quot;;font-size:20;v-text-kern:t;mso-text-shadow:auto" string="仅供内部审核"/>
        </v:shape>
      </w:pict>
    </w:r>
    <w:r>
      <w:pict>
        <v:shape id="PowerPlusWaterMarkObject434" style="position:absolute;margin-left:491.92pt;margin-top:532.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36" style="position:absolute;margin-left:391.92pt;margin-top:776.106pt;mso-position-vertical-relative:page;mso-position-horizontal-relative:page;width:119.4pt;height:18.85pt;z-index:-251440128;rotation:330;" o:allowincell="f" fillcolor="#404040" filled="true" stroked="false" type="#_x0000_t136">
          <v:fill opacity="0.400000"/>
          <v:textpath style="font-family:&quot;SimSun&quot;;font-size:20;v-text-kern:t;mso-text-shadow:auto" string="仅供内部审核"/>
        </v:shape>
      </w:pict>
    </w:r>
    <w:r>
      <w:pict>
        <v:shape id="_x0000_s438" style="position:absolute;margin-left:30pt;margin-top:29.5pt;mso-position-vertical-relative:page;mso-position-horizontal-relative:page;width:535pt;height:1pt;z-index:-251437056;"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40" style="position:absolute;margin-left:86.92pt;margin-top:27.7633pt;mso-position-vertical-relative:text;mso-position-horizontal-relative:text;width:119.4pt;height:18.85pt;z-index:-251427840;rotation:330;" fillcolor="#404040" filled="true" stroked="false" type="#_x0000_t136">
          <v:fill opacity="0.400000"/>
          <v:textpath style="font-family:&quot;SimSun&quot;;font-size:20;v-text-kern:t;mso-text-shadow:auto" string="仅供内部审核"/>
        </v:shape>
      </w:pict>
    </w:r>
    <w:r>
      <w:pict>
        <v:shape id="PowerPlusWaterMarkObject442" style="position:absolute;margin-left:-13.08pt;margin-top:288.105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444" style="position:absolute;margin-left:491.92pt;margin-top:44.1055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446" style="position:absolute;margin-left:-13.08pt;margin-top:776.106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48" style="position:absolute;margin-left:491.92pt;margin-top:532.106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PowerPlusWaterMarkObject450" style="position:absolute;margin-left:391.92pt;margin-top:776.106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_x0000_s452" style="position:absolute;margin-left:30pt;margin-top:29.5pt;mso-position-vertical-relative:page;mso-position-horizontal-relative:page;width:535pt;height:1pt;z-index:-251429888;"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70" style="position:absolute;margin-left:86.92pt;margin-top:27.7633pt;mso-position-vertical-relative:text;mso-position-horizontal-relative:text;width:119.4pt;height:18.85pt;z-index:-251421696;rotation:330;" fillcolor="#404040" filled="true" stroked="false" type="#_x0000_t136">
          <v:fill opacity="0.400000"/>
          <v:textpath style="font-family:&quot;SimSun&quot;;font-size:20;v-text-kern:t;mso-text-shadow:auto" string="仅供内部审核"/>
        </v:shape>
      </w:pict>
    </w:r>
    <w:r>
      <w:pict>
        <v:shape id="PowerPlusWaterMarkObject472" style="position:absolute;margin-left:491.92pt;margin-top:44.1055pt;mso-position-vertical-relative:page;mso-position-horizontal-relative:page;width:119.4pt;height:18.85pt;z-index:-251422720;rotation:330;" o:allowincell="f" fillcolor="#404040" filled="true" stroked="false" type="#_x0000_t136">
          <v:fill opacity="0.400000"/>
          <v:textpath style="font-family:&quot;SimSun&quot;;font-size:20;v-text-kern:t;mso-text-shadow:auto" string="仅供内部审核"/>
        </v:shape>
      </w:pict>
    </w:r>
    <w:r>
      <w:pict>
        <v:shape id="PowerPlusWaterMarkObject474" style="position:absolute;margin-left:-13.08pt;margin-top:776.106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PowerPlusWaterMarkObject476" style="position:absolute;margin-left:491.92pt;margin-top:532.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478" style="position:absolute;margin-left:391.92pt;margin-top:776.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_x0000_s480" style="position:absolute;margin-left:30pt;margin-top:29.5pt;mso-position-vertical-relative:page;mso-position-horizontal-relative:page;width:535pt;height:1pt;z-index:-251423744;"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88" style="position:absolute;margin-left:86.92pt;margin-top:27.7633pt;mso-position-vertical-relative:text;mso-position-horizontal-relative:text;width:119.4pt;height:18.85pt;z-index:-251417600;rotation:330;" fillcolor="#404040" filled="true" stroked="false" type="#_x0000_t136">
          <v:fill opacity="0.400000"/>
          <v:textpath style="font-family:&quot;SimSun&quot;;font-size:20;v-text-kern:t;mso-text-shadow:auto" string="仅供内部审核"/>
        </v:shape>
      </w:pict>
    </w:r>
    <w:r>
      <w:pict>
        <v:shape id="PowerPlusWaterMarkObject490" style="position:absolute;margin-left:-13.08pt;margin-top:776.106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391.92pt;margin-top:776.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_x0000_s494" style="position:absolute;margin-left:30pt;margin-top:29.5pt;mso-position-vertical-relative:page;mso-position-horizontal-relative:page;width:535pt;height:1pt;z-index:-251418624;"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6" style="position:absolute;margin-left:86.92pt;margin-top:27.7633pt;mso-position-vertical-relative:text;mso-position-horizontal-relative:text;width:119.4pt;height:18.85pt;z-index:-251408384;rotation:330;" fillcolor="#404040" filled="true" stroked="false" type="#_x0000_t136">
          <v:fill opacity="0.400000"/>
          <v:textpath style="font-family:&quot;SimSun&quot;;font-size:20;v-text-kern:t;mso-text-shadow:auto" string="仅供内部审核"/>
        </v:shape>
      </w:pict>
    </w:r>
    <w:r>
      <w:pict>
        <v:shape id="PowerPlusWaterMarkObject508" style="position:absolute;margin-left:-13.08pt;margin-top:288.105pt;mso-position-vertical-relative:page;mso-position-horizontal-relative:page;width:119.4pt;height:18.85pt;z-index:-251416576;rotation:330;" o:allowincell="f" fillcolor="#404040" filled="true" stroked="false" type="#_x0000_t136">
          <v:fill opacity="0.400000"/>
          <v:textpath style="font-family:&quot;SimSun&quot;;font-size:20;v-text-kern:t;mso-text-shadow:auto" string="仅供内部审核"/>
        </v:shape>
      </w:pict>
    </w:r>
    <w:r>
      <w:pict>
        <v:shape id="PowerPlusWaterMarkObject510" style="position:absolute;margin-left:491.92pt;margin-top:44.1055pt;mso-position-vertical-relative:page;mso-position-horizontal-relative:page;width:119.4pt;height:18.85pt;z-index:-251409408;rotation:330;" o:allowincell="f" fillcolor="#404040" filled="true" stroked="false" type="#_x0000_t136">
          <v:fill opacity="0.400000"/>
          <v:textpath style="font-family:&quot;SimSun&quot;;font-size:20;v-text-kern:t;mso-text-shadow:auto" string="仅供内部审核"/>
        </v:shape>
      </w:pict>
    </w:r>
    <w:r>
      <w:pict>
        <v:shape id="PowerPlusWaterMarkObject512" style="position:absolute;margin-left:391.92pt;margin-top:288.105pt;mso-position-vertical-relative:page;mso-position-horizontal-relative:page;width:119.4pt;height:18.85pt;z-index:-251415552;rotation:330;" o:allowincell="f" fillcolor="#404040" filled="true" stroked="false" type="#_x0000_t136">
          <v:fill opacity="0.400000"/>
          <v:textpath style="font-family:&quot;SimSun&quot;;font-size:20;v-text-kern:t;mso-text-shadow:auto" string="仅供内部审核"/>
        </v:shape>
      </w:pict>
    </w:r>
    <w:r>
      <w:pict>
        <v:shape id="PowerPlusWaterMarkObject514" style="position:absolute;margin-left:86.92pt;margin-top:532.106pt;mso-position-vertical-relative:page;mso-position-horizontal-relative:page;width:119.4pt;height:18.85pt;z-index:-251413504;rotation:330;" o:allowincell="f" fillcolor="#404040" filled="true" stroked="false" type="#_x0000_t136">
          <v:fill opacity="0.400000"/>
          <v:textpath style="font-family:&quot;SimSun&quot;;font-size:20;v-text-kern:t;mso-text-shadow:auto" string="仅供内部审核"/>
        </v:shape>
      </w:pict>
    </w:r>
    <w:r>
      <w:pict>
        <v:shape id="PowerPlusWaterMarkObject516" style="position:absolute;margin-left:-13.08pt;margin-top:776.106pt;mso-position-vertical-relative:page;mso-position-horizontal-relative:page;width:119.4pt;height:18.85pt;z-index:-251411456;rotation:330;" o:allowincell="f" fillcolor="#404040" filled="true" stroked="false" type="#_x0000_t136">
          <v:fill opacity="0.400000"/>
          <v:textpath style="font-family:&quot;SimSun&quot;;font-size:20;v-text-kern:t;mso-text-shadow:auto" string="仅供内部审核"/>
        </v:shape>
      </w:pict>
    </w:r>
    <w:r>
      <w:pict>
        <v:shape id="PowerPlusWaterMarkObject518" style="position:absolute;margin-left:491.92pt;margin-top:532.106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PowerPlusWaterMarkObject520" style="position:absolute;margin-left:391.92pt;margin-top:776.106pt;mso-position-vertical-relative:page;mso-position-horizontal-relative:page;width:119.4pt;height:18.85pt;z-index:-251412480;rotation:330;" o:allowincell="f" fillcolor="#404040" filled="true" stroked="false" type="#_x0000_t136">
          <v:fill opacity="0.400000"/>
          <v:textpath style="font-family:&quot;SimSun&quot;;font-size:20;v-text-kern:t;mso-text-shadow:auto" string="仅供内部审核"/>
        </v:shape>
      </w:pict>
    </w:r>
    <w:r>
      <w:pict>
        <v:shape id="_x0000_s522" style="position:absolute;margin-left:30pt;margin-top:29.5pt;mso-position-vertical-relative:page;mso-position-horizontal-relative:page;width:535pt;height:1pt;z-index:-251410432;"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04" style="position:absolute;margin-left:86.92pt;margin-top:27.7633pt;mso-position-vertical-relative:text;mso-position-horizontal-relative:text;width:119.4pt;height:18.85pt;z-index:-251399168;rotation:330;" fillcolor="#404040" filled="true" stroked="false" type="#_x0000_t136">
          <v:fill opacity="0.400000"/>
          <v:textpath style="font-family:&quot;SimSun&quot;;font-size:20;v-text-kern:t;mso-text-shadow:auto" string="仅供内部审核"/>
        </v:shape>
      </w:pict>
    </w:r>
    <w:r>
      <w:pict>
        <v:shape id="PowerPlusWaterMarkObject606" style="position:absolute;margin-left:-13.08pt;margin-top:288.105pt;mso-position-vertical-relative:page;mso-position-horizontal-relative:page;width:119.4pt;height:18.85pt;z-index:-251406336;rotation:330;" o:allowincell="f" fillcolor="#404040" filled="true" stroked="false" type="#_x0000_t136">
          <v:fill opacity="0.400000"/>
          <v:textpath style="font-family:&quot;SimSun&quot;;font-size:20;v-text-kern:t;mso-text-shadow:auto" string="仅供内部审核"/>
        </v:shape>
      </w:pict>
    </w:r>
    <w:r>
      <w:pict>
        <v:shape id="PowerPlusWaterMarkObject608" style="position:absolute;margin-left:491.92pt;margin-top:44.1055pt;mso-position-vertical-relative:page;mso-position-horizontal-relative:page;width:119.4pt;height:18.85pt;z-index:-251400192;rotation:330;" o:allowincell="f" fillcolor="#404040" filled="true" stroked="false" type="#_x0000_t136">
          <v:fill opacity="0.400000"/>
          <v:textpath style="font-family:&quot;SimSun&quot;;font-size:20;v-text-kern:t;mso-text-shadow:auto" string="仅供内部审核"/>
        </v:shape>
      </w:pict>
    </w:r>
    <w:r>
      <w:pict>
        <v:shape id="PowerPlusWaterMarkObject610" style="position:absolute;margin-left:391.92pt;margin-top:288.105pt;mso-position-vertical-relative:page;mso-position-horizontal-relative:page;width:119.4pt;height:18.85pt;z-index:-251407360;rotation:330;" o:allowincell="f" fillcolor="#404040" filled="true" stroked="false" type="#_x0000_t136">
          <v:fill opacity="0.400000"/>
          <v:textpath style="font-family:&quot;SimSun&quot;;font-size:20;v-text-kern:t;mso-text-shadow:auto" string="仅供内部审核"/>
        </v:shape>
      </w:pict>
    </w:r>
    <w:r>
      <w:pict>
        <v:shape id="PowerPlusWaterMarkObject612" style="position:absolute;margin-left:86.92pt;margin-top:532.106pt;mso-position-vertical-relative:page;mso-position-horizontal-relative:page;width:119.4pt;height:18.85pt;z-index:-251405312;rotation:330;" o:allowincell="f" fillcolor="#404040" filled="true" stroked="false" type="#_x0000_t136">
          <v:fill opacity="0.400000"/>
          <v:textpath style="font-family:&quot;SimSun&quot;;font-size:20;v-text-kern:t;mso-text-shadow:auto" string="仅供内部审核"/>
        </v:shape>
      </w:pict>
    </w:r>
    <w:r>
      <w:pict>
        <v:shape id="PowerPlusWaterMarkObject614" style="position:absolute;margin-left:-13.08pt;margin-top:776.106pt;mso-position-vertical-relative:page;mso-position-horizontal-relative:page;width:119.4pt;height:18.85pt;z-index:-251402240;rotation:330;" o:allowincell="f" fillcolor="#404040" filled="true" stroked="false" type="#_x0000_t136">
          <v:fill opacity="0.400000"/>
          <v:textpath style="font-family:&quot;SimSun&quot;;font-size:20;v-text-kern:t;mso-text-shadow:auto" string="仅供内部审核"/>
        </v:shape>
      </w:pict>
    </w:r>
    <w:r>
      <w:pict>
        <v:shape id="PowerPlusWaterMarkObject616" style="position:absolute;margin-left:491.92pt;margin-top:532.106pt;mso-position-vertical-relative:page;mso-position-horizontal-relative:page;width:119.4pt;height:18.85pt;z-index:-251404288;rotation:330;" o:allowincell="f" fillcolor="#404040" filled="true" stroked="false" type="#_x0000_t136">
          <v:fill opacity="0.400000"/>
          <v:textpath style="font-family:&quot;SimSun&quot;;font-size:20;v-text-kern:t;mso-text-shadow:auto" string="仅供内部审核"/>
        </v:shape>
      </w:pict>
    </w:r>
    <w:r>
      <w:pict>
        <v:shape id="PowerPlusWaterMarkObject618" style="position:absolute;margin-left:391.92pt;margin-top:776.106pt;mso-position-vertical-relative:page;mso-position-horizontal-relative:page;width:119.4pt;height:18.85pt;z-index:-251403264;rotation:330;" o:allowincell="f" fillcolor="#404040" filled="true" stroked="false" type="#_x0000_t136">
          <v:fill opacity="0.400000"/>
          <v:textpath style="font-family:&quot;SimSun&quot;;font-size:20;v-text-kern:t;mso-text-shadow:auto" string="仅供内部审核"/>
        </v:shape>
      </w:pict>
    </w:r>
    <w:r>
      <w:pict>
        <v:shape id="_x0000_s620" style="position:absolute;margin-left:30pt;margin-top:29.5pt;mso-position-vertical-relative:page;mso-position-horizontal-relative:page;width:535pt;height:1pt;z-index:-251401216;"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sz w:val="16"/>
        <w:szCs w:val="16"/>
        <w:spacing w:val="-2"/>
        <w:position w:val="1"/>
      </w:rPr>
      <w:t>兴县孟家坪乡卫生院小善分院2025年单位预算公开报告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WordPictureWatermark126" style="position:absolute;margin-left:395.367pt;margin-top:259.52pt;mso-position-vertical-relative:page;mso-position-horizontal-relative:page;width:112.65pt;height:75.9pt;z-index:-251597824;"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38"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07.55pt;margin-top:325.754pt;mso-position-vertical-relative:page;mso-position-horizontal-relative:page;width:11.7pt;height:7.9pt;z-index:-251586560;" o:allowincell="f" fillcolor="#212529" filled="true" stroked="false" type="#_x0000_t136">
          <v:textpath style="font-family:&quot;SimSun&quot;;font-size:7.5;v-text-kern:t;mso-text-shadow:auto" string="6 0"/>
        </v:shape>
      </w:pict>
    </w:r>
    <w:r>
      <w:pict>
        <v:shape id="PowerPlusWaterMarkObject146"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sz w:val="16"/>
        <w:szCs w:val="16"/>
        <w:spacing w:val="-2"/>
        <w:position w:val="1"/>
      </w:rPr>
      <w:t>兴县孟家坪乡卫生院小善分院2025年单位预算公开报告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8" Type="http://schemas.openxmlformats.org/officeDocument/2006/relationships/fontTable" Target="fontTable.xml"/><Relationship Id="rId77" Type="http://schemas.openxmlformats.org/officeDocument/2006/relationships/styles" Target="styles.xml"/><Relationship Id="rId76" Type="http://schemas.openxmlformats.org/officeDocument/2006/relationships/settings" Target="settings.xml"/><Relationship Id="rId75" Type="http://schemas.openxmlformats.org/officeDocument/2006/relationships/footer" Target="footer33.xml"/><Relationship Id="rId74" Type="http://schemas.openxmlformats.org/officeDocument/2006/relationships/header" Target="header25.xml"/><Relationship Id="rId73" Type="http://schemas.openxmlformats.org/officeDocument/2006/relationships/image" Target="media/image18.png"/><Relationship Id="rId72" Type="http://schemas.openxmlformats.org/officeDocument/2006/relationships/footer" Target="footer32.xml"/><Relationship Id="rId71" Type="http://schemas.openxmlformats.org/officeDocument/2006/relationships/image" Target="media/image17.png"/><Relationship Id="rId70" Type="http://schemas.openxmlformats.org/officeDocument/2006/relationships/footer" Target="footer31.xml"/><Relationship Id="rId7" Type="http://schemas.openxmlformats.org/officeDocument/2006/relationships/header" Target="header5.xml"/><Relationship Id="rId69" Type="http://schemas.openxmlformats.org/officeDocument/2006/relationships/image" Target="media/image16.png"/><Relationship Id="rId68" Type="http://schemas.openxmlformats.org/officeDocument/2006/relationships/footer" Target="footer30.xml"/><Relationship Id="rId67" Type="http://schemas.openxmlformats.org/officeDocument/2006/relationships/image" Target="media/image15.png"/><Relationship Id="rId66" Type="http://schemas.openxmlformats.org/officeDocument/2006/relationships/footer" Target="footer29.xml"/><Relationship Id="rId65" Type="http://schemas.openxmlformats.org/officeDocument/2006/relationships/image" Target="media/image14.png"/><Relationship Id="rId64" Type="http://schemas.openxmlformats.org/officeDocument/2006/relationships/footer" Target="footer28.xml"/><Relationship Id="rId63" Type="http://schemas.openxmlformats.org/officeDocument/2006/relationships/image" Target="media/image13.png"/><Relationship Id="rId62" Type="http://schemas.openxmlformats.org/officeDocument/2006/relationships/footer" Target="footer27.xml"/><Relationship Id="rId61" Type="http://schemas.openxmlformats.org/officeDocument/2006/relationships/image" Target="media/image12.png"/><Relationship Id="rId60" Type="http://schemas.openxmlformats.org/officeDocument/2006/relationships/footer" Target="footer26.xml"/><Relationship Id="rId6" Type="http://schemas.openxmlformats.org/officeDocument/2006/relationships/footer" Target="footer1.xml"/><Relationship Id="rId59" Type="http://schemas.openxmlformats.org/officeDocument/2006/relationships/image" Target="media/image11.png"/><Relationship Id="rId58" Type="http://schemas.openxmlformats.org/officeDocument/2006/relationships/footer" Target="footer25.xml"/><Relationship Id="rId57" Type="http://schemas.openxmlformats.org/officeDocument/2006/relationships/footer" Target="footer24.xml"/><Relationship Id="rId56" Type="http://schemas.openxmlformats.org/officeDocument/2006/relationships/header" Target="header24.xml"/><Relationship Id="rId55" Type="http://schemas.openxmlformats.org/officeDocument/2006/relationships/image" Target="media/image10.png"/><Relationship Id="rId54" Type="http://schemas.openxmlformats.org/officeDocument/2006/relationships/footer" Target="footer23.xml"/><Relationship Id="rId53" Type="http://schemas.openxmlformats.org/officeDocument/2006/relationships/header" Target="header23.xml"/><Relationship Id="rId52" Type="http://schemas.openxmlformats.org/officeDocument/2006/relationships/image" Target="media/image9.png"/><Relationship Id="rId51" Type="http://schemas.openxmlformats.org/officeDocument/2006/relationships/footer" Target="footer22.xml"/><Relationship Id="rId50" Type="http://schemas.openxmlformats.org/officeDocument/2006/relationships/header" Target="header22.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1.xml"/><Relationship Id="rId47" Type="http://schemas.openxmlformats.org/officeDocument/2006/relationships/image" Target="media/image7.png"/><Relationship Id="rId46" Type="http://schemas.openxmlformats.org/officeDocument/2006/relationships/footer" Target="footer20.xml"/><Relationship Id="rId45" Type="http://schemas.openxmlformats.org/officeDocument/2006/relationships/image" Target="media/image6.png"/><Relationship Id="rId44" Type="http://schemas.openxmlformats.org/officeDocument/2006/relationships/footer" Target="footer19.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2025-09-25T17:44:39Z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2025-09-25T20:47:15</vt:filetime>
  </property>
</Properties>
</file>