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272"/>
        <w:spacing w:before="140" w:line="217" w:lineRule="auto"/>
        <w:rPr>
          <w:rFonts w:ascii="SimSun" w:hAnsi="SimSun" w:eastAsia="SimSun" w:cs="SimSun"/>
          <w:sz w:val="43"/>
          <w:szCs w:val="43"/>
        </w:rPr>
      </w:pPr>
      <w:r>
        <w:rPr>
          <w:rFonts w:ascii="SimSun" w:hAnsi="SimSun" w:eastAsia="SimSun" w:cs="SimSun"/>
          <w:sz w:val="43"/>
          <w:szCs w:val="43"/>
          <w:spacing w:val="101"/>
        </w:rPr>
        <w:t>兴县康宁镇中心卫生院</w:t>
      </w:r>
    </w:p>
    <w:p>
      <w:pPr>
        <w:pStyle w:val="BodyText"/>
        <w:spacing w:line="379"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9" w:right="1474" w:firstLine="6"/>
        <w:spacing w:before="281" w:line="308" w:lineRule="auto"/>
        <w:jc w:val="both"/>
        <w:rPr>
          <w:rFonts w:ascii="FangSong" w:hAnsi="FangSong" w:eastAsia="FangSong" w:cs="FangSong"/>
          <w:sz w:val="24"/>
          <w:szCs w:val="24"/>
        </w:rPr>
      </w:pPr>
      <w:r>
        <w:rPr>
          <w:rFonts w:ascii="FangSong" w:hAnsi="FangSong" w:eastAsia="FangSong" w:cs="FangSong"/>
          <w:sz w:val="24"/>
          <w:szCs w:val="24"/>
          <w:spacing w:val="13"/>
        </w:rPr>
        <w:t>1</w:t>
      </w:r>
      <w:r>
        <w:rPr>
          <w:rFonts w:ascii="FangSong" w:hAnsi="FangSong" w:eastAsia="FangSong" w:cs="FangSong"/>
          <w:sz w:val="24"/>
          <w:szCs w:val="24"/>
          <w:spacing w:val="-59"/>
        </w:rPr>
        <w:t xml:space="preserve"> </w:t>
      </w:r>
      <w:r>
        <w:rPr>
          <w:rFonts w:ascii="FangSong" w:hAnsi="FangSong" w:eastAsia="FangSong" w:cs="FangSong"/>
          <w:sz w:val="24"/>
          <w:szCs w:val="24"/>
          <w:spacing w:val="13"/>
        </w:rPr>
        <w:t>、提供基本医疗服务</w:t>
      </w:r>
      <w:r>
        <w:rPr>
          <w:rFonts w:ascii="FangSong" w:hAnsi="FangSong" w:eastAsia="FangSong" w:cs="FangSong"/>
          <w:sz w:val="24"/>
          <w:szCs w:val="24"/>
          <w:spacing w:val="-61"/>
        </w:rPr>
        <w:t xml:space="preserve"> </w:t>
      </w:r>
      <w:r>
        <w:rPr>
          <w:rFonts w:ascii="FangSong" w:hAnsi="FangSong" w:eastAsia="FangSong" w:cs="FangSong"/>
          <w:sz w:val="24"/>
          <w:szCs w:val="24"/>
          <w:spacing w:val="13"/>
        </w:rPr>
        <w:t>，</w:t>
      </w:r>
      <w:r>
        <w:rPr>
          <w:rFonts w:ascii="FangSong" w:hAnsi="FangSong" w:eastAsia="FangSong" w:cs="FangSong"/>
          <w:sz w:val="24"/>
          <w:szCs w:val="24"/>
          <w:spacing w:val="-52"/>
        </w:rPr>
        <w:t xml:space="preserve"> </w:t>
      </w:r>
      <w:r>
        <w:rPr>
          <w:rFonts w:ascii="FangSong" w:hAnsi="FangSong" w:eastAsia="FangSong" w:cs="FangSong"/>
          <w:sz w:val="24"/>
          <w:szCs w:val="24"/>
          <w:spacing w:val="13"/>
        </w:rPr>
        <w:t>以常见病</w:t>
      </w:r>
      <w:r>
        <w:rPr>
          <w:rFonts w:ascii="FangSong" w:hAnsi="FangSong" w:eastAsia="FangSong" w:cs="FangSong"/>
          <w:sz w:val="24"/>
          <w:szCs w:val="24"/>
          <w:spacing w:val="-60"/>
        </w:rPr>
        <w:t xml:space="preserve"> </w:t>
      </w:r>
      <w:r>
        <w:rPr>
          <w:rFonts w:ascii="FangSong" w:hAnsi="FangSong" w:eastAsia="FangSong" w:cs="FangSong"/>
          <w:sz w:val="24"/>
          <w:szCs w:val="24"/>
          <w:spacing w:val="13"/>
        </w:rPr>
        <w:t>、</w:t>
      </w:r>
      <w:r>
        <w:rPr>
          <w:rFonts w:ascii="FangSong" w:hAnsi="FangSong" w:eastAsia="FangSong" w:cs="FangSong"/>
          <w:sz w:val="24"/>
          <w:szCs w:val="24"/>
          <w:spacing w:val="-63"/>
        </w:rPr>
        <w:t xml:space="preserve"> </w:t>
      </w:r>
      <w:r>
        <w:rPr>
          <w:rFonts w:ascii="FangSong" w:hAnsi="FangSong" w:eastAsia="FangSong" w:cs="FangSong"/>
          <w:sz w:val="24"/>
          <w:szCs w:val="24"/>
          <w:spacing w:val="13"/>
        </w:rPr>
        <w:t>多发病的诊疗</w:t>
      </w:r>
      <w:r>
        <w:rPr>
          <w:rFonts w:ascii="FangSong" w:hAnsi="FangSong" w:eastAsia="FangSong" w:cs="FangSong"/>
          <w:sz w:val="24"/>
          <w:szCs w:val="24"/>
          <w:spacing w:val="-59"/>
        </w:rPr>
        <w:t xml:space="preserve"> </w:t>
      </w:r>
      <w:r>
        <w:rPr>
          <w:rFonts w:ascii="FangSong" w:hAnsi="FangSong" w:eastAsia="FangSong" w:cs="FangSong"/>
          <w:sz w:val="24"/>
          <w:szCs w:val="24"/>
          <w:spacing w:val="13"/>
        </w:rPr>
        <w:t>、</w:t>
      </w:r>
      <w:r>
        <w:rPr>
          <w:rFonts w:ascii="FangSong" w:hAnsi="FangSong" w:eastAsia="FangSong" w:cs="FangSong"/>
          <w:sz w:val="24"/>
          <w:szCs w:val="24"/>
          <w:spacing w:val="12"/>
        </w:rPr>
        <w:t>护理</w:t>
      </w:r>
      <w:r>
        <w:rPr>
          <w:rFonts w:ascii="FangSong" w:hAnsi="FangSong" w:eastAsia="FangSong" w:cs="FangSong"/>
          <w:sz w:val="24"/>
          <w:szCs w:val="24"/>
          <w:spacing w:val="-60"/>
        </w:rPr>
        <w:t xml:space="preserve"> </w:t>
      </w:r>
      <w:r>
        <w:rPr>
          <w:rFonts w:ascii="FangSong" w:hAnsi="FangSong" w:eastAsia="FangSong" w:cs="FangSong"/>
          <w:sz w:val="24"/>
          <w:szCs w:val="24"/>
          <w:spacing w:val="12"/>
        </w:rPr>
        <w:t>、康复等综合服务为</w:t>
      </w:r>
      <w:r>
        <w:rPr>
          <w:rFonts w:ascii="FangSong" w:hAnsi="FangSong" w:eastAsia="FangSong" w:cs="FangSong"/>
          <w:sz w:val="24"/>
          <w:szCs w:val="24"/>
        </w:rPr>
        <w:t xml:space="preserve"> </w:t>
      </w:r>
      <w:r>
        <w:rPr>
          <w:rFonts w:ascii="FangSong" w:hAnsi="FangSong" w:eastAsia="FangSong" w:cs="FangSong"/>
          <w:sz w:val="24"/>
          <w:szCs w:val="24"/>
          <w:spacing w:val="1"/>
        </w:rPr>
        <w:t>主。</w:t>
      </w:r>
      <w:r>
        <w:rPr>
          <w:rFonts w:ascii="FangSong" w:hAnsi="FangSong" w:eastAsia="FangSong" w:cs="FangSong"/>
          <w:sz w:val="24"/>
          <w:szCs w:val="24"/>
          <w:spacing w:val="1"/>
        </w:rPr>
        <w:t xml:space="preserve"> </w:t>
      </w:r>
      <w:r>
        <w:rPr>
          <w:rFonts w:ascii="FangSong" w:hAnsi="FangSong" w:eastAsia="FangSong" w:cs="FangSong"/>
          <w:sz w:val="24"/>
          <w:szCs w:val="24"/>
          <w:spacing w:val="1"/>
        </w:rPr>
        <w:t>2、提供基本公共卫生服务，承担辖区内的公共</w:t>
      </w:r>
      <w:r>
        <w:rPr>
          <w:rFonts w:ascii="FangSong" w:hAnsi="FangSong" w:eastAsia="FangSong" w:cs="FangSong"/>
          <w:sz w:val="24"/>
          <w:szCs w:val="24"/>
        </w:rPr>
        <w:t>卫生管理工作，负责对村卫生室</w:t>
      </w:r>
      <w:r>
        <w:rPr>
          <w:rFonts w:ascii="FangSong" w:hAnsi="FangSong" w:eastAsia="FangSong" w:cs="FangSong"/>
          <w:sz w:val="24"/>
          <w:szCs w:val="24"/>
        </w:rPr>
        <w:t xml:space="preserve"> </w:t>
      </w:r>
      <w:r>
        <w:rPr>
          <w:rFonts w:ascii="FangSong" w:hAnsi="FangSong" w:eastAsia="FangSong" w:cs="FangSong"/>
          <w:sz w:val="24"/>
          <w:szCs w:val="24"/>
          <w:spacing w:val="4"/>
        </w:rPr>
        <w:t>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合管理、技术指导的乡医的培训等。</w:t>
      </w:r>
      <w:r>
        <w:rPr>
          <w:rFonts w:ascii="FangSong" w:hAnsi="FangSong" w:eastAsia="FangSong" w:cs="FangSong"/>
          <w:sz w:val="24"/>
          <w:szCs w:val="24"/>
          <w:spacing w:val="4"/>
        </w:rPr>
        <w:t xml:space="preserve"> </w:t>
      </w:r>
      <w:r>
        <w:rPr>
          <w:rFonts w:ascii="FangSong" w:hAnsi="FangSong" w:eastAsia="FangSong" w:cs="FangSong"/>
          <w:sz w:val="24"/>
          <w:szCs w:val="24"/>
          <w:spacing w:val="4"/>
        </w:rPr>
        <w:t>3、实施国家基本药物</w:t>
      </w:r>
      <w:r>
        <w:rPr>
          <w:rFonts w:ascii="FangSong" w:hAnsi="FangSong" w:eastAsia="FangSong" w:cs="FangSong"/>
          <w:sz w:val="24"/>
          <w:szCs w:val="24"/>
          <w:spacing w:val="3"/>
        </w:rPr>
        <w:t>制度和新型农村合</w:t>
      </w:r>
      <w:r>
        <w:rPr>
          <w:rFonts w:ascii="FangSong" w:hAnsi="FangSong" w:eastAsia="FangSong" w:cs="FangSong"/>
          <w:sz w:val="24"/>
          <w:szCs w:val="24"/>
        </w:rPr>
        <w:t xml:space="preserve"> </w:t>
      </w:r>
      <w:r>
        <w:rPr>
          <w:rFonts w:ascii="FangSong" w:hAnsi="FangSong" w:eastAsia="FangSong" w:cs="FangSong"/>
          <w:sz w:val="24"/>
          <w:szCs w:val="24"/>
          <w:spacing w:val="-3"/>
        </w:rPr>
        <w:t>作医疗制度，推行分级诊疗和乡村一体化管理。</w:t>
      </w:r>
    </w:p>
    <w:p>
      <w:pPr>
        <w:ind w:left="1513"/>
        <w:spacing w:before="184"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5" w:hanging="3"/>
        <w:spacing w:before="117" w:line="301" w:lineRule="auto"/>
        <w:rPr>
          <w:rFonts w:ascii="FangSong" w:hAnsi="FangSong" w:eastAsia="FangSong" w:cs="FangSong"/>
          <w:sz w:val="24"/>
          <w:szCs w:val="24"/>
        </w:rPr>
      </w:pPr>
      <w:r>
        <w:rPr>
          <w:rFonts w:ascii="FangSong" w:hAnsi="FangSong" w:eastAsia="FangSong" w:cs="FangSong"/>
          <w:sz w:val="24"/>
          <w:szCs w:val="24"/>
          <w:spacing w:val="-1"/>
        </w:rPr>
        <w:t>人员构成：设院长1名，工作人员19名。</w:t>
      </w:r>
      <w:r>
        <w:rPr>
          <w:rFonts w:ascii="FangSong" w:hAnsi="FangSong" w:eastAsia="FangSong" w:cs="FangSong"/>
          <w:sz w:val="24"/>
          <w:szCs w:val="24"/>
          <w:spacing w:val="62"/>
        </w:rPr>
        <w:t xml:space="preserve"> </w:t>
      </w:r>
      <w:r>
        <w:rPr>
          <w:rFonts w:ascii="FangSong" w:hAnsi="FangSong" w:eastAsia="FangSong" w:cs="FangSong"/>
          <w:sz w:val="24"/>
          <w:szCs w:val="24"/>
          <w:spacing w:val="-1"/>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337"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单位名称：兴县康宁镇中心卫生院</w:t>
            </w:r>
          </w:p>
        </w:tc>
        <w:tc>
          <w:tcPr>
            <w:tcW w:w="3212" w:type="dxa"/>
            <w:vAlign w:val="top"/>
            <w:gridSpan w:val="3"/>
            <w:tcBorders>
              <w:top w:val="single" w:color="FFFFFF" w:sz="6" w:space="0"/>
              <w:left w:val="single" w:color="FFFFFF" w:sz="2" w:space="0"/>
              <w:right w:val="single" w:color="FFFFFF" w:sz="2" w:space="0"/>
            </w:tcBorders>
          </w:tcPr>
          <w:p>
            <w:pPr>
              <w:ind w:left="2281"/>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196" w:type="dxa"/>
            <w:vAlign w:val="top"/>
            <w:gridSpan w:val="2"/>
          </w:tcPr>
          <w:p>
            <w:pPr>
              <w:ind w:left="1409"/>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4"/>
          </w:tcPr>
          <w:p>
            <w:pPr>
              <w:ind w:left="2483"/>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073" w:type="dxa"/>
            <w:vAlign w:val="top"/>
          </w:tcPr>
          <w:p>
            <w:pPr>
              <w:ind w:left="836"/>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tcPr>
          <w:p>
            <w:pPr>
              <w:ind w:left="278"/>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41" w:type="dxa"/>
            <w:vAlign w:val="top"/>
          </w:tcPr>
          <w:p>
            <w:pPr>
              <w:ind w:left="880"/>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22"/>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38" w:type="dxa"/>
            <w:vAlign w:val="top"/>
          </w:tcPr>
          <w:p>
            <w:pPr>
              <w:ind w:left="29"/>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921" w:type="dxa"/>
            <w:vAlign w:val="top"/>
          </w:tcPr>
          <w:p>
            <w:pPr>
              <w:ind w:left="85"/>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6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07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23" w:type="dxa"/>
            <w:vAlign w:val="top"/>
          </w:tcPr>
          <w:p>
            <w:pPr>
              <w:ind w:right="2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304.98</w:t>
            </w:r>
          </w:p>
        </w:tc>
        <w:tc>
          <w:tcPr>
            <w:tcW w:w="2141" w:type="dxa"/>
            <w:vAlign w:val="top"/>
          </w:tcPr>
          <w:p>
            <w:pPr>
              <w:ind w:left="1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23" w:type="dxa"/>
            <w:vAlign w:val="top"/>
          </w:tcPr>
          <w:p>
            <w:pPr>
              <w:pStyle w:val="TableText"/>
              <w:rPr/>
            </w:pPr>
            <w:r/>
          </w:p>
        </w:tc>
        <w:tc>
          <w:tcPr>
            <w:tcW w:w="2141" w:type="dxa"/>
            <w:vAlign w:val="top"/>
          </w:tcPr>
          <w:p>
            <w:pPr>
              <w:ind w:left="1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23" w:type="dxa"/>
            <w:vAlign w:val="top"/>
          </w:tcPr>
          <w:p>
            <w:pPr>
              <w:pStyle w:val="TableText"/>
              <w:rPr/>
            </w:pPr>
            <w:r/>
          </w:p>
        </w:tc>
        <w:tc>
          <w:tcPr>
            <w:tcW w:w="2141" w:type="dxa"/>
            <w:vAlign w:val="top"/>
          </w:tcPr>
          <w:p>
            <w:pPr>
              <w:ind w:left="11"/>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23" w:type="dxa"/>
            <w:vAlign w:val="top"/>
          </w:tcPr>
          <w:p>
            <w:pPr>
              <w:pStyle w:val="TableText"/>
              <w:rPr/>
            </w:pPr>
            <w:r/>
          </w:p>
        </w:tc>
        <w:tc>
          <w:tcPr>
            <w:tcW w:w="2141" w:type="dxa"/>
            <w:vAlign w:val="top"/>
          </w:tcPr>
          <w:p>
            <w:pPr>
              <w:ind w:left="2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23" w:type="dxa"/>
            <w:vAlign w:val="top"/>
          </w:tcPr>
          <w:p>
            <w:pPr>
              <w:pStyle w:val="TableText"/>
              <w:rPr/>
            </w:pPr>
            <w:r/>
          </w:p>
        </w:tc>
        <w:tc>
          <w:tcPr>
            <w:tcW w:w="2141" w:type="dxa"/>
            <w:vAlign w:val="top"/>
          </w:tcPr>
          <w:p>
            <w:pPr>
              <w:ind w:left="1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23.56</w:t>
            </w:r>
          </w:p>
        </w:tc>
        <w:tc>
          <w:tcPr>
            <w:tcW w:w="1138" w:type="dxa"/>
            <w:vAlign w:val="top"/>
          </w:tcPr>
          <w:p>
            <w:pPr>
              <w:ind w:right="1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23.56</w:t>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1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270.14</w:t>
            </w:r>
          </w:p>
        </w:tc>
        <w:tc>
          <w:tcPr>
            <w:tcW w:w="1138" w:type="dxa"/>
            <w:vAlign w:val="top"/>
          </w:tcPr>
          <w:p>
            <w:pPr>
              <w:ind w:right="18"/>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261.18</w:t>
            </w:r>
          </w:p>
        </w:tc>
        <w:tc>
          <w:tcPr>
            <w:tcW w:w="921" w:type="dxa"/>
            <w:vAlign w:val="top"/>
          </w:tcPr>
          <w:p>
            <w:pPr>
              <w:ind w:right="2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8.96</w:t>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3" w:right="14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5"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20.24</w:t>
            </w:r>
          </w:p>
        </w:tc>
        <w:tc>
          <w:tcPr>
            <w:tcW w:w="1138" w:type="dxa"/>
            <w:vAlign w:val="top"/>
          </w:tcPr>
          <w:p>
            <w:pPr>
              <w:ind w:right="1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20.24</w:t>
            </w:r>
          </w:p>
        </w:tc>
        <w:tc>
          <w:tcPr>
            <w:tcW w:w="921" w:type="dxa"/>
            <w:vAlign w:val="top"/>
          </w:tcPr>
          <w:p>
            <w:pPr>
              <w:pStyle w:val="TableText"/>
              <w:rPr/>
            </w:pPr>
            <w:r/>
          </w:p>
        </w:tc>
      </w:tr>
      <w:tr>
        <w:trPr>
          <w:trHeight w:val="532"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73"/>
        <w:gridCol w:w="1123"/>
        <w:gridCol w:w="2141"/>
        <w:gridCol w:w="1153"/>
        <w:gridCol w:w="1138"/>
        <w:gridCol w:w="921"/>
      </w:tblGrid>
      <w:tr>
        <w:trPr>
          <w:trHeight w:val="531"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2" w:right="14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3"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1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1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7" w:right="14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ind w:left="26" w:right="14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pStyle w:val="TableText"/>
              <w:rPr/>
            </w:pPr>
            <w:r/>
          </w:p>
        </w:tc>
        <w:tc>
          <w:tcPr>
            <w:tcW w:w="1123" w:type="dxa"/>
            <w:vAlign w:val="top"/>
          </w:tcPr>
          <w:p>
            <w:pPr>
              <w:pStyle w:val="TableText"/>
              <w:rPr/>
            </w:pPr>
            <w:r/>
          </w:p>
        </w:tc>
        <w:tc>
          <w:tcPr>
            <w:tcW w:w="2141" w:type="dxa"/>
            <w:vAlign w:val="top"/>
          </w:tcPr>
          <w:p>
            <w:pPr>
              <w:pStyle w:val="TableText"/>
              <w:rPr/>
            </w:pPr>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24" w:hRule="atLeast"/>
        </w:trPr>
        <w:tc>
          <w:tcPr>
            <w:tcW w:w="207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23" w:type="dxa"/>
            <w:vAlign w:val="top"/>
          </w:tcPr>
          <w:p>
            <w:pPr>
              <w:pStyle w:val="TableText"/>
              <w:ind w:left="554"/>
              <w:spacing w:before="186" w:line="183" w:lineRule="auto"/>
              <w:rPr>
                <w:sz w:val="15"/>
                <w:szCs w:val="15"/>
              </w:rPr>
            </w:pPr>
            <w:r>
              <w:rPr>
                <w:sz w:val="15"/>
                <w:szCs w:val="15"/>
                <w:color w:val="212529"/>
                <w:spacing w:val="2"/>
              </w:rPr>
              <w:t>304.</w:t>
            </w:r>
            <w:r>
              <w:rPr>
                <w:sz w:val="15"/>
                <w:szCs w:val="15"/>
                <w:color w:val="212529"/>
                <w:spacing w:val="12"/>
                <w:w w:val="102"/>
              </w:rPr>
              <w:t xml:space="preserve"> </w:t>
            </w:r>
            <w:r>
              <w:rPr>
                <w:sz w:val="15"/>
                <w:szCs w:val="15"/>
                <w:color w:val="212529"/>
                <w:spacing w:val="2"/>
              </w:rPr>
              <w:t>98</w:t>
            </w:r>
          </w:p>
        </w:tc>
        <w:tc>
          <w:tcPr>
            <w:tcW w:w="2141" w:type="dxa"/>
            <w:vAlign w:val="top"/>
          </w:tcPr>
          <w:p>
            <w:pPr>
              <w:ind w:left="1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right="19"/>
              <w:spacing w:before="186" w:line="162" w:lineRule="auto"/>
              <w:jc w:val="right"/>
              <w:rPr>
                <w:sz w:val="17"/>
                <w:szCs w:val="17"/>
              </w:rPr>
            </w:pPr>
            <w:r>
              <w:rPr>
                <w:sz w:val="17"/>
                <w:szCs w:val="17"/>
                <w:color w:val="212529"/>
                <w:spacing w:val="1"/>
              </w:rPr>
              <w:t>313.94</w:t>
            </w:r>
          </w:p>
        </w:tc>
        <w:tc>
          <w:tcPr>
            <w:tcW w:w="1138" w:type="dxa"/>
            <w:vAlign w:val="top"/>
          </w:tcPr>
          <w:p>
            <w:pPr>
              <w:pStyle w:val="TableText"/>
              <w:ind w:left="573"/>
              <w:spacing w:before="187" w:line="161" w:lineRule="auto"/>
              <w:rPr>
                <w:sz w:val="17"/>
                <w:szCs w:val="17"/>
              </w:rPr>
            </w:pPr>
            <w:r>
              <w:rPr>
                <w:sz w:val="17"/>
                <w:szCs w:val="17"/>
                <w:color w:val="212529"/>
                <w:spacing w:val="1"/>
              </w:rPr>
              <w:t>304.98</w:t>
            </w:r>
          </w:p>
        </w:tc>
        <w:tc>
          <w:tcPr>
            <w:tcW w:w="921" w:type="dxa"/>
            <w:vAlign w:val="top"/>
          </w:tcPr>
          <w:p>
            <w:pPr>
              <w:pStyle w:val="TableText"/>
              <w:ind w:left="524"/>
              <w:spacing w:before="186" w:line="183" w:lineRule="auto"/>
              <w:rPr>
                <w:sz w:val="15"/>
                <w:szCs w:val="15"/>
              </w:rPr>
            </w:pPr>
            <w:r>
              <w:rPr>
                <w:sz w:val="15"/>
                <w:szCs w:val="15"/>
                <w:color w:val="212529"/>
                <w:spacing w:val="1"/>
              </w:rPr>
              <w:t>8.</w:t>
            </w:r>
            <w:r>
              <w:rPr>
                <w:sz w:val="15"/>
                <w:szCs w:val="15"/>
                <w:color w:val="212529"/>
                <w:spacing w:val="11"/>
                <w:w w:val="102"/>
              </w:rPr>
              <w:t xml:space="preserve"> </w:t>
            </w:r>
            <w:r>
              <w:rPr>
                <w:sz w:val="15"/>
                <w:szCs w:val="15"/>
                <w:color w:val="212529"/>
                <w:spacing w:val="1"/>
              </w:rPr>
              <w:t>96</w:t>
            </w:r>
          </w:p>
        </w:tc>
      </w:tr>
      <w:tr>
        <w:trPr>
          <w:trHeight w:val="524" w:hRule="atLeast"/>
        </w:trPr>
        <w:tc>
          <w:tcPr>
            <w:tcW w:w="207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23" w:type="dxa"/>
            <w:vAlign w:val="top"/>
          </w:tcPr>
          <w:p>
            <w:pPr>
              <w:ind w:right="21"/>
              <w:spacing w:before="196"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8.96</w:t>
            </w:r>
          </w:p>
        </w:tc>
        <w:tc>
          <w:tcPr>
            <w:tcW w:w="2141" w:type="dxa"/>
            <w:vAlign w:val="top"/>
          </w:tcPr>
          <w:p>
            <w:pPr>
              <w:ind w:left="20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38" w:type="dxa"/>
            <w:vAlign w:val="top"/>
          </w:tcPr>
          <w:p>
            <w:pPr>
              <w:pStyle w:val="TableText"/>
              <w:rPr/>
            </w:pPr>
            <w:r/>
          </w:p>
        </w:tc>
        <w:tc>
          <w:tcPr>
            <w:tcW w:w="921" w:type="dxa"/>
            <w:vAlign w:val="top"/>
          </w:tcPr>
          <w:p>
            <w:pPr>
              <w:pStyle w:val="TableText"/>
              <w:rPr/>
            </w:pPr>
            <w:r/>
          </w:p>
        </w:tc>
      </w:tr>
      <w:tr>
        <w:trPr>
          <w:trHeight w:val="531" w:hRule="atLeast"/>
        </w:trPr>
        <w:tc>
          <w:tcPr>
            <w:tcW w:w="207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23" w:type="dxa"/>
            <w:vAlign w:val="top"/>
          </w:tcPr>
          <w:p>
            <w:pPr>
              <w:pStyle w:val="TableText"/>
              <w:ind w:left="554"/>
              <w:spacing w:before="188" w:line="162" w:lineRule="auto"/>
              <w:rPr>
                <w:sz w:val="17"/>
                <w:szCs w:val="17"/>
              </w:rPr>
            </w:pPr>
            <w:r>
              <w:rPr>
                <w:sz w:val="17"/>
                <w:szCs w:val="17"/>
                <w:color w:val="212529"/>
                <w:spacing w:val="1"/>
              </w:rPr>
              <w:t>313.94</w:t>
            </w:r>
          </w:p>
        </w:tc>
        <w:tc>
          <w:tcPr>
            <w:tcW w:w="2141" w:type="dxa"/>
            <w:vAlign w:val="top"/>
          </w:tcPr>
          <w:p>
            <w:pPr>
              <w:ind w:left="1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right="19"/>
              <w:spacing w:before="188" w:line="162" w:lineRule="auto"/>
              <w:jc w:val="right"/>
              <w:rPr>
                <w:sz w:val="17"/>
                <w:szCs w:val="17"/>
              </w:rPr>
            </w:pPr>
            <w:r>
              <w:rPr>
                <w:sz w:val="17"/>
                <w:szCs w:val="17"/>
                <w:color w:val="212529"/>
                <w:spacing w:val="1"/>
              </w:rPr>
              <w:t>313.94</w:t>
            </w:r>
          </w:p>
        </w:tc>
        <w:tc>
          <w:tcPr>
            <w:tcW w:w="1138" w:type="dxa"/>
            <w:vAlign w:val="top"/>
          </w:tcPr>
          <w:p>
            <w:pPr>
              <w:pStyle w:val="TableText"/>
              <w:ind w:left="573"/>
              <w:spacing w:before="189" w:line="161" w:lineRule="auto"/>
              <w:rPr>
                <w:sz w:val="17"/>
                <w:szCs w:val="17"/>
              </w:rPr>
            </w:pPr>
            <w:r>
              <w:rPr>
                <w:sz w:val="17"/>
                <w:szCs w:val="17"/>
                <w:color w:val="212529"/>
                <w:spacing w:val="1"/>
              </w:rPr>
              <w:t>304.98</w:t>
            </w:r>
          </w:p>
        </w:tc>
        <w:tc>
          <w:tcPr>
            <w:tcW w:w="921" w:type="dxa"/>
            <w:vAlign w:val="top"/>
          </w:tcPr>
          <w:p>
            <w:pPr>
              <w:pStyle w:val="TableText"/>
              <w:ind w:left="524"/>
              <w:spacing w:before="188" w:line="183" w:lineRule="auto"/>
              <w:rPr>
                <w:sz w:val="15"/>
                <w:szCs w:val="15"/>
              </w:rPr>
            </w:pPr>
            <w:r>
              <w:rPr>
                <w:sz w:val="15"/>
                <w:szCs w:val="15"/>
                <w:color w:val="212529"/>
                <w:spacing w:val="1"/>
              </w:rPr>
              <w:t>8.</w:t>
            </w:r>
            <w:r>
              <w:rPr>
                <w:sz w:val="15"/>
                <w:szCs w:val="15"/>
                <w:color w:val="212529"/>
                <w:spacing w:val="11"/>
                <w:w w:val="102"/>
              </w:rPr>
              <w:t xml:space="preserve"> </w:t>
            </w:r>
            <w:r>
              <w:rPr>
                <w:sz w:val="15"/>
                <w:szCs w:val="15"/>
                <w:color w:val="212529"/>
                <w:spacing w:val="1"/>
              </w:rPr>
              <w:t>96</w:t>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单位名称：兴县康宁镇中心卫生院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55"/>
              <w:spacing w:before="149" w:line="183" w:lineRule="auto"/>
              <w:rPr>
                <w:sz w:val="15"/>
                <w:szCs w:val="15"/>
              </w:rPr>
            </w:pPr>
            <w:r>
              <w:rPr>
                <w:sz w:val="15"/>
                <w:szCs w:val="15"/>
                <w:color w:val="212529"/>
                <w:spacing w:val="2"/>
              </w:rPr>
              <w:t>304.</w:t>
            </w:r>
            <w:r>
              <w:rPr>
                <w:sz w:val="15"/>
                <w:szCs w:val="15"/>
                <w:color w:val="212529"/>
                <w:spacing w:val="12"/>
                <w:w w:val="102"/>
              </w:rPr>
              <w:t xml:space="preserve"> </w:t>
            </w:r>
            <w:r>
              <w:rPr>
                <w:sz w:val="15"/>
                <w:szCs w:val="15"/>
                <w:color w:val="212529"/>
                <w:spacing w:val="2"/>
              </w:rPr>
              <w:t>98</w:t>
            </w:r>
          </w:p>
        </w:tc>
        <w:tc>
          <w:tcPr>
            <w:tcW w:w="1259" w:type="dxa"/>
            <w:vAlign w:val="top"/>
          </w:tcPr>
          <w:p>
            <w:pPr>
              <w:pStyle w:val="TableText"/>
              <w:ind w:left="685"/>
              <w:spacing w:before="150" w:line="161" w:lineRule="auto"/>
              <w:rPr>
                <w:sz w:val="17"/>
                <w:szCs w:val="17"/>
              </w:rPr>
            </w:pPr>
            <w:r>
              <w:rPr>
                <w:sz w:val="17"/>
                <w:szCs w:val="17"/>
                <w:color w:val="212529"/>
                <w:spacing w:val="1"/>
              </w:rPr>
              <w:t>304.98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04"/>
              <w:spacing w:before="149" w:line="183" w:lineRule="auto"/>
              <w:rPr>
                <w:sz w:val="15"/>
                <w:szCs w:val="15"/>
              </w:rPr>
            </w:pPr>
            <w:r>
              <w:rPr>
                <w:sz w:val="15"/>
                <w:szCs w:val="15"/>
                <w:color w:val="212529"/>
                <w:spacing w:val="1"/>
              </w:rPr>
              <w:t>8.</w:t>
            </w:r>
            <w:r>
              <w:rPr>
                <w:sz w:val="15"/>
                <w:szCs w:val="15"/>
                <w:color w:val="212529"/>
                <w:spacing w:val="11"/>
                <w:w w:val="102"/>
              </w:rPr>
              <w:t xml:space="preserve"> </w:t>
            </w:r>
            <w:r>
              <w:rPr>
                <w:sz w:val="15"/>
                <w:szCs w:val="15"/>
                <w:color w:val="212529"/>
                <w:spacing w:val="1"/>
              </w:rPr>
              <w:t>96</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943"/>
              <w:spacing w:before="129" w:line="238" w:lineRule="auto"/>
              <w:rPr>
                <w:rFonts w:ascii="SimSun" w:hAnsi="SimSun" w:eastAsia="SimSun" w:cs="SimSun"/>
                <w:sz w:val="18"/>
                <w:szCs w:val="18"/>
              </w:rPr>
            </w:pPr>
            <w:r>
              <w:rPr>
                <w:rFonts w:ascii="SimSun" w:hAnsi="SimSun" w:eastAsia="SimSun" w:cs="SimSun"/>
                <w:sz w:val="18"/>
                <w:szCs w:val="18"/>
                <w:color w:val="212529"/>
                <w:spacing w:val="-2"/>
              </w:rPr>
              <w:t>23.56</w:t>
            </w:r>
          </w:p>
        </w:tc>
        <w:tc>
          <w:tcPr>
            <w:tcW w:w="1259"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23.56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943"/>
              <w:spacing w:before="130" w:line="238" w:lineRule="auto"/>
              <w:rPr>
                <w:rFonts w:ascii="SimSun" w:hAnsi="SimSun" w:eastAsia="SimSun" w:cs="SimSun"/>
                <w:sz w:val="18"/>
                <w:szCs w:val="18"/>
              </w:rPr>
            </w:pPr>
            <w:r>
              <w:rPr>
                <w:rFonts w:ascii="SimSun" w:hAnsi="SimSun" w:eastAsia="SimSun" w:cs="SimSun"/>
                <w:sz w:val="18"/>
                <w:szCs w:val="18"/>
                <w:color w:val="212529"/>
                <w:spacing w:val="-2"/>
              </w:rPr>
              <w:t>23.56</w:t>
            </w:r>
          </w:p>
        </w:tc>
        <w:tc>
          <w:tcPr>
            <w:tcW w:w="1259"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23.56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67" w:type="dxa"/>
            <w:vAlign w:val="top"/>
          </w:tcPr>
          <w:p>
            <w:pPr>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3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1.52</w:t>
            </w:r>
          </w:p>
        </w:tc>
        <w:tc>
          <w:tcPr>
            <w:tcW w:w="1259"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left="943"/>
              <w:spacing w:before="132" w:line="238" w:lineRule="auto"/>
              <w:rPr>
                <w:rFonts w:ascii="SimSun" w:hAnsi="SimSun" w:eastAsia="SimSun" w:cs="SimSun"/>
                <w:sz w:val="18"/>
                <w:szCs w:val="18"/>
              </w:rPr>
            </w:pPr>
            <w:r>
              <w:rPr>
                <w:rFonts w:ascii="SimSun" w:hAnsi="SimSun" w:eastAsia="SimSun" w:cs="SimSun"/>
                <w:sz w:val="18"/>
                <w:szCs w:val="18"/>
                <w:color w:val="212529"/>
                <w:spacing w:val="-2"/>
              </w:rPr>
              <w:t>22.04</w:t>
            </w:r>
          </w:p>
        </w:tc>
        <w:tc>
          <w:tcPr>
            <w:tcW w:w="1259"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22.04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853"/>
              <w:spacing w:before="133" w:line="238" w:lineRule="auto"/>
              <w:rPr>
                <w:rFonts w:ascii="SimSun" w:hAnsi="SimSun" w:eastAsia="SimSun" w:cs="SimSun"/>
                <w:sz w:val="18"/>
                <w:szCs w:val="18"/>
              </w:rPr>
            </w:pPr>
            <w:r>
              <w:rPr>
                <w:rFonts w:ascii="SimSun" w:hAnsi="SimSun" w:eastAsia="SimSun" w:cs="SimSun"/>
                <w:sz w:val="18"/>
                <w:szCs w:val="18"/>
                <w:color w:val="212529"/>
                <w:spacing w:val="-2"/>
              </w:rPr>
              <w:t>261.18</w:t>
            </w:r>
          </w:p>
        </w:tc>
        <w:tc>
          <w:tcPr>
            <w:tcW w:w="1259" w:type="dxa"/>
            <w:vAlign w:val="top"/>
          </w:tcPr>
          <w:p>
            <w:pPr>
              <w:ind w:right="27"/>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261.18</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7"/>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8.96</w:t>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853"/>
              <w:spacing w:before="134" w:line="238" w:lineRule="auto"/>
              <w:rPr>
                <w:rFonts w:ascii="SimSun" w:hAnsi="SimSun" w:eastAsia="SimSun" w:cs="SimSun"/>
                <w:sz w:val="18"/>
                <w:szCs w:val="18"/>
              </w:rPr>
            </w:pPr>
            <w:r>
              <w:rPr>
                <w:rFonts w:ascii="SimSun" w:hAnsi="SimSun" w:eastAsia="SimSun" w:cs="SimSun"/>
                <w:sz w:val="18"/>
                <w:szCs w:val="18"/>
                <w:color w:val="212529"/>
                <w:spacing w:val="-2"/>
              </w:rPr>
              <w:t>252.14</w:t>
            </w:r>
          </w:p>
        </w:tc>
        <w:tc>
          <w:tcPr>
            <w:tcW w:w="1259"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252.14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8.96</w:t>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853"/>
              <w:spacing w:before="135" w:line="238" w:lineRule="auto"/>
              <w:rPr>
                <w:rFonts w:ascii="SimSun" w:hAnsi="SimSun" w:eastAsia="SimSun" w:cs="SimSun"/>
                <w:sz w:val="18"/>
                <w:szCs w:val="18"/>
              </w:rPr>
            </w:pPr>
            <w:r>
              <w:rPr>
                <w:rFonts w:ascii="SimSun" w:hAnsi="SimSun" w:eastAsia="SimSun" w:cs="SimSun"/>
                <w:sz w:val="18"/>
                <w:szCs w:val="18"/>
                <w:color w:val="212529"/>
                <w:spacing w:val="-2"/>
              </w:rPr>
              <w:t>229.10</w:t>
            </w:r>
          </w:p>
        </w:tc>
        <w:tc>
          <w:tcPr>
            <w:tcW w:w="1259" w:type="dxa"/>
            <w:vAlign w:val="top"/>
          </w:tcPr>
          <w:p>
            <w:pPr>
              <w:ind w:right="27"/>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229.10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left="943"/>
              <w:spacing w:before="136" w:line="238" w:lineRule="auto"/>
              <w:rPr>
                <w:rFonts w:ascii="SimSun" w:hAnsi="SimSun" w:eastAsia="SimSun" w:cs="SimSun"/>
                <w:sz w:val="18"/>
                <w:szCs w:val="18"/>
              </w:rPr>
            </w:pPr>
            <w:r>
              <w:rPr>
                <w:rFonts w:ascii="SimSun" w:hAnsi="SimSun" w:eastAsia="SimSun" w:cs="SimSun"/>
                <w:sz w:val="18"/>
                <w:szCs w:val="18"/>
                <w:color w:val="212529"/>
                <w:spacing w:val="-2"/>
              </w:rPr>
              <w:t>23.04</w:t>
            </w:r>
          </w:p>
        </w:tc>
        <w:tc>
          <w:tcPr>
            <w:tcW w:w="1259"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23.04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7"/>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8.96</w:t>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left="1032"/>
              <w:spacing w:before="137" w:line="238" w:lineRule="auto"/>
              <w:rPr>
                <w:rFonts w:ascii="SimSun" w:hAnsi="SimSun" w:eastAsia="SimSun" w:cs="SimSun"/>
                <w:sz w:val="18"/>
                <w:szCs w:val="18"/>
              </w:rPr>
            </w:pPr>
            <w:r>
              <w:rPr>
                <w:rFonts w:ascii="SimSun" w:hAnsi="SimSun" w:eastAsia="SimSun" w:cs="SimSun"/>
                <w:sz w:val="18"/>
                <w:szCs w:val="18"/>
                <w:color w:val="212529"/>
                <w:spacing w:val="-2"/>
              </w:rPr>
              <w:t>9.04</w:t>
            </w:r>
          </w:p>
        </w:tc>
        <w:tc>
          <w:tcPr>
            <w:tcW w:w="1259"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9.04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left="1032"/>
              <w:spacing w:before="138" w:line="238" w:lineRule="auto"/>
              <w:rPr>
                <w:rFonts w:ascii="SimSun" w:hAnsi="SimSun" w:eastAsia="SimSun" w:cs="SimSun"/>
                <w:sz w:val="18"/>
                <w:szCs w:val="18"/>
              </w:rPr>
            </w:pPr>
            <w:r>
              <w:rPr>
                <w:rFonts w:ascii="SimSun" w:hAnsi="SimSun" w:eastAsia="SimSun" w:cs="SimSun"/>
                <w:sz w:val="18"/>
                <w:szCs w:val="18"/>
                <w:color w:val="212529"/>
                <w:spacing w:val="-2"/>
              </w:rPr>
              <w:t>9.04</w:t>
            </w:r>
          </w:p>
        </w:tc>
        <w:tc>
          <w:tcPr>
            <w:tcW w:w="1259"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9.04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20.24</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20.24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20.24</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20.24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left="943"/>
              <w:spacing w:before="139" w:line="238" w:lineRule="auto"/>
              <w:rPr>
                <w:rFonts w:ascii="SimSun" w:hAnsi="SimSun" w:eastAsia="SimSun" w:cs="SimSun"/>
                <w:sz w:val="18"/>
                <w:szCs w:val="18"/>
              </w:rPr>
            </w:pPr>
            <w:r>
              <w:rPr>
                <w:rFonts w:ascii="SimSun" w:hAnsi="SimSun" w:eastAsia="SimSun" w:cs="SimSun"/>
                <w:sz w:val="18"/>
                <w:szCs w:val="18"/>
                <w:color w:val="212529"/>
                <w:spacing w:val="-2"/>
              </w:rPr>
              <w:t>20.24</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20.24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76"/>
        <w:gridCol w:w="3337"/>
        <w:gridCol w:w="1404"/>
        <w:gridCol w:w="1361"/>
        <w:gridCol w:w="1280"/>
      </w:tblGrid>
      <w:tr>
        <w:trPr>
          <w:trHeight w:val="319" w:hRule="atLeast"/>
        </w:trPr>
        <w:tc>
          <w:tcPr>
            <w:tcW w:w="177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3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0" w:type="dxa"/>
            <w:vAlign w:val="top"/>
            <w:tcBorders>
              <w:bottom w:val="single" w:color="FFFFFF" w:sz="4" w:space="0"/>
              <w:top w:val="single" w:color="FFFFFF" w:sz="4" w:space="0"/>
              <w:left w:val="single" w:color="FFFFFF" w:sz="2" w:space="0"/>
              <w:right w:val="single" w:color="FFFFFF" w:sz="2" w:space="0"/>
            </w:tcBorders>
          </w:tcPr>
          <w:p>
            <w:pPr>
              <w:ind w:left="541"/>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517"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361" w:type="dxa"/>
            <w:vAlign w:val="top"/>
            <w:tcBorders>
              <w:top w:val="single" w:color="FFFFFF" w:sz="4" w:space="0"/>
              <w:left w:val="single" w:color="FFFFFF" w:sz="2" w:space="0"/>
              <w:right w:val="single" w:color="FFFFFF" w:sz="2" w:space="0"/>
            </w:tcBorders>
          </w:tcPr>
          <w:p>
            <w:pPr>
              <w:pStyle w:val="TableText"/>
              <w:rPr/>
            </w:pPr>
            <w:r/>
          </w:p>
        </w:tc>
        <w:tc>
          <w:tcPr>
            <w:tcW w:w="1280" w:type="dxa"/>
            <w:vAlign w:val="top"/>
            <w:tcBorders>
              <w:top w:val="single" w:color="FFFFFF" w:sz="4" w:space="0"/>
              <w:left w:val="single" w:color="FFFFFF" w:sz="2" w:space="0"/>
              <w:right w:val="single" w:color="FFFFFF" w:sz="2" w:space="0"/>
            </w:tcBorders>
          </w:tcPr>
          <w:p>
            <w:pPr>
              <w:ind w:left="607"/>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113" w:type="dxa"/>
            <w:vAlign w:val="top"/>
            <w:gridSpan w:val="2"/>
          </w:tcPr>
          <w:p>
            <w:pPr>
              <w:ind w:left="2382"/>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45" w:type="dxa"/>
            <w:vAlign w:val="top"/>
            <w:gridSpan w:val="3"/>
          </w:tcPr>
          <w:p>
            <w:pPr>
              <w:ind w:left="152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76" w:type="dxa"/>
            <w:vAlign w:val="top"/>
          </w:tcPr>
          <w:p>
            <w:pPr>
              <w:ind w:left="549"/>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337" w:type="dxa"/>
            <w:vAlign w:val="top"/>
          </w:tcPr>
          <w:p>
            <w:pPr>
              <w:ind w:left="132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1"/>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80" w:type="dxa"/>
            <w:vAlign w:val="top"/>
          </w:tcPr>
          <w:p>
            <w:pPr>
              <w:ind w:left="30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113" w:type="dxa"/>
            <w:vAlign w:val="top"/>
            <w:gridSpan w:val="2"/>
          </w:tcPr>
          <w:p>
            <w:pPr>
              <w:ind w:left="2384"/>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9"/>
              <w:spacing w:before="99" w:line="186" w:lineRule="auto"/>
              <w:rPr>
                <w:sz w:val="13"/>
                <w:szCs w:val="13"/>
              </w:rPr>
            </w:pPr>
            <w:r>
              <w:rPr>
                <w:sz w:val="13"/>
                <w:szCs w:val="13"/>
                <w:color w:val="212529"/>
                <w:spacing w:val="4"/>
              </w:rPr>
              <w:t>313.</w:t>
            </w:r>
            <w:r>
              <w:rPr>
                <w:sz w:val="13"/>
                <w:szCs w:val="13"/>
                <w:color w:val="212529"/>
                <w:spacing w:val="17"/>
                <w:w w:val="101"/>
              </w:rPr>
              <w:t xml:space="preserve"> </w:t>
            </w:r>
            <w:r>
              <w:rPr>
                <w:sz w:val="13"/>
                <w:szCs w:val="13"/>
                <w:color w:val="212529"/>
                <w:spacing w:val="4"/>
              </w:rPr>
              <w:t>94</w:t>
            </w:r>
          </w:p>
        </w:tc>
        <w:tc>
          <w:tcPr>
            <w:tcW w:w="1361" w:type="dxa"/>
            <w:vAlign w:val="top"/>
          </w:tcPr>
          <w:p>
            <w:pPr>
              <w:pStyle w:val="TableText"/>
              <w:ind w:left="851"/>
              <w:spacing w:before="99" w:line="186" w:lineRule="auto"/>
              <w:rPr>
                <w:sz w:val="13"/>
                <w:szCs w:val="13"/>
              </w:rPr>
            </w:pPr>
            <w:r>
              <w:rPr>
                <w:sz w:val="13"/>
                <w:szCs w:val="13"/>
                <w:color w:val="212529"/>
                <w:spacing w:val="2"/>
              </w:rPr>
              <w:t>239.</w:t>
            </w:r>
            <w:r>
              <w:rPr>
                <w:sz w:val="13"/>
                <w:szCs w:val="13"/>
                <w:color w:val="212529"/>
                <w:spacing w:val="27"/>
              </w:rPr>
              <w:t xml:space="preserve"> </w:t>
            </w:r>
            <w:r>
              <w:rPr>
                <w:sz w:val="13"/>
                <w:szCs w:val="13"/>
                <w:color w:val="212529"/>
                <w:spacing w:val="2"/>
              </w:rPr>
              <w:t>17</w:t>
            </w:r>
          </w:p>
        </w:tc>
        <w:tc>
          <w:tcPr>
            <w:tcW w:w="1280" w:type="dxa"/>
            <w:vAlign w:val="top"/>
          </w:tcPr>
          <w:p>
            <w:pPr>
              <w:pStyle w:val="TableText"/>
              <w:ind w:left="851"/>
              <w:spacing w:before="99" w:line="186" w:lineRule="auto"/>
              <w:rPr>
                <w:sz w:val="13"/>
                <w:szCs w:val="13"/>
              </w:rPr>
            </w:pPr>
            <w:r>
              <w:rPr>
                <w:sz w:val="13"/>
                <w:szCs w:val="13"/>
                <w:color w:val="212529"/>
                <w:spacing w:val="3"/>
              </w:rPr>
              <w:t>74.</w:t>
            </w:r>
            <w:r>
              <w:rPr>
                <w:sz w:val="13"/>
                <w:szCs w:val="13"/>
                <w:color w:val="212529"/>
                <w:spacing w:val="14"/>
              </w:rPr>
              <w:t xml:space="preserve"> </w:t>
            </w:r>
            <w:r>
              <w:rPr>
                <w:sz w:val="13"/>
                <w:szCs w:val="13"/>
                <w:color w:val="212529"/>
                <w:spacing w:val="3"/>
              </w:rPr>
              <w:t>77</w:t>
            </w:r>
          </w:p>
        </w:tc>
      </w:tr>
      <w:tr>
        <w:trPr>
          <w:trHeight w:val="314"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337"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w:t>
            </w:r>
          </w:p>
        </w:tc>
        <w:tc>
          <w:tcPr>
            <w:tcW w:w="1361" w:type="dxa"/>
            <w:vAlign w:val="top"/>
          </w:tcPr>
          <w:p>
            <w:pPr>
              <w:pStyle w:val="TableText"/>
              <w:ind w:left="932"/>
              <w:spacing w:before="99" w:line="186" w:lineRule="auto"/>
              <w:rPr>
                <w:sz w:val="13"/>
                <w:szCs w:val="13"/>
              </w:rPr>
            </w:pPr>
            <w:r>
              <w:rPr>
                <w:sz w:val="13"/>
                <w:szCs w:val="13"/>
                <w:color w:val="212529"/>
                <w:spacing w:val="4"/>
              </w:rPr>
              <w:t>23.</w:t>
            </w:r>
            <w:r>
              <w:rPr>
                <w:sz w:val="13"/>
                <w:szCs w:val="13"/>
                <w:color w:val="212529"/>
                <w:spacing w:val="11"/>
                <w:w w:val="101"/>
              </w:rPr>
              <w:t xml:space="preserve"> </w:t>
            </w:r>
            <w:r>
              <w:rPr>
                <w:sz w:val="13"/>
                <w:szCs w:val="13"/>
                <w:color w:val="212529"/>
                <w:spacing w:val="4"/>
              </w:rPr>
              <w:t>56</w:t>
            </w:r>
          </w:p>
        </w:tc>
        <w:tc>
          <w:tcPr>
            <w:tcW w:w="1280" w:type="dxa"/>
            <w:vAlign w:val="top"/>
          </w:tcPr>
          <w:p>
            <w:pPr>
              <w:pStyle w:val="TableText"/>
              <w:rPr/>
            </w:pPr>
            <w:r/>
          </w:p>
        </w:tc>
      </w:tr>
      <w:tr>
        <w:trPr>
          <w:trHeight w:val="313" w:hRule="atLeast"/>
        </w:trPr>
        <w:tc>
          <w:tcPr>
            <w:tcW w:w="177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337"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19"/>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w:t>
            </w:r>
          </w:p>
        </w:tc>
        <w:tc>
          <w:tcPr>
            <w:tcW w:w="1361" w:type="dxa"/>
            <w:vAlign w:val="top"/>
          </w:tcPr>
          <w:p>
            <w:pPr>
              <w:pStyle w:val="TableText"/>
              <w:ind w:left="932"/>
              <w:spacing w:before="99" w:line="186" w:lineRule="auto"/>
              <w:rPr>
                <w:sz w:val="13"/>
                <w:szCs w:val="13"/>
              </w:rPr>
            </w:pPr>
            <w:r>
              <w:rPr>
                <w:sz w:val="13"/>
                <w:szCs w:val="13"/>
                <w:color w:val="212529"/>
                <w:spacing w:val="4"/>
              </w:rPr>
              <w:t>23.</w:t>
            </w:r>
            <w:r>
              <w:rPr>
                <w:sz w:val="13"/>
                <w:szCs w:val="13"/>
                <w:color w:val="212529"/>
                <w:spacing w:val="11"/>
                <w:w w:val="101"/>
              </w:rPr>
              <w:t xml:space="preserve"> </w:t>
            </w:r>
            <w:r>
              <w:rPr>
                <w:sz w:val="13"/>
                <w:szCs w:val="13"/>
                <w:color w:val="212529"/>
                <w:spacing w:val="4"/>
              </w:rPr>
              <w:t>56</w:t>
            </w:r>
          </w:p>
        </w:tc>
        <w:tc>
          <w:tcPr>
            <w:tcW w:w="1280" w:type="dxa"/>
            <w:vAlign w:val="top"/>
          </w:tcPr>
          <w:p>
            <w:pPr>
              <w:pStyle w:val="TableText"/>
              <w:rPr/>
            </w:pPr>
            <w:r/>
          </w:p>
        </w:tc>
      </w:tr>
      <w:tr>
        <w:trPr>
          <w:trHeight w:val="314" w:hRule="atLeast"/>
        </w:trPr>
        <w:tc>
          <w:tcPr>
            <w:tcW w:w="177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337"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22.04</w:t>
            </w:r>
          </w:p>
        </w:tc>
        <w:tc>
          <w:tcPr>
            <w:tcW w:w="1361" w:type="dxa"/>
            <w:vAlign w:val="top"/>
          </w:tcPr>
          <w:p>
            <w:pPr>
              <w:ind w:right="22"/>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22.04</w:t>
            </w:r>
          </w:p>
        </w:tc>
        <w:tc>
          <w:tcPr>
            <w:tcW w:w="1280" w:type="dxa"/>
            <w:vAlign w:val="top"/>
          </w:tcPr>
          <w:p>
            <w:pPr>
              <w:pStyle w:val="TableText"/>
              <w:rPr/>
            </w:pPr>
            <w:r/>
          </w:p>
        </w:tc>
      </w:tr>
      <w:tr>
        <w:trPr>
          <w:trHeight w:val="314" w:hRule="atLeast"/>
        </w:trPr>
        <w:tc>
          <w:tcPr>
            <w:tcW w:w="177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337"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19"/>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270.14</w:t>
            </w:r>
          </w:p>
        </w:tc>
        <w:tc>
          <w:tcPr>
            <w:tcW w:w="1361" w:type="dxa"/>
            <w:vAlign w:val="top"/>
          </w:tcPr>
          <w:p>
            <w:pPr>
              <w:pStyle w:val="TableText"/>
              <w:ind w:left="861"/>
              <w:spacing w:before="101" w:line="187" w:lineRule="auto"/>
              <w:rPr>
                <w:sz w:val="13"/>
                <w:szCs w:val="13"/>
              </w:rPr>
            </w:pPr>
            <w:r>
              <w:rPr>
                <w:sz w:val="13"/>
                <w:szCs w:val="13"/>
                <w:color w:val="212529"/>
                <w:spacing w:val="2"/>
              </w:rPr>
              <w:t>195.</w:t>
            </w:r>
            <w:r>
              <w:rPr>
                <w:sz w:val="13"/>
                <w:szCs w:val="13"/>
                <w:color w:val="212529"/>
                <w:spacing w:val="17"/>
              </w:rPr>
              <w:t xml:space="preserve"> </w:t>
            </w:r>
            <w:r>
              <w:rPr>
                <w:sz w:val="13"/>
                <w:szCs w:val="13"/>
                <w:color w:val="212529"/>
                <w:spacing w:val="2"/>
              </w:rPr>
              <w:t>37</w:t>
            </w:r>
          </w:p>
        </w:tc>
        <w:tc>
          <w:tcPr>
            <w:tcW w:w="1280" w:type="dxa"/>
            <w:vAlign w:val="top"/>
          </w:tcPr>
          <w:p>
            <w:pPr>
              <w:pStyle w:val="TableText"/>
              <w:ind w:left="851"/>
              <w:spacing w:before="102" w:line="186" w:lineRule="auto"/>
              <w:rPr>
                <w:sz w:val="13"/>
                <w:szCs w:val="13"/>
              </w:rPr>
            </w:pPr>
            <w:r>
              <w:rPr>
                <w:sz w:val="13"/>
                <w:szCs w:val="13"/>
                <w:color w:val="212529"/>
                <w:spacing w:val="4"/>
              </w:rPr>
              <w:t>74.</w:t>
            </w:r>
            <w:r>
              <w:rPr>
                <w:sz w:val="13"/>
                <w:szCs w:val="13"/>
                <w:color w:val="212529"/>
                <w:spacing w:val="9"/>
              </w:rPr>
              <w:t xml:space="preserve"> </w:t>
            </w:r>
            <w:r>
              <w:rPr>
                <w:sz w:val="13"/>
                <w:szCs w:val="13"/>
                <w:color w:val="212529"/>
                <w:spacing w:val="4"/>
              </w:rPr>
              <w:t>77</w:t>
            </w:r>
          </w:p>
        </w:tc>
      </w:tr>
      <w:tr>
        <w:trPr>
          <w:trHeight w:val="314" w:hRule="atLeast"/>
        </w:trPr>
        <w:tc>
          <w:tcPr>
            <w:tcW w:w="177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337"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261.09</w:t>
            </w:r>
          </w:p>
        </w:tc>
        <w:tc>
          <w:tcPr>
            <w:tcW w:w="1361" w:type="dxa"/>
            <w:vAlign w:val="top"/>
          </w:tcPr>
          <w:p>
            <w:pPr>
              <w:pStyle w:val="TableText"/>
              <w:ind w:left="861"/>
              <w:spacing w:before="102" w:line="186" w:lineRule="auto"/>
              <w:rPr>
                <w:sz w:val="13"/>
                <w:szCs w:val="13"/>
              </w:rPr>
            </w:pPr>
            <w:r>
              <w:rPr>
                <w:sz w:val="13"/>
                <w:szCs w:val="13"/>
                <w:color w:val="212529"/>
                <w:spacing w:val="2"/>
              </w:rPr>
              <w:t>186.</w:t>
            </w:r>
            <w:r>
              <w:rPr>
                <w:sz w:val="13"/>
                <w:szCs w:val="13"/>
                <w:color w:val="212529"/>
                <w:spacing w:val="16"/>
                <w:w w:val="101"/>
              </w:rPr>
              <w:t xml:space="preserve"> </w:t>
            </w:r>
            <w:r>
              <w:rPr>
                <w:sz w:val="13"/>
                <w:szCs w:val="13"/>
                <w:color w:val="212529"/>
                <w:spacing w:val="2"/>
              </w:rPr>
              <w:t>33</w:t>
            </w:r>
          </w:p>
        </w:tc>
        <w:tc>
          <w:tcPr>
            <w:tcW w:w="1280" w:type="dxa"/>
            <w:vAlign w:val="top"/>
          </w:tcPr>
          <w:p>
            <w:pPr>
              <w:pStyle w:val="TableText"/>
              <w:ind w:left="851"/>
              <w:spacing w:before="102" w:line="186" w:lineRule="auto"/>
              <w:rPr>
                <w:sz w:val="13"/>
                <w:szCs w:val="13"/>
              </w:rPr>
            </w:pPr>
            <w:r>
              <w:rPr>
                <w:sz w:val="13"/>
                <w:szCs w:val="13"/>
                <w:color w:val="212529"/>
                <w:spacing w:val="3"/>
              </w:rPr>
              <w:t>74.</w:t>
            </w:r>
            <w:r>
              <w:rPr>
                <w:sz w:val="13"/>
                <w:szCs w:val="13"/>
                <w:color w:val="212529"/>
                <w:spacing w:val="14"/>
              </w:rPr>
              <w:t xml:space="preserve"> </w:t>
            </w:r>
            <w:r>
              <w:rPr>
                <w:sz w:val="13"/>
                <w:szCs w:val="13"/>
                <w:color w:val="212529"/>
                <w:spacing w:val="3"/>
              </w:rPr>
              <w:t>77</w:t>
            </w:r>
          </w:p>
        </w:tc>
      </w:tr>
      <w:tr>
        <w:trPr>
          <w:trHeight w:val="314" w:hRule="atLeast"/>
        </w:trPr>
        <w:tc>
          <w:tcPr>
            <w:tcW w:w="177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337" w:type="dxa"/>
            <w:vAlign w:val="top"/>
          </w:tcPr>
          <w:p>
            <w:pPr>
              <w:ind w:left="10"/>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404" w:type="dxa"/>
            <w:vAlign w:val="top"/>
          </w:tcPr>
          <w:p>
            <w:pPr>
              <w:ind w:right="19"/>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229.10</w:t>
            </w:r>
          </w:p>
        </w:tc>
        <w:tc>
          <w:tcPr>
            <w:tcW w:w="1361" w:type="dxa"/>
            <w:vAlign w:val="top"/>
          </w:tcPr>
          <w:p>
            <w:pPr>
              <w:ind w:right="22"/>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186.33</w:t>
            </w:r>
          </w:p>
        </w:tc>
        <w:tc>
          <w:tcPr>
            <w:tcW w:w="1280"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42.77</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337"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404" w:type="dxa"/>
            <w:vAlign w:val="top"/>
          </w:tcPr>
          <w:p>
            <w:pPr>
              <w:ind w:right="19"/>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c>
          <w:tcPr>
            <w:tcW w:w="1361" w:type="dxa"/>
            <w:vAlign w:val="top"/>
          </w:tcPr>
          <w:p>
            <w:pPr>
              <w:pStyle w:val="TableText"/>
              <w:rPr/>
            </w:pPr>
            <w:r/>
          </w:p>
        </w:tc>
        <w:tc>
          <w:tcPr>
            <w:tcW w:w="1280"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32.00</w:t>
            </w:r>
          </w:p>
        </w:tc>
      </w:tr>
      <w:tr>
        <w:trPr>
          <w:trHeight w:val="314" w:hRule="atLeast"/>
        </w:trPr>
        <w:tc>
          <w:tcPr>
            <w:tcW w:w="177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337"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9.04</w:t>
            </w:r>
          </w:p>
        </w:tc>
        <w:tc>
          <w:tcPr>
            <w:tcW w:w="1361" w:type="dxa"/>
            <w:vAlign w:val="top"/>
          </w:tcPr>
          <w:p>
            <w:pPr>
              <w:pStyle w:val="TableText"/>
              <w:rPr/>
            </w:pPr>
            <w:r/>
          </w:p>
        </w:tc>
        <w:tc>
          <w:tcPr>
            <w:tcW w:w="1280" w:type="dxa"/>
            <w:vAlign w:val="top"/>
          </w:tcPr>
          <w:p>
            <w:pPr>
              <w:pStyle w:val="TableText"/>
              <w:rPr/>
            </w:pPr>
            <w:r/>
          </w:p>
        </w:tc>
      </w:tr>
      <w:tr>
        <w:trPr>
          <w:trHeight w:val="314" w:hRule="atLeast"/>
        </w:trPr>
        <w:tc>
          <w:tcPr>
            <w:tcW w:w="177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337"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19"/>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9.04</w:t>
            </w:r>
          </w:p>
        </w:tc>
        <w:tc>
          <w:tcPr>
            <w:tcW w:w="1361" w:type="dxa"/>
            <w:vAlign w:val="top"/>
          </w:tcPr>
          <w:p>
            <w:pPr>
              <w:ind w:right="22"/>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9.04</w:t>
            </w:r>
          </w:p>
        </w:tc>
        <w:tc>
          <w:tcPr>
            <w:tcW w:w="1280" w:type="dxa"/>
            <w:vAlign w:val="top"/>
          </w:tcPr>
          <w:p>
            <w:pPr>
              <w:pStyle w:val="TableText"/>
              <w:rPr/>
            </w:pPr>
            <w:r/>
          </w:p>
        </w:tc>
      </w:tr>
      <w:tr>
        <w:trPr>
          <w:trHeight w:val="314"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19"/>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361" w:type="dxa"/>
            <w:vAlign w:val="top"/>
          </w:tcPr>
          <w:p>
            <w:pPr>
              <w:pStyle w:val="TableText"/>
              <w:ind w:left="932"/>
              <w:spacing w:before="104" w:line="172" w:lineRule="auto"/>
              <w:rPr>
                <w:sz w:val="14"/>
                <w:szCs w:val="14"/>
              </w:rPr>
            </w:pPr>
            <w:r>
              <w:rPr>
                <w:sz w:val="14"/>
                <w:szCs w:val="14"/>
                <w:color w:val="212529"/>
              </w:rPr>
              <w:t>20.</w:t>
            </w:r>
            <w:r>
              <w:rPr>
                <w:sz w:val="14"/>
                <w:szCs w:val="14"/>
                <w:color w:val="212529"/>
                <w:spacing w:val="6"/>
              </w:rPr>
              <w:t xml:space="preserve"> </w:t>
            </w:r>
            <w:r>
              <w:rPr>
                <w:sz w:val="14"/>
                <w:szCs w:val="14"/>
                <w:color w:val="212529"/>
              </w:rPr>
              <w:t>24</w:t>
            </w:r>
          </w:p>
        </w:tc>
        <w:tc>
          <w:tcPr>
            <w:tcW w:w="1280" w:type="dxa"/>
            <w:vAlign w:val="top"/>
          </w:tcPr>
          <w:p>
            <w:pPr>
              <w:pStyle w:val="TableText"/>
              <w:rPr/>
            </w:pPr>
            <w:r/>
          </w:p>
        </w:tc>
      </w:tr>
      <w:tr>
        <w:trPr>
          <w:trHeight w:val="314" w:hRule="atLeast"/>
        </w:trPr>
        <w:tc>
          <w:tcPr>
            <w:tcW w:w="177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337"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361" w:type="dxa"/>
            <w:vAlign w:val="top"/>
          </w:tcPr>
          <w:p>
            <w:pPr>
              <w:pStyle w:val="TableText"/>
              <w:ind w:left="932"/>
              <w:spacing w:before="104" w:line="172" w:lineRule="auto"/>
              <w:rPr>
                <w:sz w:val="14"/>
                <w:szCs w:val="14"/>
              </w:rPr>
            </w:pPr>
            <w:r>
              <w:rPr>
                <w:sz w:val="14"/>
                <w:szCs w:val="14"/>
                <w:color w:val="212529"/>
              </w:rPr>
              <w:t>20.</w:t>
            </w:r>
            <w:r>
              <w:rPr>
                <w:sz w:val="14"/>
                <w:szCs w:val="14"/>
                <w:color w:val="212529"/>
                <w:spacing w:val="6"/>
              </w:rPr>
              <w:t xml:space="preserve"> </w:t>
            </w:r>
            <w:r>
              <w:rPr>
                <w:sz w:val="14"/>
                <w:szCs w:val="14"/>
                <w:color w:val="212529"/>
              </w:rPr>
              <w:t>24</w:t>
            </w:r>
          </w:p>
        </w:tc>
        <w:tc>
          <w:tcPr>
            <w:tcW w:w="1280" w:type="dxa"/>
            <w:vAlign w:val="top"/>
          </w:tcPr>
          <w:p>
            <w:pPr>
              <w:pStyle w:val="TableText"/>
              <w:rPr/>
            </w:pPr>
            <w:r/>
          </w:p>
        </w:tc>
      </w:tr>
      <w:tr>
        <w:trPr>
          <w:trHeight w:val="319" w:hRule="atLeast"/>
        </w:trPr>
        <w:tc>
          <w:tcPr>
            <w:tcW w:w="177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337"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19"/>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361" w:type="dxa"/>
            <w:vAlign w:val="top"/>
          </w:tcPr>
          <w:p>
            <w:pPr>
              <w:ind w:right="22"/>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280"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304.98</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.56</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270.14</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270.14</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4"/>
              <w:spacing w:before="137" w:line="186" w:lineRule="auto"/>
              <w:rPr>
                <w:sz w:val="13"/>
                <w:szCs w:val="13"/>
              </w:rPr>
            </w:pPr>
            <w:r>
              <w:rPr>
                <w:sz w:val="13"/>
                <w:szCs w:val="13"/>
                <w:color w:val="212529"/>
                <w:spacing w:val="4"/>
              </w:rPr>
              <w:t>304.</w:t>
            </w:r>
            <w:r>
              <w:rPr>
                <w:sz w:val="13"/>
                <w:szCs w:val="13"/>
                <w:color w:val="212529"/>
                <w:spacing w:val="14"/>
              </w:rPr>
              <w:t xml:space="preserve"> </w:t>
            </w:r>
            <w:r>
              <w:rPr>
                <w:sz w:val="13"/>
                <w:szCs w:val="13"/>
                <w:color w:val="212529"/>
                <w:spacing w:val="4"/>
              </w:rPr>
              <w:t>98</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2"/>
              <w:spacing w:before="137" w:line="162" w:lineRule="auto"/>
              <w:rPr>
                <w:sz w:val="15"/>
                <w:szCs w:val="15"/>
              </w:rPr>
            </w:pPr>
            <w:r>
              <w:rPr>
                <w:sz w:val="15"/>
                <w:szCs w:val="15"/>
                <w:color w:val="212529"/>
                <w:spacing w:val="2"/>
              </w:rPr>
              <w:t>313.94</w:t>
            </w:r>
          </w:p>
        </w:tc>
        <w:tc>
          <w:tcPr>
            <w:tcW w:w="1069" w:type="dxa"/>
            <w:vAlign w:val="top"/>
          </w:tcPr>
          <w:p>
            <w:pPr>
              <w:pStyle w:val="TableText"/>
              <w:ind w:left="287"/>
              <w:spacing w:before="137" w:line="173" w:lineRule="auto"/>
              <w:rPr>
                <w:sz w:val="14"/>
                <w:szCs w:val="14"/>
              </w:rPr>
            </w:pPr>
            <w:r>
              <w:rPr>
                <w:sz w:val="14"/>
                <w:szCs w:val="14"/>
                <w:color w:val="212529"/>
              </w:rPr>
              <w:t>313.</w:t>
            </w:r>
            <w:r>
              <w:rPr>
                <w:sz w:val="14"/>
                <w:szCs w:val="14"/>
                <w:color w:val="212529"/>
                <w:spacing w:val="8"/>
              </w:rPr>
              <w:t xml:space="preserve"> </w:t>
            </w:r>
            <w:r>
              <w:rPr>
                <w:sz w:val="14"/>
                <w:szCs w:val="14"/>
                <w:color w:val="212529"/>
              </w:rPr>
              <w:t>94</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ind w:right="21"/>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8.96</w:t>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8.96</w:t>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4"/>
              <w:spacing w:before="135" w:line="162" w:lineRule="auto"/>
              <w:rPr>
                <w:sz w:val="15"/>
                <w:szCs w:val="15"/>
              </w:rPr>
            </w:pPr>
            <w:r>
              <w:rPr>
                <w:sz w:val="15"/>
                <w:szCs w:val="15"/>
                <w:color w:val="212529"/>
                <w:spacing w:val="2"/>
              </w:rPr>
              <w:t>313.94</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2"/>
              <w:spacing w:before="135" w:line="162" w:lineRule="auto"/>
              <w:rPr>
                <w:sz w:val="15"/>
                <w:szCs w:val="15"/>
              </w:rPr>
            </w:pPr>
            <w:r>
              <w:rPr>
                <w:sz w:val="15"/>
                <w:szCs w:val="15"/>
                <w:color w:val="212529"/>
                <w:spacing w:val="2"/>
              </w:rPr>
              <w:t>313.94</w:t>
            </w:r>
          </w:p>
        </w:tc>
        <w:tc>
          <w:tcPr>
            <w:tcW w:w="1069" w:type="dxa"/>
            <w:vAlign w:val="top"/>
          </w:tcPr>
          <w:p>
            <w:pPr>
              <w:pStyle w:val="TableText"/>
              <w:ind w:left="287"/>
              <w:spacing w:before="135" w:line="173" w:lineRule="auto"/>
              <w:rPr>
                <w:sz w:val="14"/>
                <w:szCs w:val="14"/>
              </w:rPr>
            </w:pPr>
            <w:r>
              <w:rPr>
                <w:sz w:val="14"/>
                <w:szCs w:val="14"/>
                <w:color w:val="212529"/>
              </w:rPr>
              <w:t>313.</w:t>
            </w:r>
            <w:r>
              <w:rPr>
                <w:sz w:val="14"/>
                <w:szCs w:val="14"/>
                <w:color w:val="212529"/>
                <w:spacing w:val="8"/>
              </w:rPr>
              <w:t xml:space="preserve"> </w:t>
            </w:r>
            <w:r>
              <w:rPr>
                <w:sz w:val="14"/>
                <w:szCs w:val="14"/>
                <w:color w:val="212529"/>
              </w:rPr>
              <w:t>94</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79"/>
        <w:gridCol w:w="3143"/>
        <w:gridCol w:w="1544"/>
        <w:gridCol w:w="1415"/>
        <w:gridCol w:w="1377"/>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81"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377" w:type="dxa"/>
            <w:vAlign w:val="top"/>
            <w:tcBorders>
              <w:top w:val="single" w:color="FFFFFF" w:sz="4" w:space="0"/>
              <w:left w:val="single" w:color="FFFFFF" w:sz="2" w:space="0"/>
              <w:right w:val="single" w:color="FFFFFF" w:sz="2" w:space="0"/>
            </w:tcBorders>
          </w:tcPr>
          <w:p>
            <w:pPr>
              <w:ind w:left="704"/>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822" w:type="dxa"/>
            <w:vAlign w:val="top"/>
            <w:gridSpan w:val="2"/>
          </w:tcPr>
          <w:p>
            <w:pPr>
              <w:ind w:left="223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36" w:type="dxa"/>
            <w:vAlign w:val="top"/>
            <w:gridSpan w:val="3"/>
          </w:tcPr>
          <w:p>
            <w:pPr>
              <w:ind w:left="167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79" w:type="dxa"/>
            <w:vAlign w:val="top"/>
          </w:tcPr>
          <w:p>
            <w:pPr>
              <w:ind w:left="498"/>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43" w:type="dxa"/>
            <w:vAlign w:val="top"/>
          </w:tcPr>
          <w:p>
            <w:pPr>
              <w:ind w:left="12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44" w:type="dxa"/>
            <w:vAlign w:val="top"/>
          </w:tcPr>
          <w:p>
            <w:pPr>
              <w:ind w:left="60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15" w:type="dxa"/>
            <w:vAlign w:val="top"/>
          </w:tcPr>
          <w:p>
            <w:pPr>
              <w:ind w:left="36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77" w:type="dxa"/>
            <w:vAlign w:val="top"/>
          </w:tcPr>
          <w:p>
            <w:pPr>
              <w:ind w:left="35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822" w:type="dxa"/>
            <w:vAlign w:val="top"/>
            <w:gridSpan w:val="2"/>
          </w:tcPr>
          <w:p>
            <w:pPr>
              <w:ind w:left="224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44" w:type="dxa"/>
            <w:vAlign w:val="top"/>
          </w:tcPr>
          <w:p>
            <w:pPr>
              <w:pStyle w:val="TableText"/>
              <w:ind w:left="1036"/>
              <w:spacing w:before="87" w:line="186" w:lineRule="auto"/>
              <w:rPr>
                <w:sz w:val="13"/>
                <w:szCs w:val="13"/>
              </w:rPr>
            </w:pPr>
            <w:r>
              <w:rPr>
                <w:sz w:val="13"/>
                <w:szCs w:val="13"/>
                <w:color w:val="212529"/>
                <w:spacing w:val="4"/>
              </w:rPr>
              <w:t>304.</w:t>
            </w:r>
            <w:r>
              <w:rPr>
                <w:sz w:val="13"/>
                <w:szCs w:val="13"/>
                <w:color w:val="212529"/>
                <w:spacing w:val="13"/>
                <w:w w:val="102"/>
              </w:rPr>
              <w:t xml:space="preserve"> </w:t>
            </w:r>
            <w:r>
              <w:rPr>
                <w:sz w:val="13"/>
                <w:szCs w:val="13"/>
                <w:color w:val="212529"/>
                <w:spacing w:val="4"/>
              </w:rPr>
              <w:t>98</w:t>
            </w:r>
          </w:p>
        </w:tc>
        <w:tc>
          <w:tcPr>
            <w:tcW w:w="1415" w:type="dxa"/>
            <w:vAlign w:val="top"/>
          </w:tcPr>
          <w:p>
            <w:pPr>
              <w:pStyle w:val="TableText"/>
              <w:ind w:left="904"/>
              <w:spacing w:before="87" w:line="186" w:lineRule="auto"/>
              <w:rPr>
                <w:sz w:val="13"/>
                <w:szCs w:val="13"/>
              </w:rPr>
            </w:pPr>
            <w:r>
              <w:rPr>
                <w:sz w:val="13"/>
                <w:szCs w:val="13"/>
                <w:color w:val="212529"/>
                <w:spacing w:val="4"/>
              </w:rPr>
              <w:t>239.</w:t>
            </w:r>
            <w:r>
              <w:rPr>
                <w:sz w:val="13"/>
                <w:szCs w:val="13"/>
                <w:color w:val="212529"/>
                <w:spacing w:val="15"/>
              </w:rPr>
              <w:t xml:space="preserve"> </w:t>
            </w:r>
            <w:r>
              <w:rPr>
                <w:sz w:val="13"/>
                <w:szCs w:val="13"/>
                <w:color w:val="212529"/>
                <w:spacing w:val="4"/>
              </w:rPr>
              <w:t>17</w:t>
            </w:r>
          </w:p>
        </w:tc>
        <w:tc>
          <w:tcPr>
            <w:tcW w:w="1377" w:type="dxa"/>
            <w:vAlign w:val="top"/>
          </w:tcPr>
          <w:p>
            <w:pPr>
              <w:pStyle w:val="TableText"/>
              <w:ind w:left="946"/>
              <w:spacing w:before="87" w:line="186" w:lineRule="auto"/>
              <w:rPr>
                <w:sz w:val="13"/>
                <w:szCs w:val="13"/>
              </w:rPr>
            </w:pPr>
            <w:r>
              <w:rPr>
                <w:sz w:val="13"/>
                <w:szCs w:val="13"/>
                <w:color w:val="212529"/>
                <w:spacing w:val="4"/>
              </w:rPr>
              <w:t>65.</w:t>
            </w:r>
            <w:r>
              <w:rPr>
                <w:sz w:val="13"/>
                <w:szCs w:val="13"/>
                <w:color w:val="212529"/>
                <w:spacing w:val="4"/>
              </w:rPr>
              <w:t xml:space="preserve"> </w:t>
            </w:r>
            <w:r>
              <w:rPr>
                <w:sz w:val="13"/>
                <w:szCs w:val="13"/>
                <w:color w:val="212529"/>
                <w:spacing w:val="4"/>
              </w:rPr>
              <w:t>81</w:t>
            </w:r>
          </w:p>
        </w:tc>
      </w:tr>
      <w:tr>
        <w:trPr>
          <w:trHeight w:val="292" w:hRule="atLeast"/>
        </w:trPr>
        <w:tc>
          <w:tcPr>
            <w:tcW w:w="1679"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43" w:type="dxa"/>
            <w:vAlign w:val="top"/>
          </w:tcPr>
          <w:p>
            <w:pPr>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44" w:type="dxa"/>
            <w:vAlign w:val="top"/>
          </w:tcPr>
          <w:p>
            <w:pPr>
              <w:ind w:right="22"/>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w:t>
            </w:r>
          </w:p>
        </w:tc>
        <w:tc>
          <w:tcPr>
            <w:tcW w:w="1415"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w:t>
            </w:r>
          </w:p>
        </w:tc>
        <w:tc>
          <w:tcPr>
            <w:tcW w:w="1377" w:type="dxa"/>
            <w:vAlign w:val="top"/>
          </w:tcPr>
          <w:p>
            <w:pPr>
              <w:pStyle w:val="TableText"/>
              <w:rPr/>
            </w:pPr>
            <w:r/>
          </w:p>
        </w:tc>
      </w:tr>
      <w:tr>
        <w:trPr>
          <w:trHeight w:val="292" w:hRule="atLeast"/>
        </w:trPr>
        <w:tc>
          <w:tcPr>
            <w:tcW w:w="1679"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43" w:type="dxa"/>
            <w:vAlign w:val="top"/>
          </w:tcPr>
          <w:p>
            <w:pPr>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44" w:type="dxa"/>
            <w:vAlign w:val="top"/>
          </w:tcPr>
          <w:p>
            <w:pPr>
              <w:ind w:right="22"/>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w:t>
            </w:r>
          </w:p>
        </w:tc>
        <w:tc>
          <w:tcPr>
            <w:tcW w:w="1415"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23.56</w:t>
            </w:r>
          </w:p>
        </w:tc>
        <w:tc>
          <w:tcPr>
            <w:tcW w:w="1377" w:type="dxa"/>
            <w:vAlign w:val="top"/>
          </w:tcPr>
          <w:p>
            <w:pPr>
              <w:pStyle w:val="TableText"/>
              <w:rPr/>
            </w:pPr>
            <w:r/>
          </w:p>
        </w:tc>
      </w:tr>
      <w:tr>
        <w:trPr>
          <w:trHeight w:val="292" w:hRule="atLeast"/>
        </w:trPr>
        <w:tc>
          <w:tcPr>
            <w:tcW w:w="1679"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43" w:type="dxa"/>
            <w:vAlign w:val="top"/>
          </w:tcPr>
          <w:p>
            <w:pPr>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44" w:type="dxa"/>
            <w:vAlign w:val="top"/>
          </w:tcPr>
          <w:p>
            <w:pPr>
              <w:ind w:right="22"/>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415"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377" w:type="dxa"/>
            <w:vAlign w:val="top"/>
          </w:tcPr>
          <w:p>
            <w:pPr>
              <w:pStyle w:val="TableText"/>
              <w:rPr/>
            </w:pPr>
            <w:r/>
          </w:p>
        </w:tc>
      </w:tr>
      <w:tr>
        <w:trPr>
          <w:trHeight w:val="292" w:hRule="atLeast"/>
        </w:trPr>
        <w:tc>
          <w:tcPr>
            <w:tcW w:w="1679"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43" w:type="dxa"/>
            <w:vAlign w:val="top"/>
          </w:tcPr>
          <w:p>
            <w:pPr>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22.04</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22.04</w:t>
            </w:r>
          </w:p>
        </w:tc>
        <w:tc>
          <w:tcPr>
            <w:tcW w:w="1377" w:type="dxa"/>
            <w:vAlign w:val="top"/>
          </w:tcPr>
          <w:p>
            <w:pPr>
              <w:pStyle w:val="TableText"/>
              <w:rPr/>
            </w:pPr>
            <w:r/>
          </w:p>
        </w:tc>
      </w:tr>
      <w:tr>
        <w:trPr>
          <w:trHeight w:val="292" w:hRule="atLeast"/>
        </w:trPr>
        <w:tc>
          <w:tcPr>
            <w:tcW w:w="1679"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43" w:type="dxa"/>
            <w:vAlign w:val="top"/>
          </w:tcPr>
          <w:p>
            <w:pPr>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44"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261.18</w:t>
            </w:r>
          </w:p>
        </w:tc>
        <w:tc>
          <w:tcPr>
            <w:tcW w:w="1415"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195.37</w:t>
            </w:r>
          </w:p>
        </w:tc>
        <w:tc>
          <w:tcPr>
            <w:tcW w:w="1377"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65.81</w:t>
            </w:r>
          </w:p>
        </w:tc>
      </w:tr>
      <w:tr>
        <w:trPr>
          <w:trHeight w:val="292" w:hRule="atLeast"/>
        </w:trPr>
        <w:tc>
          <w:tcPr>
            <w:tcW w:w="1679"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143" w:type="dxa"/>
            <w:vAlign w:val="top"/>
          </w:tcPr>
          <w:p>
            <w:pPr>
              <w:spacing w:before="72" w:line="228" w:lineRule="auto"/>
              <w:rPr>
                <w:rFonts w:ascii="SimSun" w:hAnsi="SimSun" w:eastAsia="SimSun" w:cs="SimSun"/>
                <w:sz w:val="15"/>
                <w:szCs w:val="15"/>
              </w:rPr>
            </w:pPr>
            <w:r>
              <w:rPr>
                <w:rFonts w:ascii="SimSun" w:hAnsi="SimSun" w:eastAsia="SimSun" w:cs="SimSun"/>
                <w:sz w:val="15"/>
                <w:szCs w:val="15"/>
                <w:color w:val="212529"/>
                <w:spacing w:val="10"/>
              </w:rPr>
              <w:t>基层医疗卫生机构</w:t>
            </w:r>
          </w:p>
        </w:tc>
        <w:tc>
          <w:tcPr>
            <w:tcW w:w="1544"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252.14</w:t>
            </w:r>
          </w:p>
        </w:tc>
        <w:tc>
          <w:tcPr>
            <w:tcW w:w="1415"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186.33</w:t>
            </w:r>
          </w:p>
        </w:tc>
        <w:tc>
          <w:tcPr>
            <w:tcW w:w="1377"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65.81</w:t>
            </w:r>
          </w:p>
        </w:tc>
      </w:tr>
      <w:tr>
        <w:trPr>
          <w:trHeight w:val="292" w:hRule="atLeast"/>
        </w:trPr>
        <w:tc>
          <w:tcPr>
            <w:tcW w:w="1679"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143" w:type="dxa"/>
            <w:vAlign w:val="top"/>
          </w:tcPr>
          <w:p>
            <w:pPr>
              <w:ind w:left="5"/>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44"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229.10</w:t>
            </w:r>
          </w:p>
        </w:tc>
        <w:tc>
          <w:tcPr>
            <w:tcW w:w="1415"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186.33</w:t>
            </w:r>
          </w:p>
        </w:tc>
        <w:tc>
          <w:tcPr>
            <w:tcW w:w="1377" w:type="dxa"/>
            <w:vAlign w:val="top"/>
          </w:tcPr>
          <w:p>
            <w:pPr>
              <w:ind w:right="24"/>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42.77</w:t>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43" w:type="dxa"/>
            <w:vAlign w:val="top"/>
          </w:tcPr>
          <w:p>
            <w:pPr>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44"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23.04</w:t>
            </w:r>
          </w:p>
        </w:tc>
        <w:tc>
          <w:tcPr>
            <w:tcW w:w="1415" w:type="dxa"/>
            <w:vAlign w:val="top"/>
          </w:tcPr>
          <w:p>
            <w:pPr>
              <w:pStyle w:val="TableText"/>
              <w:rPr/>
            </w:pPr>
            <w:r/>
          </w:p>
        </w:tc>
        <w:tc>
          <w:tcPr>
            <w:tcW w:w="1377"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3.04</w:t>
            </w:r>
          </w:p>
        </w:tc>
      </w:tr>
      <w:tr>
        <w:trPr>
          <w:trHeight w:val="292" w:hRule="atLeast"/>
        </w:trPr>
        <w:tc>
          <w:tcPr>
            <w:tcW w:w="1679"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143" w:type="dxa"/>
            <w:vAlign w:val="top"/>
          </w:tcPr>
          <w:p>
            <w:pPr>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9.04</w:t>
            </w:r>
          </w:p>
        </w:tc>
        <w:tc>
          <w:tcPr>
            <w:tcW w:w="1415" w:type="dxa"/>
            <w:vAlign w:val="top"/>
          </w:tcPr>
          <w:p>
            <w:pPr>
              <w:ind w:left="1065"/>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9.</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9.04</w:t>
            </w:r>
          </w:p>
        </w:tc>
        <w:tc>
          <w:tcPr>
            <w:tcW w:w="1415" w:type="dxa"/>
            <w:vAlign w:val="top"/>
          </w:tcPr>
          <w:p>
            <w:pPr>
              <w:ind w:left="114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77" w:type="dxa"/>
            <w:vAlign w:val="top"/>
          </w:tcPr>
          <w:p>
            <w:pPr>
              <w:pStyle w:val="TableText"/>
              <w:rPr/>
            </w:pPr>
            <w:r/>
          </w:p>
        </w:tc>
      </w:tr>
      <w:tr>
        <w:trPr>
          <w:trHeight w:val="293"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43" w:type="dxa"/>
            <w:vAlign w:val="top"/>
          </w:tcPr>
          <w:p>
            <w:pPr>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.24</w:t>
            </w:r>
          </w:p>
        </w:tc>
        <w:tc>
          <w:tcPr>
            <w:tcW w:w="1377" w:type="dxa"/>
            <w:vAlign w:val="top"/>
          </w:tcPr>
          <w:p>
            <w:pPr>
              <w:pStyle w:val="TableText"/>
              <w:rPr/>
            </w:pPr>
            <w:r/>
          </w:p>
        </w:tc>
      </w:tr>
      <w:tr>
        <w:trPr>
          <w:trHeight w:val="292" w:hRule="atLeast"/>
        </w:trPr>
        <w:tc>
          <w:tcPr>
            <w:tcW w:w="1679"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43" w:type="dxa"/>
            <w:vAlign w:val="top"/>
          </w:tcPr>
          <w:p>
            <w:pPr>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4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415"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377" w:type="dxa"/>
            <w:vAlign w:val="top"/>
          </w:tcPr>
          <w:p>
            <w:pPr>
              <w:pStyle w:val="TableText"/>
              <w:rPr/>
            </w:pPr>
            <w:r/>
          </w:p>
        </w:tc>
      </w:tr>
      <w:tr>
        <w:trPr>
          <w:trHeight w:val="298" w:hRule="atLeast"/>
        </w:trPr>
        <w:tc>
          <w:tcPr>
            <w:tcW w:w="1679"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43" w:type="dxa"/>
            <w:vAlign w:val="top"/>
          </w:tcPr>
          <w:p>
            <w:pPr>
              <w:spacing w:before="75" w:line="230" w:lineRule="auto"/>
              <w:rPr>
                <w:rFonts w:ascii="SimSun" w:hAnsi="SimSun" w:eastAsia="SimSun" w:cs="SimSun"/>
                <w:sz w:val="15"/>
                <w:szCs w:val="15"/>
              </w:rPr>
            </w:pPr>
            <w:r>
              <w:rPr>
                <w:rFonts w:ascii="SimSun" w:hAnsi="SimSun" w:eastAsia="SimSun" w:cs="SimSun"/>
                <w:sz w:val="15"/>
                <w:szCs w:val="15"/>
                <w:color w:val="212529"/>
                <w:spacing w:val="9"/>
              </w:rPr>
              <w:t>住房公积金</w:t>
            </w:r>
          </w:p>
        </w:tc>
        <w:tc>
          <w:tcPr>
            <w:tcW w:w="154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415" w:type="dxa"/>
            <w:vAlign w:val="top"/>
          </w:tcPr>
          <w:p>
            <w:pPr>
              <w:ind w:right="24"/>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377"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10"/>
        <w:gridCol w:w="2278"/>
        <w:gridCol w:w="1188"/>
        <w:gridCol w:w="1188"/>
        <w:gridCol w:w="1118"/>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776"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188" w:type="dxa"/>
            <w:vAlign w:val="top"/>
            <w:tcBorders>
              <w:top w:val="single" w:color="FFFFFF" w:sz="4" w:space="0"/>
              <w:left w:val="single" w:color="FFFFFF" w:sz="2" w:space="0"/>
              <w:right w:val="single" w:color="FFFFFF" w:sz="2" w:space="0"/>
            </w:tcBorders>
          </w:tcPr>
          <w:p>
            <w:pPr>
              <w:pStyle w:val="TableText"/>
              <w:rPr/>
            </w:pPr>
            <w:r/>
          </w:p>
        </w:tc>
        <w:tc>
          <w:tcPr>
            <w:tcW w:w="1118" w:type="dxa"/>
            <w:vAlign w:val="top"/>
            <w:tcBorders>
              <w:top w:val="single" w:color="FFFFFF" w:sz="4" w:space="0"/>
              <w:left w:val="single" w:color="FFFFFF" w:sz="2" w:space="0"/>
              <w:right w:val="single" w:color="FFFFFF" w:sz="2" w:space="0"/>
            </w:tcBorders>
          </w:tcPr>
          <w:p>
            <w:pPr>
              <w:ind w:left="447"/>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10" w:type="dxa"/>
            <w:vAlign w:val="top"/>
            <w:vMerge w:val="restart"/>
            <w:tcBorders>
              <w:bottom w:val="nil"/>
            </w:tcBorders>
          </w:tcPr>
          <w:p>
            <w:pPr>
              <w:ind w:left="66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278" w:type="dxa"/>
            <w:vAlign w:val="top"/>
            <w:vMerge w:val="restart"/>
            <w:tcBorders>
              <w:bottom w:val="nil"/>
            </w:tcBorders>
          </w:tcPr>
          <w:p>
            <w:pPr>
              <w:ind w:left="152"/>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94" w:type="dxa"/>
            <w:vAlign w:val="top"/>
            <w:gridSpan w:val="3"/>
          </w:tcPr>
          <w:p>
            <w:pPr>
              <w:ind w:left="1253"/>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10" w:type="dxa"/>
            <w:vAlign w:val="top"/>
            <w:vMerge w:val="continue"/>
            <w:tcBorders>
              <w:top w:val="nil"/>
            </w:tcBorders>
          </w:tcPr>
          <w:p>
            <w:pPr>
              <w:pStyle w:val="TableText"/>
              <w:rPr/>
            </w:pPr>
            <w:r/>
          </w:p>
        </w:tc>
        <w:tc>
          <w:tcPr>
            <w:tcW w:w="2278" w:type="dxa"/>
            <w:vAlign w:val="top"/>
            <w:vMerge w:val="continue"/>
            <w:tcBorders>
              <w:top w:val="nil"/>
            </w:tcBorders>
          </w:tcPr>
          <w:p>
            <w:pPr>
              <w:pStyle w:val="TableText"/>
              <w:rPr/>
            </w:pPr>
            <w:r/>
          </w:p>
        </w:tc>
        <w:tc>
          <w:tcPr>
            <w:tcW w:w="1188" w:type="dxa"/>
            <w:vAlign w:val="top"/>
          </w:tcPr>
          <w:p>
            <w:pPr>
              <w:ind w:left="424"/>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88" w:type="dxa"/>
            <w:vAlign w:val="top"/>
          </w:tcPr>
          <w:p>
            <w:pPr>
              <w:ind w:left="264"/>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118" w:type="dxa"/>
            <w:vAlign w:val="top"/>
          </w:tcPr>
          <w:p>
            <w:pPr>
              <w:ind w:left="233"/>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588" w:type="dxa"/>
            <w:vAlign w:val="top"/>
            <w:gridSpan w:val="2"/>
          </w:tcPr>
          <w:p>
            <w:pPr>
              <w:ind w:left="2634"/>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88" w:type="dxa"/>
            <w:vAlign w:val="top"/>
          </w:tcPr>
          <w:p>
            <w:pPr>
              <w:pStyle w:val="TableText"/>
              <w:ind w:left="681"/>
              <w:spacing w:before="87" w:line="186" w:lineRule="auto"/>
              <w:rPr>
                <w:sz w:val="13"/>
                <w:szCs w:val="13"/>
              </w:rPr>
            </w:pPr>
            <w:r>
              <w:rPr>
                <w:sz w:val="13"/>
                <w:szCs w:val="13"/>
                <w:color w:val="212529"/>
                <w:spacing w:val="4"/>
              </w:rPr>
              <w:t>239.</w:t>
            </w:r>
            <w:r>
              <w:rPr>
                <w:sz w:val="13"/>
                <w:szCs w:val="13"/>
                <w:color w:val="212529"/>
                <w:spacing w:val="15"/>
              </w:rPr>
              <w:t xml:space="preserve"> </w:t>
            </w:r>
            <w:r>
              <w:rPr>
                <w:sz w:val="13"/>
                <w:szCs w:val="13"/>
                <w:color w:val="212529"/>
                <w:spacing w:val="4"/>
              </w:rPr>
              <w:t>17</w:t>
            </w:r>
          </w:p>
        </w:tc>
        <w:tc>
          <w:tcPr>
            <w:tcW w:w="1188" w:type="dxa"/>
            <w:vAlign w:val="top"/>
          </w:tcPr>
          <w:p>
            <w:pPr>
              <w:pStyle w:val="TableText"/>
              <w:ind w:left="684"/>
              <w:spacing w:before="87" w:line="186" w:lineRule="auto"/>
              <w:rPr>
                <w:sz w:val="13"/>
                <w:szCs w:val="13"/>
              </w:rPr>
            </w:pPr>
            <w:r>
              <w:rPr>
                <w:sz w:val="13"/>
                <w:szCs w:val="13"/>
                <w:color w:val="212529"/>
                <w:spacing w:val="4"/>
              </w:rPr>
              <w:t>224.</w:t>
            </w:r>
            <w:r>
              <w:rPr>
                <w:sz w:val="13"/>
                <w:szCs w:val="13"/>
                <w:color w:val="212529"/>
                <w:spacing w:val="16"/>
                <w:w w:val="101"/>
              </w:rPr>
              <w:t xml:space="preserve"> </w:t>
            </w:r>
            <w:r>
              <w:rPr>
                <w:sz w:val="13"/>
                <w:szCs w:val="13"/>
                <w:color w:val="212529"/>
                <w:spacing w:val="4"/>
              </w:rPr>
              <w:t>10</w:t>
            </w:r>
          </w:p>
        </w:tc>
        <w:tc>
          <w:tcPr>
            <w:tcW w:w="1118" w:type="dxa"/>
            <w:vAlign w:val="top"/>
          </w:tcPr>
          <w:p>
            <w:pPr>
              <w:pStyle w:val="TableText"/>
              <w:ind w:left="699"/>
              <w:spacing w:before="86" w:line="162" w:lineRule="auto"/>
              <w:rPr>
                <w:sz w:val="15"/>
                <w:szCs w:val="15"/>
              </w:rPr>
            </w:pPr>
            <w:r>
              <w:rPr>
                <w:sz w:val="15"/>
                <w:szCs w:val="15"/>
                <w:color w:val="212529"/>
                <w:spacing w:val="1"/>
              </w:rPr>
              <w:t>15.08</w:t>
            </w:r>
          </w:p>
        </w:tc>
      </w:tr>
      <w:tr>
        <w:trPr>
          <w:trHeight w:val="292" w:hRule="atLeast"/>
        </w:trPr>
        <w:tc>
          <w:tcPr>
            <w:tcW w:w="3310"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278" w:type="dxa"/>
            <w:vAlign w:val="top"/>
          </w:tcPr>
          <w:p>
            <w:pPr>
              <w:pStyle w:val="TableText"/>
              <w:rPr/>
            </w:pPr>
            <w:r/>
          </w:p>
        </w:tc>
        <w:tc>
          <w:tcPr>
            <w:tcW w:w="1188" w:type="dxa"/>
            <w:vAlign w:val="top"/>
          </w:tcPr>
          <w:p>
            <w:pPr>
              <w:ind w:right="19"/>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222.58</w:t>
            </w:r>
          </w:p>
        </w:tc>
        <w:tc>
          <w:tcPr>
            <w:tcW w:w="1188"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222.58</w:t>
            </w:r>
          </w:p>
        </w:tc>
        <w:tc>
          <w:tcPr>
            <w:tcW w:w="1118" w:type="dxa"/>
            <w:vAlign w:val="top"/>
          </w:tcPr>
          <w:p>
            <w:pPr>
              <w:pStyle w:val="TableText"/>
              <w:rPr/>
            </w:pPr>
            <w:r/>
          </w:p>
        </w:tc>
      </w:tr>
      <w:tr>
        <w:trPr>
          <w:trHeight w:val="292" w:hRule="atLeast"/>
        </w:trPr>
        <w:tc>
          <w:tcPr>
            <w:tcW w:w="3310"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278" w:type="dxa"/>
            <w:vAlign w:val="top"/>
          </w:tcPr>
          <w:p>
            <w:pPr>
              <w:ind w:left="328"/>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81.89</w:t>
            </w:r>
          </w:p>
        </w:tc>
        <w:tc>
          <w:tcPr>
            <w:tcW w:w="1188"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81.89</w:t>
            </w:r>
          </w:p>
        </w:tc>
        <w:tc>
          <w:tcPr>
            <w:tcW w:w="1118" w:type="dxa"/>
            <w:vAlign w:val="top"/>
          </w:tcPr>
          <w:p>
            <w:pPr>
              <w:pStyle w:val="TableText"/>
              <w:rPr/>
            </w:pPr>
            <w:r/>
          </w:p>
        </w:tc>
      </w:tr>
      <w:tr>
        <w:trPr>
          <w:trHeight w:val="292" w:hRule="atLeast"/>
        </w:trPr>
        <w:tc>
          <w:tcPr>
            <w:tcW w:w="3310"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14.19</w:t>
            </w:r>
          </w:p>
        </w:tc>
        <w:tc>
          <w:tcPr>
            <w:tcW w:w="1188"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14.19</w:t>
            </w:r>
          </w:p>
        </w:tc>
        <w:tc>
          <w:tcPr>
            <w:tcW w:w="1118" w:type="dxa"/>
            <w:vAlign w:val="top"/>
          </w:tcPr>
          <w:p>
            <w:pPr>
              <w:pStyle w:val="TableText"/>
              <w:rPr/>
            </w:pPr>
            <w:r/>
          </w:p>
        </w:tc>
      </w:tr>
      <w:tr>
        <w:trPr>
          <w:trHeight w:val="292" w:hRule="atLeast"/>
        </w:trPr>
        <w:tc>
          <w:tcPr>
            <w:tcW w:w="3310"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278" w:type="dxa"/>
            <w:vAlign w:val="top"/>
          </w:tcPr>
          <w:p>
            <w:pPr>
              <w:ind w:left="328"/>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53.16</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53.16</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278" w:type="dxa"/>
            <w:vAlign w:val="top"/>
          </w:tcPr>
          <w:p>
            <w:pPr>
              <w:ind w:left="328"/>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22.04</w:t>
            </w:r>
          </w:p>
        </w:tc>
        <w:tc>
          <w:tcPr>
            <w:tcW w:w="1188"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22.04</w:t>
            </w:r>
          </w:p>
        </w:tc>
        <w:tc>
          <w:tcPr>
            <w:tcW w:w="1118" w:type="dxa"/>
            <w:vAlign w:val="top"/>
          </w:tcPr>
          <w:p>
            <w:pPr>
              <w:pStyle w:val="TableText"/>
              <w:rPr/>
            </w:pPr>
            <w:r/>
          </w:p>
        </w:tc>
      </w:tr>
      <w:tr>
        <w:trPr>
          <w:trHeight w:val="292" w:hRule="atLeast"/>
        </w:trPr>
        <w:tc>
          <w:tcPr>
            <w:tcW w:w="3310"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278" w:type="dxa"/>
            <w:vAlign w:val="top"/>
          </w:tcPr>
          <w:p>
            <w:pPr>
              <w:ind w:left="328"/>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8.95</w:t>
            </w:r>
          </w:p>
        </w:tc>
        <w:tc>
          <w:tcPr>
            <w:tcW w:w="1188"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8.95</w:t>
            </w:r>
          </w:p>
        </w:tc>
        <w:tc>
          <w:tcPr>
            <w:tcW w:w="1118" w:type="dxa"/>
            <w:vAlign w:val="top"/>
          </w:tcPr>
          <w:p>
            <w:pPr>
              <w:pStyle w:val="TableText"/>
              <w:rPr/>
            </w:pPr>
            <w:r/>
          </w:p>
        </w:tc>
      </w:tr>
      <w:tr>
        <w:trPr>
          <w:trHeight w:val="292" w:hRule="atLeast"/>
        </w:trPr>
        <w:tc>
          <w:tcPr>
            <w:tcW w:w="3310"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0.51</w:t>
            </w:r>
          </w:p>
        </w:tc>
        <w:tc>
          <w:tcPr>
            <w:tcW w:w="1188"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0.51</w:t>
            </w:r>
          </w:p>
        </w:tc>
        <w:tc>
          <w:tcPr>
            <w:tcW w:w="1118" w:type="dxa"/>
            <w:vAlign w:val="top"/>
          </w:tcPr>
          <w:p>
            <w:pPr>
              <w:pStyle w:val="TableText"/>
              <w:rPr/>
            </w:pPr>
            <w:r/>
          </w:p>
        </w:tc>
      </w:tr>
      <w:tr>
        <w:trPr>
          <w:trHeight w:val="292" w:hRule="atLeast"/>
        </w:trPr>
        <w:tc>
          <w:tcPr>
            <w:tcW w:w="3310"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278" w:type="dxa"/>
            <w:vAlign w:val="top"/>
          </w:tcPr>
          <w:p>
            <w:pPr>
              <w:ind w:left="328"/>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188"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20.24</w:t>
            </w:r>
          </w:p>
        </w:tc>
        <w:tc>
          <w:tcPr>
            <w:tcW w:w="1118" w:type="dxa"/>
            <w:vAlign w:val="top"/>
          </w:tcPr>
          <w:p>
            <w:pPr>
              <w:pStyle w:val="TableText"/>
              <w:rPr/>
            </w:pPr>
            <w:r/>
          </w:p>
        </w:tc>
      </w:tr>
      <w:tr>
        <w:trPr>
          <w:trHeight w:val="292" w:hRule="atLeast"/>
        </w:trPr>
        <w:tc>
          <w:tcPr>
            <w:tcW w:w="3310"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278" w:type="dxa"/>
            <w:vAlign w:val="top"/>
          </w:tcPr>
          <w:p>
            <w:pPr>
              <w:ind w:left="328"/>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88" w:type="dxa"/>
            <w:vAlign w:val="top"/>
          </w:tcPr>
          <w:p>
            <w:pPr>
              <w:ind w:right="19"/>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21.60</w:t>
            </w:r>
          </w:p>
        </w:tc>
        <w:tc>
          <w:tcPr>
            <w:tcW w:w="1188" w:type="dxa"/>
            <w:vAlign w:val="top"/>
          </w:tcPr>
          <w:p>
            <w:pPr>
              <w:ind w:left="930"/>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18" w:type="dxa"/>
            <w:vAlign w:val="top"/>
          </w:tcPr>
          <w:p>
            <w:pPr>
              <w:pStyle w:val="TableText"/>
              <w:rPr/>
            </w:pPr>
            <w:r/>
          </w:p>
        </w:tc>
      </w:tr>
      <w:tr>
        <w:trPr>
          <w:trHeight w:val="293" w:hRule="atLeast"/>
        </w:trPr>
        <w:tc>
          <w:tcPr>
            <w:tcW w:w="3310"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15.08</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15.08</w:t>
            </w:r>
          </w:p>
        </w:tc>
      </w:tr>
      <w:tr>
        <w:trPr>
          <w:trHeight w:val="293" w:hRule="atLeast"/>
        </w:trPr>
        <w:tc>
          <w:tcPr>
            <w:tcW w:w="3310"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5"/>
              <w:spacing w:before="75"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r>
      <w:tr>
        <w:trPr>
          <w:trHeight w:val="292" w:hRule="atLeast"/>
        </w:trPr>
        <w:tc>
          <w:tcPr>
            <w:tcW w:w="3310"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278" w:type="dxa"/>
            <w:vAlign w:val="top"/>
          </w:tcPr>
          <w:p>
            <w:pPr>
              <w:ind w:left="328"/>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left="843"/>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88" w:type="dxa"/>
            <w:vAlign w:val="top"/>
          </w:tcPr>
          <w:p>
            <w:pPr>
              <w:pStyle w:val="TableText"/>
              <w:rPr/>
            </w:pPr>
            <w:r/>
          </w:p>
        </w:tc>
        <w:tc>
          <w:tcPr>
            <w:tcW w:w="1118"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2.75</w:t>
            </w:r>
          </w:p>
        </w:tc>
      </w:tr>
      <w:tr>
        <w:trPr>
          <w:trHeight w:val="293" w:hRule="atLeast"/>
        </w:trPr>
        <w:tc>
          <w:tcPr>
            <w:tcW w:w="3310"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278" w:type="dxa"/>
            <w:vAlign w:val="top"/>
          </w:tcPr>
          <w:p>
            <w:pPr>
              <w:ind w:left="328"/>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4.82</w:t>
            </w:r>
          </w:p>
        </w:tc>
        <w:tc>
          <w:tcPr>
            <w:tcW w:w="1188" w:type="dxa"/>
            <w:vAlign w:val="top"/>
          </w:tcPr>
          <w:p>
            <w:pPr>
              <w:pStyle w:val="TableText"/>
              <w:rPr/>
            </w:pPr>
            <w:r/>
          </w:p>
        </w:tc>
        <w:tc>
          <w:tcPr>
            <w:tcW w:w="1118"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4.82</w:t>
            </w:r>
          </w:p>
        </w:tc>
      </w:tr>
      <w:tr>
        <w:trPr>
          <w:trHeight w:val="292" w:hRule="atLeast"/>
        </w:trPr>
        <w:tc>
          <w:tcPr>
            <w:tcW w:w="3310"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278" w:type="dxa"/>
            <w:vAlign w:val="top"/>
          </w:tcPr>
          <w:p>
            <w:pPr>
              <w:pStyle w:val="TableText"/>
              <w:rPr/>
            </w:pPr>
            <w:r/>
          </w:p>
        </w:tc>
        <w:tc>
          <w:tcPr>
            <w:tcW w:w="1188" w:type="dxa"/>
            <w:vAlign w:val="top"/>
          </w:tcPr>
          <w:p>
            <w:pPr>
              <w:ind w:right="19"/>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188"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118" w:type="dxa"/>
            <w:vAlign w:val="top"/>
          </w:tcPr>
          <w:p>
            <w:pPr>
              <w:pStyle w:val="TableText"/>
              <w:rPr/>
            </w:pPr>
            <w:r/>
          </w:p>
        </w:tc>
      </w:tr>
      <w:tr>
        <w:trPr>
          <w:trHeight w:val="298" w:hRule="atLeast"/>
        </w:trPr>
        <w:tc>
          <w:tcPr>
            <w:tcW w:w="3310"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278" w:type="dxa"/>
            <w:vAlign w:val="top"/>
          </w:tcPr>
          <w:p>
            <w:pPr>
              <w:ind w:left="328"/>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88" w:type="dxa"/>
            <w:vAlign w:val="top"/>
          </w:tcPr>
          <w:p>
            <w:pPr>
              <w:ind w:right="19"/>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188"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1.52</w:t>
            </w:r>
          </w:p>
        </w:tc>
        <w:tc>
          <w:tcPr>
            <w:tcW w:w="1118"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18"/>
        <w:gridCol w:w="1069"/>
        <w:gridCol w:w="1080"/>
        <w:gridCol w:w="832"/>
        <w:gridCol w:w="1242"/>
        <w:gridCol w:w="1069"/>
        <w:gridCol w:w="848"/>
      </w:tblGrid>
      <w:tr>
        <w:trPr>
          <w:trHeight w:val="384" w:hRule="atLeast"/>
        </w:trPr>
        <w:tc>
          <w:tcPr>
            <w:tcW w:w="301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17"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41"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917" w:type="dxa"/>
            <w:vAlign w:val="top"/>
            <w:gridSpan w:val="2"/>
            <w:tcBorders>
              <w:top w:val="single" w:color="FFFFFF" w:sz="4" w:space="0"/>
              <w:left w:val="single" w:color="FFFFFF" w:sz="2" w:space="0"/>
              <w:right w:val="single" w:color="FFFFFF" w:sz="2" w:space="0"/>
            </w:tcBorders>
          </w:tcPr>
          <w:p>
            <w:pPr>
              <w:ind w:left="1244"/>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18" w:type="dxa"/>
            <w:vAlign w:val="top"/>
            <w:vMerge w:val="restart"/>
            <w:tcBorders>
              <w:bottom w:val="nil"/>
            </w:tcBorders>
          </w:tcPr>
          <w:p>
            <w:pPr>
              <w:ind w:left="117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69" w:type="dxa"/>
            <w:vAlign w:val="top"/>
            <w:vMerge w:val="restart"/>
            <w:tcBorders>
              <w:bottom w:val="nil"/>
            </w:tcBorders>
          </w:tcPr>
          <w:p>
            <w:pPr>
              <w:ind w:left="36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54" w:type="dxa"/>
            <w:vAlign w:val="top"/>
            <w:gridSpan w:val="3"/>
          </w:tcPr>
          <w:p>
            <w:pPr>
              <w:ind w:left="1003"/>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69" w:type="dxa"/>
            <w:vAlign w:val="top"/>
            <w:vMerge w:val="restart"/>
            <w:tcBorders>
              <w:bottom w:val="nil"/>
            </w:tcBorders>
          </w:tcPr>
          <w:p>
            <w:pPr>
              <w:ind w:left="40"/>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0"/>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8"/>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18" w:type="dxa"/>
            <w:vAlign w:val="top"/>
            <w:vMerge w:val="continue"/>
            <w:tcBorders>
              <w:top w:val="nil"/>
            </w:tcBorders>
          </w:tcPr>
          <w:p>
            <w:pPr>
              <w:pStyle w:val="TableText"/>
              <w:rPr/>
            </w:pPr>
            <w:r/>
          </w:p>
        </w:tc>
        <w:tc>
          <w:tcPr>
            <w:tcW w:w="1069" w:type="dxa"/>
            <w:vAlign w:val="top"/>
            <w:vMerge w:val="continue"/>
            <w:tcBorders>
              <w:top w:val="nil"/>
            </w:tcBorders>
          </w:tcPr>
          <w:p>
            <w:pPr>
              <w:pStyle w:val="TableText"/>
              <w:rPr/>
            </w:pPr>
            <w:r/>
          </w:p>
        </w:tc>
        <w:tc>
          <w:tcPr>
            <w:tcW w:w="1080" w:type="dxa"/>
            <w:vAlign w:val="top"/>
          </w:tcPr>
          <w:p>
            <w:pPr>
              <w:ind w:left="45"/>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0" w:right="97"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69"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3018" w:type="dxa"/>
            <w:vAlign w:val="top"/>
          </w:tcPr>
          <w:p>
            <w:pPr>
              <w:ind w:left="146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69" w:type="dxa"/>
            <w:vAlign w:val="top"/>
          </w:tcPr>
          <w:p>
            <w:pPr>
              <w:ind w:left="485"/>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80" w:type="dxa"/>
            <w:vAlign w:val="top"/>
          </w:tcPr>
          <w:p>
            <w:pPr>
              <w:ind w:left="497"/>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6"/>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69" w:type="dxa"/>
            <w:vAlign w:val="top"/>
          </w:tcPr>
          <w:p>
            <w:pPr>
              <w:ind w:left="487"/>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9"/>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3018" w:type="dxa"/>
            <w:vAlign w:val="top"/>
          </w:tcPr>
          <w:p>
            <w:pPr>
              <w:ind w:left="91"/>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兴县康宁镇中心卫生院</w:t>
            </w:r>
          </w:p>
        </w:tc>
        <w:tc>
          <w:tcPr>
            <w:tcW w:w="1069" w:type="dxa"/>
            <w:vAlign w:val="top"/>
          </w:tcPr>
          <w:p>
            <w:pPr>
              <w:ind w:right="18"/>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65.81</w:t>
            </w:r>
          </w:p>
        </w:tc>
        <w:tc>
          <w:tcPr>
            <w:tcW w:w="1080" w:type="dxa"/>
            <w:vAlign w:val="top"/>
          </w:tcPr>
          <w:p>
            <w:pPr>
              <w:ind w:right="19"/>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65.81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69"/>
              <w:spacing w:before="116" w:line="229" w:lineRule="auto"/>
              <w:rPr>
                <w:rFonts w:ascii="SimSun" w:hAnsi="SimSun" w:eastAsia="SimSun" w:cs="SimSun"/>
                <w:sz w:val="15"/>
                <w:szCs w:val="15"/>
              </w:rPr>
            </w:pPr>
            <w:r>
              <w:rPr>
                <w:rFonts w:ascii="SimSun" w:hAnsi="SimSun" w:eastAsia="SimSun" w:cs="SimSun"/>
                <w:sz w:val="15"/>
                <w:szCs w:val="15"/>
                <w:color w:val="212529"/>
                <w:spacing w:val="11"/>
              </w:rPr>
              <w:t>法院执行基层卫生院欠配送企业药款</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42.77</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42.77</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 w:right="91" w:firstLine="164"/>
              <w:spacing w:before="29" w:line="209"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1.86</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1.86</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24" w:right="91" w:firstLine="146"/>
              <w:spacing w:before="31" w:line="208" w:lineRule="auto"/>
              <w:rPr>
                <w:rFonts w:ascii="SimSun" w:hAnsi="SimSun" w:eastAsia="SimSun" w:cs="SimSun"/>
                <w:sz w:val="15"/>
                <w:szCs w:val="15"/>
              </w:rPr>
            </w:pPr>
            <w:r>
              <w:rPr>
                <w:rFonts w:ascii="SimSun" w:hAnsi="SimSun" w:eastAsia="SimSun" w:cs="SimSun"/>
                <w:sz w:val="15"/>
                <w:szCs w:val="15"/>
                <w:color w:val="212529"/>
                <w:spacing w:val="10"/>
              </w:rPr>
              <w:t>2025年省级财政卫生健康人才培养（在</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岗村医岗位补助）晋财社[2024]218号</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w:t>
            </w:r>
          </w:p>
        </w:tc>
        <w:tc>
          <w:tcPr>
            <w:tcW w:w="1080" w:type="dxa"/>
            <w:vAlign w:val="top"/>
          </w:tcPr>
          <w:p>
            <w:pPr>
              <w:ind w:right="19"/>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12.00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656" w:right="91" w:firstLine="12"/>
              <w:spacing w:before="31" w:line="208" w:lineRule="auto"/>
              <w:rPr>
                <w:rFonts w:ascii="SimSun" w:hAnsi="SimSun" w:eastAsia="SimSun" w:cs="SimSun"/>
                <w:sz w:val="15"/>
                <w:szCs w:val="15"/>
              </w:rPr>
            </w:pPr>
            <w:r>
              <w:rPr>
                <w:rFonts w:ascii="SimSun" w:hAnsi="SimSun" w:eastAsia="SimSun" w:cs="SimSun"/>
                <w:sz w:val="15"/>
                <w:szCs w:val="15"/>
                <w:color w:val="212529"/>
                <w:spacing w:val="10"/>
              </w:rPr>
              <w:t>中央财政基本药物制度（村卫生</w:t>
            </w:r>
            <w:r>
              <w:rPr>
                <w:rFonts w:ascii="SimSun" w:hAnsi="SimSun" w:eastAsia="SimSun" w:cs="SimSun"/>
                <w:sz w:val="15"/>
                <w:szCs w:val="15"/>
                <w:color w:val="212529"/>
                <w:spacing w:val="5"/>
              </w:rPr>
              <w:t xml:space="preserve"> </w:t>
            </w:r>
            <w:r>
              <w:rPr>
                <w:rFonts w:ascii="SimSun" w:hAnsi="SimSun" w:eastAsia="SimSun" w:cs="SimSun"/>
                <w:sz w:val="15"/>
                <w:szCs w:val="15"/>
                <w:color w:val="212529"/>
                <w:spacing w:val="5"/>
              </w:rPr>
              <w:t>社[2024</w:t>
            </w:r>
            <w:r>
              <w:rPr>
                <w:rFonts w:ascii="SimSun" w:hAnsi="SimSun" w:eastAsia="SimSun" w:cs="SimSun"/>
                <w:sz w:val="15"/>
                <w:szCs w:val="15"/>
                <w:color w:val="212529"/>
                <w:spacing w:val="16"/>
              </w:rPr>
              <w:t xml:space="preserve"> </w:t>
            </w:r>
            <w:r>
              <w:rPr>
                <w:rFonts w:ascii="SimSun" w:hAnsi="SimSun" w:eastAsia="SimSun" w:cs="SimSun"/>
                <w:sz w:val="15"/>
                <w:szCs w:val="15"/>
                <w:color w:val="212529"/>
                <w:spacing w:val="5"/>
              </w:rPr>
              <w:t>208号</w:t>
            </w:r>
          </w:p>
        </w:tc>
        <w:tc>
          <w:tcPr>
            <w:tcW w:w="1069" w:type="dxa"/>
            <w:vAlign w:val="top"/>
          </w:tcPr>
          <w:p>
            <w:pPr>
              <w:ind w:right="18"/>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w:t>
            </w:r>
          </w:p>
        </w:tc>
        <w:tc>
          <w:tcPr>
            <w:tcW w:w="1080" w:type="dxa"/>
            <w:vAlign w:val="top"/>
          </w:tcPr>
          <w:p>
            <w:pPr>
              <w:ind w:right="19"/>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5.61</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9" w:hRule="atLeast"/>
        </w:trPr>
        <w:tc>
          <w:tcPr>
            <w:tcW w:w="3018" w:type="dxa"/>
            <w:vAlign w:val="top"/>
          </w:tcPr>
          <w:p>
            <w:pPr>
              <w:ind w:left="11" w:right="172" w:firstLine="320"/>
              <w:spacing w:before="31" w:line="208" w:lineRule="auto"/>
              <w:rPr>
                <w:rFonts w:ascii="SimSun" w:hAnsi="SimSun" w:eastAsia="SimSun" w:cs="SimSun"/>
                <w:sz w:val="15"/>
                <w:szCs w:val="15"/>
              </w:rPr>
            </w:pPr>
            <w:r>
              <w:rPr>
                <w:rFonts w:ascii="SimSun" w:hAnsi="SimSun" w:eastAsia="SimSun" w:cs="SimSun"/>
                <w:sz w:val="15"/>
                <w:szCs w:val="15"/>
                <w:color w:val="212529"/>
                <w:spacing w:val="8"/>
              </w:rPr>
              <w:t>财社〔2025〕6号预拨2025年驻村医</w:t>
            </w:r>
            <w:r>
              <w:rPr>
                <w:rFonts w:ascii="SimSun" w:hAnsi="SimSun" w:eastAsia="SimSun" w:cs="SimSun"/>
                <w:sz w:val="15"/>
                <w:szCs w:val="15"/>
                <w:color w:val="212529"/>
                <w:spacing w:val="17"/>
              </w:rPr>
              <w:t xml:space="preserve"> </w:t>
            </w:r>
            <w:r>
              <w:rPr>
                <w:rFonts w:ascii="SimSun" w:hAnsi="SimSun" w:eastAsia="SimSun" w:cs="SimSun"/>
                <w:sz w:val="15"/>
                <w:szCs w:val="15"/>
                <w:color w:val="212529"/>
                <w:spacing w:val="10"/>
              </w:rPr>
              <w:t>生岗位津贴市级补助资金</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2.09</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2.09</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378" w:hRule="atLeast"/>
        </w:trPr>
        <w:tc>
          <w:tcPr>
            <w:tcW w:w="3018" w:type="dxa"/>
            <w:vAlign w:val="top"/>
          </w:tcPr>
          <w:p>
            <w:pPr>
              <w:ind w:left="7" w:right="172" w:firstLine="185"/>
              <w:spacing w:before="31" w:line="207" w:lineRule="auto"/>
              <w:rPr>
                <w:rFonts w:ascii="SimSun" w:hAnsi="SimSun" w:eastAsia="SimSun" w:cs="SimSun"/>
                <w:sz w:val="15"/>
                <w:szCs w:val="15"/>
              </w:rPr>
            </w:pPr>
            <w:r>
              <w:rPr>
                <w:rFonts w:ascii="SimSun" w:hAnsi="SimSun" w:eastAsia="SimSun" w:cs="SimSun"/>
                <w:sz w:val="15"/>
                <w:szCs w:val="15"/>
                <w:color w:val="212529"/>
                <w:spacing w:val="7"/>
              </w:rPr>
              <w:t>吕财社〔2025〕8号关于预拨2025年行</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1"/>
              </w:rPr>
              <w:t>政村卫生室运行经费市级配套资金</w:t>
            </w:r>
          </w:p>
        </w:tc>
        <w:tc>
          <w:tcPr>
            <w:tcW w:w="1069" w:type="dxa"/>
            <w:vAlign w:val="top"/>
          </w:tcPr>
          <w:p>
            <w:pPr>
              <w:ind w:right="18"/>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c>
          <w:tcPr>
            <w:tcW w:w="1080" w:type="dxa"/>
            <w:vAlign w:val="top"/>
          </w:tcPr>
          <w:p>
            <w:pPr>
              <w:ind w:right="19"/>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1.40</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r>
        <w:trPr>
          <w:trHeight w:val="557" w:hRule="atLeast"/>
        </w:trPr>
        <w:tc>
          <w:tcPr>
            <w:tcW w:w="3018" w:type="dxa"/>
            <w:vAlign w:val="top"/>
          </w:tcPr>
          <w:p>
            <w:pPr>
              <w:ind w:left="10" w:right="172" w:firstLine="161"/>
              <w:spacing w:before="20" w:line="216" w:lineRule="auto"/>
              <w:rPr>
                <w:rFonts w:ascii="SimSun" w:hAnsi="SimSun" w:eastAsia="SimSun" w:cs="SimSun"/>
                <w:sz w:val="15"/>
                <w:szCs w:val="15"/>
              </w:rPr>
            </w:pPr>
            <w:r>
              <w:rPr>
                <w:rFonts w:ascii="SimSun" w:hAnsi="SimSun" w:eastAsia="SimSun" w:cs="SimSun"/>
                <w:sz w:val="15"/>
                <w:szCs w:val="15"/>
                <w:color w:val="212529"/>
                <w:spacing w:val="8"/>
              </w:rPr>
              <w:t>兴财社〔2023〕263号2023年村卫生室</w:t>
            </w:r>
            <w:r>
              <w:rPr>
                <w:rFonts w:ascii="SimSun" w:hAnsi="SimSun" w:eastAsia="SimSun" w:cs="SimSun"/>
                <w:sz w:val="15"/>
                <w:szCs w:val="15"/>
                <w:color w:val="212529"/>
                <w:spacing w:val="10"/>
              </w:rPr>
              <w:t xml:space="preserve"> </w:t>
            </w:r>
            <w:r>
              <w:rPr>
                <w:rFonts w:ascii="SimSun" w:hAnsi="SimSun" w:eastAsia="SimSun" w:cs="SimSun"/>
                <w:sz w:val="15"/>
                <w:szCs w:val="15"/>
                <w:color w:val="212529"/>
                <w:spacing w:val="11"/>
              </w:rPr>
              <w:t>实施基本药物制度市级配套资金吕财社</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3"/>
              </w:rPr>
              <w:t>〔2023〕</w:t>
            </w:r>
            <w:r>
              <w:rPr>
                <w:rFonts w:ascii="SimSun" w:hAnsi="SimSun" w:eastAsia="SimSun" w:cs="SimSun"/>
                <w:sz w:val="15"/>
                <w:szCs w:val="15"/>
                <w:color w:val="212529"/>
                <w:spacing w:val="-41"/>
              </w:rPr>
              <w:t xml:space="preserve"> </w:t>
            </w:r>
            <w:r>
              <w:rPr>
                <w:rFonts w:ascii="SimSun" w:hAnsi="SimSun" w:eastAsia="SimSun" w:cs="SimSun"/>
                <w:sz w:val="15"/>
                <w:szCs w:val="15"/>
                <w:color w:val="212529"/>
                <w:spacing w:val="3"/>
              </w:rPr>
              <w:t>117号</w:t>
            </w:r>
          </w:p>
        </w:tc>
        <w:tc>
          <w:tcPr>
            <w:tcW w:w="1069" w:type="dxa"/>
            <w:vAlign w:val="top"/>
          </w:tcPr>
          <w:p>
            <w:pPr>
              <w:ind w:right="18"/>
              <w:spacing w:before="20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0.07</w:t>
            </w:r>
          </w:p>
        </w:tc>
        <w:tc>
          <w:tcPr>
            <w:tcW w:w="1080" w:type="dxa"/>
            <w:vAlign w:val="top"/>
          </w:tcPr>
          <w:p>
            <w:pPr>
              <w:ind w:right="19"/>
              <w:spacing w:before="20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0.07</w:t>
            </w:r>
          </w:p>
        </w:tc>
        <w:tc>
          <w:tcPr>
            <w:tcW w:w="832" w:type="dxa"/>
            <w:vAlign w:val="top"/>
          </w:tcPr>
          <w:p>
            <w:pPr>
              <w:pStyle w:val="TableText"/>
              <w:rPr/>
            </w:pPr>
            <w:r/>
          </w:p>
        </w:tc>
        <w:tc>
          <w:tcPr>
            <w:tcW w:w="1242" w:type="dxa"/>
            <w:vAlign w:val="top"/>
          </w:tcPr>
          <w:p>
            <w:pPr>
              <w:pStyle w:val="TableText"/>
              <w:rPr/>
            </w:pPr>
            <w:r/>
          </w:p>
        </w:tc>
        <w:tc>
          <w:tcPr>
            <w:tcW w:w="1069"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64"/>
        <w:gridCol w:w="1372"/>
        <w:gridCol w:w="1328"/>
        <w:gridCol w:w="1204"/>
      </w:tblGrid>
      <w:tr>
        <w:trPr>
          <w:trHeight w:val="384"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单位名称：兴县康宁镇中心卫生院</w:t>
            </w:r>
          </w:p>
        </w:tc>
        <w:tc>
          <w:tcPr>
            <w:tcW w:w="1204" w:type="dxa"/>
            <w:vAlign w:val="top"/>
            <w:tcBorders>
              <w:top w:val="single" w:color="FFFFFF" w:sz="4" w:space="0"/>
              <w:left w:val="single" w:color="FFFFFF" w:sz="2" w:space="0"/>
              <w:right w:val="single" w:color="FFFFFF" w:sz="2" w:space="0"/>
            </w:tcBorders>
          </w:tcPr>
          <w:p>
            <w:pPr>
              <w:ind w:left="531"/>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72" w:type="dxa"/>
            <w:vAlign w:val="top"/>
          </w:tcPr>
          <w:p>
            <w:pPr>
              <w:ind w:left="184"/>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5"/>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2"/>
              <w:spacing w:before="23"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7"/>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3"/>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72" w:type="dxa"/>
            <w:vAlign w:val="top"/>
          </w:tcPr>
          <w:p>
            <w:pPr>
              <w:ind w:left="636"/>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0"/>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4"/>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90" w:type="dxa"/>
            <w:vAlign w:val="top"/>
          </w:tcPr>
          <w:p>
            <w:pPr>
              <w:ind w:left="10"/>
              <w:spacing w:before="115"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64" w:type="dxa"/>
            <w:vAlign w:val="top"/>
          </w:tcPr>
          <w:p>
            <w:pPr>
              <w:ind w:right="26"/>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8.96</w:t>
            </w:r>
          </w:p>
        </w:tc>
        <w:tc>
          <w:tcPr>
            <w:tcW w:w="1372" w:type="dxa"/>
            <w:vAlign w:val="top"/>
          </w:tcPr>
          <w:p>
            <w:pPr>
              <w:ind w:right="27"/>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8.96</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91"/>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兴县康宁镇中心卫生院</w:t>
            </w:r>
          </w:p>
        </w:tc>
        <w:tc>
          <w:tcPr>
            <w:tcW w:w="126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8.96</w:t>
            </w:r>
          </w:p>
        </w:tc>
        <w:tc>
          <w:tcPr>
            <w:tcW w:w="1372"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8.96</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90" w:type="dxa"/>
            <w:vAlign w:val="top"/>
          </w:tcPr>
          <w:p>
            <w:pPr>
              <w:ind w:left="3" w:right="90" w:firstLine="173"/>
              <w:spacing w:before="31" w:line="208" w:lineRule="auto"/>
              <w:rPr>
                <w:rFonts w:ascii="SimSun" w:hAnsi="SimSun" w:eastAsia="SimSun" w:cs="SimSun"/>
                <w:sz w:val="15"/>
                <w:szCs w:val="15"/>
              </w:rPr>
            </w:pPr>
            <w:r>
              <w:rPr>
                <w:rFonts w:ascii="SimSun" w:hAnsi="SimSun" w:eastAsia="SimSun" w:cs="SimSun"/>
                <w:sz w:val="15"/>
                <w:szCs w:val="15"/>
                <w:color w:val="212529"/>
                <w:spacing w:val="10"/>
              </w:rPr>
              <w:t>（兴财社〔2024〕72号）村卫生室基药中央（晋财社</w:t>
            </w:r>
            <w:r>
              <w:rPr>
                <w:rFonts w:ascii="SimSun" w:hAnsi="SimSun" w:eastAsia="SimSun" w:cs="SimSun"/>
                <w:sz w:val="15"/>
                <w:szCs w:val="15"/>
                <w:color w:val="212529"/>
              </w:rPr>
              <w:t xml:space="preserve"> </w:t>
            </w:r>
            <w:r>
              <w:rPr>
                <w:rFonts w:ascii="SimSun" w:hAnsi="SimSun" w:eastAsia="SimSun" w:cs="SimSun"/>
                <w:sz w:val="15"/>
                <w:szCs w:val="15"/>
                <w:color w:val="212529"/>
                <w:spacing w:val="6"/>
              </w:rPr>
              <w:t>【2023】326号）</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4.86</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4.86</w:t>
            </w:r>
          </w:p>
        </w:tc>
        <w:tc>
          <w:tcPr>
            <w:tcW w:w="1328" w:type="dxa"/>
            <w:vAlign w:val="top"/>
          </w:tcPr>
          <w:p>
            <w:pPr>
              <w:pStyle w:val="TableText"/>
              <w:rPr/>
            </w:pPr>
            <w:r/>
          </w:p>
        </w:tc>
        <w:tc>
          <w:tcPr>
            <w:tcW w:w="1204" w:type="dxa"/>
            <w:vAlign w:val="top"/>
          </w:tcPr>
          <w:p>
            <w:pPr>
              <w:pStyle w:val="TableText"/>
              <w:rPr/>
            </w:pPr>
            <w:r/>
          </w:p>
        </w:tc>
      </w:tr>
      <w:tr>
        <w:trPr>
          <w:trHeight w:val="379" w:hRule="atLeast"/>
        </w:trPr>
        <w:tc>
          <w:tcPr>
            <w:tcW w:w="3990" w:type="dxa"/>
            <w:vAlign w:val="top"/>
          </w:tcPr>
          <w:p>
            <w:pPr>
              <w:ind w:left="7" w:right="90" w:firstLine="170"/>
              <w:spacing w:before="31" w:line="208" w:lineRule="auto"/>
              <w:rPr>
                <w:rFonts w:ascii="SimSun" w:hAnsi="SimSun" w:eastAsia="SimSun" w:cs="SimSun"/>
                <w:sz w:val="15"/>
                <w:szCs w:val="15"/>
              </w:rPr>
            </w:pPr>
            <w:r>
              <w:rPr>
                <w:rFonts w:ascii="SimSun" w:hAnsi="SimSun" w:eastAsia="SimSun" w:cs="SimSun"/>
                <w:sz w:val="15"/>
                <w:szCs w:val="15"/>
                <w:color w:val="212529"/>
                <w:spacing w:val="10"/>
              </w:rPr>
              <w:t>（兴财社〔2024〕54号）村卫生室运行维护省级（晋</w:t>
            </w:r>
            <w:r>
              <w:rPr>
                <w:rFonts w:ascii="SimSun" w:hAnsi="SimSun" w:eastAsia="SimSun" w:cs="SimSun"/>
                <w:sz w:val="15"/>
                <w:szCs w:val="15"/>
                <w:color w:val="212529"/>
              </w:rPr>
              <w:t xml:space="preserve"> </w:t>
            </w:r>
            <w:r>
              <w:rPr>
                <w:rFonts w:ascii="SimSun" w:hAnsi="SimSun" w:eastAsia="SimSun" w:cs="SimSun"/>
                <w:sz w:val="15"/>
                <w:szCs w:val="15"/>
                <w:color w:val="212529"/>
                <w:spacing w:val="7"/>
              </w:rPr>
              <w:t>财社【2023】290号）</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4.00</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90" w:type="dxa"/>
            <w:vAlign w:val="top"/>
          </w:tcPr>
          <w:p>
            <w:pPr>
              <w:ind w:left="656" w:right="171" w:firstLine="24"/>
              <w:spacing w:before="31" w:line="211" w:lineRule="auto"/>
              <w:rPr>
                <w:rFonts w:ascii="SimSun" w:hAnsi="SimSun" w:eastAsia="SimSun" w:cs="SimSun"/>
                <w:sz w:val="15"/>
                <w:szCs w:val="15"/>
              </w:rPr>
            </w:pPr>
            <w:r>
              <w:rPr>
                <w:rFonts w:ascii="SimSun" w:hAnsi="SimSun" w:eastAsia="SimSun" w:cs="SimSun"/>
                <w:sz w:val="15"/>
                <w:szCs w:val="15"/>
                <w:color w:val="212529"/>
                <w:spacing w:val="8"/>
              </w:rPr>
              <w:t>[2024]15号-2024年村卫生室</w:t>
            </w:r>
            <w:r>
              <w:rPr>
                <w:rFonts w:ascii="SimSun" w:hAnsi="SimSun" w:eastAsia="SimSun" w:cs="SimSun"/>
                <w:sz w:val="15"/>
                <w:szCs w:val="15"/>
                <w:color w:val="212529"/>
                <w:spacing w:val="7"/>
              </w:rPr>
              <w:t>实施基本药物制</w:t>
            </w:r>
            <w:r>
              <w:rPr>
                <w:rFonts w:ascii="SimSun" w:hAnsi="SimSun" w:eastAsia="SimSun" w:cs="SimSun"/>
                <w:sz w:val="15"/>
                <w:szCs w:val="15"/>
                <w:color w:val="212529"/>
              </w:rPr>
              <w:t xml:space="preserve"> </w:t>
            </w:r>
            <w:r>
              <w:rPr>
                <w:rFonts w:ascii="SimSun" w:hAnsi="SimSun" w:eastAsia="SimSun" w:cs="SimSun"/>
                <w:sz w:val="15"/>
                <w:szCs w:val="15"/>
                <w:color w:val="212529"/>
                <w:spacing w:val="8"/>
              </w:rPr>
              <w:t>套资金（兴财社〔2024〕460号）</w:t>
            </w:r>
          </w:p>
        </w:tc>
        <w:tc>
          <w:tcPr>
            <w:tcW w:w="1264" w:type="dxa"/>
            <w:vAlign w:val="top"/>
          </w:tcPr>
          <w:p>
            <w:pPr>
              <w:ind w:right="26"/>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72" w:type="dxa"/>
            <w:vAlign w:val="top"/>
          </w:tcPr>
          <w:p>
            <w:pPr>
              <w:ind w:right="27"/>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0.10</w:t>
            </w:r>
          </w:p>
        </w:tc>
        <w:tc>
          <w:tcPr>
            <w:tcW w:w="1328"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7" w:right="1223" w:firstLine="453"/>
        <w:spacing w:before="187" w:line="322" w:lineRule="auto"/>
        <w:jc w:val="both"/>
        <w:rPr>
          <w:rFonts w:ascii="FangSong" w:hAnsi="FangSong" w:eastAsia="FangSong" w:cs="FangSong"/>
          <w:sz w:val="23"/>
          <w:szCs w:val="23"/>
        </w:rPr>
      </w:pPr>
      <w:r>
        <w:rPr>
          <w:rFonts w:ascii="FangSong" w:hAnsi="FangSong" w:eastAsia="FangSong" w:cs="FangSong"/>
          <w:sz w:val="23"/>
          <w:szCs w:val="23"/>
          <w:spacing w:val="10"/>
        </w:rPr>
        <w:t>2025年度兴县康宁镇中心卫生院预算收入总计313.94万元，其中：本年收入3</w:t>
      </w:r>
      <w:r>
        <w:rPr>
          <w:rFonts w:ascii="FangSong" w:hAnsi="FangSong" w:eastAsia="FangSong" w:cs="FangSong"/>
          <w:sz w:val="23"/>
          <w:szCs w:val="23"/>
          <w:spacing w:val="9"/>
        </w:rPr>
        <w:t>04.98万</w:t>
      </w:r>
      <w:r>
        <w:rPr>
          <w:rFonts w:ascii="FangSong" w:hAnsi="FangSong" w:eastAsia="FangSong" w:cs="FangSong"/>
          <w:sz w:val="23"/>
          <w:szCs w:val="23"/>
        </w:rPr>
        <w:t xml:space="preserve"> </w:t>
      </w:r>
      <w:r>
        <w:rPr>
          <w:rFonts w:ascii="FangSong" w:hAnsi="FangSong" w:eastAsia="FangSong" w:cs="FangSong"/>
          <w:sz w:val="23"/>
          <w:szCs w:val="23"/>
          <w:spacing w:val="2"/>
        </w:rPr>
        <w:t>元，上年结转8.96万元，比上年减少84.12万元，下降21.13%，主要原因是公卫资金</w:t>
      </w:r>
      <w:r>
        <w:rPr>
          <w:rFonts w:ascii="FangSong" w:hAnsi="FangSong" w:eastAsia="FangSong" w:cs="FangSong"/>
          <w:sz w:val="23"/>
          <w:szCs w:val="23"/>
          <w:spacing w:val="1"/>
        </w:rPr>
        <w:t>减少，基</w:t>
      </w:r>
      <w:r>
        <w:rPr>
          <w:rFonts w:ascii="FangSong" w:hAnsi="FangSong" w:eastAsia="FangSong" w:cs="FangSong"/>
          <w:sz w:val="23"/>
          <w:szCs w:val="23"/>
        </w:rPr>
        <w:t xml:space="preserve"> </w:t>
      </w:r>
      <w:r>
        <w:rPr>
          <w:rFonts w:ascii="FangSong" w:hAnsi="FangSong" w:eastAsia="FangSong" w:cs="FangSong"/>
          <w:sz w:val="23"/>
          <w:szCs w:val="23"/>
          <w:spacing w:val="5"/>
        </w:rPr>
        <w:t>药补助资金减少；本年单位预算支出总计313.9</w:t>
      </w:r>
      <w:r>
        <w:rPr>
          <w:rFonts w:ascii="FangSong" w:hAnsi="FangSong" w:eastAsia="FangSong" w:cs="FangSong"/>
          <w:sz w:val="23"/>
          <w:szCs w:val="23"/>
          <w:spacing w:val="4"/>
        </w:rPr>
        <w:t>4万元，其中：本年预算安排304.98万元，上</w:t>
      </w:r>
      <w:r>
        <w:rPr>
          <w:rFonts w:ascii="FangSong" w:hAnsi="FangSong" w:eastAsia="FangSong" w:cs="FangSong"/>
          <w:sz w:val="23"/>
          <w:szCs w:val="23"/>
        </w:rPr>
        <w:t xml:space="preserve"> </w:t>
      </w:r>
      <w:r>
        <w:rPr>
          <w:rFonts w:ascii="FangSong" w:hAnsi="FangSong" w:eastAsia="FangSong" w:cs="FangSong"/>
          <w:sz w:val="23"/>
          <w:szCs w:val="23"/>
          <w:spacing w:val="2"/>
        </w:rPr>
        <w:t>年结转8.96万元，比上年减少84.12万元，下降21.13%，主要原因是公卫资金减少，</w:t>
      </w:r>
      <w:r>
        <w:rPr>
          <w:rFonts w:ascii="FangSong" w:hAnsi="FangSong" w:eastAsia="FangSong" w:cs="FangSong"/>
          <w:sz w:val="23"/>
          <w:szCs w:val="23"/>
          <w:spacing w:val="1"/>
        </w:rPr>
        <w:t>基药补助</w:t>
      </w:r>
      <w:r>
        <w:rPr>
          <w:rFonts w:ascii="FangSong" w:hAnsi="FangSong" w:eastAsia="FangSong" w:cs="FangSong"/>
          <w:sz w:val="23"/>
          <w:szCs w:val="23"/>
        </w:rPr>
        <w:t xml:space="preserve"> </w:t>
      </w:r>
      <w:r>
        <w:rPr>
          <w:rFonts w:ascii="FangSong" w:hAnsi="FangSong" w:eastAsia="FangSong" w:cs="FangSong"/>
          <w:sz w:val="23"/>
          <w:szCs w:val="23"/>
          <w:spacing w:val="-5"/>
        </w:rPr>
        <w:t>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261" w:right="1223" w:firstLine="459"/>
        <w:spacing w:before="183" w:line="321" w:lineRule="auto"/>
        <w:jc w:val="right"/>
        <w:rPr>
          <w:rFonts w:ascii="FangSong" w:hAnsi="FangSong" w:eastAsia="FangSong" w:cs="FangSong"/>
          <w:sz w:val="23"/>
          <w:szCs w:val="23"/>
        </w:rPr>
      </w:pPr>
      <w:r>
        <w:rPr>
          <w:rFonts w:ascii="FangSong" w:hAnsi="FangSong" w:eastAsia="FangSong" w:cs="FangSong"/>
          <w:sz w:val="23"/>
          <w:szCs w:val="23"/>
          <w:spacing w:val="5"/>
        </w:rPr>
        <w:t>2025年度兴县康宁镇中心卫生院预算收入313.94万元，主要包括一般公共预算拨款收入</w:t>
      </w:r>
      <w:r>
        <w:rPr>
          <w:rFonts w:ascii="FangSong" w:hAnsi="FangSong" w:eastAsia="FangSong" w:cs="FangSong"/>
          <w:sz w:val="23"/>
          <w:szCs w:val="23"/>
        </w:rPr>
        <w:t xml:space="preserve"> </w:t>
      </w:r>
      <w:r>
        <w:rPr>
          <w:rFonts w:ascii="FangSong" w:hAnsi="FangSong" w:eastAsia="FangSong" w:cs="FangSong"/>
          <w:sz w:val="23"/>
          <w:szCs w:val="23"/>
        </w:rPr>
        <w:t>304.</w:t>
      </w:r>
      <w:r>
        <w:rPr>
          <w:rFonts w:ascii="FangSong" w:hAnsi="FangSong" w:eastAsia="FangSong" w:cs="FangSong"/>
          <w:sz w:val="23"/>
          <w:szCs w:val="23"/>
        </w:rPr>
        <w:t xml:space="preserve">  </w:t>
      </w:r>
      <w:r>
        <w:rPr>
          <w:rFonts w:ascii="FangSong" w:hAnsi="FangSong" w:eastAsia="FangSong" w:cs="FangSong"/>
          <w:sz w:val="23"/>
          <w:szCs w:val="23"/>
        </w:rPr>
        <w:t>万元，</w:t>
      </w:r>
      <w:r>
        <w:rPr>
          <w:rFonts w:ascii="FangSong" w:hAnsi="FangSong" w:eastAsia="FangSong" w:cs="FangSong"/>
          <w:sz w:val="23"/>
          <w:szCs w:val="23"/>
          <w:spacing w:val="-57"/>
        </w:rPr>
        <w:t xml:space="preserve"> </w:t>
      </w:r>
      <w:r>
        <w:rPr>
          <w:rFonts w:ascii="FangSong" w:hAnsi="FangSong" w:eastAsia="FangSong" w:cs="FangSong"/>
          <w:sz w:val="23"/>
          <w:szCs w:val="23"/>
        </w:rPr>
        <w:t>占97.15%；政府性基金预算拨款收入0万元，</w:t>
      </w:r>
      <w:r>
        <w:rPr>
          <w:rFonts w:ascii="FangSong" w:hAnsi="FangSong" w:eastAsia="FangSong" w:cs="FangSong"/>
          <w:sz w:val="23"/>
          <w:szCs w:val="23"/>
          <w:spacing w:val="-57"/>
        </w:rPr>
        <w:t xml:space="preserve"> </w:t>
      </w:r>
      <w:r>
        <w:rPr>
          <w:rFonts w:ascii="FangSong" w:hAnsi="FangSong" w:eastAsia="FangSong" w:cs="FangSong"/>
          <w:sz w:val="23"/>
          <w:szCs w:val="23"/>
        </w:rPr>
        <w:t>占</w:t>
      </w:r>
      <w:r>
        <w:rPr>
          <w:rFonts w:ascii="FangSong" w:hAnsi="FangSong" w:eastAsia="FangSong" w:cs="FangSong"/>
          <w:sz w:val="23"/>
          <w:szCs w:val="23"/>
          <w:spacing w:val="-1"/>
        </w:rPr>
        <w:t>0%；国有资本经营预算</w:t>
      </w:r>
      <w:r>
        <w:rPr>
          <w:rFonts w:ascii="FangSong" w:hAnsi="FangSong" w:eastAsia="FangSong" w:cs="FangSong"/>
          <w:sz w:val="23"/>
          <w:szCs w:val="23"/>
          <w:spacing w:val="-1"/>
        </w:rPr>
        <w:t xml:space="preserve">    </w:t>
      </w:r>
      <w:r>
        <w:rPr>
          <w:rFonts w:ascii="FangSong" w:hAnsi="FangSong" w:eastAsia="FangSong" w:cs="FangSong"/>
          <w:sz w:val="23"/>
          <w:szCs w:val="23"/>
          <w:spacing w:val="-1"/>
        </w:rPr>
        <w:t>收入</w:t>
      </w:r>
      <w:r>
        <w:rPr>
          <w:rFonts w:ascii="FangSong" w:hAnsi="FangSong" w:eastAsia="FangSong" w:cs="FangSong"/>
          <w:sz w:val="23"/>
          <w:szCs w:val="23"/>
        </w:rPr>
        <w:t xml:space="preserve"> </w:t>
      </w:r>
      <w:r>
        <w:rPr>
          <w:rFonts w:ascii="FangSong" w:hAnsi="FangSong" w:eastAsia="FangSong" w:cs="FangSong"/>
          <w:sz w:val="23"/>
          <w:szCs w:val="23"/>
          <w:spacing w:val="-5"/>
        </w:rPr>
        <w:t>,</w:t>
      </w:r>
      <w:r>
        <w:rPr>
          <w:rFonts w:ascii="FangSong" w:hAnsi="FangSong" w:eastAsia="FangSong" w:cs="FangSong"/>
          <w:sz w:val="23"/>
          <w:szCs w:val="23"/>
          <w:spacing w:val="106"/>
        </w:rPr>
        <w:t xml:space="preserve"> </w:t>
      </w:r>
      <w:r>
        <w:rPr>
          <w:rFonts w:ascii="FangSong" w:hAnsi="FangSong" w:eastAsia="FangSong" w:cs="FangSong"/>
          <w:sz w:val="23"/>
          <w:szCs w:val="23"/>
          <w:spacing w:val="-5"/>
        </w:rPr>
        <w:t>占0%</w:t>
      </w:r>
      <w:r>
        <w:rPr>
          <w:rFonts w:ascii="FangSong" w:hAnsi="FangSong" w:eastAsia="FangSong" w:cs="FangSong"/>
          <w:sz w:val="23"/>
          <w:szCs w:val="23"/>
          <w:spacing w:val="-5"/>
        </w:rPr>
        <w:t xml:space="preserve">  </w:t>
      </w:r>
      <w:r>
        <w:rPr>
          <w:rFonts w:ascii="FangSong" w:hAnsi="FangSong" w:eastAsia="FangSong" w:cs="FangSong"/>
          <w:sz w:val="23"/>
          <w:szCs w:val="23"/>
          <w:spacing w:val="-5"/>
        </w:rPr>
        <w:t>财政专户管理资金收入0万元，</w:t>
      </w:r>
      <w:r>
        <w:rPr>
          <w:rFonts w:ascii="FangSong" w:hAnsi="FangSong" w:eastAsia="FangSong" w:cs="FangSong"/>
          <w:sz w:val="23"/>
          <w:szCs w:val="23"/>
          <w:spacing w:val="-58"/>
        </w:rPr>
        <w:t xml:space="preserve"> </w:t>
      </w:r>
      <w:r>
        <w:rPr>
          <w:rFonts w:ascii="FangSong" w:hAnsi="FangSong" w:eastAsia="FangSong" w:cs="FangSong"/>
          <w:sz w:val="23"/>
          <w:szCs w:val="23"/>
          <w:spacing w:val="-5"/>
        </w:rPr>
        <w:t>占0%</w:t>
      </w:r>
      <w:r>
        <w:rPr>
          <w:rFonts w:ascii="FangSong" w:hAnsi="FangSong" w:eastAsia="FangSong" w:cs="FangSong"/>
          <w:sz w:val="23"/>
          <w:szCs w:val="23"/>
          <w:spacing w:val="-5"/>
        </w:rPr>
        <w:t xml:space="preserve">  </w:t>
      </w:r>
      <w:r>
        <w:rPr>
          <w:rFonts w:ascii="FangSong" w:hAnsi="FangSong" w:eastAsia="FangSong" w:cs="FangSong"/>
          <w:sz w:val="23"/>
          <w:szCs w:val="23"/>
          <w:spacing w:val="-5"/>
        </w:rPr>
        <w:t>单位资金0万元，</w:t>
      </w:r>
      <w:r>
        <w:rPr>
          <w:rFonts w:ascii="FangSong" w:hAnsi="FangSong" w:eastAsia="FangSong" w:cs="FangSong"/>
          <w:sz w:val="23"/>
          <w:szCs w:val="23"/>
          <w:spacing w:val="-57"/>
        </w:rPr>
        <w:t xml:space="preserve"> </w:t>
      </w:r>
      <w:r>
        <w:rPr>
          <w:rFonts w:ascii="FangSong" w:hAnsi="FangSong" w:eastAsia="FangSong" w:cs="FangSong"/>
          <w:sz w:val="23"/>
          <w:szCs w:val="23"/>
          <w:spacing w:val="-5"/>
        </w:rPr>
        <w:t>占0%</w:t>
      </w:r>
      <w:r>
        <w:rPr>
          <w:rFonts w:ascii="FangSong" w:hAnsi="FangSong" w:eastAsia="FangSong" w:cs="FangSong"/>
          <w:sz w:val="23"/>
          <w:szCs w:val="23"/>
          <w:spacing w:val="-5"/>
        </w:rPr>
        <w:t xml:space="preserve">     </w:t>
      </w:r>
      <w:r>
        <w:rPr>
          <w:rFonts w:ascii="FangSong" w:hAnsi="FangSong" w:eastAsia="FangSong" w:cs="FangSong"/>
          <w:sz w:val="23"/>
          <w:szCs w:val="23"/>
          <w:spacing w:val="-6"/>
        </w:rPr>
        <w:t xml:space="preserve">    </w:t>
      </w:r>
      <w:r>
        <w:rPr>
          <w:rFonts w:ascii="FangSong" w:hAnsi="FangSong" w:eastAsia="FangSong" w:cs="FangSong"/>
          <w:sz w:val="23"/>
          <w:szCs w:val="23"/>
          <w:spacing w:val="-6"/>
        </w:rPr>
        <w:t>转8.96万</w:t>
      </w:r>
    </w:p>
    <w:p>
      <w:pPr>
        <w:ind w:left="1267"/>
        <w:spacing w:before="13" w:line="227" w:lineRule="auto"/>
        <w:rPr>
          <w:rFonts w:ascii="FangSong" w:hAnsi="FangSong" w:eastAsia="FangSong" w:cs="FangSong"/>
          <w:sz w:val="23"/>
          <w:szCs w:val="23"/>
        </w:rPr>
      </w:pPr>
      <w:r>
        <w:rPr>
          <w:rFonts w:ascii="FangSong" w:hAnsi="FangSong" w:eastAsia="FangSong" w:cs="FangSong"/>
          <w:sz w:val="23"/>
          <w:szCs w:val="23"/>
          <w:spacing w:val="-8"/>
        </w:rPr>
        <w:t>元，</w:t>
      </w:r>
      <w:r>
        <w:rPr>
          <w:rFonts w:ascii="FangSong" w:hAnsi="FangSong" w:eastAsia="FangSong" w:cs="FangSong"/>
          <w:sz w:val="23"/>
          <w:szCs w:val="23"/>
          <w:spacing w:val="-60"/>
        </w:rPr>
        <w:t xml:space="preserve"> </w:t>
      </w:r>
      <w:r>
        <w:rPr>
          <w:rFonts w:ascii="FangSong" w:hAnsi="FangSong" w:eastAsia="FangSong" w:cs="FangSong"/>
          <w:sz w:val="23"/>
          <w:szCs w:val="23"/>
          <w:spacing w:val="-8"/>
        </w:rPr>
        <w:t>占2.85%。</w:t>
      </w:r>
    </w:p>
    <w:p>
      <w:pPr>
        <w:pStyle w:val="BodyText"/>
        <w:spacing w:line="479" w:lineRule="auto"/>
        <w:rPr/>
      </w:pPr>
      <w:r/>
    </w:p>
    <w:p>
      <w:pPr>
        <w:ind w:firstLine="3485"/>
        <w:spacing w:before="1" w:line="2856" w:lineRule="exact"/>
        <w:rPr/>
      </w:pPr>
      <w:r>
        <w:rPr>
          <w:position w:val="-57"/>
        </w:rPr>
        <w:drawing>
          <wp:inline distT="0" distB="0" distL="0" distR="0">
            <wp:extent cx="2536669"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536669" cy="1813292"/>
                    </a:xfrm>
                    <a:prstGeom prst="rect">
                      <a:avLst/>
                    </a:prstGeom>
                  </pic:spPr>
                </pic:pic>
              </a:graphicData>
            </a:graphic>
          </wp:inline>
        </w:drawing>
      </w:r>
    </w:p>
    <w:p>
      <w:pPr>
        <w:pStyle w:val="BodyText"/>
        <w:spacing w:line="284" w:lineRule="auto"/>
        <w:rPr/>
      </w:pPr>
      <w:r/>
    </w:p>
    <w:p>
      <w:pPr>
        <w:pStyle w:val="BodyText"/>
        <w:spacing w:line="284"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4"/>
        </w:rPr>
        <w:t>2025年度</w:t>
      </w:r>
      <w:r>
        <w:rPr>
          <w:rFonts w:ascii="FangSong" w:hAnsi="FangSong" w:eastAsia="FangSong" w:cs="FangSong"/>
          <w:sz w:val="23"/>
          <w:szCs w:val="23"/>
          <w:spacing w:val="4"/>
        </w:rPr>
        <w:t xml:space="preserve">        </w:t>
      </w:r>
      <w:r>
        <w:rPr>
          <w:rFonts w:ascii="FangSong" w:hAnsi="FangSong" w:eastAsia="FangSong" w:cs="FangSong"/>
          <w:sz w:val="23"/>
          <w:szCs w:val="23"/>
          <w:spacing w:val="4"/>
        </w:rPr>
        <w:t>镇中心卫生院支出预算313.94万元，其中：基本支出239.17万元，</w:t>
      </w:r>
      <w:r>
        <w:rPr>
          <w:rFonts w:ascii="FangSong" w:hAnsi="FangSong" w:eastAsia="FangSong" w:cs="FangSong"/>
          <w:sz w:val="23"/>
          <w:szCs w:val="23"/>
          <w:spacing w:val="-46"/>
        </w:rPr>
        <w:t xml:space="preserve"> </w:t>
      </w:r>
      <w:r>
        <w:rPr>
          <w:rFonts w:ascii="FangSong" w:hAnsi="FangSong" w:eastAsia="FangSong" w:cs="FangSong"/>
          <w:sz w:val="23"/>
          <w:szCs w:val="23"/>
          <w:spacing w:val="4"/>
        </w:rPr>
        <w:t>占</w:t>
      </w:r>
    </w:p>
    <w:p>
      <w:pPr>
        <w:ind w:left="1262"/>
        <w:spacing w:before="135" w:line="226" w:lineRule="auto"/>
        <w:rPr>
          <w:rFonts w:ascii="FangSong" w:hAnsi="FangSong" w:eastAsia="FangSong" w:cs="FangSong"/>
          <w:sz w:val="23"/>
          <w:szCs w:val="23"/>
        </w:rPr>
      </w:pPr>
      <w:r>
        <w:rPr>
          <w:rFonts w:ascii="FangSong" w:hAnsi="FangSong" w:eastAsia="FangSong" w:cs="FangSong"/>
          <w:sz w:val="23"/>
          <w:szCs w:val="23"/>
          <w:spacing w:val="-5"/>
        </w:rPr>
        <w:t>76.18</w:t>
      </w:r>
      <w:r>
        <w:rPr>
          <w:rFonts w:ascii="FangSong" w:hAnsi="FangSong" w:eastAsia="FangSong" w:cs="FangSong"/>
          <w:sz w:val="23"/>
          <w:szCs w:val="23"/>
          <w:spacing w:val="5"/>
        </w:rPr>
        <w:t xml:space="preserve">         </w:t>
      </w:r>
      <w:r>
        <w:rPr>
          <w:rFonts w:ascii="FangSong" w:hAnsi="FangSong" w:eastAsia="FangSong" w:cs="FangSong"/>
          <w:sz w:val="23"/>
          <w:szCs w:val="23"/>
          <w:spacing w:val="-5"/>
        </w:rPr>
        <w:t>出74.77万元，</w:t>
      </w:r>
      <w:r>
        <w:rPr>
          <w:rFonts w:ascii="FangSong" w:hAnsi="FangSong" w:eastAsia="FangSong" w:cs="FangSong"/>
          <w:sz w:val="23"/>
          <w:szCs w:val="23"/>
          <w:spacing w:val="-55"/>
        </w:rPr>
        <w:t xml:space="preserve"> </w:t>
      </w:r>
      <w:r>
        <w:rPr>
          <w:rFonts w:ascii="FangSong" w:hAnsi="FangSong" w:eastAsia="FangSong" w:cs="FangSong"/>
          <w:sz w:val="23"/>
          <w:szCs w:val="23"/>
          <w:spacing w:val="-5"/>
        </w:rPr>
        <w:t>占23.82%。</w:t>
      </w:r>
    </w:p>
    <w:p>
      <w:pPr>
        <w:ind w:left="1271"/>
        <w:spacing w:before="114" w:line="229"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7"/>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2025年度兴县康宁镇中心卫生院财政拨款收支总预算313.94万元。其中：一般公共预算</w:t>
      </w:r>
      <w:r>
        <w:rPr>
          <w:rFonts w:ascii="FangSong" w:hAnsi="FangSong" w:eastAsia="FangSong" w:cs="FangSong"/>
          <w:sz w:val="23"/>
          <w:szCs w:val="23"/>
        </w:rPr>
        <w:t xml:space="preserve"> </w:t>
      </w:r>
      <w:r>
        <w:rPr>
          <w:rFonts w:ascii="FangSong" w:hAnsi="FangSong" w:eastAsia="FangSong" w:cs="FangSong"/>
          <w:sz w:val="23"/>
          <w:szCs w:val="23"/>
          <w:spacing w:val="3"/>
        </w:rPr>
        <w:t>拨款313.94万元，政府性基金预算拨款0万元，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国</w:t>
      </w:r>
      <w:r>
        <w:rPr>
          <w:rFonts w:ascii="FangSong" w:hAnsi="FangSong" w:eastAsia="FangSong" w:cs="FangSong"/>
          <w:sz w:val="23"/>
          <w:szCs w:val="23"/>
          <w:spacing w:val="2"/>
        </w:rPr>
        <w:t>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w:t>
      </w:r>
      <w:r>
        <w:rPr>
          <w:rFonts w:ascii="FangSong" w:hAnsi="FangSong" w:eastAsia="FangSong" w:cs="FangSong"/>
          <w:sz w:val="23"/>
          <w:szCs w:val="23"/>
        </w:rPr>
        <w:t xml:space="preserve"> </w:t>
      </w:r>
      <w:r>
        <w:rPr>
          <w:rFonts w:ascii="FangSong" w:hAnsi="FangSong" w:eastAsia="FangSong" w:cs="FangSong"/>
          <w:sz w:val="23"/>
          <w:szCs w:val="23"/>
          <w:spacing w:val="2"/>
        </w:rPr>
        <w:t>款收入304.98万元，上年结转收入8.96万元。支出包括：社会保障和就业支出23.56万元、卫</w:t>
      </w:r>
      <w:r>
        <w:rPr>
          <w:rFonts w:ascii="FangSong" w:hAnsi="FangSong" w:eastAsia="FangSong" w:cs="FangSong"/>
          <w:sz w:val="23"/>
          <w:szCs w:val="23"/>
          <w:spacing w:val="1"/>
        </w:rPr>
        <w:t xml:space="preserve"> </w:t>
      </w:r>
      <w:r>
        <w:rPr>
          <w:rFonts w:ascii="FangSong" w:hAnsi="FangSong" w:eastAsia="FangSong" w:cs="FangSong"/>
          <w:sz w:val="23"/>
          <w:szCs w:val="23"/>
        </w:rPr>
        <w:t>生健康支出270.14万元、住房保障支出20.24万</w:t>
      </w:r>
      <w:r>
        <w:rPr>
          <w:rFonts w:ascii="FangSong" w:hAnsi="FangSong" w:eastAsia="FangSong" w:cs="FangSong"/>
          <w:sz w:val="23"/>
          <w:szCs w:val="23"/>
          <w:spacing w:val="-1"/>
        </w:rPr>
        <w:t>元等。</w:t>
      </w:r>
    </w:p>
    <w:p>
      <w:pPr>
        <w:ind w:left="1264"/>
        <w:spacing w:before="3"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4"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7" w:right="1223" w:firstLine="453"/>
        <w:spacing w:before="124" w:line="325" w:lineRule="auto"/>
        <w:rPr>
          <w:rFonts w:ascii="FangSong" w:hAnsi="FangSong" w:eastAsia="FangSong" w:cs="FangSong"/>
          <w:sz w:val="23"/>
          <w:szCs w:val="23"/>
        </w:rPr>
      </w:pPr>
      <w:r>
        <w:rPr>
          <w:rFonts w:ascii="FangSong" w:hAnsi="FangSong" w:eastAsia="FangSong" w:cs="FangSong"/>
          <w:sz w:val="23"/>
          <w:szCs w:val="23"/>
          <w:spacing w:val="4"/>
        </w:rPr>
        <w:t>2025年度兴县康宁镇中心卫生院一般公共预算当年支出30</w:t>
      </w:r>
      <w:r>
        <w:rPr>
          <w:rFonts w:ascii="FangSong" w:hAnsi="FangSong" w:eastAsia="FangSong" w:cs="FangSong"/>
          <w:sz w:val="23"/>
          <w:szCs w:val="23"/>
          <w:spacing w:val="3"/>
        </w:rPr>
        <w:t>4.98万元,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比上年减少86.59万</w:t>
      </w:r>
      <w:r>
        <w:rPr>
          <w:rFonts w:ascii="FangSong" w:hAnsi="FangSong" w:eastAsia="FangSong" w:cs="FangSong"/>
          <w:sz w:val="23"/>
          <w:szCs w:val="23"/>
        </w:rPr>
        <w:t xml:space="preserve"> </w:t>
      </w:r>
      <w:r>
        <w:rPr>
          <w:rFonts w:ascii="FangSong" w:hAnsi="FangSong" w:eastAsia="FangSong" w:cs="FangSong"/>
          <w:sz w:val="23"/>
          <w:szCs w:val="23"/>
          <w:spacing w:val="-2"/>
        </w:rPr>
        <w:t>元，下降22.11%。</w:t>
      </w:r>
    </w:p>
    <w:p>
      <w:pPr>
        <w:ind w:left="2204"/>
        <w:spacing w:before="1"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3" w:line="222" w:lineRule="auto"/>
        <w:rPr>
          <w:rFonts w:ascii="FangSong" w:hAnsi="FangSong" w:eastAsia="FangSong" w:cs="FangSong"/>
          <w:sz w:val="23"/>
          <w:szCs w:val="23"/>
        </w:rPr>
      </w:pPr>
      <w:r>
        <w:rPr>
          <w:rFonts w:ascii="FangSong" w:hAnsi="FangSong" w:eastAsia="FangSong" w:cs="FangSong"/>
          <w:sz w:val="23"/>
          <w:szCs w:val="23"/>
          <w:spacing w:val="2"/>
        </w:rPr>
        <w:t>2025年度兴县康宁镇中心卫生院一般公共预算当年支出304.98万元,</w:t>
      </w:r>
      <w:r>
        <w:rPr>
          <w:rFonts w:ascii="FangSong" w:hAnsi="FangSong" w:eastAsia="FangSong" w:cs="FangSong"/>
          <w:sz w:val="23"/>
          <w:szCs w:val="23"/>
          <w:spacing w:val="2"/>
        </w:rPr>
        <w:t xml:space="preserve">          </w:t>
      </w:r>
      <w:r>
        <w:rPr>
          <w:rFonts w:ascii="FangSong" w:hAnsi="FangSong" w:eastAsia="FangSong" w:cs="FangSong"/>
          <w:sz w:val="23"/>
          <w:szCs w:val="23"/>
          <w:spacing w:val="2"/>
        </w:rPr>
        <w:t>下方</w:t>
      </w:r>
      <w:r>
        <w:rPr>
          <w:rFonts w:ascii="FangSong" w:hAnsi="FangSong" w:eastAsia="FangSong" w:cs="FangSong"/>
          <w:sz w:val="23"/>
          <w:szCs w:val="23"/>
          <w:spacing w:val="1"/>
        </w:rPr>
        <w:t>面：</w:t>
      </w:r>
    </w:p>
    <w:p>
      <w:pPr>
        <w:ind w:left="1263"/>
        <w:spacing w:before="135" w:line="221" w:lineRule="auto"/>
        <w:rPr>
          <w:rFonts w:ascii="FangSong" w:hAnsi="FangSong" w:eastAsia="FangSong" w:cs="FangSong"/>
          <w:sz w:val="23"/>
          <w:szCs w:val="23"/>
        </w:rPr>
      </w:pPr>
      <w:r>
        <w:rPr>
          <w:rFonts w:ascii="FangSong" w:hAnsi="FangSong" w:eastAsia="FangSong" w:cs="FangSong"/>
          <w:sz w:val="23"/>
          <w:szCs w:val="23"/>
          <w:spacing w:val="3"/>
        </w:rPr>
        <w:t>社会保障和就业支出23.56万元，</w:t>
      </w:r>
      <w:r>
        <w:rPr>
          <w:rFonts w:ascii="FangSong" w:hAnsi="FangSong" w:eastAsia="FangSong" w:cs="FangSong"/>
          <w:sz w:val="23"/>
          <w:szCs w:val="23"/>
          <w:spacing w:val="-53"/>
        </w:rPr>
        <w:t xml:space="preserve"> </w:t>
      </w:r>
      <w:r>
        <w:rPr>
          <w:rFonts w:ascii="FangSong" w:hAnsi="FangSong" w:eastAsia="FangSong" w:cs="FangSong"/>
          <w:sz w:val="23"/>
          <w:szCs w:val="23"/>
          <w:spacing w:val="3"/>
        </w:rPr>
        <w:t>占7.</w:t>
      </w:r>
      <w:r>
        <w:rPr>
          <w:rFonts w:ascii="FangSong" w:hAnsi="FangSong" w:eastAsia="FangSong" w:cs="FangSong"/>
          <w:sz w:val="23"/>
          <w:szCs w:val="23"/>
          <w:spacing w:val="2"/>
        </w:rPr>
        <w:t>73%；卫生健康支出261.18</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2"/>
        </w:rPr>
        <w:t xml:space="preserve">  </w:t>
      </w:r>
      <w:r>
        <w:rPr>
          <w:rFonts w:ascii="FangSong" w:hAnsi="FangSong" w:eastAsia="FangSong" w:cs="FangSong"/>
          <w:sz w:val="23"/>
          <w:szCs w:val="23"/>
          <w:spacing w:val="2"/>
        </w:rPr>
        <w:t>85.64%</w:t>
      </w:r>
      <w:r>
        <w:rPr>
          <w:rFonts w:ascii="FangSong" w:hAnsi="FangSong" w:eastAsia="FangSong" w:cs="FangSong"/>
          <w:sz w:val="23"/>
          <w:szCs w:val="23"/>
          <w:spacing w:val="11"/>
        </w:rPr>
        <w:t xml:space="preserve">  </w:t>
      </w:r>
      <w:r>
        <w:rPr>
          <w:rFonts w:ascii="FangSong" w:hAnsi="FangSong" w:eastAsia="FangSong" w:cs="FangSong"/>
          <w:sz w:val="23"/>
          <w:szCs w:val="23"/>
          <w:spacing w:val="2"/>
        </w:rPr>
        <w:t>住房保障</w:t>
      </w:r>
    </w:p>
    <w:p>
      <w:pPr>
        <w:spacing w:line="221"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spacing w:before="56"/>
        <w:rPr/>
      </w:pPr>
      <w:r/>
    </w:p>
    <w:p>
      <w:pPr>
        <w:spacing w:before="56"/>
        <w:rPr/>
      </w:pPr>
      <w:r/>
    </w:p>
    <w:p>
      <w:pPr>
        <w:sectPr>
          <w:headerReference w:type="default" r:id="rId38"/>
          <w:footerReference w:type="default" r:id="rId39"/>
          <w:pgSz w:w="11900" w:h="16840"/>
          <w:pgMar w:top="642" w:right="0" w:bottom="340" w:left="0" w:header="326" w:footer="111" w:gutter="0"/>
          <w:cols w:equalWidth="0" w:num="1">
            <w:col w:w="11900" w:space="0"/>
          </w:cols>
        </w:sectPr>
        <w:rPr/>
      </w:pPr>
    </w:p>
    <w:p>
      <w:pPr>
        <w:ind w:left="1263"/>
        <w:spacing w:before="47" w:line="224" w:lineRule="auto"/>
        <w:rPr>
          <w:rFonts w:ascii="FangSong" w:hAnsi="FangSong" w:eastAsia="FangSong" w:cs="FangSong"/>
          <w:sz w:val="23"/>
          <w:szCs w:val="23"/>
        </w:rPr>
      </w:pPr>
      <w:r>
        <w:rPr>
          <w:rFonts w:ascii="FangSong" w:hAnsi="FangSong" w:eastAsia="FangSong" w:cs="FangSong"/>
          <w:sz w:val="23"/>
          <w:szCs w:val="23"/>
          <w:spacing w:val="-4"/>
        </w:rPr>
        <w:t>支出2</w:t>
      </w:r>
      <w:r>
        <w:rPr>
          <w:rFonts w:ascii="FangSong" w:hAnsi="FangSong" w:eastAsia="FangSong" w:cs="FangSong"/>
          <w:sz w:val="23"/>
          <w:szCs w:val="23"/>
          <w:spacing w:val="16"/>
        </w:rPr>
        <w:t xml:space="preserve"> </w:t>
      </w:r>
      <w:r>
        <w:rPr>
          <w:rFonts w:ascii="FangSong" w:hAnsi="FangSong" w:eastAsia="FangSong" w:cs="FangSong"/>
          <w:sz w:val="23"/>
          <w:szCs w:val="23"/>
          <w:spacing w:val="-4"/>
        </w:rPr>
        <w:t>.</w:t>
      </w:r>
    </w:p>
    <w:p>
      <w:pPr>
        <w:spacing w:before="12"/>
        <w:rPr/>
      </w:pPr>
      <w:r/>
    </w:p>
    <w:p>
      <w:pPr>
        <w:spacing w:before="12"/>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pStyle w:val="BodyText"/>
        <w:spacing w:line="14" w:lineRule="auto"/>
        <w:rPr>
          <w:sz w:val="2"/>
        </w:rPr>
      </w:pPr>
      <w:r>
        <w:rPr>
          <w:sz w:val="2"/>
          <w:szCs w:val="2"/>
        </w:rPr>
        <w:br w:type="column"/>
      </w:r>
    </w:p>
    <w:p>
      <w:pPr>
        <w:spacing w:before="45" w:line="224" w:lineRule="auto"/>
        <w:rPr>
          <w:rFonts w:ascii="FangSong" w:hAnsi="FangSong" w:eastAsia="FangSong" w:cs="FangSong"/>
          <w:sz w:val="23"/>
          <w:szCs w:val="23"/>
        </w:rPr>
      </w:pPr>
      <w:r>
        <w:rPr>
          <w:rFonts w:ascii="FangSong" w:hAnsi="FangSong" w:eastAsia="FangSong" w:cs="FangSong"/>
          <w:sz w:val="23"/>
          <w:szCs w:val="23"/>
          <w:spacing w:val="-14"/>
        </w:rPr>
        <w:t>,</w:t>
      </w:r>
      <w:r>
        <w:rPr>
          <w:rFonts w:ascii="FangSong" w:hAnsi="FangSong" w:eastAsia="FangSong" w:cs="FangSong"/>
          <w:sz w:val="23"/>
          <w:szCs w:val="23"/>
          <w:spacing w:val="-14"/>
        </w:rPr>
        <w:t xml:space="preserve">  </w:t>
      </w:r>
      <w:r>
        <w:rPr>
          <w:rFonts w:ascii="FangSong" w:hAnsi="FangSong" w:eastAsia="FangSong" w:cs="FangSong"/>
          <w:sz w:val="23"/>
          <w:szCs w:val="23"/>
          <w:spacing w:val="-14"/>
        </w:rPr>
        <w:t>占6.64%等。</w:t>
      </w:r>
    </w:p>
    <w:p>
      <w:pPr>
        <w:pStyle w:val="BodyText"/>
        <w:spacing w:line="14" w:lineRule="auto"/>
        <w:rPr>
          <w:sz w:val="2"/>
        </w:rPr>
      </w:pPr>
      <w:r>
        <w:rPr>
          <w:sz w:val="2"/>
          <w:szCs w:val="2"/>
        </w:rPr>
        <w:br w:type="column"/>
      </w:r>
    </w:p>
    <w:p>
      <w:pPr>
        <w:pStyle w:val="BodyText"/>
        <w:spacing w:line="295" w:lineRule="auto"/>
        <w:rPr/>
      </w:pPr>
      <w:r/>
    </w:p>
    <w:p>
      <w:pPr>
        <w:pStyle w:val="BodyText"/>
        <w:spacing w:line="295" w:lineRule="auto"/>
        <w:rPr/>
      </w:pPr>
      <w:r/>
    </w:p>
    <w:p>
      <w:pPr>
        <w:spacing w:line="2463" w:lineRule="exact"/>
        <w:rPr/>
      </w:pPr>
      <w:r>
        <w:rPr>
          <w:position w:val="-49"/>
        </w:rPr>
        <w:drawing>
          <wp:inline distT="0" distB="0" distL="0" distR="0">
            <wp:extent cx="1902501"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02501" cy="1564258"/>
                    </a:xfrm>
                    <a:prstGeom prst="rect">
                      <a:avLst/>
                    </a:prstGeom>
                  </pic:spPr>
                </pic:pic>
              </a:graphicData>
            </a:graphic>
          </wp:inline>
        </w:drawing>
      </w:r>
    </w:p>
    <w:p>
      <w:pPr>
        <w:spacing w:line="2463" w:lineRule="exact"/>
        <w:sectPr>
          <w:type w:val="continuous"/>
          <w:pgSz w:w="11900" w:h="16840"/>
          <w:pgMar w:top="642" w:right="0" w:bottom="340" w:left="0" w:header="326" w:footer="111" w:gutter="0"/>
          <w:cols w:equalWidth="0" w:num="3">
            <w:col w:w="2680" w:space="100"/>
            <w:col w:w="1786" w:space="100"/>
            <w:col w:w="7236" w:space="0"/>
          </w:cols>
        </w:sectPr>
        <w:rPr/>
      </w:pPr>
    </w:p>
    <w:p>
      <w:pPr>
        <w:pStyle w:val="BodyText"/>
        <w:spacing w:line="241" w:lineRule="auto"/>
        <w:rPr/>
      </w:pPr>
      <w:r/>
    </w:p>
    <w:p>
      <w:pPr>
        <w:pStyle w:val="BodyText"/>
        <w:spacing w:line="242"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0"/>
        <w:spacing w:before="185" w:line="222" w:lineRule="auto"/>
        <w:rPr>
          <w:rFonts w:ascii="FangSong" w:hAnsi="FangSong" w:eastAsia="FangSong" w:cs="FangSong"/>
          <w:sz w:val="23"/>
          <w:szCs w:val="23"/>
        </w:rPr>
      </w:pPr>
      <w:r>
        <w:rPr>
          <w:rFonts w:ascii="FangSong" w:hAnsi="FangSong" w:eastAsia="FangSong" w:cs="FangSong"/>
          <w:sz w:val="23"/>
          <w:szCs w:val="23"/>
        </w:rPr>
        <w:t>年度兴县康宁镇中心卫生院一般公共预算安排基本支出239.17万元，其</w:t>
      </w:r>
      <w:r>
        <w:rPr>
          <w:rFonts w:ascii="FangSong" w:hAnsi="FangSong" w:eastAsia="FangSong" w:cs="FangSong"/>
          <w:sz w:val="23"/>
          <w:szCs w:val="23"/>
        </w:rPr>
        <w:t xml:space="preserve"> </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p>
    <w:p>
      <w:pPr>
        <w:ind w:left="1979"/>
        <w:spacing w:before="123" w:line="221" w:lineRule="auto"/>
        <w:rPr>
          <w:rFonts w:ascii="FangSong" w:hAnsi="FangSong" w:eastAsia="FangSong" w:cs="FangSong"/>
          <w:sz w:val="23"/>
          <w:szCs w:val="23"/>
        </w:rPr>
      </w:pPr>
      <w:r>
        <w:rPr>
          <w:rFonts w:ascii="FangSong" w:hAnsi="FangSong" w:eastAsia="FangSong" w:cs="FangSong"/>
          <w:sz w:val="23"/>
          <w:szCs w:val="23"/>
          <w:spacing w:val="4"/>
        </w:rPr>
        <w:t>员经费224.10万元，主要包括：其他工资福利支出、其他社会保障</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效工资、</w:t>
      </w:r>
    </w:p>
    <w:p>
      <w:pPr>
        <w:ind w:left="1263"/>
        <w:spacing w:before="124" w:line="221" w:lineRule="auto"/>
        <w:rPr>
          <w:rFonts w:ascii="FangSong" w:hAnsi="FangSong" w:eastAsia="FangSong" w:cs="FangSong"/>
          <w:sz w:val="23"/>
          <w:szCs w:val="23"/>
        </w:rPr>
      </w:pPr>
      <w:r>
        <w:rPr>
          <w:rFonts w:ascii="FangSong" w:hAnsi="FangSong" w:eastAsia="FangSong" w:cs="FangSong"/>
          <w:sz w:val="23"/>
          <w:szCs w:val="23"/>
          <w:spacing w:val="11"/>
        </w:rPr>
        <w:t>基本工资、机关事业单位基本养老保险缴费、住</w:t>
      </w:r>
      <w:r>
        <w:rPr>
          <w:rFonts w:ascii="FangSong" w:hAnsi="FangSong" w:eastAsia="FangSong" w:cs="FangSong"/>
          <w:sz w:val="23"/>
          <w:szCs w:val="23"/>
          <w:spacing w:val="10"/>
        </w:rPr>
        <w:t>房公积金、退休</w:t>
      </w:r>
      <w:r>
        <w:rPr>
          <w:rFonts w:ascii="FangSong" w:hAnsi="FangSong" w:eastAsia="FangSong" w:cs="FangSong"/>
          <w:sz w:val="23"/>
          <w:szCs w:val="23"/>
          <w:spacing w:val="10"/>
        </w:rPr>
        <w:t xml:space="preserve">  </w:t>
      </w:r>
      <w:r>
        <w:rPr>
          <w:rFonts w:ascii="FangSong" w:hAnsi="FangSong" w:eastAsia="FangSong" w:cs="FangSong"/>
          <w:sz w:val="23"/>
          <w:szCs w:val="23"/>
          <w:spacing w:val="10"/>
        </w:rPr>
        <w:t>、</w:t>
      </w:r>
      <w:r>
        <w:rPr>
          <w:rFonts w:ascii="FangSong" w:hAnsi="FangSong" w:eastAsia="FangSong" w:cs="FangSong"/>
          <w:sz w:val="23"/>
          <w:szCs w:val="23"/>
          <w:spacing w:val="10"/>
        </w:rPr>
        <w:t xml:space="preserve">    </w:t>
      </w:r>
      <w:r>
        <w:rPr>
          <w:rFonts w:ascii="FangSong" w:hAnsi="FangSong" w:eastAsia="FangSong" w:cs="FangSong"/>
          <w:sz w:val="23"/>
          <w:szCs w:val="23"/>
          <w:spacing w:val="10"/>
        </w:rPr>
        <w:t>基本医疗保险缴</w:t>
      </w:r>
    </w:p>
    <w:p>
      <w:pPr>
        <w:ind w:left="1271"/>
        <w:spacing w:before="136" w:line="222" w:lineRule="auto"/>
        <w:rPr>
          <w:rFonts w:ascii="FangSong" w:hAnsi="FangSong" w:eastAsia="FangSong" w:cs="FangSong"/>
          <w:sz w:val="23"/>
          <w:szCs w:val="23"/>
        </w:rPr>
      </w:pPr>
      <w:r>
        <w:rPr>
          <w:rFonts w:ascii="FangSong" w:hAnsi="FangSong" w:eastAsia="FangSong" w:cs="FangSong"/>
          <w:sz w:val="23"/>
          <w:szCs w:val="23"/>
          <w:spacing w:val="-3"/>
        </w:rPr>
        <w:t>费、津贴补贴等；</w:t>
      </w:r>
    </w:p>
    <w:p>
      <w:pPr>
        <w:ind w:left="1729"/>
        <w:spacing w:before="123" w:line="223" w:lineRule="auto"/>
        <w:rPr>
          <w:rFonts w:ascii="FangSong" w:hAnsi="FangSong" w:eastAsia="FangSong" w:cs="FangSong"/>
          <w:sz w:val="23"/>
          <w:szCs w:val="23"/>
        </w:rPr>
      </w:pPr>
      <w:r>
        <w:rPr>
          <w:rFonts w:ascii="FangSong" w:hAnsi="FangSong" w:eastAsia="FangSong" w:cs="FangSong"/>
          <w:sz w:val="23"/>
          <w:szCs w:val="23"/>
        </w:rPr>
        <w:t>公用经费15.08万元，主要包括：福利费、工会经费、</w:t>
      </w:r>
      <w:r>
        <w:rPr>
          <w:rFonts w:ascii="FangSong" w:hAnsi="FangSong" w:eastAsia="FangSong" w:cs="FangSong"/>
          <w:sz w:val="23"/>
          <w:szCs w:val="23"/>
          <w:spacing w:val="-1"/>
        </w:rPr>
        <w:t>取暖费等。</w:t>
      </w:r>
    </w:p>
    <w:p>
      <w:pPr>
        <w:ind w:left="1255"/>
        <w:spacing w:before="119"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3"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67" w:right="1223" w:firstLine="453"/>
        <w:spacing w:before="176" w:line="322" w:lineRule="auto"/>
        <w:rPr>
          <w:rFonts w:ascii="FangSong" w:hAnsi="FangSong" w:eastAsia="FangSong" w:cs="FangSong"/>
          <w:sz w:val="23"/>
          <w:szCs w:val="23"/>
        </w:rPr>
      </w:pPr>
      <w:r>
        <w:rPr>
          <w:rFonts w:ascii="FangSong" w:hAnsi="FangSong" w:eastAsia="FangSong" w:cs="FangSong"/>
          <w:sz w:val="23"/>
          <w:szCs w:val="23"/>
          <w:spacing w:val="11"/>
        </w:rPr>
        <w:t>2025年兴县康宁镇中心卫生院政府采购预算总额0万元。其中：政府采购货物预算0万</w:t>
      </w:r>
      <w:r>
        <w:rPr>
          <w:rFonts w:ascii="FangSong" w:hAnsi="FangSong" w:eastAsia="FangSong" w:cs="FangSong"/>
          <w:sz w:val="23"/>
          <w:szCs w:val="23"/>
          <w:spacing w:val="4"/>
        </w:rPr>
        <w:t xml:space="preserve"> </w:t>
      </w:r>
      <w:r>
        <w:rPr>
          <w:rFonts w:ascii="FangSong" w:hAnsi="FangSong" w:eastAsia="FangSong" w:cs="FangSong"/>
          <w:sz w:val="23"/>
          <w:szCs w:val="23"/>
        </w:rPr>
        <w:t>元、政府采购工程预算0万元、政府采购服务</w:t>
      </w:r>
      <w:r>
        <w:rPr>
          <w:rFonts w:ascii="FangSong" w:hAnsi="FangSong" w:eastAsia="FangSong" w:cs="FangSong"/>
          <w:sz w:val="23"/>
          <w:szCs w:val="23"/>
          <w:spacing w:val="-1"/>
        </w:rPr>
        <w:t>预算0万元。</w:t>
      </w:r>
    </w:p>
    <w:p>
      <w:pPr>
        <w:ind w:left="1260"/>
        <w:spacing w:before="5"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5"/>
        </w:rPr>
        <w:t>1、整体绩</w:t>
      </w:r>
    </w:p>
    <w:p>
      <w:pPr>
        <w:ind w:left="1259"/>
        <w:spacing w:before="122" w:line="223" w:lineRule="auto"/>
        <w:rPr>
          <w:rFonts w:ascii="FangSong" w:hAnsi="FangSong" w:eastAsia="FangSong" w:cs="FangSong"/>
          <w:sz w:val="23"/>
          <w:szCs w:val="23"/>
        </w:rPr>
      </w:pPr>
      <w:r>
        <w:rPr>
          <w:rFonts w:ascii="FangSong" w:hAnsi="FangSong" w:eastAsia="FangSong" w:cs="FangSong"/>
          <w:sz w:val="23"/>
          <w:szCs w:val="23"/>
        </w:rPr>
        <w:t>2025年</w:t>
      </w:r>
      <w:r>
        <w:rPr>
          <w:rFonts w:ascii="FangSong" w:hAnsi="FangSong" w:eastAsia="FangSong" w:cs="FangSong"/>
          <w:sz w:val="23"/>
          <w:szCs w:val="23"/>
        </w:rPr>
        <w:t xml:space="preserve">        </w:t>
      </w:r>
      <w:r>
        <w:rPr>
          <w:rFonts w:ascii="FangSong" w:hAnsi="FangSong" w:eastAsia="FangSong" w:cs="FangSong"/>
          <w:sz w:val="23"/>
          <w:szCs w:val="23"/>
        </w:rPr>
        <w:t>整体绩效目标，涉及资金74.77万元。</w:t>
      </w:r>
    </w:p>
    <w:p>
      <w:pPr>
        <w:ind w:left="1720"/>
        <w:spacing w:before="133"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4" w:right="1223" w:firstLine="455"/>
        <w:spacing w:before="123" w:line="323" w:lineRule="auto"/>
        <w:rPr>
          <w:rFonts w:ascii="FangSong" w:hAnsi="FangSong" w:eastAsia="FangSong" w:cs="FangSong"/>
          <w:sz w:val="23"/>
          <w:szCs w:val="23"/>
        </w:rPr>
      </w:pPr>
      <w:r>
        <w:rPr>
          <w:rFonts w:ascii="FangSong" w:hAnsi="FangSong" w:eastAsia="FangSong" w:cs="FangSong"/>
          <w:sz w:val="23"/>
          <w:szCs w:val="23"/>
          <w:spacing w:val="5"/>
        </w:rPr>
        <w:t>2025年兴县康宁镇中心卫生院纳入绩效目标管理的二级项目7个，共计金额74.77万元。</w:t>
      </w:r>
      <w:r>
        <w:rPr>
          <w:rFonts w:ascii="FangSong" w:hAnsi="FangSong" w:eastAsia="FangSong" w:cs="FangSong"/>
          <w:sz w:val="23"/>
          <w:szCs w:val="23"/>
        </w:rPr>
        <w:t xml:space="preserve"> </w:t>
      </w:r>
      <w:r>
        <w:rPr>
          <w:rFonts w:ascii="FangSong" w:hAnsi="FangSong" w:eastAsia="FangSong" w:cs="FangSong"/>
          <w:sz w:val="23"/>
          <w:szCs w:val="23"/>
          <w:spacing w:val="5"/>
        </w:rPr>
        <w:t>其中：其他运转类项目0个，涉及金额0万元；特定目标类项目0个，涉及金额0万元。公开项</w:t>
      </w:r>
      <w:r>
        <w:rPr>
          <w:rFonts w:ascii="FangSong" w:hAnsi="FangSong" w:eastAsia="FangSong" w:cs="FangSong"/>
          <w:sz w:val="23"/>
          <w:szCs w:val="23"/>
        </w:rPr>
        <w:t xml:space="preserve"> </w:t>
      </w:r>
      <w:r>
        <w:rPr>
          <w:rFonts w:ascii="FangSong" w:hAnsi="FangSong" w:eastAsia="FangSong" w:cs="FangSong"/>
          <w:sz w:val="23"/>
          <w:szCs w:val="23"/>
          <w:spacing w:val="3"/>
        </w:rPr>
        <w:t>目绩效目标7个，涉及项目金额74.77万元，</w:t>
      </w:r>
      <w:r>
        <w:rPr>
          <w:rFonts w:ascii="FangSong" w:hAnsi="FangSong" w:eastAsia="FangSong" w:cs="FangSong"/>
          <w:sz w:val="23"/>
          <w:szCs w:val="23"/>
          <w:spacing w:val="-40"/>
        </w:rPr>
        <w:t xml:space="preserve"> </w:t>
      </w:r>
      <w:r>
        <w:rPr>
          <w:rFonts w:ascii="FangSong" w:hAnsi="FangSong" w:eastAsia="FangSong" w:cs="FangSong"/>
          <w:sz w:val="23"/>
          <w:szCs w:val="23"/>
          <w:spacing w:val="3"/>
        </w:rPr>
        <w:t>占部门（单位）项目支出总额的100%。其中：其</w:t>
      </w:r>
      <w:r>
        <w:rPr>
          <w:rFonts w:ascii="FangSong" w:hAnsi="FangSong" w:eastAsia="FangSong" w:cs="FangSong"/>
          <w:sz w:val="23"/>
          <w:szCs w:val="23"/>
        </w:rPr>
        <w:t xml:space="preserve"> </w:t>
      </w:r>
      <w:r>
        <w:rPr>
          <w:rFonts w:ascii="FangSong" w:hAnsi="FangSong" w:eastAsia="FangSong" w:cs="FangSong"/>
          <w:sz w:val="23"/>
          <w:szCs w:val="23"/>
        </w:rPr>
        <w:t>他运转类项目0个，涉及项目金额0万元；特定目标类项目0个，涉及项目金额0万元。</w:t>
      </w:r>
    </w:p>
    <w:p>
      <w:pPr>
        <w:ind w:left="1264"/>
        <w:spacing w:before="1" w:line="189"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189" w:lineRule="auto"/>
        <w:sectPr>
          <w:type w:val="continuous"/>
          <w:pgSz w:w="11900" w:h="16840"/>
          <w:pgMar w:top="642" w:right="0" w:bottom="340" w:left="0" w:header="326" w:footer="111" w:gutter="0"/>
          <w:cols w:equalWidth="0" w:num="1">
            <w:col w:w="11900" w:space="0"/>
          </w:cols>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005"/>
        <w:spacing w:line="12607" w:lineRule="exact"/>
        <w:rPr/>
      </w:pPr>
      <w:r>
        <w:pict>
          <v:shape id="_x0000_s454"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pict>
          <v:shape id="_x0000_s458" style="position:absolute;margin-left:-13.08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5025397" cy="8004936"/>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5025397" cy="8004936"/>
                    </a:xfrm>
                    <a:prstGeom prst="rect">
                      <a:avLst/>
                    </a:prstGeom>
                  </pic:spPr>
                </pic:pic>
              </a:graphicData>
            </a:graphic>
          </wp:inline>
        </w:drawing>
      </w:r>
    </w:p>
    <w:p>
      <w:pPr>
        <w:spacing w:line="12607" w:lineRule="exact"/>
        <w:sectPr>
          <w:headerReference w:type="default" r:id="rId41"/>
          <w:footerReference w:type="default" r:id="rId4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46"/>
        <w:spacing w:line="12542" w:lineRule="exact"/>
        <w:rPr/>
      </w:pPr>
      <w:r>
        <w:pict>
          <v:shape id="_x0000_s474"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476"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846899" cy="7963744"/>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4846899" cy="7963744"/>
                    </a:xfrm>
                    <a:prstGeom prst="rect">
                      <a:avLst/>
                    </a:prstGeom>
                  </pic:spPr>
                </pic:pic>
              </a:graphicData>
            </a:graphic>
          </wp:inline>
        </w:drawing>
      </w:r>
    </w:p>
    <w:p>
      <w:pPr>
        <w:spacing w:line="12542" w:lineRule="exact"/>
        <w:sectPr>
          <w:headerReference w:type="default" r:id="rId44"/>
          <w:footerReference w:type="default" r:id="rId45"/>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542" w:lineRule="exact"/>
        <w:rPr/>
      </w:pPr>
      <w:r>
        <w:pict>
          <v:shape id="_x0000_s478" style="position:absolute;margin-left:391.92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80" style="position:absolute;margin-left:86.92pt;margin-top:472.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50"/>
        </w:rPr>
        <w:drawing>
          <wp:inline distT="0" distB="0" distL="0" distR="0">
            <wp:extent cx="4929283" cy="7963744"/>
            <wp:effectExtent l="0" t="0" r="0" b="0"/>
            <wp:docPr id="12" name="IM 12"/>
            <wp:cNvGraphicFramePr/>
            <a:graphic>
              <a:graphicData uri="http://schemas.openxmlformats.org/drawingml/2006/picture">
                <pic:pic>
                  <pic:nvPicPr>
                    <pic:cNvPr id="12" name="IM 12"/>
                    <pic:cNvPicPr/>
                  </pic:nvPicPr>
                  <pic:blipFill>
                    <a:blip r:embed="rId48"/>
                    <a:stretch>
                      <a:fillRect/>
                    </a:stretch>
                  </pic:blipFill>
                  <pic:spPr>
                    <a:xfrm rot="0">
                      <a:off x="0" y="0"/>
                      <a:ext cx="4929283" cy="7963744"/>
                    </a:xfrm>
                    <a:prstGeom prst="rect">
                      <a:avLst/>
                    </a:prstGeom>
                  </pic:spPr>
                </pic:pic>
              </a:graphicData>
            </a:graphic>
          </wp:inline>
        </w:drawing>
      </w:r>
    </w:p>
    <w:p>
      <w:pPr>
        <w:spacing w:line="12542" w:lineRule="exact"/>
        <w:sectPr>
          <w:footerReference w:type="default" r:id="rId47"/>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146"/>
        <w:spacing w:line="12639" w:lineRule="exact"/>
        <w:rPr/>
      </w:pPr>
      <w:r>
        <w:pict>
          <v:shape id="_x0000_s482" style="position:absolute;margin-left:391.92pt;margin-top:228.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484"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52"/>
        </w:rPr>
        <w:drawing>
          <wp:inline distT="0" distB="0" distL="0" distR="0">
            <wp:extent cx="4846899" cy="8025532"/>
            <wp:effectExtent l="0" t="0" r="0" b="0"/>
            <wp:docPr id="14" name="IM 14"/>
            <wp:cNvGraphicFramePr/>
            <a:graphic>
              <a:graphicData uri="http://schemas.openxmlformats.org/drawingml/2006/picture">
                <pic:pic>
                  <pic:nvPicPr>
                    <pic:cNvPr id="14" name="IM 14"/>
                    <pic:cNvPicPr/>
                  </pic:nvPicPr>
                  <pic:blipFill>
                    <a:blip r:embed="rId50"/>
                    <a:stretch>
                      <a:fillRect/>
                    </a:stretch>
                  </pic:blipFill>
                  <pic:spPr>
                    <a:xfrm rot="0">
                      <a:off x="0" y="0"/>
                      <a:ext cx="4846899" cy="8025532"/>
                    </a:xfrm>
                    <a:prstGeom prst="rect">
                      <a:avLst/>
                    </a:prstGeom>
                  </pic:spPr>
                </pic:pic>
              </a:graphicData>
            </a:graphic>
          </wp:inline>
        </w:drawing>
      </w:r>
    </w:p>
    <w:p>
      <w:pPr>
        <w:spacing w:line="12639" w:lineRule="exact"/>
        <w:sectPr>
          <w:footerReference w:type="default" r:id="rId49"/>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46"/>
        <w:spacing w:line="12423" w:lineRule="exact"/>
        <w:rPr/>
      </w:pPr>
      <w:r>
        <w:pict>
          <v:shape id="_x0000_s486"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88"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846899" cy="7888227"/>
            <wp:effectExtent l="0" t="0" r="0" b="0"/>
            <wp:docPr id="16" name="IM 16"/>
            <wp:cNvGraphicFramePr/>
            <a:graphic>
              <a:graphicData uri="http://schemas.openxmlformats.org/drawingml/2006/picture">
                <pic:pic>
                  <pic:nvPicPr>
                    <pic:cNvPr id="16" name="IM 16"/>
                    <pic:cNvPicPr/>
                  </pic:nvPicPr>
                  <pic:blipFill>
                    <a:blip r:embed="rId52"/>
                    <a:stretch>
                      <a:fillRect/>
                    </a:stretch>
                  </pic:blipFill>
                  <pic:spPr>
                    <a:xfrm rot="0">
                      <a:off x="0" y="0"/>
                      <a:ext cx="4846899" cy="7888227"/>
                    </a:xfrm>
                    <a:prstGeom prst="rect">
                      <a:avLst/>
                    </a:prstGeom>
                  </pic:spPr>
                </pic:pic>
              </a:graphicData>
            </a:graphic>
          </wp:inline>
        </w:drawing>
      </w:r>
    </w:p>
    <w:p>
      <w:pPr>
        <w:spacing w:line="12423" w:lineRule="exact"/>
        <w:sectPr>
          <w:footerReference w:type="default" r:id="rId51"/>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46"/>
        <w:spacing w:line="12423" w:lineRule="exact"/>
        <w:rPr/>
      </w:pPr>
      <w:r>
        <w:pict>
          <v:shape id="_x0000_s490"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492"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846899" cy="7888227"/>
            <wp:effectExtent l="0" t="0" r="0" b="0"/>
            <wp:docPr id="18" name="IM 18"/>
            <wp:cNvGraphicFramePr/>
            <a:graphic>
              <a:graphicData uri="http://schemas.openxmlformats.org/drawingml/2006/picture">
                <pic:pic>
                  <pic:nvPicPr>
                    <pic:cNvPr id="18" name="IM 18"/>
                    <pic:cNvPicPr/>
                  </pic:nvPicPr>
                  <pic:blipFill>
                    <a:blip r:embed="rId54"/>
                    <a:stretch>
                      <a:fillRect/>
                    </a:stretch>
                  </pic:blipFill>
                  <pic:spPr>
                    <a:xfrm rot="0">
                      <a:off x="0" y="0"/>
                      <a:ext cx="4846899" cy="7888227"/>
                    </a:xfrm>
                    <a:prstGeom prst="rect">
                      <a:avLst/>
                    </a:prstGeom>
                  </pic:spPr>
                </pic:pic>
              </a:graphicData>
            </a:graphic>
          </wp:inline>
        </w:drawing>
      </w:r>
    </w:p>
    <w:p>
      <w:pPr>
        <w:spacing w:line="12423" w:lineRule="exact"/>
        <w:sectPr>
          <w:footerReference w:type="default" r:id="rId5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081"/>
        <w:spacing w:line="12704" w:lineRule="exact"/>
        <w:rPr/>
      </w:pPr>
      <w:r>
        <w:pict>
          <v:shape id="_x0000_s494" style="position:absolute;margin-left:86.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496" style="position:absolute;margin-left:391.92pt;margin-top:228.067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rPr>
          <w:position w:val="-254"/>
        </w:rPr>
        <w:drawing>
          <wp:inline distT="0" distB="0" distL="0" distR="0">
            <wp:extent cx="4929283" cy="8066724"/>
            <wp:effectExtent l="0" t="0" r="0" b="0"/>
            <wp:docPr id="20" name="IM 20"/>
            <wp:cNvGraphicFramePr/>
            <a:graphic>
              <a:graphicData uri="http://schemas.openxmlformats.org/drawingml/2006/picture">
                <pic:pic>
                  <pic:nvPicPr>
                    <pic:cNvPr id="20" name="IM 20"/>
                    <pic:cNvPicPr/>
                  </pic:nvPicPr>
                  <pic:blipFill>
                    <a:blip r:embed="rId56"/>
                    <a:stretch>
                      <a:fillRect/>
                    </a:stretch>
                  </pic:blipFill>
                  <pic:spPr>
                    <a:xfrm rot="0">
                      <a:off x="0" y="0"/>
                      <a:ext cx="4929283" cy="8066724"/>
                    </a:xfrm>
                    <a:prstGeom prst="rect">
                      <a:avLst/>
                    </a:prstGeom>
                  </pic:spPr>
                </pic:pic>
              </a:graphicData>
            </a:graphic>
          </wp:inline>
        </w:drawing>
      </w:r>
    </w:p>
    <w:p>
      <w:pPr>
        <w:spacing w:line="12704" w:lineRule="exact"/>
        <w:sectPr>
          <w:footerReference w:type="default" r:id="rId55"/>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146"/>
        <w:spacing w:line="10758" w:lineRule="exact"/>
        <w:rPr/>
      </w:pPr>
      <w:r>
        <w:pict>
          <v:shape id="_x0000_s498" style="position:absolute;margin-left:86.92pt;margin-top:472.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500" style="position:absolute;margin-left:391.92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15"/>
        </w:rPr>
        <w:drawing>
          <wp:inline distT="0" distB="0" distL="0" distR="0">
            <wp:extent cx="4846899" cy="6830971"/>
            <wp:effectExtent l="0" t="0" r="0" b="0"/>
            <wp:docPr id="22" name="IM 22"/>
            <wp:cNvGraphicFramePr/>
            <a:graphic>
              <a:graphicData uri="http://schemas.openxmlformats.org/drawingml/2006/picture">
                <pic:pic>
                  <pic:nvPicPr>
                    <pic:cNvPr id="22" name="IM 22"/>
                    <pic:cNvPicPr/>
                  </pic:nvPicPr>
                  <pic:blipFill>
                    <a:blip r:embed="rId58"/>
                    <a:stretch>
                      <a:fillRect/>
                    </a:stretch>
                  </pic:blipFill>
                  <pic:spPr>
                    <a:xfrm rot="0">
                      <a:off x="0" y="0"/>
                      <a:ext cx="4846899" cy="6830971"/>
                    </a:xfrm>
                    <a:prstGeom prst="rect">
                      <a:avLst/>
                    </a:prstGeom>
                  </pic:spPr>
                </pic:pic>
              </a:graphicData>
            </a:graphic>
          </wp:inline>
        </w:drawing>
      </w:r>
    </w:p>
    <w:p>
      <w:pPr>
        <w:spacing w:line="10758" w:lineRule="exact"/>
        <w:sectPr>
          <w:footerReference w:type="default" r:id="rId57"/>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日，兴县康宁镇中心卫生院共有公务用车编制0辆，实有0辆，其中：领</w:t>
      </w:r>
      <w:r>
        <w:rPr>
          <w:rFonts w:ascii="FangSong" w:hAnsi="FangSong" w:eastAsia="FangSong" w:cs="FangSong"/>
          <w:sz w:val="23"/>
          <w:szCs w:val="23"/>
        </w:rPr>
        <w:t xml:space="preserve"> </w:t>
      </w:r>
      <w:r>
        <w:rPr>
          <w:rFonts w:ascii="FangSong" w:hAnsi="FangSong" w:eastAsia="FangSong" w:cs="FangSong"/>
          <w:sz w:val="23"/>
          <w:szCs w:val="23"/>
          <w:spacing w:val="8"/>
        </w:rPr>
        <w:t>导用车0辆，机要通信用车0辆，应急保障用车0辆，执法执勤用车0辆，</w:t>
      </w:r>
      <w:r>
        <w:rPr>
          <w:rFonts w:ascii="FangSong" w:hAnsi="FangSong" w:eastAsia="FangSong" w:cs="FangSong"/>
          <w:sz w:val="23"/>
          <w:szCs w:val="23"/>
          <w:spacing w:val="7"/>
        </w:rPr>
        <w:t>特种专业技术用车0</w:t>
      </w:r>
      <w:r>
        <w:rPr>
          <w:rFonts w:ascii="FangSong" w:hAnsi="FangSong" w:eastAsia="FangSong" w:cs="FangSong"/>
          <w:sz w:val="23"/>
          <w:szCs w:val="23"/>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2" w:line="223" w:lineRule="auto"/>
        <w:rPr>
          <w:rFonts w:ascii="FangSong" w:hAnsi="FangSong" w:eastAsia="FangSong" w:cs="FangSong"/>
          <w:sz w:val="23"/>
          <w:szCs w:val="23"/>
        </w:rPr>
      </w:pPr>
      <w:r>
        <w:rPr>
          <w:rFonts w:ascii="FangSong" w:hAnsi="FangSong" w:eastAsia="FangSong" w:cs="FangSong"/>
          <w:sz w:val="23"/>
          <w:szCs w:val="23"/>
          <w:spacing w:val="-1"/>
        </w:rPr>
        <w:t>截至2025年1月1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日，兴县康宁镇中心卫生院使用的</w:t>
      </w:r>
      <w:r>
        <w:rPr>
          <w:rFonts w:ascii="FangSong" w:hAnsi="FangSong" w:eastAsia="FangSong" w:cs="FangSong"/>
          <w:sz w:val="23"/>
          <w:szCs w:val="23"/>
          <w:spacing w:val="-2"/>
        </w:rPr>
        <w:t>办公用房建筑总面积2500平方米。</w:t>
      </w:r>
    </w:p>
    <w:p>
      <w:pPr>
        <w:ind w:left="17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4" w:right="1223" w:firstLine="460"/>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日，兴县康宁镇中心卫生院占有使用价值50万元（原值）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以上的通用设</w:t>
      </w:r>
      <w:r>
        <w:rPr>
          <w:rFonts w:ascii="FangSong" w:hAnsi="FangSong" w:eastAsia="FangSong" w:cs="FangSong"/>
          <w:sz w:val="23"/>
          <w:szCs w:val="23"/>
        </w:rPr>
        <w:t xml:space="preserve"> </w:t>
      </w:r>
      <w:r>
        <w:rPr>
          <w:rFonts w:ascii="FangSong" w:hAnsi="FangSong" w:eastAsia="FangSong" w:cs="FangSong"/>
          <w:sz w:val="23"/>
          <w:szCs w:val="23"/>
          <w:spacing w:val="11"/>
        </w:rPr>
        <w:t>备0台（套</w:t>
      </w:r>
      <w:r>
        <w:rPr>
          <w:rFonts w:ascii="FangSong" w:hAnsi="FangSong" w:eastAsia="FangSong" w:cs="FangSong"/>
          <w:sz w:val="23"/>
          <w:szCs w:val="23"/>
          <w:spacing w:val="2"/>
        </w:rPr>
        <w:t>）</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11"/>
        </w:rPr>
        <w:t>兴县康宁镇中心卫生院占有使用价值100万元（原值）</w:t>
      </w:r>
      <w:r>
        <w:rPr>
          <w:rFonts w:ascii="FangSong" w:hAnsi="FangSong" w:eastAsia="FangSong" w:cs="FangSong"/>
          <w:sz w:val="23"/>
          <w:szCs w:val="23"/>
          <w:spacing w:val="-46"/>
        </w:rPr>
        <w:t xml:space="preserve"> </w:t>
      </w:r>
      <w:r>
        <w:rPr>
          <w:rFonts w:ascii="FangSong" w:hAnsi="FangSong" w:eastAsia="FangSong" w:cs="FangSong"/>
          <w:sz w:val="23"/>
          <w:szCs w:val="23"/>
          <w:spacing w:val="11"/>
        </w:rPr>
        <w:t>以上</w:t>
      </w:r>
      <w:r>
        <w:rPr>
          <w:rFonts w:ascii="FangSong" w:hAnsi="FangSong" w:eastAsia="FangSong" w:cs="FangSong"/>
          <w:sz w:val="23"/>
          <w:szCs w:val="23"/>
          <w:spacing w:val="10"/>
        </w:rPr>
        <w:t>的通用设备0台</w:t>
      </w:r>
      <w:r>
        <w:rPr>
          <w:rFonts w:ascii="FangSong" w:hAnsi="FangSong" w:eastAsia="FangSong" w:cs="FangSong"/>
          <w:sz w:val="23"/>
          <w:szCs w:val="23"/>
        </w:rPr>
        <w:t xml:space="preserve"> </w:t>
      </w:r>
      <w:r>
        <w:rPr>
          <w:rFonts w:ascii="FangSong" w:hAnsi="FangSong" w:eastAsia="FangSong" w:cs="FangSong"/>
          <w:sz w:val="23"/>
          <w:szCs w:val="23"/>
          <w:spacing w:val="-4"/>
        </w:rPr>
        <w:t>（套）。</w:t>
      </w:r>
    </w:p>
    <w:p>
      <w:pPr>
        <w:ind w:left="1260"/>
        <w:spacing w:before="2" w:line="227"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5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
          <w:footerReference w:type="default" r:id="rId5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510" style="position:absolute;margin-left:491.92pt;margin-top:44.1055pt;mso-position-vertical-relative:page;mso-position-horizontal-relative:page;width:119.4pt;height:18.85pt;z-index:25168793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512" style="position:absolute;margin-left:491.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pict>
          <v:shape id="_x0000_s514" style="position:absolute;margin-left:-13.08pt;margin-top:228.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516" style="position:absolute;margin-left:391.92pt;margin-top:228.067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518" style="position:absolute;margin-left:86.92pt;margin-top:472.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4" name="IM 24"/>
            <wp:cNvGraphicFramePr/>
            <a:graphic>
              <a:graphicData uri="http://schemas.openxmlformats.org/drawingml/2006/picture">
                <pic:pic>
                  <pic:nvPicPr>
                    <pic:cNvPr id="24" name="IM 24"/>
                    <pic:cNvPicPr/>
                  </pic:nvPicPr>
                  <pic:blipFill>
                    <a:blip r:embed="rId62"/>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60"/>
          <w:footerReference w:type="default" r:id="rId61"/>
          <w:pgSz w:w="11900" w:h="16840"/>
          <w:pgMar w:top="642" w:right="0" w:bottom="340" w:left="0" w:header="326" w:footer="111" w:gutter="0"/>
        </w:sectPr>
        <w:rPr/>
      </w:pPr>
    </w:p>
    <w:p>
      <w:pPr>
        <w:pStyle w:val="BodyText"/>
        <w:spacing w:line="277" w:lineRule="auto"/>
        <w:rPr/>
      </w:pPr>
      <w:r>
        <w:pict>
          <v:shape id="_x0000_s520"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522"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pict>
          <v:shape id="_x0000_s524" style="position:absolute;margin-left:-13.08pt;margin-top:228.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26" style="position:absolute;margin-left:86.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28" style="position:absolute;margin-left:491.92pt;margin-top:472.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3"/>
          <w:pgSz w:w="11900" w:h="16840"/>
          <w:pgMar w:top="642" w:right="0" w:bottom="340" w:left="0" w:header="326" w:footer="111" w:gutter="0"/>
        </w:sectPr>
        <w:rPr/>
      </w:pPr>
    </w:p>
    <w:p>
      <w:pPr>
        <w:pStyle w:val="BodyText"/>
        <w:spacing w:line="277" w:lineRule="auto"/>
        <w:rPr/>
      </w:pPr>
      <w:r>
        <w:pict>
          <v:shape id="_x0000_s530" style="position:absolute;margin-left:491.92pt;margin-top:44.1055pt;mso-position-vertical-relative:page;mso-position-horizontal-relative:page;width:119.4pt;height:18.85pt;z-index:2516961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32" style="position:absolute;margin-left:391.92pt;margin-top:228.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34" style="position:absolute;margin-left:-13.08pt;margin-top:228.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36" style="position:absolute;margin-left:491.92pt;margin-top:472.067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538" style="position:absolute;margin-left:86.92pt;margin-top:472.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5"/>
          <w:pgSz w:w="11900" w:h="16840"/>
          <w:pgMar w:top="642" w:right="0" w:bottom="340" w:left="0" w:header="326" w:footer="111" w:gutter="0"/>
        </w:sectPr>
        <w:rPr/>
      </w:pPr>
    </w:p>
    <w:p>
      <w:pPr>
        <w:pStyle w:val="BodyText"/>
        <w:spacing w:line="277" w:lineRule="auto"/>
        <w:rPr/>
      </w:pPr>
      <w:r>
        <w:pict>
          <v:shape id="_x0000_s540" style="position:absolute;margin-left:491.92pt;margin-top:44.1055pt;mso-position-vertical-relative:page;mso-position-horizontal-relative:page;width:119.4pt;height:18.85pt;z-index:2517032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42" style="position:absolute;margin-left:86.92pt;margin-top:472.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pict>
          <v:shape id="_x0000_s544"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546" style="position:absolute;margin-left:-13.08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48" style="position:absolute;margin-left:391.92pt;margin-top:228.067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7"/>
          <w:pgSz w:w="11900" w:h="16840"/>
          <w:pgMar w:top="642" w:right="0" w:bottom="340" w:left="0" w:header="326" w:footer="111" w:gutter="0"/>
        </w:sectPr>
        <w:rPr/>
      </w:pPr>
    </w:p>
    <w:p>
      <w:pPr>
        <w:pStyle w:val="BodyText"/>
        <w:spacing w:line="277" w:lineRule="auto"/>
        <w:rPr/>
      </w:pPr>
      <w:r>
        <w:pict>
          <v:shape id="_x0000_s550"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52" style="position:absolute;margin-left:86.92pt;margin-top:472.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pict>
          <v:shape id="_x0000_s554" style="position:absolute;margin-left:491.92pt;margin-top:472.067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556"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558"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7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9"/>
          <w:pgSz w:w="11900" w:h="16840"/>
          <w:pgMar w:top="642" w:right="0" w:bottom="340" w:left="0" w:header="326" w:footer="111" w:gutter="0"/>
        </w:sectPr>
        <w:rPr/>
      </w:pPr>
    </w:p>
    <w:p>
      <w:pPr>
        <w:pStyle w:val="BodyText"/>
        <w:spacing w:line="277" w:lineRule="auto"/>
        <w:rPr/>
      </w:pPr>
      <w:r>
        <w:pict>
          <v:shape id="_x0000_s560" style="position:absolute;margin-left:491.92pt;margin-top:44.1055pt;mso-position-vertical-relative:page;mso-position-horizontal-relative:page;width:119.4pt;height:18.85pt;z-index:25171251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62" style="position:absolute;margin-left:-13.08pt;margin-top:228.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pict>
          <v:shape id="_x0000_s564" style="position:absolute;margin-left:491.92pt;margin-top:472.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566" style="position:absolute;margin-left:391.92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68" style="position:absolute;margin-left:86.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2"/>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1"/>
          <w:pgSz w:w="11900" w:h="16840"/>
          <w:pgMar w:top="642" w:right="0" w:bottom="340" w:left="0" w:header="326" w:footer="111" w:gutter="0"/>
        </w:sectPr>
        <w:rPr/>
      </w:pPr>
    </w:p>
    <w:p>
      <w:pPr>
        <w:pStyle w:val="BodyText"/>
        <w:spacing w:line="277" w:lineRule="auto"/>
        <w:rPr/>
      </w:pPr>
      <w:r>
        <w:pict>
          <v:shape id="_x0000_s570" style="position:absolute;margin-left:491.92pt;margin-top:44.1055pt;mso-position-vertical-relative:page;mso-position-horizontal-relative:page;width:119.4pt;height:18.85pt;z-index:2517186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572" style="position:absolute;margin-left:-13.08pt;margin-top:228.067pt;mso-position-vertical-relative:text;mso-position-horizontal-relative:text;width:119.4pt;height:18.85pt;z-index:251716608;rotation:330;" fillcolor="#404040" filled="true" stroked="false" type="#_x0000_t136">
            <v:fill opacity="0.400000"/>
            <v:textpath style="font-family:&quot;SimSun&quot;;font-size:20;v-text-kern:t;mso-text-shadow:auto" string="仅供内部审核"/>
          </v:shape>
        </w:pict>
      </w:r>
      <w:r>
        <w:pict>
          <v:shape id="_x0000_s574" style="position:absolute;margin-left:391.92pt;margin-top:228.067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576" style="position:absolute;margin-left:86.92pt;margin-top:472.067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578" style="position:absolute;margin-left:491.92pt;margin-top:472.067pt;mso-position-vertical-relative:text;mso-position-horizontal-relative:text;width:119.4pt;height:18.85pt;z-index:25172070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6" name="IM 36"/>
            <wp:cNvGraphicFramePr/>
            <a:graphic>
              <a:graphicData uri="http://schemas.openxmlformats.org/drawingml/2006/picture">
                <pic:pic>
                  <pic:nvPicPr>
                    <pic:cNvPr id="36" name="IM 36"/>
                    <pic:cNvPicPr/>
                  </pic:nvPicPr>
                  <pic:blipFill>
                    <a:blip r:embed="rId74"/>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3"/>
          <w:pgSz w:w="11900" w:h="16840"/>
          <w:pgMar w:top="642" w:right="0" w:bottom="340" w:left="0" w:header="326" w:footer="111" w:gutter="0"/>
        </w:sectPr>
        <w:rPr/>
      </w:pPr>
    </w:p>
    <w:p>
      <w:pPr>
        <w:pStyle w:val="BodyText"/>
        <w:spacing w:line="277" w:lineRule="auto"/>
        <w:rPr/>
      </w:pPr>
      <w:r>
        <w:pict>
          <v:shape id="_x0000_s580" style="position:absolute;margin-left:491.92pt;margin-top:44.1055pt;mso-position-vertical-relative:page;mso-position-horizontal-relative:page;width:119.4pt;height:18.85pt;z-index:2517248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82" style="position:absolute;margin-left:491.92pt;margin-top:472.067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pict>
          <v:shape id="_x0000_s584" style="position:absolute;margin-left:-13.08pt;margin-top:228.067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67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588" style="position:absolute;margin-left:391.92pt;margin-top:228.067pt;mso-position-vertical-relative:text;mso-position-horizontal-relative:text;width:119.4pt;height:18.85pt;z-index:2517258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8" name="IM 38"/>
            <wp:cNvGraphicFramePr/>
            <a:graphic>
              <a:graphicData uri="http://schemas.openxmlformats.org/drawingml/2006/picture">
                <pic:pic>
                  <pic:nvPicPr>
                    <pic:cNvPr id="38" name="IM 38"/>
                    <pic:cNvPicPr/>
                  </pic:nvPicPr>
                  <pic:blipFill>
                    <a:blip r:embed="rId76"/>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5"/>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7"/>
      <w:footerReference w:type="default" r:id="rId78"/>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86.92pt;margin-top:27.7633pt;mso-position-vertical-relative:text;mso-position-horizontal-relative:text;width:119.4pt;height:18.85pt;z-index:-251551744;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2768;"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23.35pt;height:7.9pt;z-index:-251566080;" o:allowincell="f" fillcolor="#212529" filled="true" stroked="false" type="#_x0000_t136">
          <v:textpath style="font-family:&quot;SimSun&quot;;font-size:7.5;v-text-kern:t;mso-text-shadow:auto" string="100399"/>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505.84pt;margin-top:267.372pt;mso-position-vertical-relative:page;mso-position-horizontal-relative:page;width:3.6pt;height:7.9pt;z-index:-251563008;" o:allowincell="f" fillcolor="#212529" filled="true" stroked="false" type="#_x0000_t136">
          <v:textpath style="font-family:&quot;SimSun&quot;;font-size:7.5;v-text-kern:t;mso-text-shadow:auto" string="2"/>
        </v:shape>
      </w:pict>
    </w:r>
    <w:r>
      <w:pict>
        <v:shape id="PowerPlusWaterMarkObject194" style="position:absolute;margin-left:449.115pt;margin-top:282.508pt;mso-position-vertical-relative:page;mso-position-horizontal-relative:page;width:7.65pt;height:7.9pt;z-index:-251561984;" o:allowincell="f" fillcolor="#212529" filled="true" stroked="false" type="#_x0000_t136">
          <v:textpath style="font-family:&quot;SimSun&quot;;font-size:7.5;v-text-kern:t;mso-text-shadow:auto" string="04"/>
        </v:shape>
      </w:pict>
    </w:r>
    <w:r>
      <w:pict>
        <v:shape id="PowerPlusWaterMarkObject196" style="position:absolute;margin-left:440.975pt;margin-top:297.644pt;mso-position-vertical-relative:page;mso-position-horizontal-relative:page;width:15.8pt;height:7.9pt;z-index:-251560960;" o:allowincell="f" fillcolor="#212529" filled="true" stroked="false" type="#_x0000_t136">
          <v:textpath style="font-family:&quot;SimSun&quot;;font-size:7.5;v-text-kern:t;mso-text-shadow:auto" string="9 04"/>
        </v:shape>
      </w:pict>
    </w:r>
    <w:r>
      <w:pict>
        <v:shape id="PowerPlusWaterMarkObject198" style="position:absolute;margin-left:436.984pt;margin-top:312.78pt;mso-position-vertical-relative:page;mso-position-horizontal-relative:page;width:7.65pt;height:7.9pt;z-index:-251559936;" o:allowincell="f" fillcolor="#212529" filled="true" stroked="false" type="#_x0000_t136">
          <v:textpath style="font-family:&quot;SimSun&quot;;font-size:7.5;v-text-kern:t;mso-text-shadow:auto" string="20"/>
        </v:shape>
      </w:pict>
    </w:r>
    <w:r>
      <w:pict>
        <v:shape id="PowerPlusWaterMarkObject200"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208"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10" style="position:absolute;margin-left:30pt;margin-top:29.5pt;mso-position-vertical-relative:page;mso-position-horizontal-relative:page;width:535pt;height:1pt;z-index:-25155481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12" style="position:absolute;margin-left:86.02pt;margin-top:267.372pt;mso-position-vertical-relative:page;mso-position-horizontal-relative:page;width:15.7pt;height:7.9pt;z-index:-251549696;" o:allowincell="f" fillcolor="#212529" filled="true" stroked="false" type="#_x0000_t136">
          <v:textpath style="font-family:&quot;SimSun&quot;;font-size:7.5;v-text-kern:t;mso-text-shadow:auto" string="住房"/>
        </v:shape>
      </w:pict>
    </w:r>
    <w:r>
      <w:pict>
        <v:shape id="PowerPlusWaterMarkObject214" style="position:absolute;margin-left:86.92pt;margin-top:27.7633pt;mso-position-vertical-relative:text;mso-position-horizontal-relative:text;width:119.4pt;height:18.85pt;z-index:-251537408;rotation:330;"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86.557pt;margin-top:71.2915pt;mso-position-vertical-relative:page;mso-position-horizontal-relative:page;width:35.45pt;height:6.5pt;z-index:-251538432;" o:allowincell="f" fillcolor="#212529" filled="true" stroked="false" type="#_x0000_t136">
          <v:textpath style="font-family:&quot;SimSun&quot;;font-size:6;v-text-kern:t;mso-text-shadow:auto" string="预算公开表6"/>
        </v:shape>
      </w:pict>
    </w:r>
    <w:r>
      <w:pict>
        <v:shape id="PowerPlusWaterMarkObject224" style="position:absolute;margin-left:446.52pt;margin-top:282.508pt;mso-position-vertical-relative:page;mso-position-horizontal-relative:page;width:19.8pt;height:7.9pt;z-index:-251547648;" o:allowincell="f" fillcolor="#212529" filled="true" stroked="false" type="#_x0000_t136">
          <v:textpath style="font-family:&quot;SimSun&quot;;font-size:7.5;v-text-kern:t;mso-text-shadow:auto" string="21 60"/>
        </v:shape>
      </w:pict>
    </w:r>
    <w:r>
      <w:pict>
        <v:shape id="PowerPlusWaterMarkObject226" style="position:absolute;margin-left:399.19pt;margin-top:312.78pt;mso-position-vertical-relative:page;mso-position-horizontal-relative:page;width:7.55pt;height:7.9pt;z-index:-251546624;" o:allowincell="f" fillcolor="#212529" filled="true" stroked="false" type="#_x0000_t136">
          <v:textpath style="font-family:&quot;SimSun&quot;;font-size:7.5;v-text-kern:t;mso-text-shadow:auto" string="50"/>
        </v:shape>
      </w:pict>
    </w:r>
    <w:r>
      <w:pict>
        <v:shape id="PowerPlusWaterMarkObject228" style="position:absolute;margin-left:399.222pt;margin-top:327.916pt;mso-position-vertical-relative:page;mso-position-horizontal-relative:page;width:7.55pt;height:7.9pt;z-index:-251545600;" o:allowincell="f" fillcolor="#212529" filled="true" stroked="false" type="#_x0000_t136">
          <v:textpath style="font-family:&quot;SimSun&quot;;font-size:7.5;v-text-kern:t;mso-text-shadow:auto" string="75"/>
        </v:shape>
      </w:pict>
    </w:r>
    <w:r>
      <w:pict>
        <v:shape id="PowerPlusWaterMarkObject230" style="position:absolute;margin-left:491.92pt;margin-top:44.105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491.92pt;margin-top:532.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391.92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_x0000_s238" style="position:absolute;margin-left:30pt;margin-top:29.5pt;mso-position-vertical-relative:page;mso-position-horizontal-relative:page;width:535pt;height:1pt;z-index:-2515404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40" style="position:absolute;margin-left:86.92pt;margin-top:27.7633pt;mso-position-vertical-relative:text;mso-position-horizontal-relative:text;width:119.4pt;height:18.85pt;z-index:-251527168;rotation:330;" fillcolor="#404040" filled="true" stroked="false" type="#_x0000_t136">
          <v:fill opacity="0.400000"/>
          <v:textpath style="font-family:&quot;SimSun&quot;;font-size:20;v-text-kern:t;mso-text-shadow:auto" string="仅供内部审核"/>
        </v:shape>
      </w:pict>
    </w:r>
    <w:r>
      <w:pict>
        <v:shape id="PowerPlusWaterMarkObject242" style="position:absolute;margin-left:490.334pt;margin-top:73.4279pt;mso-position-vertical-relative:page;mso-position-horizontal-relative:page;width:35.4pt;height:6.5pt;z-index:-251528192;" o:allowincell="f" fillcolor="#212529" filled="true" stroked="false" type="#_x0000_t136">
          <v:textpath style="font-family:&quot;SimSun&quot;;font-size:6;v-text-kern:t;mso-text-shadow:auto" string="预算公开表7"/>
        </v:shape>
      </w:pict>
    </w:r>
    <w:r>
      <w:pict>
        <v:shape id="PowerPlusWaterMarkObject244" style="position:absolute;margin-left:491.92pt;margin-top:44.105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13.08pt;margin-top:288.10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391.92pt;margin-top:288.105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86.92pt;margin-top:532.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491.92pt;margin-top:532.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8" style="position:absolute;margin-left:30pt;margin-top:29.5pt;mso-position-vertical-relative:page;mso-position-horizontal-relative:page;width:535pt;height:1pt;z-index:-2515302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60" style="position:absolute;margin-left:86.92pt;margin-top:27.7633pt;mso-position-vertical-relative:text;mso-position-horizontal-relative:text;width:119.4pt;height:18.85pt;z-index:-251516928;rotation:330;" fillcolor="#404040" filled="true" stroked="false" type="#_x0000_t136">
          <v:fill opacity="0.400000"/>
          <v:textpath style="font-family:&quot;SimSun&quot;;font-size:20;v-text-kern:t;mso-text-shadow:auto" string="仅供内部审核"/>
        </v:shape>
      </w:pict>
    </w:r>
    <w:r>
      <w:pict>
        <v:shape id="PowerPlusWaterMarkObject262" style="position:absolute;margin-left:490.282pt;margin-top:73.4538pt;mso-position-vertical-relative:page;mso-position-horizontal-relative:page;width:35.45pt;height:6.5pt;z-index:-251517952;" o:allowincell="f" fillcolor="#212529" filled="true" stroked="false" type="#_x0000_t136">
          <v:textpath style="font-family:&quot;SimSun&quot;;font-size:6;v-text-kern:t;mso-text-shadow:auto" string="预算公开表8"/>
        </v:shape>
      </w:pict>
    </w:r>
    <w:r>
      <w:pict>
        <v:shape id="PowerPlusWaterMarkObject26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13.08pt;margin-top:288.10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86.92pt;margin-top:532.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776.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491.92pt;margin-top:532.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391.92pt;margin-top:776.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_x0000_s278"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80" style="position:absolute;margin-left:86.92pt;margin-top:27.7633pt;mso-position-vertical-relative:text;mso-position-horizontal-relative:text;width:119.4pt;height:18.85pt;z-index:-251506688;rotation:330;" fillcolor="#404040" filled="true" stroked="false" type="#_x0000_t136">
          <v:fill opacity="0.400000"/>
          <v:textpath style="font-family:&quot;SimSun&quot;;font-size:20;v-text-kern:t;mso-text-shadow:auto" string="仅供内部审核"/>
        </v:shape>
      </w:pict>
    </w:r>
    <w:r>
      <w:pict>
        <v:shape id="PowerPlusWaterMarkObject282" style="position:absolute;margin-left:490.36pt;margin-top:78.8596pt;mso-position-vertical-relative:page;mso-position-horizontal-relative:page;width:35.35pt;height:6.5pt;z-index:-251507712;" o:allowincell="f" fillcolor="#212529" filled="true" stroked="false" type="#_x0000_t136">
          <v:textpath style="font-family:&quot;SimSun&quot;;font-size:6;v-text-kern:t;mso-text-shadow:auto" string="部门公开表9"/>
        </v:shape>
      </w:pict>
    </w:r>
    <w:r>
      <w:pict>
        <v:shape id="PowerPlusWaterMarkObject284" style="position:absolute;margin-left:491.92pt;margin-top:44.105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13.08pt;margin-top:288.10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391.92pt;margin-top:288.105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PowerPlusWaterMarkObject296"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_x0000_s298" style="position:absolute;margin-left:30pt;margin-top:29.5pt;mso-position-vertical-relative:page;mso-position-horizontal-relative:page;width:535pt;height:1pt;z-index:-25150976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00" style="position:absolute;margin-left:86.92pt;margin-top:27.7633pt;mso-position-vertical-relative:text;mso-position-horizontal-relative:text;width:119.4pt;height:18.85pt;z-index:-251496448;rotation:330;"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288.10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86.92pt;margin-top:532.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6" style="position:absolute;margin-left:-13.08pt;margin-top:776.106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487.09pt;margin-top:67.4816pt;mso-position-vertical-relative:page;mso-position-horizontal-relative:page;width:38.65pt;height:6.5pt;z-index:-251497472;" o:allowincell="f" fillcolor="#212529" filled="true" stroked="false" type="#_x0000_t136">
          <v:textpath style="font-family:&quot;SimSun&quot;;font-size:6;v-text-kern:t;mso-text-shadow:auto" string="预算公开表11"/>
        </v:shape>
      </w:pict>
    </w:r>
    <w:r>
      <w:pict>
        <v:shape id="PowerPlusWaterMarkObject310" style="position:absolute;margin-left:491.92pt;margin-top:44.1055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491.92pt;margin-top:532.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391.92pt;margin-top:776.106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_x0000_s318" style="position:absolute;margin-left:30pt;margin-top:29.5pt;mso-position-vertical-relative:page;mso-position-horizontal-relative:page;width:535pt;height:1pt;z-index:-251499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20" style="position:absolute;margin-left:86.92pt;margin-top:27.7633pt;mso-position-vertical-relative:text;mso-position-horizontal-relative:text;width:119.4pt;height:18.85pt;z-index:-251483136;rotation:330;" fillcolor="#404040" filled="true" stroked="false" type="#_x0000_t136">
          <v:fill opacity="0.400000"/>
          <v:textpath style="font-family:&quot;SimSun&quot;;font-size:20;v-text-kern:t;mso-text-shadow:auto" string="仅供内部审核"/>
        </v:shape>
      </w:pict>
    </w:r>
    <w:r>
      <w:pict>
        <v:shape id="PowerPlusWaterMarkObject322" style="position:absolute;margin-left:77.9747pt;margin-top:263.047pt;mso-position-vertical-relative:page;mso-position-horizontal-relative:page;width:23.75pt;height:7.9pt;z-index:-251494400;" o:allowincell="f" fillcolor="#212529" filled="true" stroked="false" type="#_x0000_t136">
          <v:textpath style="font-family:&quot;SimSun&quot;;font-size:7.5;v-text-kern:t;mso-text-shadow:auto" string="2025年"/>
        </v:shape>
      </w:pict>
    </w:r>
    <w:r>
      <w:pict>
        <v:shape id="PowerPlusWaterMarkObject324" style="position:absolute;margin-left:69.8978pt;margin-top:272.237pt;mso-position-vertical-relative:page;mso-position-horizontal-relative:page;width:64.35pt;height:7.9pt;z-index:-251493376;" o:allowincell="f" fillcolor="#212529" filled="true" stroked="false" type="#_x0000_t136">
          <v:textpath style="font-family:&quot;SimSun&quot;;font-size:7.5;v-text-kern:t;mso-text-shadow:auto" string="室） 晋财       ]"/>
        </v:shape>
      </w:pict>
    </w:r>
    <w:r>
      <w:pict>
        <v:shape id="PowerPlusWaterMarkObject326" style="position:absolute;margin-left:79.0842pt;margin-top:282.508pt;mso-position-vertical-relative:page;mso-position-horizontal-relative:page;width:6.45pt;height:7.9pt;z-index:-251492352;" o:allowincell="f" fillcolor="#212529" filled="true" stroked="false" type="#_x0000_t136">
          <v:textpath style="font-family:&quot;SimSun&quot;;font-size:7.5;v-text-kern:t;mso-text-shadow:auto" string="吕"/>
        </v:shape>
      </w:pict>
    </w:r>
    <w:r>
      <w:pict>
        <v:shape id="PowerPlusWaterMarkObject328" style="position:absolute;margin-left:-13.08pt;margin-top:288.105pt;mso-position-vertical-relative:page;mso-position-horizontal-relative:page;width:119.4pt;height:18.85pt;z-index:-251495424;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86.92pt;margin-top:532.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13.08pt;margin-top:776.106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487.09pt;margin-top:73.4279pt;mso-position-vertical-relative:page;mso-position-horizontal-relative:page;width:38.65pt;height:6.5pt;z-index:-251484160;" o:allowincell="f" fillcolor="#212529" filled="true" stroked="false" type="#_x0000_t136">
          <v:textpath style="font-family:&quot;SimSun&quot;;font-size:6;v-text-kern:t;mso-text-shadow:auto" string="预算公开表12"/>
        </v:shape>
      </w:pict>
    </w:r>
    <w:r>
      <w:pict>
        <v:shape id="PowerPlusWaterMarkObject336" style="position:absolute;margin-left:491.92pt;margin-top:44.1055pt;mso-position-vertical-relative:page;mso-position-horizontal-relative:page;width:119.4pt;height:18.85pt;z-index:-251485184;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391.92pt;margin-top:288.105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491.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391.92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_x0000_s344" style="position:absolute;margin-left:30pt;margin-top:29.5pt;mso-position-vertical-relative:page;mso-position-horizontal-relative:page;width:535pt;height:1pt;z-index:-2514862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6" style="position:absolute;margin-left:79.0842pt;margin-top:263.047pt;mso-position-vertical-relative:page;mso-position-horizontal-relative:page;width:22.65pt;height:7.9pt;z-index:-251481088;" o:allowincell="f" fillcolor="#212529" filled="true" stroked="false" type="#_x0000_t136">
          <v:textpath style="font-family:&quot;SimSun&quot;;font-size:7.5;v-text-kern:t;mso-text-shadow:auto" string="吕财社"/>
        </v:shape>
      </w:pict>
    </w:r>
    <w:r>
      <w:pict>
        <v:shape id="PowerPlusWaterMarkObject348" style="position:absolute;margin-left:69.7393pt;margin-top:272.237pt;mso-position-vertical-relative:page;mso-position-horizontal-relative:page;width:32pt;height:7.9pt;z-index:-251480064;" o:allowincell="f" fillcolor="#212529" filled="true" stroked="false" type="#_x0000_t136">
          <v:textpath style="font-family:&quot;SimSun&quot;;font-size:7.5;v-text-kern:t;mso-text-shadow:auto" string="度市级配"/>
        </v:shape>
      </w:pict>
    </w:r>
    <w:r>
      <w:pict>
        <v:shape id="PowerPlusWaterMarkObject350" style="position:absolute;margin-left:86.92pt;margin-top:27.7633pt;mso-position-vertical-relative:text;mso-position-horizontal-relative:text;width:119.4pt;height:18.85pt;z-index:-251470848;rotation:330;" fillcolor="#404040" filled="true" stroked="false" type="#_x0000_t136">
          <v:fill opacity="0.400000"/>
          <v:textpath style="font-family:&quot;SimSun&quot;;font-size:20;v-text-kern:t;mso-text-shadow:auto" string="仅供内部审核"/>
        </v:shape>
      </w:pict>
    </w:r>
    <w:r>
      <w:pict>
        <v:shape id="PowerPlusWaterMarkObject352" style="position:absolute;margin-left:-13.08pt;margin-top:288.105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54" style="position:absolute;margin-left:86.92pt;margin-top:532.106pt;mso-position-vertical-relative:page;mso-position-horizontal-relative:page;width:119.4pt;height:18.85pt;z-index:-251476992;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13.08pt;margin-top:776.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487.09pt;margin-top:73.4279pt;mso-position-vertical-relative:page;mso-position-horizontal-relative:page;width:38.65pt;height:6.5pt;z-index:-251471872;" o:allowincell="f" fillcolor="#212529" filled="true" stroked="false" type="#_x0000_t136">
          <v:textpath style="font-family:&quot;SimSun&quot;;font-size:6;v-text-kern:t;mso-text-shadow:auto" string="预算公开表13"/>
        </v:shape>
      </w:pict>
    </w:r>
    <w:r>
      <w:pict>
        <v:shape id="PowerPlusWaterMarkObject360" style="position:absolute;margin-left:491.92pt;margin-top:44.1055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62"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64" style="position:absolute;margin-left:491.92pt;margin-top:532.106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391.92pt;margin-top:776.106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_x0000_s368" style="position:absolute;margin-left:30pt;margin-top:29.5pt;mso-position-vertical-relative:page;mso-position-horizontal-relative:page;width:535pt;height:1pt;z-index:-2514739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70" style="position:absolute;margin-left:86.92pt;margin-top:27.7633pt;mso-position-vertical-relative:text;mso-position-horizontal-relative:text;width:119.4pt;height:18.85pt;z-index:-251451392;rotation:330;" fillcolor="#404040" filled="true" stroked="false" type="#_x0000_t136">
          <v:fill opacity="0.400000"/>
          <v:textpath style="font-family:&quot;SimSun&quot;;font-size:20;v-text-kern:t;mso-text-shadow:auto" string="仅供内部审核"/>
        </v:shape>
      </w:pict>
    </w:r>
    <w:r>
      <w:pict>
        <v:shape id="PowerPlusWaterMarkObject372" style="position:absolute;margin-left:491.92pt;margin-top:44.1055pt;mso-position-vertical-relative:page;mso-position-horizontal-relative:page;width:119.4pt;height:18.85pt;z-index:-251452416;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85.943pt;margin-top:258.837pt;mso-position-vertical-relative:page;mso-position-horizontal-relative:page;width:11.1pt;height:11.8pt;z-index:-251468800;" o:allowincell="f" fillcolor="#000000" filled="true" stroked="false" type="#_x0000_t136">
          <v:textpath style="font-family:&quot;FangSong&quot;;font-size:11.5;v-text-kern:t;mso-text-shadow:auto" string="98"/>
        </v:shape>
      </w:pict>
    </w:r>
    <w:r>
      <w:pict>
        <v:shape id="PowerPlusWaterMarkObject376" style="position:absolute;margin-left:62.9303pt;margin-top:278.838pt;mso-position-vertical-relative:page;mso-position-horizontal-relative:page;width:28.6pt;height:11.8pt;z-index:-251467776;" o:allowincell="f" fillcolor="#000000" filled="true" stroked="false" type="#_x0000_t136">
          <v:textpath style="font-family:&quot;FangSong&quot;;font-size:11.5;v-text-kern:t;mso-text-shadow:auto" string="0万元"/>
        </v:shape>
      </w:pict>
    </w:r>
    <w:r>
      <w:pict>
        <v:shape id="PowerPlusWaterMarkObject378" style="position:absolute;margin-left:-13.08pt;margin-top:288.105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380" style="position:absolute;margin-left:128.024pt;margin-top:284.408pt;mso-position-vertical-relative:page;mso-position-horizontal-relative:page;width:193.85pt;height:5.6pt;z-index:-251454464;" o:allowincell="f" fillcolor="#000000" filled="true" stroked="false" type="#_x0000_t136">
          <v:textpath style="font-family:&quot;FangSong&quot;;font-size:11.5;v-text-kern:t;mso-text-shadow:auto" string=";                                 ;"/>
        </v:shape>
      </w:pict>
    </w:r>
    <w:r>
      <w:pict>
        <v:shape id="PowerPlusWaterMarkObject382" style="position:absolute;margin-left:488.07pt;margin-top:258.837pt;mso-position-vertical-relative:page;mso-position-horizontal-relative:page;width:22.45pt;height:11.8pt;z-index:-251465728;" o:allowincell="f" fillcolor="#000000" filled="true" stroked="false" type="#_x0000_t136">
          <v:textpath style="font-family:&quot;FangSong&quot;;font-size:11.5;v-text-kern:t;mso-text-shadow:auto" string="拨款"/>
        </v:shape>
      </w:pict>
    </w:r>
    <w:r>
      <w:pict>
        <v:shape id="PowerPlusWaterMarkObject384" style="position:absolute;margin-left:442.443pt;margin-top:278.838pt;mso-position-vertical-relative:page;mso-position-horizontal-relative:page;width:44.95pt;height:11.8pt;z-index:-251464704;" o:allowincell="f" fillcolor="#000000" filled="true" stroked="false" type="#_x0000_t136">
          <v:textpath style="font-family:&quot;FangSong&quot;;font-size:11.5;v-text-kern:t;mso-text-shadow:auto" string="； 上年结"/>
        </v:shape>
      </w:pict>
    </w:r>
    <w:r>
      <w:pict>
        <v:shape id="PowerPlusWaterMarkObject386" style="position:absolute;margin-left:391.92pt;margin-top:288.105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88" style="position:absolute;margin-left:133.605pt;margin-top:533.99pt;mso-position-vertical-relative:page;mso-position-horizontal-relative:page;width:46.05pt;height:11.8pt;z-index:-251462656;" o:allowincell="f" fillcolor="#000000" filled="true" stroked="false" type="#_x0000_t136">
          <v:textpath style="font-family:&quot;FangSong&quot;;font-size:11.5;v-text-kern:t;mso-text-shadow:auto" string="兴县康宁"/>
        </v:shape>
      </w:pict>
    </w:r>
    <w:r>
      <w:pict>
        <v:shape id="PowerPlusWaterMarkObject390" style="position:absolute;margin-left:91.3503pt;margin-top:554.532pt;mso-position-vertical-relative:page;mso-position-horizontal-relative:page;width:51.8pt;height:11.8pt;z-index:-251461632;" o:allowincell="f" fillcolor="#000000" filled="true" stroked="false" type="#_x0000_t136">
          <v:textpath style="font-family:&quot;FangSong&quot;;font-size:11.5;v-text-kern:t;mso-text-shadow:auto" string="%； 项目支"/>
        </v:shape>
      </w:pict>
    </w:r>
    <w:r>
      <w:pict>
        <v:shape id="PowerPlusWaterMarkObject392" style="position:absolute;margin-left:86.92pt;margin-top:532.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94" style="position:absolute;margin-left:491.92pt;margin-top:532.106pt;mso-position-vertical-relative:page;mso-position-horizontal-relative:page;width:119.4pt;height:18.85pt;z-index:-251460608;rotation:330;" o:allowincell="f" fillcolor="#404040" filled="true" stroked="false" type="#_x0000_t136">
          <v:fill opacity="0.400000"/>
          <v:textpath style="font-family:&quot;SimSun&quot;;font-size:20;v-text-kern:t;mso-text-shadow:auto" string="仅供内部审核"/>
        </v:shape>
      </w:pict>
    </w:r>
    <w:r>
      <w:pict>
        <v:shape id="PowerPlusWaterMarkObject396" style="position:absolute;margin-left:86.2696pt;margin-top:756.166pt;mso-position-vertical-relative:page;mso-position-horizontal-relative:page;width:22.3pt;height:11.8pt;z-index:-251458560;" o:allowincell="f" fillcolor="#000000" filled="true" stroked="false" type="#_x0000_t136">
          <v:textpath style="font-family:&quot;FangSong&quot;;font-size:11.5;v-text-kern:t;mso-text-shadow:auto" string="（二"/>
        </v:shape>
      </w:pict>
    </w:r>
    <w:r>
      <w:pict>
        <v:shape id="PowerPlusWaterMarkObject398" style="position:absolute;margin-left:430.117pt;margin-top:776.167pt;mso-position-vertical-relative:page;mso-position-horizontal-relative:page;width:57.1pt;height:11.8pt;z-index:-251456512;" o:allowincell="f" fillcolor="#000000" filled="true" stroked="false" type="#_x0000_t136">
          <v:textpath style="font-family:&quot;FangSong&quot;;font-size:11.5;v-text-kern:t;mso-text-shadow:auto" string="主要用于以"/>
        </v:shape>
      </w:pict>
    </w:r>
    <w:r>
      <w:pict>
        <v:shape id="PowerPlusWaterMarkObject400" style="position:absolute;margin-left:393.595pt;margin-top:796.709pt;mso-position-vertical-relative:page;mso-position-horizontal-relative:page;width:90.25pt;height:11.8pt;z-index:-251455488;" o:allowincell="f" fillcolor="#000000" filled="true" stroked="false" type="#_x0000_t136">
          <v:textpath style="font-family:&quot;FangSong&quot;;font-size:11.5;v-text-kern:t;mso-text-shadow:auto" string="万元  占      ；"/>
        </v:shape>
      </w:pict>
    </w:r>
    <w:r>
      <w:pict>
        <v:shape id="PowerPlusWaterMarkObject402" style="position:absolute;margin-left:-13.08pt;margin-top:776.106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PowerPlusWaterMarkObject404" style="position:absolute;margin-left:391.92pt;margin-top:776.106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_x0000_s406" style="position:absolute;margin-left:30pt;margin-top:29.5pt;mso-position-vertical-relative:page;mso-position-horizontal-relative:page;width:535pt;height:1pt;z-index:-251453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08" style="position:absolute;margin-left:91.7539pt;margin-top:64.2303pt;mso-position-vertical-relative:page;mso-position-horizontal-relative:page;width:45.65pt;height:11.8pt;z-index:-251437056;" o:allowincell="f" fillcolor="#000000" filled="true" stroked="false" type="#_x0000_t136">
          <v:textpath style="font-family:&quot;FangSong&quot;;font-size:11.5;v-text-kern:t;mso-text-shadow:auto" string="0 24万元"/>
        </v:shape>
      </w:pict>
    </w:r>
    <w:r>
      <w:pict>
        <v:shape id="PowerPlusWaterMarkObject410" style="position:absolute;margin-left:86.92pt;margin-top:27.7633pt;mso-position-vertical-relative:text;mso-position-horizontal-relative:text;width:119.4pt;height:18.85pt;z-index:-251433984;rotation:330;" fillcolor="#404040" filled="true" stroked="false" type="#_x0000_t136">
          <v:fill opacity="0.400000"/>
          <v:textpath style="font-family:&quot;SimSun&quot;;font-size:20;v-text-kern:t;mso-text-shadow:auto" string="仅供内部审核"/>
        </v:shape>
      </w:pict>
    </w:r>
    <w:r>
      <w:pict>
        <v:shape id="PowerPlusWaterMarkObject412" style="position:absolute;margin-left:491.92pt;margin-top:44.1055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86.0353pt;margin-top:266.946pt;mso-position-vertical-relative:page;mso-position-horizontal-relative:page;width:22.55pt;height:11.8pt;z-index:-251445248;" o:allowincell="f" fillcolor="#000000" filled="true" stroked="false" type="#_x0000_t136">
          <v:textpath style="font-family:&quot;FangSong&quot;;font-size:11.5;v-text-kern:t;mso-text-shadow:auto" string="2025"/>
        </v:shape>
      </w:pict>
    </w:r>
    <w:r>
      <w:pict>
        <v:shape id="PowerPlusWaterMarkObject416" style="position:absolute;margin-left:86.4389pt;margin-top:286.947pt;mso-position-vertical-relative:page;mso-position-horizontal-relative:page;width:10.6pt;height:11.8pt;z-index:-251444224;" o:allowincell="f" fillcolor="#000000" filled="true" stroked="false" type="#_x0000_t136">
          <v:textpath style="font-family:&quot;FangSong&quot;;font-size:11.5;v-text-kern:t;mso-text-shadow:auto" string="人"/>
        </v:shape>
      </w:pict>
    </w:r>
    <w:r>
      <w:pict>
        <v:shape id="PowerPlusWaterMarkObject418" style="position:absolute;margin-left:-13.08pt;margin-top:288.105pt;mso-position-vertical-relative:page;mso-position-horizontal-relative:page;width:119.4pt;height:18.85pt;z-index:-251446272;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468.213pt;margin-top:266.946pt;mso-position-vertical-relative:page;mso-position-horizontal-relative:page;width:9.3pt;height:11.8pt;z-index:-251449344;" o:allowincell="f" fillcolor="#000000" filled="true" stroked="false" type="#_x0000_t136">
          <v:textpath style="font-family:&quot;FangSong&quot;;font-size:11.5;v-text-kern:t;mso-text-shadow:auto" string="中"/>
        </v:shape>
      </w:pict>
    </w:r>
    <w:r>
      <w:pict>
        <v:shape id="PowerPlusWaterMarkObject422" style="position:absolute;margin-left:440.361pt;margin-top:286.947pt;mso-position-vertical-relative:page;mso-position-horizontal-relative:page;width:46.2pt;height:11.8pt;z-index:-251447296;" o:allowincell="f" fillcolor="#000000" filled="true" stroked="false" type="#_x0000_t136">
          <v:textpath style="font-family:&quot;FangSong&quot;;font-size:11.5;v-text-kern:t;mso-text-shadow:auto" string="缴费  绩"/>
        </v:shape>
      </w:pict>
    </w:r>
    <w:r>
      <w:pict>
        <v:shape id="PowerPlusWaterMarkObject424" style="position:absolute;margin-left:402.415pt;margin-top:306.948pt;mso-position-vertical-relative:page;mso-position-horizontal-relative:page;width:46.75pt;height:11.8pt;z-index:-251448320;" o:allowincell="f" fillcolor="#000000" filled="true" stroked="false" type="#_x0000_t136">
          <v:textpath style="font-family:&quot;FangSong&quot;;font-size:11.5;v-text-kern:t;mso-text-shadow:auto" string="费  职工"/>
        </v:shape>
      </w:pict>
    </w:r>
    <w:r>
      <w:pict>
        <v:shape id="PowerPlusWaterMarkObject426" style="position:absolute;margin-left:391.92pt;margin-top:288.105pt;mso-position-vertical-relative:page;mso-position-horizontal-relative:page;width:119.4pt;height:18.85pt;z-index:-251450368;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138.321pt;margin-top:529.125pt;mso-position-vertical-relative:page;mso-position-horizontal-relative:page;width:33.65pt;height:11.8pt;z-index:-251442176;" o:allowincell="f" fillcolor="#000000" filled="true" stroked="false" type="#_x0000_t136">
          <v:textpath style="font-family:&quot;FangSong&quot;;font-size:11.5;v-text-kern:t;mso-text-shadow:auto" string="效目标"/>
        </v:shape>
      </w:pict>
    </w:r>
    <w:r>
      <w:pict>
        <v:shape id="PowerPlusWaterMarkObject430" style="position:absolute;margin-left:97.8761pt;margin-top:549.126pt;mso-position-vertical-relative:page;mso-position-horizontal-relative:page;width:45.3pt;height:11.8pt;z-index:-251441152;" o:allowincell="f" fillcolor="#000000" filled="true" stroked="false" type="#_x0000_t136">
          <v:textpath style="font-family:&quot;FangSong&quot;;font-size:11.5;v-text-kern:t;mso-text-shadow:auto" string="编报单位"/>
        </v:shape>
      </w:pict>
    </w:r>
    <w:r>
      <w:pict>
        <v:shape id="PowerPlusWaterMarkObject432" style="position:absolute;margin-left:86.92pt;margin-top:532.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34" style="position:absolute;margin-left:491.92pt;margin-top:532.106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PowerPlusWaterMarkObject436" style="position:absolute;margin-left:-13.08pt;margin-top:776.106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38" style="position:absolute;margin-left:391.92pt;margin-top:776.106pt;mso-position-vertical-relative:page;mso-position-horizontal-relative:page;width:119.4pt;height:18.85pt;z-index:-251439104;rotation:330;" o:allowincell="f" fillcolor="#404040" filled="true" stroked="false" type="#_x0000_t136">
          <v:fill opacity="0.400000"/>
          <v:textpath style="font-family:&quot;SimSun&quot;;font-size:20;v-text-kern:t;mso-text-shadow:auto" string="仅供内部审核"/>
        </v:shape>
      </w:pict>
    </w:r>
    <w:r>
      <w:pict>
        <v:shape id="_x0000_s440" style="position:absolute;margin-left:30pt;margin-top:29.5pt;mso-position-vertical-relative:page;mso-position-horizontal-relative:page;width:535pt;height:1pt;z-index:-251436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42" style="position:absolute;margin-left:86.92pt;margin-top:27.7633pt;mso-position-vertical-relative:text;mso-position-horizontal-relative:text;width:119.4pt;height:18.85pt;z-index:-251427840;rotation:330;" fillcolor="#404040" filled="true" stroked="false" type="#_x0000_t136">
          <v:fill opacity="0.400000"/>
          <v:textpath style="font-family:&quot;SimSun&quot;;font-size:20;v-text-kern:t;mso-text-shadow:auto" string="仅供内部审核"/>
        </v:shape>
      </w:pict>
    </w:r>
    <w:r>
      <w:pict>
        <v:shape id="PowerPlusWaterMarkObject444" style="position:absolute;margin-left:491.92pt;margin-top:44.1055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13.08pt;margin-top:776.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48" style="position:absolute;margin-left:491.92pt;margin-top:532.106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50" style="position:absolute;margin-left:391.92pt;margin-top:776.106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_x0000_s452" style="position:absolute;margin-left:30pt;margin-top:29.5pt;mso-position-vertical-relative:page;mso-position-horizontal-relative:page;width:535pt;height:1pt;z-index:-2514298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60" style="position:absolute;margin-left:86.92pt;margin-top:27.7633pt;mso-position-vertical-relative:text;mso-position-horizontal-relative:text;width:119.4pt;height:18.85pt;z-index:-251420672;rotation:330;" fillcolor="#404040" filled="true" stroked="false" type="#_x0000_t136">
          <v:fill opacity="0.400000"/>
          <v:textpath style="font-family:&quot;SimSun&quot;;font-size:20;v-text-kern:t;mso-text-shadow:auto" string="仅供内部审核"/>
        </v:shape>
      </w:pict>
    </w:r>
    <w:r>
      <w:pict>
        <v:shape id="PowerPlusWaterMarkObject462" style="position:absolute;margin-left:-13.08pt;margin-top:288.105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464" style="position:absolute;margin-left:491.92pt;margin-top:44.1055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PowerPlusWaterMarkObject466" style="position:absolute;margin-left:-13.08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468"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70" style="position:absolute;margin-left:391.92pt;margin-top:776.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_x0000_s472" style="position:absolute;margin-left:30pt;margin-top:29.5pt;mso-position-vertical-relative:page;mso-position-horizontal-relative:page;width:535pt;height:1pt;z-index:-2514227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2" style="position:absolute;margin-left:86.92pt;margin-top:27.7633pt;mso-position-vertical-relative:text;mso-position-horizontal-relative:text;width:119.4pt;height:18.85pt;z-index:-251416576;rotation:330;" fillcolor="#404040" filled="true" stroked="false" type="#_x0000_t136">
          <v:fill opacity="0.400000"/>
          <v:textpath style="font-family:&quot;SimSun&quot;;font-size:20;v-text-kern:t;mso-text-shadow:auto" string="仅供内部审核"/>
        </v:shape>
      </w:pict>
    </w:r>
    <w:r>
      <w:pict>
        <v:shape id="PowerPlusWaterMarkObject504" style="position:absolute;margin-left:-13.08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PowerPlusWaterMarkObject506" style="position:absolute;margin-left:391.92pt;margin-top:776.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_x0000_s508" style="position:absolute;margin-left:30pt;margin-top:29.5pt;mso-position-vertical-relative:page;mso-position-horizontal-relative:page;width:535pt;height:1pt;z-index:-251417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90" style="position:absolute;margin-left:86.92pt;margin-top:27.7633pt;mso-position-vertical-relative:text;mso-position-horizontal-relative:text;width:119.4pt;height:18.85pt;z-index:-251407360;rotation:330;" fillcolor="#404040" filled="true" stroked="false" type="#_x0000_t136">
          <v:fill opacity="0.400000"/>
          <v:textpath style="font-family:&quot;SimSun&quot;;font-size:20;v-text-kern:t;mso-text-shadow:auto" string="仅供内部审核"/>
        </v:shape>
      </w:pict>
    </w:r>
    <w:r>
      <w:pict>
        <v:shape id="PowerPlusWaterMarkObject592" style="position:absolute;margin-left:-13.08pt;margin-top:288.105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594" style="position:absolute;margin-left:491.92pt;margin-top:44.1055pt;mso-position-vertical-relative:page;mso-position-horizontal-relative:page;width:119.4pt;height:18.85pt;z-index:-251408384;rotation:330;" o:allowincell="f" fillcolor="#404040" filled="true" stroked="false" type="#_x0000_t136">
          <v:fill opacity="0.400000"/>
          <v:textpath style="font-family:&quot;SimSun&quot;;font-size:20;v-text-kern:t;mso-text-shadow:auto" string="仅供内部审核"/>
        </v:shape>
      </w:pict>
    </w:r>
    <w:r>
      <w:pict>
        <v:shape id="PowerPlusWaterMarkObject596" style="position:absolute;margin-left:391.92pt;margin-top:288.105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598" style="position:absolute;margin-left:86.92pt;margin-top:532.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PowerPlusWaterMarkObject600" style="position:absolute;margin-left:-13.08pt;margin-top:776.106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602" style="position:absolute;margin-left:491.92pt;margin-top:532.106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PowerPlusWaterMarkObject604" style="position:absolute;margin-left:391.92pt;margin-top:776.106pt;mso-position-vertical-relative:page;mso-position-horizontal-relative:page;width:119.4pt;height:18.85pt;z-index:-251411456;rotation:330;" o:allowincell="f" fillcolor="#404040" filled="true" stroked="false" type="#_x0000_t136">
          <v:fill opacity="0.400000"/>
          <v:textpath style="font-family:&quot;SimSun&quot;;font-size:20;v-text-kern:t;mso-text-shadow:auto" string="仅供内部审核"/>
        </v:shape>
      </w:pict>
    </w:r>
    <w:r>
      <w:pict>
        <v:shape id="_x0000_s606" style="position:absolute;margin-left:30pt;margin-top:29.5pt;mso-position-vertical-relative:page;mso-position-horizontal-relative:page;width:535pt;height:1pt;z-index:-251409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5.419pt;margin-top:325.754pt;mso-position-vertical-relative:page;mso-position-horizontal-relative:page;width:7.65pt;height:7.9pt;z-index:-251586560;" o:allowincell="f" fillcolor="#212529" filled="true" stroked="false" type="#_x0000_t136">
          <v:textpath style="font-family:&quot;SimSun&quot;;font-size:7.5;v-text-kern:t;mso-text-shadow:auto" string="23"/>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兴县康宁镇中心卫生院2025年单位预算公开报告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1" Type="http://schemas.openxmlformats.org/officeDocument/2006/relationships/fontTable" Target="fontTable.xml"/><Relationship Id="rId80" Type="http://schemas.openxmlformats.org/officeDocument/2006/relationships/styles" Target="styles.xml"/><Relationship Id="rId8" Type="http://schemas.openxmlformats.org/officeDocument/2006/relationships/footer" Target="footer2.xml"/><Relationship Id="rId79" Type="http://schemas.openxmlformats.org/officeDocument/2006/relationships/settings" Target="settings.xml"/><Relationship Id="rId78" Type="http://schemas.openxmlformats.org/officeDocument/2006/relationships/footer" Target="footer35.xml"/><Relationship Id="rId77" Type="http://schemas.openxmlformats.org/officeDocument/2006/relationships/header" Target="header24.xml"/><Relationship Id="rId76" Type="http://schemas.openxmlformats.org/officeDocument/2006/relationships/image" Target="media/image20.png"/><Relationship Id="rId75" Type="http://schemas.openxmlformats.org/officeDocument/2006/relationships/footer" Target="footer34.xml"/><Relationship Id="rId74" Type="http://schemas.openxmlformats.org/officeDocument/2006/relationships/image" Target="media/image19.png"/><Relationship Id="rId73" Type="http://schemas.openxmlformats.org/officeDocument/2006/relationships/footer" Target="footer33.xml"/><Relationship Id="rId72" Type="http://schemas.openxmlformats.org/officeDocument/2006/relationships/image" Target="media/image18.png"/><Relationship Id="rId71" Type="http://schemas.openxmlformats.org/officeDocument/2006/relationships/footer" Target="footer32.xml"/><Relationship Id="rId70" Type="http://schemas.openxmlformats.org/officeDocument/2006/relationships/image" Target="media/image17.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6.png"/><Relationship Id="rId67" Type="http://schemas.openxmlformats.org/officeDocument/2006/relationships/footer" Target="footer30.xml"/><Relationship Id="rId66" Type="http://schemas.openxmlformats.org/officeDocument/2006/relationships/image" Target="media/image15.png"/><Relationship Id="rId65" Type="http://schemas.openxmlformats.org/officeDocument/2006/relationships/footer" Target="footer29.xml"/><Relationship Id="rId64" Type="http://schemas.openxmlformats.org/officeDocument/2006/relationships/image" Target="media/image14.png"/><Relationship Id="rId63" Type="http://schemas.openxmlformats.org/officeDocument/2006/relationships/footer" Target="footer28.xml"/><Relationship Id="rId62" Type="http://schemas.openxmlformats.org/officeDocument/2006/relationships/image" Target="media/image13.png"/><Relationship Id="rId61" Type="http://schemas.openxmlformats.org/officeDocument/2006/relationships/footer" Target="footer27.xml"/><Relationship Id="rId60" Type="http://schemas.openxmlformats.org/officeDocument/2006/relationships/header" Target="header23.xml"/><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image" Target="media/image12.png"/><Relationship Id="rId57" Type="http://schemas.openxmlformats.org/officeDocument/2006/relationships/footer" Target="footer25.xml"/><Relationship Id="rId56" Type="http://schemas.openxmlformats.org/officeDocument/2006/relationships/image" Target="media/image11.png"/><Relationship Id="rId55" Type="http://schemas.openxmlformats.org/officeDocument/2006/relationships/footer" Target="footer24.xml"/><Relationship Id="rId54" Type="http://schemas.openxmlformats.org/officeDocument/2006/relationships/image" Target="media/image10.png"/><Relationship Id="rId53" Type="http://schemas.openxmlformats.org/officeDocument/2006/relationships/footer" Target="footer23.xml"/><Relationship Id="rId52" Type="http://schemas.openxmlformats.org/officeDocument/2006/relationships/image" Target="media/image9.png"/><Relationship Id="rId51" Type="http://schemas.openxmlformats.org/officeDocument/2006/relationships/footer" Target="footer22.xml"/><Relationship Id="rId50" Type="http://schemas.openxmlformats.org/officeDocument/2006/relationships/image" Target="media/image8.png"/><Relationship Id="rId5" Type="http://schemas.openxmlformats.org/officeDocument/2006/relationships/header" Target="header4.xml"/><Relationship Id="rId49" Type="http://schemas.openxmlformats.org/officeDocument/2006/relationships/footer" Target="footer21.xml"/><Relationship Id="rId48" Type="http://schemas.openxmlformats.org/officeDocument/2006/relationships/image" Target="media/image7.png"/><Relationship Id="rId47" Type="http://schemas.openxmlformats.org/officeDocument/2006/relationships/footer" Target="footer20.xml"/><Relationship Id="rId46" Type="http://schemas.openxmlformats.org/officeDocument/2006/relationships/image" Target="media/image6.png"/><Relationship Id="rId45" Type="http://schemas.openxmlformats.org/officeDocument/2006/relationships/footer" Target="footer19.xml"/><Relationship Id="rId44" Type="http://schemas.openxmlformats.org/officeDocument/2006/relationships/header" Target="header22.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2025-09-26T10:38:52Z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2025-09-26T10:55:35</vt:filetime>
  </property>
</Properties>
</file>