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BodyText"/>
        <w:ind w:left="948"/>
        <w:spacing w:before="159" w:line="198" w:lineRule="auto"/>
        <w:rPr/>
      </w:pPr>
      <w:r>
        <w:rPr/>
        <w:t>兴 县 人</w:t>
      </w:r>
      <w:r>
        <w:rPr>
          <w:spacing w:val="-12"/>
        </w:rPr>
        <w:t xml:space="preserve"> </w:t>
      </w:r>
      <w:r>
        <w:rPr/>
        <w:t>力资</w:t>
      </w:r>
      <w:r>
        <w:rPr>
          <w:spacing w:val="-27"/>
        </w:rPr>
        <w:t xml:space="preserve"> </w:t>
      </w:r>
      <w:r>
        <w:rPr/>
        <w:t>源</w:t>
      </w:r>
      <w:r>
        <w:rPr>
          <w:spacing w:val="-20"/>
        </w:rPr>
        <w:t xml:space="preserve"> </w:t>
      </w:r>
      <w:r>
        <w:rPr/>
        <w:t>和</w:t>
      </w:r>
      <w:r>
        <w:rPr>
          <w:spacing w:val="-27"/>
        </w:rPr>
        <w:t xml:space="preserve"> </w:t>
      </w:r>
      <w:r>
        <w:rPr/>
        <w:t>社</w:t>
      </w:r>
      <w:r>
        <w:rPr>
          <w:spacing w:val="-30"/>
        </w:rPr>
        <w:t xml:space="preserve"> </w:t>
      </w:r>
      <w:r>
        <w:rPr/>
        <w:t>会</w:t>
      </w:r>
      <w:r>
        <w:rPr>
          <w:spacing w:val="-25"/>
        </w:rPr>
        <w:t xml:space="preserve"> </w:t>
      </w:r>
      <w:r>
        <w:rPr/>
        <w:t>保 障</w:t>
      </w:r>
      <w:r>
        <w:rPr>
          <w:spacing w:val="-12"/>
        </w:rPr>
        <w:t xml:space="preserve"> </w:t>
      </w:r>
      <w:r>
        <w:rPr/>
        <w:t>局</w:t>
      </w:r>
    </w:p>
    <w:p>
      <w:pPr>
        <w:spacing w:line="349" w:lineRule="auto"/>
        <w:rPr>
          <w:rFonts w:ascii="Arial"/>
          <w:sz w:val="21"/>
        </w:rPr>
      </w:pPr>
      <w:r/>
    </w:p>
    <w:p>
      <w:pPr>
        <w:pStyle w:val="BodyText"/>
        <w:ind w:left="1294"/>
        <w:spacing w:before="159" w:line="676" w:lineRule="exact"/>
        <w:rPr/>
      </w:pPr>
      <w:r>
        <w:rPr>
          <w:spacing w:val="-12"/>
          <w:position w:val="8"/>
        </w:rPr>
        <w:t>2 0 2 5 年</w:t>
      </w:r>
      <w:r>
        <w:rPr>
          <w:spacing w:val="-13"/>
          <w:position w:val="8"/>
        </w:rPr>
        <w:t xml:space="preserve"> </w:t>
      </w:r>
      <w:r>
        <w:rPr>
          <w:spacing w:val="-12"/>
          <w:position w:val="8"/>
        </w:rPr>
        <w:t>度</w:t>
      </w:r>
      <w:r>
        <w:rPr>
          <w:spacing w:val="-19"/>
          <w:position w:val="8"/>
        </w:rPr>
        <w:t xml:space="preserve"> </w:t>
      </w:r>
      <w:r>
        <w:rPr>
          <w:spacing w:val="-12"/>
          <w:position w:val="8"/>
        </w:rPr>
        <w:t>部 门</w:t>
      </w:r>
      <w:r>
        <w:rPr>
          <w:spacing w:val="-30"/>
          <w:position w:val="8"/>
        </w:rPr>
        <w:t xml:space="preserve"> </w:t>
      </w:r>
      <w:r>
        <w:rPr>
          <w:spacing w:val="-12"/>
          <w:position w:val="8"/>
        </w:rPr>
        <w:t>预 算</w:t>
      </w:r>
      <w:r>
        <w:rPr>
          <w:spacing w:val="-27"/>
          <w:position w:val="8"/>
        </w:rPr>
        <w:t xml:space="preserve"> </w:t>
      </w:r>
      <w:r>
        <w:rPr>
          <w:spacing w:val="-12"/>
          <w:position w:val="8"/>
        </w:rPr>
        <w:t>公</w:t>
      </w:r>
      <w:r>
        <w:rPr>
          <w:spacing w:val="-21"/>
          <w:position w:val="8"/>
        </w:rPr>
        <w:t xml:space="preserve"> </w:t>
      </w:r>
      <w:r>
        <w:rPr>
          <w:spacing w:val="-12"/>
          <w:position w:val="8"/>
        </w:rPr>
        <w:t>开</w:t>
      </w:r>
    </w:p>
    <w:p>
      <w:pPr>
        <w:spacing w:line="676" w:lineRule="exact"/>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16"/>
              </w:rPr>
              <w:t>2</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b/>
                <w:bCs/>
                <w:spacing w:val="-21"/>
              </w:rPr>
              <w:t>3</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18"/>
              </w:rPr>
              <w:t>3</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18"/>
              </w:rPr>
              <w:t>5</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9"/>
              </w:rPr>
              <w:t>7</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spacing w:val="-13"/>
              </w:rPr>
              <w:t>8</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10</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11</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12</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13</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14</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15</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16</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18</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3"/>
              </w:rPr>
              <w:t>1</w:t>
            </w:r>
            <w:r>
              <w:rPr>
                <w:rFonts w:ascii="FangSong" w:hAnsi="FangSong" w:eastAsia="FangSong" w:cs="FangSong"/>
                <w:sz w:val="32"/>
                <w:szCs w:val="32"/>
                <w:b/>
                <w:bCs/>
                <w:spacing w:val="-19"/>
              </w:rPr>
              <w:t>9</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19</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19</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19</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19</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19</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
          <w:bookmarkEnd w:id="2"/>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21</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21</w:t>
            </w:r>
          </w:hyperlink>
        </w:p>
        <w:p>
          <w:pPr>
            <w:ind w:left="635"/>
            <w:spacing w:before="115"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9"/>
              </w:rPr>
              <w:t>33</w:t>
            </w:r>
          </w:hyperlink>
        </w:p>
        <w:p>
          <w:pPr>
            <w:ind w:left="635"/>
            <w:spacing w:before="113" w:line="222"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33</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9"/>
              </w:rPr>
              <w:t>33</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33</w:t>
            </w:r>
          </w:hyperlink>
        </w:p>
        <w:p>
          <w:pPr>
            <w:spacing w:before="116" w:line="222" w:lineRule="auto"/>
            <w:tabs>
              <w:tab w:val="right" w:leader="dot" w:pos="9225"/>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34</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4587"/>
        <w:spacing w:before="99" w:line="238" w:lineRule="exact"/>
        <w:outlineLvl w:val="0"/>
        <w:rPr>
          <w:rFonts w:ascii="Microsoft YaHei" w:hAnsi="Microsoft YaHei" w:eastAsia="Microsoft YaHei" w:cs="Microsoft YaHei"/>
          <w:sz w:val="23"/>
          <w:szCs w:val="23"/>
        </w:rPr>
      </w:pPr>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916" w:right="874" w:hanging="1"/>
        <w:spacing w:before="282" w:line="266" w:lineRule="auto"/>
        <w:rPr>
          <w:rFonts w:ascii="FangSong" w:hAnsi="FangSong" w:eastAsia="FangSong" w:cs="FangSong"/>
          <w:sz w:val="24"/>
          <w:szCs w:val="24"/>
        </w:rPr>
      </w:pPr>
      <w:r>
        <w:rPr>
          <w:rFonts w:ascii="FangSong" w:hAnsi="FangSong" w:eastAsia="FangSong" w:cs="FangSong"/>
          <w:sz w:val="24"/>
          <w:szCs w:val="24"/>
          <w:spacing w:val="1"/>
        </w:rPr>
        <w:t>（一）贯彻执行国家、省、市人力资源和社会保障事业发展规划</w:t>
      </w:r>
      <w:r>
        <w:rPr>
          <w:rFonts w:ascii="FangSong" w:hAnsi="FangSong" w:eastAsia="FangSong" w:cs="FangSong"/>
          <w:sz w:val="24"/>
          <w:szCs w:val="24"/>
        </w:rPr>
        <w:t>和政策法规，拟订全</w:t>
      </w:r>
      <w:r>
        <w:rPr>
          <w:rFonts w:ascii="FangSong" w:hAnsi="FangSong" w:eastAsia="FangSong" w:cs="FangSong"/>
          <w:sz w:val="24"/>
          <w:szCs w:val="24"/>
        </w:rPr>
        <w:t xml:space="preserve"> </w:t>
      </w:r>
      <w:r>
        <w:rPr>
          <w:rFonts w:ascii="FangSong" w:hAnsi="FangSong" w:eastAsia="FangSong" w:cs="FangSong"/>
          <w:sz w:val="24"/>
          <w:szCs w:val="24"/>
          <w:spacing w:val="-2"/>
        </w:rPr>
        <w:t>县人力资源和社会保障事业发展规划和政策，并组织实施和监督检查。</w:t>
      </w:r>
    </w:p>
    <w:p>
      <w:pPr>
        <w:ind w:left="915" w:right="874"/>
        <w:spacing w:before="118" w:line="261" w:lineRule="auto"/>
        <w:rPr>
          <w:rFonts w:ascii="FangSong" w:hAnsi="FangSong" w:eastAsia="FangSong" w:cs="FangSong"/>
          <w:sz w:val="24"/>
          <w:szCs w:val="24"/>
        </w:rPr>
      </w:pPr>
      <w:r>
        <w:rPr>
          <w:rFonts w:ascii="FangSong" w:hAnsi="FangSong" w:eastAsia="FangSong" w:cs="FangSong"/>
          <w:sz w:val="24"/>
          <w:szCs w:val="24"/>
          <w:spacing w:val="1"/>
        </w:rPr>
        <w:t>（二）拟订全县人力资源市场发展规划和人力资源流动政策，指</w:t>
      </w:r>
      <w:r>
        <w:rPr>
          <w:rFonts w:ascii="FangSong" w:hAnsi="FangSong" w:eastAsia="FangSong" w:cs="FangSong"/>
          <w:sz w:val="24"/>
          <w:szCs w:val="24"/>
        </w:rPr>
        <w:t>导全县人力资源市场</w:t>
      </w:r>
      <w:r>
        <w:rPr>
          <w:rFonts w:ascii="FangSong" w:hAnsi="FangSong" w:eastAsia="FangSong" w:cs="FangSong"/>
          <w:sz w:val="24"/>
          <w:szCs w:val="24"/>
        </w:rPr>
        <w:t xml:space="preserve"> </w:t>
      </w:r>
      <w:r>
        <w:rPr>
          <w:rFonts w:ascii="FangSong" w:hAnsi="FangSong" w:eastAsia="FangSong" w:cs="FangSong"/>
          <w:sz w:val="24"/>
          <w:szCs w:val="24"/>
          <w:spacing w:val="-3"/>
        </w:rPr>
        <w:t>建设，促进人力资源合理流动、有效配置。</w:t>
      </w:r>
    </w:p>
    <w:p>
      <w:pPr>
        <w:ind w:left="915" w:right="874"/>
        <w:spacing w:before="116" w:line="286" w:lineRule="auto"/>
        <w:rPr>
          <w:rFonts w:ascii="FangSong" w:hAnsi="FangSong" w:eastAsia="FangSong" w:cs="FangSong"/>
          <w:sz w:val="24"/>
          <w:szCs w:val="24"/>
        </w:rPr>
      </w:pPr>
      <w:r>
        <w:rPr>
          <w:rFonts w:ascii="FangSong" w:hAnsi="FangSong" w:eastAsia="FangSong" w:cs="FangSong"/>
          <w:sz w:val="24"/>
          <w:szCs w:val="24"/>
          <w:spacing w:val="1"/>
        </w:rPr>
        <w:t>（三）负责全县促进就业工作，拟订统筹城乡的就业发展规划和</w:t>
      </w:r>
      <w:r>
        <w:rPr>
          <w:rFonts w:ascii="FangSong" w:hAnsi="FangSong" w:eastAsia="FangSong" w:cs="FangSong"/>
          <w:sz w:val="24"/>
          <w:szCs w:val="24"/>
        </w:rPr>
        <w:t>政策，完善公共就业</w:t>
      </w:r>
      <w:r>
        <w:rPr>
          <w:rFonts w:ascii="FangSong" w:hAnsi="FangSong" w:eastAsia="FangSong" w:cs="FangSong"/>
          <w:sz w:val="24"/>
          <w:szCs w:val="24"/>
        </w:rPr>
        <w:t xml:space="preserve"> </w:t>
      </w:r>
      <w:r>
        <w:rPr>
          <w:rFonts w:ascii="FangSong" w:hAnsi="FangSong" w:eastAsia="FangSong" w:cs="FangSong"/>
          <w:sz w:val="24"/>
          <w:szCs w:val="24"/>
          <w:spacing w:val="1"/>
        </w:rPr>
        <w:t>服务体系，拟订就业援助制度，完善职业资格制度，统筹建立面</w:t>
      </w:r>
      <w:r>
        <w:rPr>
          <w:rFonts w:ascii="FangSong" w:hAnsi="FangSong" w:eastAsia="FangSong" w:cs="FangSong"/>
          <w:sz w:val="24"/>
          <w:szCs w:val="24"/>
        </w:rPr>
        <w:t>向城乡劳动者的职业</w:t>
      </w:r>
      <w:r>
        <w:rPr>
          <w:rFonts w:ascii="FangSong" w:hAnsi="FangSong" w:eastAsia="FangSong" w:cs="FangSong"/>
          <w:sz w:val="24"/>
          <w:szCs w:val="24"/>
        </w:rPr>
        <w:t xml:space="preserve"> </w:t>
      </w:r>
      <w:r>
        <w:rPr>
          <w:rFonts w:ascii="FangSong" w:hAnsi="FangSong" w:eastAsia="FangSong" w:cs="FangSong"/>
          <w:sz w:val="24"/>
          <w:szCs w:val="24"/>
          <w:spacing w:val="1"/>
        </w:rPr>
        <w:t>培训制度，会同有关部门拟订高技能人才、农村实用人才培养和</w:t>
      </w:r>
      <w:r>
        <w:rPr>
          <w:rFonts w:ascii="FangSong" w:hAnsi="FangSong" w:eastAsia="FangSong" w:cs="FangSong"/>
          <w:sz w:val="24"/>
          <w:szCs w:val="24"/>
        </w:rPr>
        <w:t>激励政策。会同有关</w:t>
      </w:r>
      <w:r>
        <w:rPr>
          <w:rFonts w:ascii="FangSong" w:hAnsi="FangSong" w:eastAsia="FangSong" w:cs="FangSong"/>
          <w:sz w:val="24"/>
          <w:szCs w:val="24"/>
        </w:rPr>
        <w:t xml:space="preserve"> </w:t>
      </w:r>
      <w:r>
        <w:rPr>
          <w:rFonts w:ascii="FangSong" w:hAnsi="FangSong" w:eastAsia="FangSong" w:cs="FangSong"/>
          <w:sz w:val="24"/>
          <w:szCs w:val="24"/>
          <w:spacing w:val="-2"/>
        </w:rPr>
        <w:t>部门拟订高校毕业生就业政策，负责高校毕业生的就业指导和服务。</w:t>
      </w:r>
    </w:p>
    <w:p>
      <w:pPr>
        <w:ind w:left="915" w:right="874"/>
        <w:spacing w:before="119" w:line="289" w:lineRule="auto"/>
        <w:rPr>
          <w:rFonts w:ascii="FangSong" w:hAnsi="FangSong" w:eastAsia="FangSong" w:cs="FangSong"/>
          <w:sz w:val="24"/>
          <w:szCs w:val="24"/>
        </w:rPr>
      </w:pPr>
      <w:r>
        <w:rPr>
          <w:rFonts w:ascii="FangSong" w:hAnsi="FangSong" w:eastAsia="FangSong" w:cs="FangSong"/>
          <w:sz w:val="24"/>
          <w:szCs w:val="24"/>
          <w:spacing w:val="1"/>
        </w:rPr>
        <w:t>（四）统筹建立覆盖城乡的社会保障体系，拟订并组织实施城乡</w:t>
      </w:r>
      <w:r>
        <w:rPr>
          <w:rFonts w:ascii="FangSong" w:hAnsi="FangSong" w:eastAsia="FangSong" w:cs="FangSong"/>
          <w:sz w:val="24"/>
          <w:szCs w:val="24"/>
        </w:rPr>
        <w:t>相关社会保险及其补</w:t>
      </w:r>
      <w:r>
        <w:rPr>
          <w:rFonts w:ascii="FangSong" w:hAnsi="FangSong" w:eastAsia="FangSong" w:cs="FangSong"/>
          <w:sz w:val="24"/>
          <w:szCs w:val="24"/>
        </w:rPr>
        <w:t xml:space="preserve"> </w:t>
      </w:r>
      <w:r>
        <w:rPr>
          <w:rFonts w:ascii="FangSong" w:hAnsi="FangSong" w:eastAsia="FangSong" w:cs="FangSong"/>
          <w:sz w:val="24"/>
          <w:szCs w:val="24"/>
          <w:spacing w:val="1"/>
        </w:rPr>
        <w:t>充保险政策和标准，组织拟订全县统一的相关社会保险关系转移</w:t>
      </w:r>
      <w:r>
        <w:rPr>
          <w:rFonts w:ascii="FangSong" w:hAnsi="FangSong" w:eastAsia="FangSong" w:cs="FangSong"/>
          <w:sz w:val="24"/>
          <w:szCs w:val="24"/>
        </w:rPr>
        <w:t>接续办法，统筹拟订</w:t>
      </w:r>
      <w:r>
        <w:rPr>
          <w:rFonts w:ascii="FangSong" w:hAnsi="FangSong" w:eastAsia="FangSong" w:cs="FangSong"/>
          <w:sz w:val="24"/>
          <w:szCs w:val="24"/>
        </w:rPr>
        <w:t xml:space="preserve"> </w:t>
      </w:r>
      <w:r>
        <w:rPr>
          <w:rFonts w:ascii="FangSong" w:hAnsi="FangSong" w:eastAsia="FangSong" w:cs="FangSong"/>
          <w:sz w:val="24"/>
          <w:szCs w:val="24"/>
          <w:spacing w:val="1"/>
        </w:rPr>
        <w:t>机关企事业单位基本养老保险政策并逐步提高基金统筹层次，会</w:t>
      </w:r>
      <w:r>
        <w:rPr>
          <w:rFonts w:ascii="FangSong" w:hAnsi="FangSong" w:eastAsia="FangSong" w:cs="FangSong"/>
          <w:sz w:val="24"/>
          <w:szCs w:val="24"/>
        </w:rPr>
        <w:t>同有关部门拟订相关</w:t>
      </w:r>
      <w:r>
        <w:rPr>
          <w:rFonts w:ascii="FangSong" w:hAnsi="FangSong" w:eastAsia="FangSong" w:cs="FangSong"/>
          <w:sz w:val="24"/>
          <w:szCs w:val="24"/>
        </w:rPr>
        <w:t xml:space="preserve"> </w:t>
      </w:r>
      <w:r>
        <w:rPr>
          <w:rFonts w:ascii="FangSong" w:hAnsi="FangSong" w:eastAsia="FangSong" w:cs="FangSong"/>
          <w:sz w:val="24"/>
          <w:szCs w:val="24"/>
          <w:spacing w:val="7"/>
        </w:rPr>
        <w:t>社会保险及其补充保险基金管理和监督办法，编制全县相关社会保险基金预决算草</w:t>
      </w:r>
      <w:r>
        <w:rPr>
          <w:rFonts w:ascii="FangSong" w:hAnsi="FangSong" w:eastAsia="FangSong" w:cs="FangSong"/>
          <w:sz w:val="24"/>
          <w:szCs w:val="24"/>
          <w:spacing w:val="16"/>
        </w:rPr>
        <w:t xml:space="preserve"> </w:t>
      </w:r>
      <w:r>
        <w:rPr>
          <w:rFonts w:ascii="FangSong" w:hAnsi="FangSong" w:eastAsia="FangSong" w:cs="FangSong"/>
          <w:sz w:val="24"/>
          <w:szCs w:val="24"/>
          <w:spacing w:val="-12"/>
        </w:rPr>
        <w:t>案。</w:t>
      </w:r>
    </w:p>
    <w:p>
      <w:pPr>
        <w:ind w:left="915" w:right="875"/>
        <w:spacing w:before="117" w:line="265" w:lineRule="auto"/>
        <w:rPr>
          <w:rFonts w:ascii="FangSong" w:hAnsi="FangSong" w:eastAsia="FangSong" w:cs="FangSong"/>
          <w:sz w:val="24"/>
          <w:szCs w:val="24"/>
        </w:rPr>
      </w:pPr>
      <w:r>
        <w:rPr>
          <w:rFonts w:ascii="FangSong" w:hAnsi="FangSong" w:eastAsia="FangSong" w:cs="FangSong"/>
          <w:sz w:val="24"/>
          <w:szCs w:val="24"/>
          <w:spacing w:val="7"/>
        </w:rPr>
        <w:t>（五）负责全县就业、失业和相关社会保险基金预测预警和信息引导，拟订应对预</w:t>
      </w:r>
      <w:r>
        <w:rPr>
          <w:rFonts w:ascii="FangSong" w:hAnsi="FangSong" w:eastAsia="FangSong" w:cs="FangSong"/>
          <w:sz w:val="24"/>
          <w:szCs w:val="24"/>
          <w:spacing w:val="16"/>
        </w:rPr>
        <w:t xml:space="preserve"> </w:t>
      </w:r>
      <w:r>
        <w:rPr>
          <w:rFonts w:ascii="FangSong" w:hAnsi="FangSong" w:eastAsia="FangSong" w:cs="FangSong"/>
          <w:sz w:val="24"/>
          <w:szCs w:val="24"/>
          <w:spacing w:val="-1"/>
        </w:rPr>
        <w:t>案，实施预防、调节和控制，保持就业形势稳定和相关社</w:t>
      </w:r>
      <w:r>
        <w:rPr>
          <w:rFonts w:ascii="FangSong" w:hAnsi="FangSong" w:eastAsia="FangSong" w:cs="FangSong"/>
          <w:sz w:val="24"/>
          <w:szCs w:val="24"/>
          <w:spacing w:val="-2"/>
        </w:rPr>
        <w:t>会保险基金总体收支平衡。</w:t>
      </w:r>
    </w:p>
    <w:p>
      <w:pPr>
        <w:ind w:left="915" w:right="874"/>
        <w:spacing w:before="102" w:line="287" w:lineRule="auto"/>
        <w:rPr>
          <w:rFonts w:ascii="FangSong" w:hAnsi="FangSong" w:eastAsia="FangSong" w:cs="FangSong"/>
          <w:sz w:val="24"/>
          <w:szCs w:val="24"/>
        </w:rPr>
      </w:pPr>
      <w:r>
        <w:rPr>
          <w:rFonts w:ascii="FangSong" w:hAnsi="FangSong" w:eastAsia="FangSong" w:cs="FangSong"/>
          <w:sz w:val="24"/>
          <w:szCs w:val="24"/>
          <w:spacing w:val="1"/>
        </w:rPr>
        <w:t>（六）负责统筹全县企事业单位人员管理工作，会同有关部门拟</w:t>
      </w:r>
      <w:r>
        <w:rPr>
          <w:rFonts w:ascii="FangSong" w:hAnsi="FangSong" w:eastAsia="FangSong" w:cs="FangSong"/>
          <w:sz w:val="24"/>
          <w:szCs w:val="24"/>
        </w:rPr>
        <w:t>订企业、事业单位工</w:t>
      </w:r>
      <w:r>
        <w:rPr>
          <w:rFonts w:ascii="FangSong" w:hAnsi="FangSong" w:eastAsia="FangSong" w:cs="FangSong"/>
          <w:sz w:val="24"/>
          <w:szCs w:val="24"/>
        </w:rPr>
        <w:t xml:space="preserve"> </w:t>
      </w:r>
      <w:r>
        <w:rPr>
          <w:rFonts w:ascii="FangSong" w:hAnsi="FangSong" w:eastAsia="FangSong" w:cs="FangSong"/>
          <w:sz w:val="24"/>
          <w:szCs w:val="24"/>
          <w:spacing w:val="1"/>
        </w:rPr>
        <w:t>作人员(含特殊贡献人员)和机关工勤人员工资收入分配政策，</w:t>
      </w:r>
      <w:r>
        <w:rPr>
          <w:rFonts w:ascii="FangSong" w:hAnsi="FangSong" w:eastAsia="FangSong" w:cs="FangSong"/>
          <w:sz w:val="24"/>
          <w:szCs w:val="24"/>
        </w:rPr>
        <w:t>建立工资正常增长和支</w:t>
      </w:r>
      <w:r>
        <w:rPr>
          <w:rFonts w:ascii="FangSong" w:hAnsi="FangSong" w:eastAsia="FangSong" w:cs="FangSong"/>
          <w:sz w:val="24"/>
          <w:szCs w:val="24"/>
        </w:rPr>
        <w:t xml:space="preserve"> </w:t>
      </w:r>
      <w:r>
        <w:rPr>
          <w:rFonts w:ascii="FangSong" w:hAnsi="FangSong" w:eastAsia="FangSong" w:cs="FangSong"/>
          <w:sz w:val="24"/>
          <w:szCs w:val="24"/>
          <w:spacing w:val="1"/>
        </w:rPr>
        <w:t>付保障机制，拟订福利和离退休政策，指导和监督国有企业工资</w:t>
      </w:r>
      <w:r>
        <w:rPr>
          <w:rFonts w:ascii="FangSong" w:hAnsi="FangSong" w:eastAsia="FangSong" w:cs="FangSong"/>
          <w:sz w:val="24"/>
          <w:szCs w:val="24"/>
        </w:rPr>
        <w:t>总额管理和企业负责</w:t>
      </w:r>
      <w:r>
        <w:rPr>
          <w:rFonts w:ascii="FangSong" w:hAnsi="FangSong" w:eastAsia="FangSong" w:cs="FangSong"/>
          <w:sz w:val="24"/>
          <w:szCs w:val="24"/>
        </w:rPr>
        <w:t xml:space="preserve"> </w:t>
      </w:r>
      <w:r>
        <w:rPr>
          <w:rFonts w:ascii="FangSong" w:hAnsi="FangSong" w:eastAsia="FangSong" w:cs="FangSong"/>
          <w:sz w:val="24"/>
          <w:szCs w:val="24"/>
          <w:spacing w:val="-6"/>
        </w:rPr>
        <w:t>人工资收入分配。</w:t>
      </w:r>
    </w:p>
    <w:p>
      <w:pPr>
        <w:ind w:left="915" w:right="874"/>
        <w:spacing w:before="116" w:line="277" w:lineRule="auto"/>
        <w:rPr>
          <w:rFonts w:ascii="FangSong" w:hAnsi="FangSong" w:eastAsia="FangSong" w:cs="FangSong"/>
          <w:sz w:val="24"/>
          <w:szCs w:val="24"/>
        </w:rPr>
      </w:pPr>
      <w:r>
        <w:rPr>
          <w:rFonts w:ascii="FangSong" w:hAnsi="FangSong" w:eastAsia="FangSong" w:cs="FangSong"/>
          <w:sz w:val="24"/>
          <w:szCs w:val="24"/>
          <w:spacing w:val="1"/>
        </w:rPr>
        <w:t>（七）会同有关部门指导事业单位人事制度改革，拟订事业单位</w:t>
      </w:r>
      <w:r>
        <w:rPr>
          <w:rFonts w:ascii="FangSong" w:hAnsi="FangSong" w:eastAsia="FangSong" w:cs="FangSong"/>
          <w:sz w:val="24"/>
          <w:szCs w:val="24"/>
        </w:rPr>
        <w:t>人员和机关工勤人员</w:t>
      </w:r>
      <w:r>
        <w:rPr>
          <w:rFonts w:ascii="FangSong" w:hAnsi="FangSong" w:eastAsia="FangSong" w:cs="FangSong"/>
          <w:sz w:val="24"/>
          <w:szCs w:val="24"/>
        </w:rPr>
        <w:t xml:space="preserve"> </w:t>
      </w:r>
      <w:r>
        <w:rPr>
          <w:rFonts w:ascii="FangSong" w:hAnsi="FangSong" w:eastAsia="FangSong" w:cs="FangSong"/>
          <w:sz w:val="24"/>
          <w:szCs w:val="24"/>
          <w:spacing w:val="1"/>
        </w:rPr>
        <w:t>管理政策，参与人才管理工作，制定专业技术人员管理和继续</w:t>
      </w:r>
      <w:r>
        <w:rPr>
          <w:rFonts w:ascii="FangSong" w:hAnsi="FangSong" w:eastAsia="FangSong" w:cs="FangSong"/>
          <w:sz w:val="24"/>
          <w:szCs w:val="24"/>
        </w:rPr>
        <w:t>教育政策，牵头推进深</w:t>
      </w:r>
      <w:r>
        <w:rPr>
          <w:rFonts w:ascii="FangSong" w:hAnsi="FangSong" w:eastAsia="FangSong" w:cs="FangSong"/>
          <w:sz w:val="24"/>
          <w:szCs w:val="24"/>
        </w:rPr>
        <w:t xml:space="preserve"> </w:t>
      </w:r>
      <w:r>
        <w:rPr>
          <w:rFonts w:ascii="FangSong" w:hAnsi="FangSong" w:eastAsia="FangSong" w:cs="FangSong"/>
          <w:sz w:val="24"/>
          <w:szCs w:val="24"/>
          <w:spacing w:val="-2"/>
        </w:rPr>
        <w:t>化职称制度改革工作，负责高层次专业技术人才选拔和培养工作。</w:t>
      </w:r>
    </w:p>
    <w:p>
      <w:pPr>
        <w:ind w:left="915"/>
        <w:spacing w:before="118" w:line="222" w:lineRule="auto"/>
        <w:rPr>
          <w:rFonts w:ascii="FangSong" w:hAnsi="FangSong" w:eastAsia="FangSong" w:cs="FangSong"/>
          <w:sz w:val="24"/>
          <w:szCs w:val="24"/>
        </w:rPr>
      </w:pPr>
      <w:r>
        <w:rPr>
          <w:rFonts w:ascii="FangSong" w:hAnsi="FangSong" w:eastAsia="FangSong" w:cs="FangSong"/>
          <w:sz w:val="24"/>
          <w:szCs w:val="24"/>
          <w:spacing w:val="-2"/>
        </w:rPr>
        <w:t>（八）会同有关部门组织实施国家、省荣誉制度、政府奖励制度。</w:t>
      </w:r>
    </w:p>
    <w:p>
      <w:pPr>
        <w:ind w:left="919" w:right="875" w:hanging="4"/>
        <w:spacing w:before="101" w:line="267" w:lineRule="auto"/>
        <w:rPr>
          <w:rFonts w:ascii="FangSong" w:hAnsi="FangSong" w:eastAsia="FangSong" w:cs="FangSong"/>
          <w:sz w:val="24"/>
          <w:szCs w:val="24"/>
        </w:rPr>
      </w:pPr>
      <w:r>
        <w:rPr>
          <w:rFonts w:ascii="FangSong" w:hAnsi="FangSong" w:eastAsia="FangSong" w:cs="FangSong"/>
          <w:sz w:val="24"/>
          <w:szCs w:val="24"/>
          <w:spacing w:val="7"/>
        </w:rPr>
        <w:t>（九）会同有关部门拟订农民工工作综合性政策和规划，推动农民工相关政策的落</w:t>
      </w:r>
      <w:r>
        <w:rPr>
          <w:rFonts w:ascii="FangSong" w:hAnsi="FangSong" w:eastAsia="FangSong" w:cs="FangSong"/>
          <w:sz w:val="24"/>
          <w:szCs w:val="24"/>
          <w:spacing w:val="16"/>
        </w:rPr>
        <w:t xml:space="preserve"> </w:t>
      </w:r>
      <w:r>
        <w:rPr>
          <w:rFonts w:ascii="FangSong" w:hAnsi="FangSong" w:eastAsia="FangSong" w:cs="FangSong"/>
          <w:sz w:val="24"/>
          <w:szCs w:val="24"/>
          <w:spacing w:val="-3"/>
        </w:rPr>
        <w:t>实，协调解决重点难点问题，维护农民工合法权益。</w:t>
      </w:r>
    </w:p>
    <w:p>
      <w:pPr>
        <w:ind w:left="915" w:right="874"/>
        <w:spacing w:before="118" w:line="286" w:lineRule="auto"/>
        <w:rPr>
          <w:rFonts w:ascii="FangSong" w:hAnsi="FangSong" w:eastAsia="FangSong" w:cs="FangSong"/>
          <w:sz w:val="24"/>
          <w:szCs w:val="24"/>
        </w:rPr>
      </w:pPr>
      <w:r>
        <w:rPr>
          <w:rFonts w:ascii="FangSong" w:hAnsi="FangSong" w:eastAsia="FangSong" w:cs="FangSong"/>
          <w:sz w:val="24"/>
          <w:szCs w:val="24"/>
          <w:spacing w:val="7"/>
        </w:rPr>
        <w:t>（十）统筹拟订劳动人事争议调解仲裁制度和劳动关系政策，完善劳动关系协调机</w:t>
      </w:r>
      <w:r>
        <w:rPr>
          <w:rFonts w:ascii="FangSong" w:hAnsi="FangSong" w:eastAsia="FangSong" w:cs="FangSong"/>
          <w:sz w:val="24"/>
          <w:szCs w:val="24"/>
          <w:spacing w:val="16"/>
        </w:rPr>
        <w:t xml:space="preserve"> </w:t>
      </w:r>
      <w:r>
        <w:rPr>
          <w:rFonts w:ascii="FangSong" w:hAnsi="FangSong" w:eastAsia="FangSong" w:cs="FangSong"/>
          <w:sz w:val="24"/>
          <w:szCs w:val="24"/>
          <w:spacing w:val="1"/>
        </w:rPr>
        <w:t>制，监督落实消除非法使用童工政策和女工、未成年工的特殊劳</w:t>
      </w:r>
      <w:r>
        <w:rPr>
          <w:rFonts w:ascii="FangSong" w:hAnsi="FangSong" w:eastAsia="FangSong" w:cs="FangSong"/>
          <w:sz w:val="24"/>
          <w:szCs w:val="24"/>
        </w:rPr>
        <w:t>动保护政策，组织实</w:t>
      </w:r>
      <w:r>
        <w:rPr>
          <w:rFonts w:ascii="FangSong" w:hAnsi="FangSong" w:eastAsia="FangSong" w:cs="FangSong"/>
          <w:sz w:val="24"/>
          <w:szCs w:val="24"/>
        </w:rPr>
        <w:t xml:space="preserve"> </w:t>
      </w:r>
      <w:r>
        <w:rPr>
          <w:rFonts w:ascii="FangSong" w:hAnsi="FangSong" w:eastAsia="FangSong" w:cs="FangSong"/>
          <w:sz w:val="24"/>
          <w:szCs w:val="24"/>
          <w:spacing w:val="1"/>
        </w:rPr>
        <w:t>施劳动监察，协调劳动者维权工作，依法查处重大案件，受理劳</w:t>
      </w:r>
      <w:r>
        <w:rPr>
          <w:rFonts w:ascii="FangSong" w:hAnsi="FangSong" w:eastAsia="FangSong" w:cs="FangSong"/>
          <w:sz w:val="24"/>
          <w:szCs w:val="24"/>
        </w:rPr>
        <w:t>动人事信访事项，会</w:t>
      </w:r>
      <w:r>
        <w:rPr>
          <w:rFonts w:ascii="FangSong" w:hAnsi="FangSong" w:eastAsia="FangSong" w:cs="FangSong"/>
          <w:sz w:val="24"/>
          <w:szCs w:val="24"/>
        </w:rPr>
        <w:t xml:space="preserve"> </w:t>
      </w:r>
      <w:r>
        <w:rPr>
          <w:rFonts w:ascii="FangSong" w:hAnsi="FangSong" w:eastAsia="FangSong" w:cs="FangSong"/>
          <w:sz w:val="24"/>
          <w:szCs w:val="24"/>
          <w:spacing w:val="-2"/>
        </w:rPr>
        <w:t>同有关部门协调处理人社领域有关重大信访事件和突发事件。</w:t>
      </w:r>
    </w:p>
    <w:p>
      <w:pPr>
        <w:ind w:left="915"/>
        <w:spacing w:before="102" w:line="221" w:lineRule="auto"/>
        <w:rPr>
          <w:rFonts w:ascii="FangSong" w:hAnsi="FangSong" w:eastAsia="FangSong" w:cs="FangSong"/>
          <w:sz w:val="24"/>
          <w:szCs w:val="24"/>
        </w:rPr>
      </w:pPr>
      <w:r>
        <w:rPr>
          <w:rFonts w:ascii="FangSong" w:hAnsi="FangSong" w:eastAsia="FangSong" w:cs="FangSong"/>
          <w:sz w:val="24"/>
          <w:szCs w:val="24"/>
          <w:spacing w:val="-2"/>
        </w:rPr>
        <w:t>（十一）所属事业单位承担的行政职能全部划归行政机关。</w:t>
      </w:r>
    </w:p>
    <w:p>
      <w:pPr>
        <w:ind w:left="915"/>
        <w:spacing w:before="117" w:line="222" w:lineRule="auto"/>
        <w:rPr>
          <w:rFonts w:ascii="FangSong" w:hAnsi="FangSong" w:eastAsia="FangSong" w:cs="FangSong"/>
          <w:sz w:val="24"/>
          <w:szCs w:val="24"/>
        </w:rPr>
      </w:pPr>
      <w:r>
        <w:rPr>
          <w:rFonts w:ascii="FangSong" w:hAnsi="FangSong" w:eastAsia="FangSong" w:cs="FangSong"/>
          <w:sz w:val="24"/>
          <w:szCs w:val="24"/>
          <w:spacing w:val="-2"/>
        </w:rPr>
        <w:t>（十二）承担法律法规规定的其他职责。完成县委县政府交办的其他任务。</w:t>
      </w:r>
    </w:p>
    <w:p>
      <w:pPr>
        <w:ind w:left="915" w:right="874"/>
        <w:spacing w:before="119" w:line="277" w:lineRule="auto"/>
        <w:rPr>
          <w:rFonts w:ascii="FangSong" w:hAnsi="FangSong" w:eastAsia="FangSong" w:cs="FangSong"/>
          <w:sz w:val="24"/>
          <w:szCs w:val="24"/>
        </w:rPr>
      </w:pPr>
      <w:r>
        <w:rPr>
          <w:rFonts w:ascii="FangSong" w:hAnsi="FangSong" w:eastAsia="FangSong" w:cs="FangSong"/>
          <w:sz w:val="24"/>
          <w:szCs w:val="24"/>
          <w:spacing w:val="10"/>
        </w:rPr>
        <w:t>（十三）职能转变</w:t>
      </w:r>
      <w:r>
        <w:rPr>
          <w:rFonts w:ascii="FangSong" w:hAnsi="FangSong" w:eastAsia="FangSong" w:cs="FangSong"/>
          <w:sz w:val="24"/>
          <w:szCs w:val="24"/>
          <w:spacing w:val="-59"/>
        </w:rPr>
        <w:t xml:space="preserve"> </w:t>
      </w:r>
      <w:r>
        <w:rPr>
          <w:rFonts w:ascii="FangSong" w:hAnsi="FangSong" w:eastAsia="FangSong" w:cs="FangSong"/>
          <w:sz w:val="24"/>
          <w:szCs w:val="24"/>
          <w:spacing w:val="10"/>
        </w:rPr>
        <w:t>。大力精简行政审批事项</w:t>
      </w:r>
      <w:r>
        <w:rPr>
          <w:rFonts w:ascii="FangSong" w:hAnsi="FangSong" w:eastAsia="FangSong" w:cs="FangSong"/>
          <w:sz w:val="24"/>
          <w:szCs w:val="24"/>
          <w:spacing w:val="-72"/>
        </w:rPr>
        <w:t xml:space="preserve"> </w:t>
      </w:r>
      <w:r>
        <w:rPr>
          <w:rFonts w:ascii="FangSong" w:hAnsi="FangSong" w:eastAsia="FangSong" w:cs="FangSong"/>
          <w:sz w:val="24"/>
          <w:szCs w:val="24"/>
          <w:spacing w:val="10"/>
        </w:rPr>
        <w:t>，压缩涉民涉企审批和服务时限</w:t>
      </w:r>
      <w:r>
        <w:rPr>
          <w:rFonts w:ascii="FangSong" w:hAnsi="FangSong" w:eastAsia="FangSong" w:cs="FangSong"/>
          <w:sz w:val="24"/>
          <w:szCs w:val="24"/>
          <w:spacing w:val="-71"/>
        </w:rPr>
        <w:t xml:space="preserve"> </w:t>
      </w:r>
      <w:r>
        <w:rPr>
          <w:rFonts w:ascii="FangSong" w:hAnsi="FangSong" w:eastAsia="FangSong" w:cs="FangSong"/>
          <w:sz w:val="24"/>
          <w:szCs w:val="24"/>
          <w:spacing w:val="10"/>
        </w:rPr>
        <w:t>，实</w:t>
      </w:r>
      <w:r>
        <w:rPr>
          <w:rFonts w:ascii="FangSong" w:hAnsi="FangSong" w:eastAsia="FangSong" w:cs="FangSong"/>
          <w:sz w:val="24"/>
          <w:szCs w:val="24"/>
        </w:rPr>
        <w:t xml:space="preserve"> </w:t>
      </w:r>
      <w:r>
        <w:rPr>
          <w:rFonts w:ascii="FangSong" w:hAnsi="FangSong" w:eastAsia="FangSong" w:cs="FangSong"/>
          <w:sz w:val="24"/>
          <w:szCs w:val="24"/>
          <w:spacing w:val="1"/>
        </w:rPr>
        <w:t>施“互联网+人社</w:t>
      </w:r>
      <w:r>
        <w:rPr>
          <w:rFonts w:ascii="FangSong" w:hAnsi="FangSong" w:eastAsia="FangSong" w:cs="FangSong"/>
          <w:sz w:val="24"/>
          <w:szCs w:val="24"/>
          <w:spacing w:val="-84"/>
        </w:rPr>
        <w:t xml:space="preserve"> </w:t>
      </w:r>
      <w:r>
        <w:rPr>
          <w:rFonts w:ascii="FangSong" w:hAnsi="FangSong" w:eastAsia="FangSong" w:cs="FangSong"/>
          <w:sz w:val="24"/>
          <w:szCs w:val="24"/>
          <w:spacing w:val="1"/>
        </w:rPr>
        <w:t>”工程，提高事项“</w:t>
      </w:r>
      <w:r>
        <w:rPr>
          <w:rFonts w:ascii="FangSong" w:hAnsi="FangSong" w:eastAsia="FangSong" w:cs="FangSong"/>
          <w:sz w:val="24"/>
          <w:szCs w:val="24"/>
          <w:spacing w:val="-73"/>
        </w:rPr>
        <w:t xml:space="preserve"> </w:t>
      </w:r>
      <w:r>
        <w:rPr>
          <w:rFonts w:ascii="FangSong" w:hAnsi="FangSong" w:eastAsia="FangSong" w:cs="FangSong"/>
          <w:sz w:val="24"/>
          <w:szCs w:val="24"/>
          <w:spacing w:val="1"/>
        </w:rPr>
        <w:t>网上办理</w:t>
      </w:r>
      <w:r>
        <w:rPr>
          <w:rFonts w:ascii="FangSong" w:hAnsi="FangSong" w:eastAsia="FangSong" w:cs="FangSong"/>
          <w:sz w:val="24"/>
          <w:szCs w:val="24"/>
          <w:spacing w:val="-84"/>
        </w:rPr>
        <w:t xml:space="preserve"> </w:t>
      </w:r>
      <w:r>
        <w:rPr>
          <w:rFonts w:ascii="FangSong" w:hAnsi="FangSong" w:eastAsia="FangSong" w:cs="FangSong"/>
          <w:sz w:val="24"/>
          <w:szCs w:val="24"/>
          <w:spacing w:val="1"/>
        </w:rPr>
        <w:t>”比例，促进人力</w:t>
      </w:r>
      <w:r>
        <w:rPr>
          <w:rFonts w:ascii="FangSong" w:hAnsi="FangSong" w:eastAsia="FangSong" w:cs="FangSong"/>
          <w:sz w:val="24"/>
          <w:szCs w:val="24"/>
        </w:rPr>
        <w:t>资源和社会保障公</w:t>
      </w:r>
      <w:r>
        <w:rPr>
          <w:rFonts w:ascii="FangSong" w:hAnsi="FangSong" w:eastAsia="FangSong" w:cs="FangSong"/>
          <w:sz w:val="24"/>
          <w:szCs w:val="24"/>
        </w:rPr>
        <w:t xml:space="preserve"> </w:t>
      </w:r>
      <w:r>
        <w:rPr>
          <w:rFonts w:ascii="FangSong" w:hAnsi="FangSong" w:eastAsia="FangSong" w:cs="FangSong"/>
          <w:sz w:val="24"/>
          <w:szCs w:val="24"/>
          <w:spacing w:val="-3"/>
        </w:rPr>
        <w:t>共服务便民化，切实保障和改善民生。</w:t>
      </w:r>
    </w:p>
    <w:p>
      <w:pPr>
        <w:spacing w:line="277"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spacing w:line="270" w:lineRule="auto"/>
        <w:rPr>
          <w:rFonts w:ascii="Arial"/>
          <w:sz w:val="21"/>
        </w:rPr>
      </w:pPr>
      <w:r/>
    </w:p>
    <w:p>
      <w:pPr>
        <w:spacing w:line="271" w:lineRule="auto"/>
        <w:rPr>
          <w:rFonts w:ascii="Arial"/>
          <w:sz w:val="21"/>
        </w:rPr>
      </w:pPr>
      <w:r/>
    </w:p>
    <w:p>
      <w:pPr>
        <w:ind w:left="913"/>
        <w:spacing w:before="78" w:line="222" w:lineRule="auto"/>
        <w:outlineLvl w:val="1"/>
        <w:rPr>
          <w:rFonts w:ascii="SimHei" w:hAnsi="SimHei" w:eastAsia="SimHei" w:cs="SimHei"/>
          <w:sz w:val="24"/>
          <w:szCs w:val="24"/>
        </w:rPr>
      </w:pPr>
      <w:bookmarkStart w:name="bookmark36" w:id="5"/>
      <w:bookmarkEnd w:id="5"/>
      <w:bookmarkStart w:name="bookmark4" w:id="6"/>
      <w:bookmarkEnd w:id="6"/>
      <w:r>
        <w:rPr>
          <w:rFonts w:ascii="SimHei" w:hAnsi="SimHei" w:eastAsia="SimHei" w:cs="SimHei"/>
          <w:sz w:val="24"/>
          <w:szCs w:val="24"/>
          <w:spacing w:val="-2"/>
        </w:rPr>
        <w:t>二、机构设置情况</w:t>
      </w:r>
    </w:p>
    <w:p>
      <w:pPr>
        <w:ind w:left="920" w:right="875" w:firstLine="5"/>
        <w:spacing w:before="117" w:line="278" w:lineRule="auto"/>
        <w:rPr>
          <w:rFonts w:ascii="FangSong" w:hAnsi="FangSong" w:eastAsia="FangSong" w:cs="FangSong"/>
          <w:sz w:val="24"/>
          <w:szCs w:val="24"/>
        </w:rPr>
      </w:pPr>
      <w:r>
        <w:rPr>
          <w:rFonts w:ascii="FangSong" w:hAnsi="FangSong" w:eastAsia="FangSong" w:cs="FangSong"/>
          <w:sz w:val="24"/>
          <w:szCs w:val="24"/>
          <w:spacing w:val="4"/>
        </w:rPr>
        <w:t>1.机构设置。兴县人力资源和社会保障局下设4个</w:t>
      </w:r>
      <w:r>
        <w:rPr>
          <w:rFonts w:ascii="FangSong" w:hAnsi="FangSong" w:eastAsia="FangSong" w:cs="FangSong"/>
          <w:sz w:val="24"/>
          <w:szCs w:val="24"/>
          <w:spacing w:val="3"/>
        </w:rPr>
        <w:t>经办单位。包括：兴县人事考试中</w:t>
      </w:r>
      <w:r>
        <w:rPr>
          <w:rFonts w:ascii="FangSong" w:hAnsi="FangSong" w:eastAsia="FangSong" w:cs="FangSong"/>
          <w:sz w:val="24"/>
          <w:szCs w:val="24"/>
        </w:rPr>
        <w:t xml:space="preserve"> </w:t>
      </w:r>
      <w:r>
        <w:rPr>
          <w:rFonts w:ascii="FangSong" w:hAnsi="FangSong" w:eastAsia="FangSong" w:cs="FangSong"/>
          <w:sz w:val="24"/>
          <w:szCs w:val="24"/>
          <w:spacing w:val="7"/>
        </w:rPr>
        <w:t>心、兴县创业就业服务中心、兴县社会保险中心、兴县劳动保障监察综合行政执法</w:t>
      </w:r>
      <w:r>
        <w:rPr>
          <w:rFonts w:ascii="FangSong" w:hAnsi="FangSong" w:eastAsia="FangSong" w:cs="FangSong"/>
          <w:sz w:val="24"/>
          <w:szCs w:val="24"/>
          <w:spacing w:val="11"/>
        </w:rPr>
        <w:t xml:space="preserve"> </w:t>
      </w:r>
      <w:r>
        <w:rPr>
          <w:rFonts w:ascii="FangSong" w:hAnsi="FangSong" w:eastAsia="FangSong" w:cs="FangSong"/>
          <w:sz w:val="24"/>
          <w:szCs w:val="24"/>
          <w:spacing w:val="-14"/>
        </w:rPr>
        <w:t>队。</w:t>
      </w:r>
    </w:p>
    <w:p>
      <w:pPr>
        <w:ind w:left="915" w:right="924" w:hanging="4"/>
        <w:spacing w:before="114" w:line="261" w:lineRule="auto"/>
        <w:rPr>
          <w:rFonts w:ascii="FangSong" w:hAnsi="FangSong" w:eastAsia="FangSong" w:cs="FangSong"/>
          <w:sz w:val="24"/>
          <w:szCs w:val="24"/>
        </w:rPr>
      </w:pPr>
      <w:r>
        <w:rPr>
          <w:rFonts w:ascii="FangSong" w:hAnsi="FangSong" w:eastAsia="FangSong" w:cs="FangSong"/>
          <w:sz w:val="24"/>
          <w:szCs w:val="24"/>
          <w:spacing w:val="3"/>
        </w:rPr>
        <w:t>2.人员情况。本我单位目前共有在职在编干部职工</w:t>
      </w:r>
      <w:r>
        <w:rPr>
          <w:rFonts w:ascii="FangSong" w:hAnsi="FangSong" w:eastAsia="FangSong" w:cs="FangSong"/>
          <w:sz w:val="24"/>
          <w:szCs w:val="24"/>
          <w:spacing w:val="2"/>
        </w:rPr>
        <w:t>106人。其中：公务员编制11人，</w:t>
      </w:r>
      <w:r>
        <w:rPr>
          <w:rFonts w:ascii="FangSong" w:hAnsi="FangSong" w:eastAsia="FangSong" w:cs="FangSong"/>
          <w:sz w:val="24"/>
          <w:szCs w:val="24"/>
        </w:rPr>
        <w:t xml:space="preserve"> </w:t>
      </w:r>
      <w:r>
        <w:rPr>
          <w:rFonts w:ascii="FangSong" w:hAnsi="FangSong" w:eastAsia="FangSong" w:cs="FangSong"/>
          <w:sz w:val="24"/>
          <w:szCs w:val="24"/>
          <w:spacing w:val="-6"/>
        </w:rPr>
        <w:t>事业编制95人。</w:t>
      </w:r>
    </w:p>
    <w:p>
      <w:pPr>
        <w:spacing w:line="261" w:lineRule="auto"/>
        <w:sectPr>
          <w:footerReference w:type="default" r:id="rId4"/>
          <w:pgSz w:w="11900" w:h="16840"/>
          <w:pgMar w:top="642" w:right="600" w:bottom="340" w:left="600" w:header="326" w:footer="91"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18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部门名称：兴县人力资源和社会保障局</w:t>
            </w:r>
          </w:p>
        </w:tc>
        <w:tc>
          <w:tcPr>
            <w:tcW w:w="3362" w:type="dxa"/>
            <w:vAlign w:val="top"/>
            <w:gridSpan w:val="3"/>
            <w:tcBorders>
              <w:top w:val="single" w:color="FFFFFF" w:sz="6" w:space="0"/>
              <w:left w:val="single" w:color="FFFFFF" w:sz="2" w:space="0"/>
              <w:right w:val="single" w:color="FFFFFF" w:sz="2" w:space="0"/>
            </w:tcBorders>
          </w:tcPr>
          <w:p>
            <w:pPr>
              <w:ind w:left="243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2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6"/>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5415.75</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1"/>
              </w:rPr>
              <w:t>4401.64</w:t>
            </w:r>
          </w:p>
        </w:tc>
        <w:tc>
          <w:tcPr>
            <w:tcW w:w="1183" w:type="dxa"/>
            <w:vAlign w:val="top"/>
          </w:tcPr>
          <w:p>
            <w:pPr>
              <w:ind w:right="1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1"/>
              </w:rPr>
              <w:t>4387.43</w:t>
            </w:r>
          </w:p>
        </w:tc>
        <w:tc>
          <w:tcPr>
            <w:tcW w:w="981"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14.21</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1183"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876.00</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872.00</w:t>
            </w:r>
          </w:p>
        </w:tc>
        <w:tc>
          <w:tcPr>
            <w:tcW w:w="981"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183" w:type="dxa"/>
            <w:vAlign w:val="top"/>
          </w:tcPr>
          <w:p>
            <w:pPr>
              <w:ind w:right="1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rPr>
          <w:rFonts w:ascii="Arial"/>
          <w:sz w:val="21"/>
        </w:rPr>
      </w:pPr>
      <w:r/>
    </w:p>
    <w:p>
      <w:pPr>
        <w:sectPr>
          <w:footerReference w:type="default" r:id="rId5"/>
          <w:pgSz w:w="11900" w:h="16840"/>
          <w:pgMar w:top="642" w:right="600" w:bottom="340" w:left="600" w:header="326" w:footer="93"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5"/>
              <w:spacing w:before="186" w:line="184" w:lineRule="auto"/>
              <w:rPr>
                <w:sz w:val="15"/>
                <w:szCs w:val="15"/>
              </w:rPr>
            </w:pPr>
            <w:r>
              <w:rPr>
                <w:sz w:val="15"/>
                <w:szCs w:val="15"/>
                <w:color w:val="212529"/>
                <w:spacing w:val="2"/>
              </w:rPr>
              <w:t>5415.</w:t>
            </w:r>
            <w:r>
              <w:rPr>
                <w:sz w:val="15"/>
                <w:szCs w:val="15"/>
                <w:color w:val="212529"/>
                <w:spacing w:val="16"/>
                <w:w w:val="101"/>
              </w:rPr>
              <w:t xml:space="preserve"> </w:t>
            </w:r>
            <w:r>
              <w:rPr>
                <w:sz w:val="15"/>
                <w:szCs w:val="15"/>
                <w:color w:val="212529"/>
                <w:spacing w:val="2"/>
              </w:rPr>
              <w:t>75</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6"/>
              <w:spacing w:before="187" w:line="161" w:lineRule="auto"/>
              <w:rPr>
                <w:sz w:val="17"/>
                <w:szCs w:val="17"/>
              </w:rPr>
            </w:pPr>
            <w:r>
              <w:rPr>
                <w:sz w:val="17"/>
                <w:szCs w:val="17"/>
                <w:color w:val="212529"/>
              </w:rPr>
              <w:t>5433.97</w:t>
            </w:r>
          </w:p>
        </w:tc>
        <w:tc>
          <w:tcPr>
            <w:tcW w:w="1183" w:type="dxa"/>
            <w:vAlign w:val="top"/>
          </w:tcPr>
          <w:p>
            <w:pPr>
              <w:pStyle w:val="TableText"/>
              <w:ind w:left="530"/>
              <w:spacing w:before="186" w:line="184" w:lineRule="auto"/>
              <w:rPr>
                <w:sz w:val="15"/>
                <w:szCs w:val="15"/>
              </w:rPr>
            </w:pPr>
            <w:r>
              <w:rPr>
                <w:sz w:val="15"/>
                <w:szCs w:val="15"/>
                <w:color w:val="212529"/>
                <w:spacing w:val="3"/>
              </w:rPr>
              <w:t>5415.</w:t>
            </w:r>
            <w:r>
              <w:rPr>
                <w:sz w:val="15"/>
                <w:szCs w:val="15"/>
                <w:color w:val="212529"/>
                <w:spacing w:val="9"/>
              </w:rPr>
              <w:t xml:space="preserve"> </w:t>
            </w:r>
            <w:r>
              <w:rPr>
                <w:sz w:val="15"/>
                <w:szCs w:val="15"/>
                <w:color w:val="212529"/>
                <w:spacing w:val="3"/>
              </w:rPr>
              <w:t>75</w:t>
            </w:r>
          </w:p>
        </w:tc>
        <w:tc>
          <w:tcPr>
            <w:tcW w:w="981" w:type="dxa"/>
            <w:vAlign w:val="top"/>
          </w:tcPr>
          <w:p>
            <w:pPr>
              <w:pStyle w:val="TableText"/>
              <w:ind w:left="506"/>
              <w:spacing w:before="186"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21</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51"/>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18.21</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5"/>
              <w:spacing w:before="188" w:line="183" w:lineRule="auto"/>
              <w:rPr>
                <w:sz w:val="15"/>
                <w:szCs w:val="15"/>
              </w:rPr>
            </w:pPr>
            <w:r>
              <w:rPr>
                <w:sz w:val="15"/>
                <w:szCs w:val="15"/>
                <w:color w:val="212529"/>
                <w:spacing w:val="2"/>
              </w:rPr>
              <w:t>5433.</w:t>
            </w:r>
            <w:r>
              <w:rPr>
                <w:sz w:val="15"/>
                <w:szCs w:val="15"/>
                <w:color w:val="212529"/>
                <w:spacing w:val="17"/>
                <w:w w:val="101"/>
              </w:rPr>
              <w:t xml:space="preserve"> </w:t>
            </w:r>
            <w:r>
              <w:rPr>
                <w:sz w:val="15"/>
                <w:szCs w:val="15"/>
                <w:color w:val="212529"/>
                <w:spacing w:val="2"/>
              </w:rPr>
              <w:t>97</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6"/>
              <w:spacing w:before="189" w:line="161" w:lineRule="auto"/>
              <w:rPr>
                <w:sz w:val="17"/>
                <w:szCs w:val="17"/>
              </w:rPr>
            </w:pPr>
            <w:r>
              <w:rPr>
                <w:sz w:val="17"/>
                <w:szCs w:val="17"/>
                <w:color w:val="212529"/>
              </w:rPr>
              <w:t>5433.97</w:t>
            </w:r>
          </w:p>
        </w:tc>
        <w:tc>
          <w:tcPr>
            <w:tcW w:w="1183" w:type="dxa"/>
            <w:vAlign w:val="top"/>
          </w:tcPr>
          <w:p>
            <w:pPr>
              <w:pStyle w:val="TableText"/>
              <w:ind w:left="530"/>
              <w:spacing w:before="188" w:line="184" w:lineRule="auto"/>
              <w:rPr>
                <w:sz w:val="15"/>
                <w:szCs w:val="15"/>
              </w:rPr>
            </w:pPr>
            <w:r>
              <w:rPr>
                <w:sz w:val="15"/>
                <w:szCs w:val="15"/>
                <w:color w:val="212529"/>
                <w:spacing w:val="3"/>
              </w:rPr>
              <w:t>5415.</w:t>
            </w:r>
            <w:r>
              <w:rPr>
                <w:sz w:val="15"/>
                <w:szCs w:val="15"/>
                <w:color w:val="212529"/>
                <w:spacing w:val="9"/>
              </w:rPr>
              <w:t xml:space="preserve"> </w:t>
            </w:r>
            <w:r>
              <w:rPr>
                <w:sz w:val="15"/>
                <w:szCs w:val="15"/>
                <w:color w:val="212529"/>
                <w:spacing w:val="3"/>
              </w:rPr>
              <w:t>75</w:t>
            </w:r>
          </w:p>
        </w:tc>
        <w:tc>
          <w:tcPr>
            <w:tcW w:w="981" w:type="dxa"/>
            <w:vAlign w:val="top"/>
          </w:tcPr>
          <w:p>
            <w:pPr>
              <w:pStyle w:val="TableText"/>
              <w:ind w:left="506"/>
              <w:spacing w:before="188"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21</w:t>
            </w:r>
          </w:p>
        </w:tc>
      </w:tr>
    </w:tbl>
    <w:p>
      <w:pPr>
        <w:rPr>
          <w:rFonts w:ascii="Arial"/>
          <w:sz w:val="21"/>
        </w:rPr>
      </w:pPr>
      <w:r/>
    </w:p>
    <w:p>
      <w:pPr>
        <w:sectPr>
          <w:footerReference w:type="default" r:id="rId6"/>
          <w:pgSz w:w="11900" w:h="16840"/>
          <w:pgMar w:top="642" w:right="600" w:bottom="340" w:left="600" w:header="326" w:footer="93"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2997"/>
        <w:gridCol w:w="1618"/>
        <w:gridCol w:w="1408"/>
        <w:gridCol w:w="1049"/>
        <w:gridCol w:w="1258"/>
        <w:gridCol w:w="1258"/>
        <w:gridCol w:w="989"/>
        <w:gridCol w:w="1326"/>
      </w:tblGrid>
      <w:tr>
        <w:trPr>
          <w:trHeight w:val="442" w:hRule="atLeast"/>
        </w:trPr>
        <w:tc>
          <w:tcPr>
            <w:tcW w:w="156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6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0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4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15" w:type="dxa"/>
            <w:vAlign w:val="top"/>
            <w:gridSpan w:val="2"/>
            <w:tcBorders>
              <w:left w:val="single" w:color="FFFFFF" w:sz="2" w:space="0"/>
              <w:right w:val="single" w:color="FFFFFF" w:sz="2" w:space="0"/>
              <w:bottom w:val="single" w:color="FFFFFF" w:sz="6" w:space="0"/>
              <w:top w:val="single" w:color="FFFFFF" w:sz="6" w:space="0"/>
            </w:tcBorders>
          </w:tcPr>
          <w:p>
            <w:pPr>
              <w:ind w:left="129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10"/>
            <w:bookmarkEnd w:id="10"/>
            <w:bookmarkStart w:name="bookmark7" w:id="11"/>
            <w:bookmarkEnd w:id="11"/>
            <w:r>
              <w:rPr>
                <w:rFonts w:ascii="Microsoft YaHei" w:hAnsi="Microsoft YaHei" w:eastAsia="Microsoft YaHei" w:cs="Microsoft YaHei"/>
                <w:sz w:val="23"/>
                <w:szCs w:val="23"/>
                <w:color w:val="212529"/>
                <w:position w:val="-1"/>
              </w:rPr>
              <w:t>2025年预算收入总表</w:t>
            </w:r>
          </w:p>
        </w:tc>
      </w:tr>
      <w:tr>
        <w:trPr>
          <w:trHeight w:val="434" w:hRule="atLeast"/>
        </w:trPr>
        <w:tc>
          <w:tcPr>
            <w:tcW w:w="456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部门名称：兴县人力资源和社会保障局</w:t>
            </w:r>
          </w:p>
        </w:tc>
        <w:tc>
          <w:tcPr>
            <w:tcW w:w="1618" w:type="dxa"/>
            <w:vAlign w:val="top"/>
            <w:tcBorders>
              <w:left w:val="single" w:color="FFFFFF" w:sz="2" w:space="0"/>
              <w:right w:val="single" w:color="FFFFFF" w:sz="2" w:space="0"/>
              <w:top w:val="single" w:color="FFFFFF" w:sz="6" w:space="0"/>
            </w:tcBorders>
          </w:tcPr>
          <w:p>
            <w:pPr>
              <w:pStyle w:val="TableText"/>
              <w:rPr/>
            </w:pPr>
            <w:r/>
          </w:p>
        </w:tc>
        <w:tc>
          <w:tcPr>
            <w:tcW w:w="1408" w:type="dxa"/>
            <w:vAlign w:val="top"/>
            <w:tcBorders>
              <w:left w:val="single" w:color="FFFFFF" w:sz="2" w:space="0"/>
              <w:right w:val="single" w:color="FFFFFF" w:sz="2" w:space="0"/>
              <w:top w:val="single" w:color="FFFFFF" w:sz="6" w:space="0"/>
            </w:tcBorders>
          </w:tcPr>
          <w:p>
            <w:pPr>
              <w:pStyle w:val="TableText"/>
              <w:rPr/>
            </w:pPr>
            <w:r/>
          </w:p>
        </w:tc>
        <w:tc>
          <w:tcPr>
            <w:tcW w:w="1049"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2315" w:type="dxa"/>
            <w:vAlign w:val="top"/>
            <w:gridSpan w:val="2"/>
            <w:tcBorders>
              <w:left w:val="single" w:color="FFFFFF" w:sz="2" w:space="0"/>
              <w:right w:val="single" w:color="FFFFFF" w:sz="2" w:space="0"/>
              <w:top w:val="single" w:color="FFFFFF" w:sz="6" w:space="0"/>
            </w:tcBorders>
          </w:tcPr>
          <w:p>
            <w:pPr>
              <w:ind w:left="138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563" w:type="dxa"/>
            <w:vAlign w:val="top"/>
            <w:gridSpan w:val="2"/>
          </w:tcPr>
          <w:p>
            <w:pPr>
              <w:ind w:left="208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580" w:type="dxa"/>
            <w:vAlign w:val="top"/>
            <w:gridSpan w:val="6"/>
          </w:tcPr>
          <w:p>
            <w:pPr>
              <w:ind w:left="342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326" w:type="dxa"/>
            <w:vAlign w:val="top"/>
            <w:vMerge w:val="restart"/>
            <w:tcBorders>
              <w:bottom w:val="nil"/>
            </w:tcBorders>
          </w:tcPr>
          <w:p>
            <w:pPr>
              <w:pStyle w:val="TableText"/>
              <w:spacing w:line="273" w:lineRule="auto"/>
              <w:rPr/>
            </w:pPr>
            <w:r/>
          </w:p>
          <w:p>
            <w:pPr>
              <w:ind w:left="29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66" w:type="dxa"/>
            <w:vAlign w:val="top"/>
          </w:tcPr>
          <w:p>
            <w:pPr>
              <w:ind w:left="39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618" w:type="dxa"/>
            <w:vAlign w:val="top"/>
          </w:tcPr>
          <w:p>
            <w:pPr>
              <w:ind w:left="612"/>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08" w:type="dxa"/>
            <w:vAlign w:val="top"/>
          </w:tcPr>
          <w:p>
            <w:pPr>
              <w:ind w:left="1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49" w:type="dxa"/>
            <w:vAlign w:val="top"/>
          </w:tcPr>
          <w:p>
            <w:pPr>
              <w:ind w:left="5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58" w:type="dxa"/>
            <w:vAlign w:val="top"/>
          </w:tcPr>
          <w:p>
            <w:pPr>
              <w:ind w:left="89"/>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27"/>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预算</w:t>
            </w:r>
          </w:p>
        </w:tc>
        <w:tc>
          <w:tcPr>
            <w:tcW w:w="1258" w:type="dxa"/>
            <w:vAlign w:val="top"/>
          </w:tcPr>
          <w:p>
            <w:pPr>
              <w:ind w:left="75"/>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41"/>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989" w:type="dxa"/>
            <w:vAlign w:val="top"/>
          </w:tcPr>
          <w:p>
            <w:pPr>
              <w:ind w:left="12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326" w:type="dxa"/>
            <w:vAlign w:val="top"/>
            <w:vMerge w:val="continue"/>
            <w:tcBorders>
              <w:top w:val="nil"/>
            </w:tcBorders>
          </w:tcPr>
          <w:p>
            <w:pPr>
              <w:pStyle w:val="TableText"/>
              <w:rPr/>
            </w:pPr>
            <w:r/>
          </w:p>
        </w:tc>
      </w:tr>
      <w:tr>
        <w:trPr>
          <w:trHeight w:val="434" w:hRule="atLeast"/>
        </w:trPr>
        <w:tc>
          <w:tcPr>
            <w:tcW w:w="4563" w:type="dxa"/>
            <w:vAlign w:val="top"/>
            <w:gridSpan w:val="2"/>
          </w:tcPr>
          <w:p>
            <w:pPr>
              <w:ind w:left="208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618" w:type="dxa"/>
            <w:vAlign w:val="top"/>
          </w:tcPr>
          <w:p>
            <w:pPr>
              <w:pStyle w:val="TableText"/>
              <w:ind w:left="949"/>
              <w:spacing w:before="149" w:line="184" w:lineRule="auto"/>
              <w:rPr>
                <w:sz w:val="15"/>
                <w:szCs w:val="15"/>
              </w:rPr>
            </w:pPr>
            <w:r>
              <w:rPr>
                <w:sz w:val="15"/>
                <w:szCs w:val="15"/>
                <w:color w:val="212529"/>
                <w:spacing w:val="3"/>
              </w:rPr>
              <w:t>5415.</w:t>
            </w:r>
            <w:r>
              <w:rPr>
                <w:sz w:val="15"/>
                <w:szCs w:val="15"/>
                <w:color w:val="212529"/>
                <w:spacing w:val="9"/>
              </w:rPr>
              <w:t xml:space="preserve"> </w:t>
            </w:r>
            <w:r>
              <w:rPr>
                <w:sz w:val="15"/>
                <w:szCs w:val="15"/>
                <w:color w:val="212529"/>
                <w:spacing w:val="3"/>
              </w:rPr>
              <w:t>75</w:t>
            </w:r>
          </w:p>
        </w:tc>
        <w:tc>
          <w:tcPr>
            <w:tcW w:w="1408" w:type="dxa"/>
            <w:vAlign w:val="top"/>
          </w:tcPr>
          <w:p>
            <w:pPr>
              <w:pStyle w:val="TableText"/>
              <w:ind w:left="744"/>
              <w:spacing w:before="149" w:line="184" w:lineRule="auto"/>
              <w:rPr>
                <w:sz w:val="15"/>
                <w:szCs w:val="15"/>
              </w:rPr>
            </w:pPr>
            <w:r>
              <w:rPr>
                <w:sz w:val="15"/>
                <w:szCs w:val="15"/>
                <w:color w:val="212529"/>
                <w:spacing w:val="2"/>
              </w:rPr>
              <w:t>5415.</w:t>
            </w:r>
            <w:r>
              <w:rPr>
                <w:sz w:val="15"/>
                <w:szCs w:val="15"/>
                <w:color w:val="212529"/>
                <w:spacing w:val="16"/>
                <w:w w:val="101"/>
              </w:rPr>
              <w:t xml:space="preserve"> </w:t>
            </w:r>
            <w:r>
              <w:rPr>
                <w:sz w:val="15"/>
                <w:szCs w:val="15"/>
                <w:color w:val="212529"/>
                <w:spacing w:val="2"/>
              </w:rPr>
              <w:t>75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ind w:left="852"/>
              <w:spacing w:before="149"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21</w:t>
            </w:r>
          </w:p>
        </w:tc>
      </w:tr>
      <w:tr>
        <w:trPr>
          <w:trHeight w:val="434" w:hRule="atLeast"/>
        </w:trPr>
        <w:tc>
          <w:tcPr>
            <w:tcW w:w="156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18" w:type="dxa"/>
            <w:vAlign w:val="top"/>
          </w:tcPr>
          <w:p>
            <w:pPr>
              <w:ind w:right="3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4387.43</w:t>
            </w:r>
          </w:p>
        </w:tc>
        <w:tc>
          <w:tcPr>
            <w:tcW w:w="1408"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4387.43</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14.21</w:t>
            </w:r>
          </w:p>
        </w:tc>
      </w:tr>
      <w:tr>
        <w:trPr>
          <w:trHeight w:val="434" w:hRule="atLeast"/>
        </w:trPr>
        <w:tc>
          <w:tcPr>
            <w:tcW w:w="156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20801</w:t>
            </w:r>
          </w:p>
        </w:tc>
        <w:tc>
          <w:tcPr>
            <w:tcW w:w="2997"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人力资源和社会保障管理事务</w:t>
            </w:r>
          </w:p>
        </w:tc>
        <w:tc>
          <w:tcPr>
            <w:tcW w:w="1618"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3119.15</w:t>
            </w:r>
          </w:p>
        </w:tc>
        <w:tc>
          <w:tcPr>
            <w:tcW w:w="1408"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3119.15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2080101</w:t>
            </w:r>
          </w:p>
        </w:tc>
        <w:tc>
          <w:tcPr>
            <w:tcW w:w="299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618"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252.63</w:t>
            </w:r>
          </w:p>
        </w:tc>
        <w:tc>
          <w:tcPr>
            <w:tcW w:w="1408" w:type="dxa"/>
            <w:vAlign w:val="top"/>
          </w:tcPr>
          <w:p>
            <w:pPr>
              <w:ind w:right="27"/>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252.63</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2080105</w:t>
            </w:r>
          </w:p>
        </w:tc>
        <w:tc>
          <w:tcPr>
            <w:tcW w:w="2997"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劳动保障监察</w:t>
            </w:r>
          </w:p>
        </w:tc>
        <w:tc>
          <w:tcPr>
            <w:tcW w:w="1618"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22.50</w:t>
            </w:r>
          </w:p>
        </w:tc>
        <w:tc>
          <w:tcPr>
            <w:tcW w:w="1408"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22.50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2080106</w:t>
            </w:r>
          </w:p>
        </w:tc>
        <w:tc>
          <w:tcPr>
            <w:tcW w:w="2997"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就业管理事务</w:t>
            </w:r>
          </w:p>
        </w:tc>
        <w:tc>
          <w:tcPr>
            <w:tcW w:w="1618" w:type="dxa"/>
            <w:vAlign w:val="top"/>
          </w:tcPr>
          <w:p>
            <w:pPr>
              <w:ind w:right="3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408"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2080109</w:t>
            </w:r>
          </w:p>
        </w:tc>
        <w:tc>
          <w:tcPr>
            <w:tcW w:w="299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1"/>
              </w:rPr>
              <w:t>社会保险经办机构</w:t>
            </w:r>
          </w:p>
        </w:tc>
        <w:tc>
          <w:tcPr>
            <w:tcW w:w="1618"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c>
          <w:tcPr>
            <w:tcW w:w="1408" w:type="dxa"/>
            <w:vAlign w:val="top"/>
          </w:tcPr>
          <w:p>
            <w:pPr>
              <w:ind w:right="26"/>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2080111</w:t>
            </w:r>
          </w:p>
        </w:tc>
        <w:tc>
          <w:tcPr>
            <w:tcW w:w="2997" w:type="dxa"/>
            <w:vAlign w:val="top"/>
          </w:tcPr>
          <w:p>
            <w:pPr>
              <w:ind w:left="4"/>
              <w:spacing w:before="134" w:line="218" w:lineRule="auto"/>
              <w:rPr>
                <w:rFonts w:ascii="SimSun" w:hAnsi="SimSun" w:eastAsia="SimSun" w:cs="SimSun"/>
                <w:sz w:val="18"/>
                <w:szCs w:val="18"/>
              </w:rPr>
            </w:pPr>
            <w:r>
              <w:rPr>
                <w:rFonts w:ascii="SimSun" w:hAnsi="SimSun" w:eastAsia="SimSun" w:cs="SimSun"/>
                <w:sz w:val="18"/>
                <w:szCs w:val="18"/>
                <w:color w:val="212529"/>
                <w:spacing w:val="-1"/>
              </w:rPr>
              <w:t>公共就业服务和职业技能鉴定机构</w:t>
            </w:r>
          </w:p>
        </w:tc>
        <w:tc>
          <w:tcPr>
            <w:tcW w:w="1618" w:type="dxa"/>
            <w:vAlign w:val="top"/>
          </w:tcPr>
          <w:p>
            <w:pPr>
              <w:ind w:right="3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260.02</w:t>
            </w:r>
          </w:p>
        </w:tc>
        <w:tc>
          <w:tcPr>
            <w:tcW w:w="1408" w:type="dxa"/>
            <w:vAlign w:val="top"/>
          </w:tcPr>
          <w:p>
            <w:pPr>
              <w:ind w:right="27"/>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260.02</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2080112</w:t>
            </w:r>
          </w:p>
        </w:tc>
        <w:tc>
          <w:tcPr>
            <w:tcW w:w="2997" w:type="dxa"/>
            <w:vAlign w:val="top"/>
          </w:tcPr>
          <w:p>
            <w:pPr>
              <w:ind w:left="4"/>
              <w:spacing w:before="135" w:line="219" w:lineRule="auto"/>
              <w:rPr>
                <w:rFonts w:ascii="SimSun" w:hAnsi="SimSun" w:eastAsia="SimSun" w:cs="SimSun"/>
                <w:sz w:val="18"/>
                <w:szCs w:val="18"/>
              </w:rPr>
            </w:pPr>
            <w:r>
              <w:rPr>
                <w:rFonts w:ascii="SimSun" w:hAnsi="SimSun" w:eastAsia="SimSun" w:cs="SimSun"/>
                <w:sz w:val="18"/>
                <w:szCs w:val="18"/>
                <w:color w:val="212529"/>
                <w:spacing w:val="-2"/>
              </w:rPr>
              <w:t>劳动人事争议调解仲裁</w:t>
            </w:r>
          </w:p>
        </w:tc>
        <w:tc>
          <w:tcPr>
            <w:tcW w:w="1618"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3.07</w:t>
            </w:r>
          </w:p>
        </w:tc>
        <w:tc>
          <w:tcPr>
            <w:tcW w:w="1408"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3.07</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2080150</w:t>
            </w:r>
          </w:p>
        </w:tc>
        <w:tc>
          <w:tcPr>
            <w:tcW w:w="299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618" w:type="dxa"/>
            <w:vAlign w:val="top"/>
          </w:tcPr>
          <w:p>
            <w:pPr>
              <w:ind w:right="3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859.55</w:t>
            </w:r>
          </w:p>
        </w:tc>
        <w:tc>
          <w:tcPr>
            <w:tcW w:w="1408"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859.55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2080199</w:t>
            </w:r>
          </w:p>
        </w:tc>
        <w:tc>
          <w:tcPr>
            <w:tcW w:w="2997" w:type="dxa"/>
            <w:vAlign w:val="top"/>
          </w:tcPr>
          <w:p>
            <w:pPr>
              <w:ind w:left="16" w:right="109" w:hanging="16"/>
              <w:spacing w:before="33" w:line="200" w:lineRule="auto"/>
              <w:rPr>
                <w:rFonts w:ascii="SimSun" w:hAnsi="SimSun" w:eastAsia="SimSun" w:cs="SimSun"/>
                <w:sz w:val="18"/>
                <w:szCs w:val="18"/>
              </w:rPr>
            </w:pPr>
            <w:r>
              <w:rPr>
                <w:rFonts w:ascii="SimSun" w:hAnsi="SimSun" w:eastAsia="SimSun" w:cs="SimSun"/>
                <w:sz w:val="18"/>
                <w:szCs w:val="18"/>
                <w:color w:val="212529"/>
                <w:spacing w:val="-1"/>
              </w:rPr>
              <w:t>其他人力资源和社会保障管理事务支</w:t>
            </w:r>
            <w:r>
              <w:rPr>
                <w:rFonts w:ascii="SimSun" w:hAnsi="SimSun" w:eastAsia="SimSun" w:cs="SimSun"/>
                <w:sz w:val="18"/>
                <w:szCs w:val="18"/>
                <w:color w:val="212529"/>
                <w:spacing w:val="7"/>
              </w:rPr>
              <w:t xml:space="preserve"> </w:t>
            </w:r>
            <w:r>
              <w:rPr>
                <w:rFonts w:ascii="SimSun" w:hAnsi="SimSun" w:eastAsia="SimSun" w:cs="SimSun"/>
                <w:sz w:val="18"/>
                <w:szCs w:val="18"/>
                <w:color w:val="212529"/>
              </w:rPr>
              <w:t>出</w:t>
            </w:r>
          </w:p>
        </w:tc>
        <w:tc>
          <w:tcPr>
            <w:tcW w:w="1618" w:type="dxa"/>
            <w:vAlign w:val="top"/>
          </w:tcPr>
          <w:p>
            <w:pPr>
              <w:ind w:right="3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1689.38</w:t>
            </w:r>
          </w:p>
        </w:tc>
        <w:tc>
          <w:tcPr>
            <w:tcW w:w="1408" w:type="dxa"/>
            <w:vAlign w:val="top"/>
          </w:tcPr>
          <w:p>
            <w:pPr>
              <w:ind w:right="25"/>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1689.38</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61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182.72</w:t>
            </w:r>
          </w:p>
        </w:tc>
        <w:tc>
          <w:tcPr>
            <w:tcW w:w="1408"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182.72</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9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32.31</w:t>
            </w:r>
          </w:p>
        </w:tc>
        <w:tc>
          <w:tcPr>
            <w:tcW w:w="140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32.31</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1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125.41</w:t>
            </w:r>
          </w:p>
        </w:tc>
        <w:tc>
          <w:tcPr>
            <w:tcW w:w="1408"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125.41</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61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25.00</w:t>
            </w:r>
          </w:p>
        </w:tc>
        <w:tc>
          <w:tcPr>
            <w:tcW w:w="140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20807</w:t>
            </w:r>
          </w:p>
        </w:tc>
        <w:tc>
          <w:tcPr>
            <w:tcW w:w="299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就业补助</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1085.56</w:t>
            </w:r>
          </w:p>
        </w:tc>
        <w:tc>
          <w:tcPr>
            <w:tcW w:w="1408"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1085.56</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14.21</w:t>
            </w:r>
          </w:p>
        </w:tc>
      </w:tr>
      <w:tr>
        <w:trPr>
          <w:trHeight w:val="442"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2080799</w:t>
            </w:r>
          </w:p>
        </w:tc>
        <w:tc>
          <w:tcPr>
            <w:tcW w:w="299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其他就业补助支出</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1085.56</w:t>
            </w:r>
          </w:p>
        </w:tc>
        <w:tc>
          <w:tcPr>
            <w:tcW w:w="1408"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1085.56</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14.21</w:t>
            </w:r>
          </w:p>
        </w:tc>
      </w:tr>
    </w:tbl>
    <w:p>
      <w:pPr>
        <w:rPr>
          <w:rFonts w:ascii="Arial"/>
          <w:sz w:val="21"/>
        </w:rPr>
      </w:pPr>
      <w:r/>
    </w:p>
    <w:p>
      <w:pPr>
        <w:sectPr>
          <w:headerReference w:type="default" r:id="rId7"/>
          <w:footerReference w:type="default" r:id="rId8"/>
          <w:pgSz w:w="16840" w:h="11900"/>
          <w:pgMar w:top="642" w:right="600" w:bottom="340" w:left="600" w:header="326" w:footer="93" w:gutter="0"/>
        </w:sectPr>
        <w:rPr>
          <w:rFonts w:ascii="Arial" w:hAnsi="Arial" w:eastAsia="Arial" w:cs="Arial"/>
          <w:sz w:val="21"/>
          <w:szCs w:val="21"/>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2997"/>
        <w:gridCol w:w="1618"/>
        <w:gridCol w:w="1408"/>
        <w:gridCol w:w="1049"/>
        <w:gridCol w:w="1258"/>
        <w:gridCol w:w="1258"/>
        <w:gridCol w:w="989"/>
        <w:gridCol w:w="1326"/>
      </w:tblGrid>
      <w:tr>
        <w:trPr>
          <w:trHeight w:val="441" w:hRule="atLeast"/>
        </w:trPr>
        <w:tc>
          <w:tcPr>
            <w:tcW w:w="156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1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1408"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3" w:hRule="atLeast"/>
        </w:trPr>
        <w:tc>
          <w:tcPr>
            <w:tcW w:w="156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618" w:type="dxa"/>
            <w:vAlign w:val="top"/>
          </w:tcPr>
          <w:p>
            <w:pPr>
              <w:ind w:right="3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1408" w:type="dxa"/>
            <w:vAlign w:val="top"/>
          </w:tcPr>
          <w:p>
            <w:pPr>
              <w:ind w:right="26"/>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54.52</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97"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61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7.73</w:t>
            </w:r>
          </w:p>
        </w:tc>
        <w:tc>
          <w:tcPr>
            <w:tcW w:w="1408" w:type="dxa"/>
            <w:vAlign w:val="top"/>
          </w:tcPr>
          <w:p>
            <w:pPr>
              <w:ind w:right="25"/>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7.73</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18"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43.22</w:t>
            </w:r>
          </w:p>
        </w:tc>
        <w:tc>
          <w:tcPr>
            <w:tcW w:w="1408" w:type="dxa"/>
            <w:vAlign w:val="top"/>
          </w:tcPr>
          <w:p>
            <w:pPr>
              <w:ind w:right="27"/>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43.22</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4"/>
              <w:spacing w:before="113"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18"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408"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97"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61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872.00</w:t>
            </w:r>
          </w:p>
        </w:tc>
        <w:tc>
          <w:tcPr>
            <w:tcW w:w="1408" w:type="dxa"/>
            <w:vAlign w:val="top"/>
          </w:tcPr>
          <w:p>
            <w:pPr>
              <w:ind w:right="27"/>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872.00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7"/>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434" w:hRule="atLeast"/>
        </w:trPr>
        <w:tc>
          <w:tcPr>
            <w:tcW w:w="156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997" w:type="dxa"/>
            <w:vAlign w:val="top"/>
          </w:tcPr>
          <w:p>
            <w:pPr>
              <w:spacing w:before="115"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61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865.00</w:t>
            </w:r>
          </w:p>
        </w:tc>
        <w:tc>
          <w:tcPr>
            <w:tcW w:w="1408" w:type="dxa"/>
            <w:vAlign w:val="top"/>
          </w:tcPr>
          <w:p>
            <w:pPr>
              <w:ind w:right="27"/>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865.00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997" w:type="dxa"/>
            <w:vAlign w:val="top"/>
          </w:tcPr>
          <w:p>
            <w:pPr>
              <w:ind w:left="1" w:right="109" w:hanging="1"/>
              <w:spacing w:before="12" w:line="211"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2"/>
              </w:rPr>
              <w:t>支出</w:t>
            </w:r>
          </w:p>
        </w:tc>
        <w:tc>
          <w:tcPr>
            <w:tcW w:w="1618"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865.00</w:t>
            </w:r>
          </w:p>
        </w:tc>
        <w:tc>
          <w:tcPr>
            <w:tcW w:w="1408" w:type="dxa"/>
            <w:vAlign w:val="top"/>
          </w:tcPr>
          <w:p>
            <w:pPr>
              <w:ind w:right="27"/>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865.00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21308</w:t>
            </w:r>
          </w:p>
        </w:tc>
        <w:tc>
          <w:tcPr>
            <w:tcW w:w="2997"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1"/>
              </w:rPr>
              <w:t>普惠金融发展支出</w:t>
            </w:r>
          </w:p>
        </w:tc>
        <w:tc>
          <w:tcPr>
            <w:tcW w:w="1618"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408" w:type="dxa"/>
            <w:vAlign w:val="top"/>
          </w:tcPr>
          <w:p>
            <w:pPr>
              <w:ind w:right="25"/>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7"/>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434" w:hRule="atLeast"/>
        </w:trPr>
        <w:tc>
          <w:tcPr>
            <w:tcW w:w="156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2130804</w:t>
            </w:r>
          </w:p>
        </w:tc>
        <w:tc>
          <w:tcPr>
            <w:tcW w:w="2997"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1"/>
              </w:rPr>
              <w:t>创业担保贷款贴息及奖补</w:t>
            </w:r>
          </w:p>
        </w:tc>
        <w:tc>
          <w:tcPr>
            <w:tcW w:w="1618" w:type="dxa"/>
            <w:vAlign w:val="top"/>
          </w:tcPr>
          <w:p>
            <w:pPr>
              <w:ind w:right="3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408"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7"/>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434" w:hRule="atLeast"/>
        </w:trPr>
        <w:tc>
          <w:tcPr>
            <w:tcW w:w="1566"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18"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408" w:type="dxa"/>
            <w:vAlign w:val="top"/>
          </w:tcPr>
          <w:p>
            <w:pPr>
              <w:ind w:right="25"/>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18" w:type="dxa"/>
            <w:vAlign w:val="top"/>
          </w:tcPr>
          <w:p>
            <w:pPr>
              <w:ind w:right="3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408" w:type="dxa"/>
            <w:vAlign w:val="top"/>
          </w:tcPr>
          <w:p>
            <w:pPr>
              <w:ind w:right="25"/>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41" w:hRule="atLeast"/>
        </w:trPr>
        <w:tc>
          <w:tcPr>
            <w:tcW w:w="156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18"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408" w:type="dxa"/>
            <w:vAlign w:val="top"/>
          </w:tcPr>
          <w:p>
            <w:pPr>
              <w:ind w:right="25"/>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101.80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bl>
    <w:p>
      <w:pPr>
        <w:rPr>
          <w:rFonts w:ascii="Arial"/>
          <w:sz w:val="21"/>
        </w:rPr>
      </w:pPr>
      <w:r/>
    </w:p>
    <w:p>
      <w:pPr>
        <w:sectPr>
          <w:footerReference w:type="default" r:id="rId9"/>
          <w:pgSz w:w="16840" w:h="1190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045"/>
        <w:gridCol w:w="1480"/>
        <w:gridCol w:w="1436"/>
        <w:gridCol w:w="1431"/>
      </w:tblGrid>
      <w:tr>
        <w:trPr>
          <w:trHeight w:val="320"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0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1" w:type="dxa"/>
            <w:vAlign w:val="top"/>
            <w:tcBorders>
              <w:bottom w:val="single" w:color="FFFFFF" w:sz="4" w:space="0"/>
              <w:top w:val="single" w:color="FFFFFF" w:sz="4" w:space="0"/>
              <w:left w:val="single" w:color="FFFFFF" w:sz="2" w:space="0"/>
              <w:right w:val="single" w:color="FFFFFF" w:sz="2" w:space="0"/>
            </w:tcBorders>
          </w:tcPr>
          <w:p>
            <w:pPr>
              <w:ind w:left="692"/>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291"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436" w:type="dxa"/>
            <w:vAlign w:val="top"/>
            <w:tcBorders>
              <w:top w:val="single" w:color="FFFFFF" w:sz="4" w:space="0"/>
              <w:left w:val="single" w:color="FFFFFF" w:sz="2" w:space="0"/>
              <w:right w:val="single" w:color="FFFFFF" w:sz="2" w:space="0"/>
            </w:tcBorders>
          </w:tcPr>
          <w:p>
            <w:pPr>
              <w:pStyle w:val="TableText"/>
              <w:rPr/>
            </w:pPr>
            <w:r/>
          </w:p>
        </w:tc>
        <w:tc>
          <w:tcPr>
            <w:tcW w:w="1431" w:type="dxa"/>
            <w:vAlign w:val="top"/>
            <w:tcBorders>
              <w:top w:val="single" w:color="FFFFFF" w:sz="4" w:space="0"/>
              <w:left w:val="single" w:color="FFFFFF" w:sz="2" w:space="0"/>
              <w:right w:val="single" w:color="FFFFFF" w:sz="2" w:space="0"/>
            </w:tcBorders>
          </w:tcPr>
          <w:p>
            <w:pPr>
              <w:ind w:left="758"/>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11" w:type="dxa"/>
            <w:vAlign w:val="top"/>
            <w:gridSpan w:val="2"/>
          </w:tcPr>
          <w:p>
            <w:pPr>
              <w:ind w:left="2233"/>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47" w:type="dxa"/>
            <w:vAlign w:val="top"/>
            <w:gridSpan w:val="3"/>
          </w:tcPr>
          <w:p>
            <w:pPr>
              <w:ind w:left="1681"/>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66" w:type="dxa"/>
            <w:vAlign w:val="top"/>
          </w:tcPr>
          <w:p>
            <w:pPr>
              <w:ind w:left="54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3"/>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ind w:left="381"/>
              <w:spacing w:before="74" w:line="156" w:lineRule="exact"/>
              <w:outlineLvl w:val="1"/>
              <w:rPr>
                <w:rFonts w:ascii="Microsoft YaHei" w:hAnsi="Microsoft YaHei" w:eastAsia="Microsoft YaHei" w:cs="Microsoft YaHei"/>
                <w:sz w:val="15"/>
                <w:szCs w:val="15"/>
              </w:rPr>
            </w:pPr>
            <w:bookmarkStart w:name="bookmark11" w:id="13"/>
            <w:bookmarkEnd w:id="13"/>
            <w:r>
              <w:rPr>
                <w:rFonts w:ascii="Microsoft YaHei" w:hAnsi="Microsoft YaHei" w:eastAsia="Microsoft YaHei" w:cs="Microsoft YaHei"/>
                <w:sz w:val="15"/>
                <w:szCs w:val="15"/>
                <w:color w:val="212529"/>
                <w:spacing w:val="8"/>
                <w:position w:val="-1"/>
              </w:rPr>
              <w:t>基本支出</w:t>
            </w:r>
          </w:p>
        </w:tc>
        <w:tc>
          <w:tcPr>
            <w:tcW w:w="1431" w:type="dxa"/>
            <w:vAlign w:val="top"/>
          </w:tcPr>
          <w:p>
            <w:pPr>
              <w:ind w:left="379"/>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11" w:type="dxa"/>
            <w:vAlign w:val="top"/>
            <w:gridSpan w:val="2"/>
          </w:tcPr>
          <w:p>
            <w:pPr>
              <w:ind w:left="2235"/>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895"/>
              <w:spacing w:before="96"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1436" w:type="dxa"/>
            <w:vAlign w:val="top"/>
          </w:tcPr>
          <w:p>
            <w:pPr>
              <w:pStyle w:val="TableText"/>
              <w:ind w:left="854"/>
              <w:spacing w:before="96" w:line="186" w:lineRule="auto"/>
              <w:rPr>
                <w:sz w:val="13"/>
                <w:szCs w:val="13"/>
              </w:rPr>
            </w:pPr>
            <w:r>
              <w:rPr>
                <w:sz w:val="13"/>
                <w:szCs w:val="13"/>
                <w:color w:val="212529"/>
                <w:spacing w:val="3"/>
              </w:rPr>
              <w:t>1451.</w:t>
            </w:r>
            <w:r>
              <w:rPr>
                <w:sz w:val="13"/>
                <w:szCs w:val="13"/>
                <w:color w:val="212529"/>
                <w:spacing w:val="16"/>
                <w:w w:val="101"/>
              </w:rPr>
              <w:t xml:space="preserve"> </w:t>
            </w:r>
            <w:r>
              <w:rPr>
                <w:sz w:val="13"/>
                <w:szCs w:val="13"/>
                <w:color w:val="212529"/>
                <w:spacing w:val="3"/>
              </w:rPr>
              <w:t>23</w:t>
            </w:r>
          </w:p>
        </w:tc>
        <w:tc>
          <w:tcPr>
            <w:tcW w:w="1431" w:type="dxa"/>
            <w:vAlign w:val="top"/>
          </w:tcPr>
          <w:p>
            <w:pPr>
              <w:pStyle w:val="TableText"/>
              <w:ind w:left="840"/>
              <w:spacing w:before="96" w:line="172" w:lineRule="auto"/>
              <w:rPr>
                <w:sz w:val="14"/>
                <w:szCs w:val="14"/>
              </w:rPr>
            </w:pPr>
            <w:r>
              <w:rPr>
                <w:sz w:val="14"/>
                <w:szCs w:val="14"/>
                <w:color w:val="212529"/>
              </w:rPr>
              <w:t>3982.</w:t>
            </w:r>
            <w:r>
              <w:rPr>
                <w:sz w:val="14"/>
                <w:szCs w:val="14"/>
                <w:color w:val="212529"/>
                <w:spacing w:val="11"/>
                <w:w w:val="101"/>
              </w:rPr>
              <w:t xml:space="preserve"> </w:t>
            </w:r>
            <w:r>
              <w:rPr>
                <w:sz w:val="14"/>
                <w:szCs w:val="14"/>
                <w:color w:val="212529"/>
              </w:rPr>
              <w:t>74</w:t>
            </w:r>
          </w:p>
        </w:tc>
      </w:tr>
      <w:tr>
        <w:trPr>
          <w:trHeight w:val="314" w:hRule="atLeast"/>
        </w:trPr>
        <w:tc>
          <w:tcPr>
            <w:tcW w:w="1766"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45" w:type="dxa"/>
            <w:vAlign w:val="top"/>
          </w:tcPr>
          <w:p>
            <w:pPr>
              <w:ind w:left="5"/>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4401.64</w:t>
            </w:r>
          </w:p>
        </w:tc>
        <w:tc>
          <w:tcPr>
            <w:tcW w:w="1436" w:type="dxa"/>
            <w:vAlign w:val="top"/>
          </w:tcPr>
          <w:p>
            <w:pPr>
              <w:pStyle w:val="TableText"/>
              <w:ind w:left="854"/>
              <w:spacing w:before="96" w:line="187" w:lineRule="auto"/>
              <w:rPr>
                <w:sz w:val="13"/>
                <w:szCs w:val="13"/>
              </w:rPr>
            </w:pPr>
            <w:r>
              <w:rPr>
                <w:sz w:val="13"/>
                <w:szCs w:val="13"/>
                <w:color w:val="212529"/>
                <w:spacing w:val="3"/>
              </w:rPr>
              <w:t>1294.</w:t>
            </w:r>
            <w:r>
              <w:rPr>
                <w:sz w:val="13"/>
                <w:szCs w:val="13"/>
                <w:color w:val="212529"/>
                <w:spacing w:val="10"/>
              </w:rPr>
              <w:t xml:space="preserve"> </w:t>
            </w:r>
            <w:r>
              <w:rPr>
                <w:sz w:val="13"/>
                <w:szCs w:val="13"/>
                <w:color w:val="212529"/>
                <w:spacing w:val="3"/>
              </w:rPr>
              <w:t>91</w:t>
            </w:r>
          </w:p>
        </w:tc>
        <w:tc>
          <w:tcPr>
            <w:tcW w:w="1431" w:type="dxa"/>
            <w:vAlign w:val="top"/>
          </w:tcPr>
          <w:p>
            <w:pPr>
              <w:pStyle w:val="TableText"/>
              <w:ind w:left="840"/>
              <w:spacing w:before="96" w:line="173" w:lineRule="auto"/>
              <w:rPr>
                <w:sz w:val="14"/>
                <w:szCs w:val="14"/>
              </w:rPr>
            </w:pPr>
            <w:r>
              <w:rPr>
                <w:sz w:val="14"/>
                <w:szCs w:val="14"/>
                <w:color w:val="212529"/>
              </w:rPr>
              <w:t>3106.</w:t>
            </w:r>
            <w:r>
              <w:rPr>
                <w:sz w:val="14"/>
                <w:szCs w:val="14"/>
                <w:color w:val="212529"/>
                <w:spacing w:val="11"/>
                <w:w w:val="101"/>
              </w:rPr>
              <w:t xml:space="preserve"> </w:t>
            </w:r>
            <w:r>
              <w:rPr>
                <w:sz w:val="14"/>
                <w:szCs w:val="14"/>
                <w:color w:val="212529"/>
              </w:rPr>
              <w:t>74</w:t>
            </w:r>
          </w:p>
        </w:tc>
      </w:tr>
      <w:tr>
        <w:trPr>
          <w:trHeight w:val="314" w:hRule="atLeast"/>
        </w:trPr>
        <w:tc>
          <w:tcPr>
            <w:tcW w:w="1766"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20801</w:t>
            </w:r>
          </w:p>
        </w:tc>
        <w:tc>
          <w:tcPr>
            <w:tcW w:w="3045" w:type="dxa"/>
            <w:vAlign w:val="top"/>
          </w:tcPr>
          <w:p>
            <w:pPr>
              <w:ind w:left="4"/>
              <w:spacing w:before="78"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480" w:type="dxa"/>
            <w:vAlign w:val="top"/>
          </w:tcPr>
          <w:p>
            <w:pPr>
              <w:ind w:right="17"/>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3119.15</w:t>
            </w:r>
          </w:p>
        </w:tc>
        <w:tc>
          <w:tcPr>
            <w:tcW w:w="1436" w:type="dxa"/>
            <w:vAlign w:val="top"/>
          </w:tcPr>
          <w:p>
            <w:pPr>
              <w:pStyle w:val="TableText"/>
              <w:ind w:left="854"/>
              <w:spacing w:before="96" w:line="186" w:lineRule="auto"/>
              <w:rPr>
                <w:sz w:val="13"/>
                <w:szCs w:val="13"/>
              </w:rPr>
            </w:pPr>
            <w:r>
              <w:rPr>
                <w:sz w:val="13"/>
                <w:szCs w:val="13"/>
                <w:color w:val="212529"/>
                <w:spacing w:val="3"/>
              </w:rPr>
              <w:t>1112.</w:t>
            </w:r>
            <w:r>
              <w:rPr>
                <w:sz w:val="13"/>
                <w:szCs w:val="13"/>
                <w:color w:val="212529"/>
                <w:spacing w:val="17"/>
                <w:w w:val="101"/>
              </w:rPr>
              <w:t xml:space="preserve"> </w:t>
            </w:r>
            <w:r>
              <w:rPr>
                <w:sz w:val="13"/>
                <w:szCs w:val="13"/>
                <w:color w:val="212529"/>
                <w:spacing w:val="3"/>
              </w:rPr>
              <w:t>19</w:t>
            </w:r>
          </w:p>
        </w:tc>
        <w:tc>
          <w:tcPr>
            <w:tcW w:w="1431" w:type="dxa"/>
            <w:vAlign w:val="top"/>
          </w:tcPr>
          <w:p>
            <w:pPr>
              <w:pStyle w:val="TableText"/>
              <w:ind w:left="839"/>
              <w:spacing w:before="97" w:line="172" w:lineRule="auto"/>
              <w:rPr>
                <w:sz w:val="14"/>
                <w:szCs w:val="14"/>
              </w:rPr>
            </w:pPr>
            <w:r>
              <w:rPr>
                <w:sz w:val="14"/>
                <w:szCs w:val="14"/>
                <w:color w:val="212529"/>
              </w:rPr>
              <w:t>2006.</w:t>
            </w:r>
            <w:r>
              <w:rPr>
                <w:sz w:val="14"/>
                <w:szCs w:val="14"/>
                <w:color w:val="212529"/>
                <w:spacing w:val="10"/>
              </w:rPr>
              <w:t xml:space="preserve"> </w:t>
            </w:r>
            <w:r>
              <w:rPr>
                <w:sz w:val="14"/>
                <w:szCs w:val="14"/>
                <w:color w:val="212529"/>
              </w:rPr>
              <w:t>96</w:t>
            </w:r>
          </w:p>
        </w:tc>
      </w:tr>
      <w:tr>
        <w:trPr>
          <w:trHeight w:val="314" w:hRule="atLeast"/>
        </w:trPr>
        <w:tc>
          <w:tcPr>
            <w:tcW w:w="1766"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2080101</w:t>
            </w:r>
          </w:p>
        </w:tc>
        <w:tc>
          <w:tcPr>
            <w:tcW w:w="3045" w:type="dxa"/>
            <w:vAlign w:val="top"/>
          </w:tcPr>
          <w:p>
            <w:pPr>
              <w:ind w:left="3"/>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80" w:type="dxa"/>
            <w:vAlign w:val="top"/>
          </w:tcPr>
          <w:p>
            <w:pPr>
              <w:ind w:right="17"/>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252.63</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252.63</w:t>
            </w:r>
          </w:p>
        </w:tc>
        <w:tc>
          <w:tcPr>
            <w:tcW w:w="1431" w:type="dxa"/>
            <w:vAlign w:val="top"/>
          </w:tcPr>
          <w:p>
            <w:pPr>
              <w:pStyle w:val="TableText"/>
              <w:rPr/>
            </w:pPr>
            <w:r/>
          </w:p>
        </w:tc>
      </w:tr>
      <w:tr>
        <w:trPr>
          <w:trHeight w:val="314" w:hRule="atLeast"/>
        </w:trPr>
        <w:tc>
          <w:tcPr>
            <w:tcW w:w="176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2080105</w:t>
            </w:r>
          </w:p>
        </w:tc>
        <w:tc>
          <w:tcPr>
            <w:tcW w:w="3045" w:type="dxa"/>
            <w:vAlign w:val="top"/>
          </w:tcPr>
          <w:p>
            <w:pPr>
              <w:ind w:left="8"/>
              <w:spacing w:before="78" w:line="229" w:lineRule="auto"/>
              <w:rPr>
                <w:rFonts w:ascii="SimSun" w:hAnsi="SimSun" w:eastAsia="SimSun" w:cs="SimSun"/>
                <w:sz w:val="15"/>
                <w:szCs w:val="15"/>
              </w:rPr>
            </w:pPr>
            <w:r>
              <w:rPr>
                <w:rFonts w:ascii="SimSun" w:hAnsi="SimSun" w:eastAsia="SimSun" w:cs="SimSun"/>
                <w:sz w:val="15"/>
                <w:szCs w:val="15"/>
                <w:color w:val="212529"/>
                <w:spacing w:val="9"/>
              </w:rPr>
              <w:t>劳动保障监察</w:t>
            </w:r>
          </w:p>
        </w:tc>
        <w:tc>
          <w:tcPr>
            <w:tcW w:w="1480" w:type="dxa"/>
            <w:vAlign w:val="top"/>
          </w:tcPr>
          <w:p>
            <w:pPr>
              <w:ind w:right="17"/>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c>
          <w:tcPr>
            <w:tcW w:w="1436" w:type="dxa"/>
            <w:vAlign w:val="top"/>
          </w:tcPr>
          <w:p>
            <w:pPr>
              <w:pStyle w:val="TableText"/>
              <w:rPr/>
            </w:pPr>
            <w:r/>
          </w:p>
        </w:tc>
        <w:tc>
          <w:tcPr>
            <w:tcW w:w="1431"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r>
      <w:tr>
        <w:trPr>
          <w:trHeight w:val="314" w:hRule="atLeast"/>
        </w:trPr>
        <w:tc>
          <w:tcPr>
            <w:tcW w:w="176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2080106</w:t>
            </w:r>
          </w:p>
        </w:tc>
        <w:tc>
          <w:tcPr>
            <w:tcW w:w="3045" w:type="dxa"/>
            <w:vAlign w:val="top"/>
          </w:tcPr>
          <w:p>
            <w:pPr>
              <w:ind w:left="5"/>
              <w:spacing w:before="78" w:line="229" w:lineRule="auto"/>
              <w:rPr>
                <w:rFonts w:ascii="SimSun" w:hAnsi="SimSun" w:eastAsia="SimSun" w:cs="SimSun"/>
                <w:sz w:val="15"/>
                <w:szCs w:val="15"/>
              </w:rPr>
            </w:pPr>
            <w:r>
              <w:rPr>
                <w:rFonts w:ascii="SimSun" w:hAnsi="SimSun" w:eastAsia="SimSun" w:cs="SimSun"/>
                <w:sz w:val="15"/>
                <w:szCs w:val="15"/>
                <w:color w:val="212529"/>
                <w:spacing w:val="10"/>
              </w:rPr>
              <w:t>就业管理事务</w:t>
            </w:r>
          </w:p>
        </w:tc>
        <w:tc>
          <w:tcPr>
            <w:tcW w:w="1480" w:type="dxa"/>
            <w:vAlign w:val="top"/>
          </w:tcPr>
          <w:p>
            <w:pPr>
              <w:ind w:right="17"/>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436" w:type="dxa"/>
            <w:vAlign w:val="top"/>
          </w:tcPr>
          <w:p>
            <w:pPr>
              <w:pStyle w:val="TableText"/>
              <w:rPr/>
            </w:pPr>
            <w:r/>
          </w:p>
        </w:tc>
        <w:tc>
          <w:tcPr>
            <w:tcW w:w="1431"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314" w:hRule="atLeast"/>
        </w:trPr>
        <w:tc>
          <w:tcPr>
            <w:tcW w:w="1766"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2080109</w:t>
            </w:r>
          </w:p>
        </w:tc>
        <w:tc>
          <w:tcPr>
            <w:tcW w:w="3045"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480" w:type="dxa"/>
            <w:vAlign w:val="top"/>
          </w:tcPr>
          <w:p>
            <w:pPr>
              <w:ind w:right="17"/>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436" w:type="dxa"/>
            <w:vAlign w:val="top"/>
          </w:tcPr>
          <w:p>
            <w:pPr>
              <w:pStyle w:val="TableText"/>
              <w:rPr/>
            </w:pPr>
            <w:r/>
          </w:p>
        </w:tc>
        <w:tc>
          <w:tcPr>
            <w:tcW w:w="1431"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2080111</w:t>
            </w:r>
          </w:p>
        </w:tc>
        <w:tc>
          <w:tcPr>
            <w:tcW w:w="3045" w:type="dxa"/>
            <w:vAlign w:val="top"/>
          </w:tcPr>
          <w:p>
            <w:pPr>
              <w:ind w:left="8"/>
              <w:spacing w:before="79" w:line="228" w:lineRule="auto"/>
              <w:rPr>
                <w:rFonts w:ascii="SimSun" w:hAnsi="SimSun" w:eastAsia="SimSun" w:cs="SimSun"/>
                <w:sz w:val="15"/>
                <w:szCs w:val="15"/>
              </w:rPr>
            </w:pPr>
            <w:r>
              <w:rPr>
                <w:rFonts w:ascii="SimSun" w:hAnsi="SimSun" w:eastAsia="SimSun" w:cs="SimSun"/>
                <w:sz w:val="15"/>
                <w:szCs w:val="15"/>
                <w:color w:val="212529"/>
                <w:spacing w:val="11"/>
              </w:rPr>
              <w:t>公共就业服务和职业技能鉴定机构</w:t>
            </w:r>
          </w:p>
        </w:tc>
        <w:tc>
          <w:tcPr>
            <w:tcW w:w="1480" w:type="dxa"/>
            <w:vAlign w:val="top"/>
          </w:tcPr>
          <w:p>
            <w:pPr>
              <w:ind w:right="17"/>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260.02</w:t>
            </w:r>
          </w:p>
        </w:tc>
        <w:tc>
          <w:tcPr>
            <w:tcW w:w="1436" w:type="dxa"/>
            <w:vAlign w:val="top"/>
          </w:tcPr>
          <w:p>
            <w:pPr>
              <w:pStyle w:val="TableText"/>
              <w:rPr/>
            </w:pPr>
            <w:r/>
          </w:p>
        </w:tc>
        <w:tc>
          <w:tcPr>
            <w:tcW w:w="1431"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260.02</w:t>
            </w:r>
          </w:p>
        </w:tc>
      </w:tr>
      <w:tr>
        <w:trPr>
          <w:trHeight w:val="314" w:hRule="atLeast"/>
        </w:trPr>
        <w:tc>
          <w:tcPr>
            <w:tcW w:w="176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2080112</w:t>
            </w:r>
          </w:p>
        </w:tc>
        <w:tc>
          <w:tcPr>
            <w:tcW w:w="3045" w:type="dxa"/>
            <w:vAlign w:val="top"/>
          </w:tcPr>
          <w:p>
            <w:pPr>
              <w:ind w:left="8"/>
              <w:spacing w:before="80" w:line="229" w:lineRule="auto"/>
              <w:rPr>
                <w:rFonts w:ascii="SimSun" w:hAnsi="SimSun" w:eastAsia="SimSun" w:cs="SimSun"/>
                <w:sz w:val="15"/>
                <w:szCs w:val="15"/>
              </w:rPr>
            </w:pPr>
            <w:r>
              <w:rPr>
                <w:rFonts w:ascii="SimSun" w:hAnsi="SimSun" w:eastAsia="SimSun" w:cs="SimSun"/>
                <w:sz w:val="15"/>
                <w:szCs w:val="15"/>
                <w:color w:val="212529"/>
                <w:spacing w:val="10"/>
              </w:rPr>
              <w:t>劳动人事争议调解仲裁</w:t>
            </w:r>
          </w:p>
        </w:tc>
        <w:tc>
          <w:tcPr>
            <w:tcW w:w="1480" w:type="dxa"/>
            <w:vAlign w:val="top"/>
          </w:tcPr>
          <w:p>
            <w:pPr>
              <w:ind w:right="17"/>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w:t>
            </w:r>
          </w:p>
        </w:tc>
        <w:tc>
          <w:tcPr>
            <w:tcW w:w="1436" w:type="dxa"/>
            <w:vAlign w:val="top"/>
          </w:tcPr>
          <w:p>
            <w:pPr>
              <w:pStyle w:val="TableText"/>
              <w:rPr/>
            </w:pPr>
            <w:r/>
          </w:p>
        </w:tc>
        <w:tc>
          <w:tcPr>
            <w:tcW w:w="1431"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w:t>
            </w:r>
          </w:p>
        </w:tc>
      </w:tr>
      <w:tr>
        <w:trPr>
          <w:trHeight w:val="314" w:hRule="atLeast"/>
        </w:trPr>
        <w:tc>
          <w:tcPr>
            <w:tcW w:w="176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2080150</w:t>
            </w:r>
          </w:p>
        </w:tc>
        <w:tc>
          <w:tcPr>
            <w:tcW w:w="3045"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859.55</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859.55</w:t>
            </w:r>
          </w:p>
        </w:tc>
        <w:tc>
          <w:tcPr>
            <w:tcW w:w="1431"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2080199</w:t>
            </w:r>
          </w:p>
        </w:tc>
        <w:tc>
          <w:tcPr>
            <w:tcW w:w="3045" w:type="dxa"/>
            <w:vAlign w:val="top"/>
          </w:tcPr>
          <w:p>
            <w:pPr>
              <w:ind w:left="3"/>
              <w:spacing w:before="80" w:line="228" w:lineRule="auto"/>
              <w:rPr>
                <w:rFonts w:ascii="SimSun" w:hAnsi="SimSun" w:eastAsia="SimSun" w:cs="SimSun"/>
                <w:sz w:val="15"/>
                <w:szCs w:val="15"/>
              </w:rPr>
            </w:pPr>
            <w:r>
              <w:rPr>
                <w:rFonts w:ascii="SimSun" w:hAnsi="SimSun" w:eastAsia="SimSun" w:cs="SimSun"/>
                <w:sz w:val="15"/>
                <w:szCs w:val="15"/>
                <w:color w:val="212529"/>
                <w:spacing w:val="11"/>
              </w:rPr>
              <w:t>其他人力资源和社会保障管理事务支出</w:t>
            </w:r>
          </w:p>
        </w:tc>
        <w:tc>
          <w:tcPr>
            <w:tcW w:w="1480"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1689.38</w:t>
            </w:r>
          </w:p>
        </w:tc>
        <w:tc>
          <w:tcPr>
            <w:tcW w:w="1436" w:type="dxa"/>
            <w:vAlign w:val="top"/>
          </w:tcPr>
          <w:p>
            <w:pPr>
              <w:pStyle w:val="TableText"/>
              <w:rPr/>
            </w:pPr>
            <w:r/>
          </w:p>
        </w:tc>
        <w:tc>
          <w:tcPr>
            <w:tcW w:w="1431"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1689.38</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45" w:type="dxa"/>
            <w:vAlign w:val="top"/>
          </w:tcPr>
          <w:p>
            <w:pPr>
              <w:ind w:left="3"/>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182.72</w:t>
            </w:r>
          </w:p>
        </w:tc>
        <w:tc>
          <w:tcPr>
            <w:tcW w:w="1436" w:type="dxa"/>
            <w:vAlign w:val="top"/>
          </w:tcPr>
          <w:p>
            <w:pPr>
              <w:pStyle w:val="TableText"/>
              <w:ind w:left="935"/>
              <w:spacing w:before="100" w:line="186" w:lineRule="auto"/>
              <w:rPr>
                <w:sz w:val="13"/>
                <w:szCs w:val="13"/>
              </w:rPr>
            </w:pPr>
            <w:r>
              <w:rPr>
                <w:sz w:val="13"/>
                <w:szCs w:val="13"/>
                <w:color w:val="212529"/>
                <w:spacing w:val="2"/>
              </w:rPr>
              <w:t>182.</w:t>
            </w:r>
            <w:r>
              <w:rPr>
                <w:sz w:val="13"/>
                <w:szCs w:val="13"/>
                <w:color w:val="212529"/>
                <w:spacing w:val="17"/>
              </w:rPr>
              <w:t xml:space="preserve"> </w:t>
            </w:r>
            <w:r>
              <w:rPr>
                <w:sz w:val="13"/>
                <w:szCs w:val="13"/>
                <w:color w:val="212529"/>
                <w:spacing w:val="2"/>
              </w:rPr>
              <w:t>72</w:t>
            </w:r>
          </w:p>
        </w:tc>
        <w:tc>
          <w:tcPr>
            <w:tcW w:w="1431" w:type="dxa"/>
            <w:vAlign w:val="top"/>
          </w:tcPr>
          <w:p>
            <w:pPr>
              <w:pStyle w:val="TableText"/>
              <w:rPr/>
            </w:pPr>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045" w:type="dxa"/>
            <w:vAlign w:val="top"/>
          </w:tcPr>
          <w:p>
            <w:pPr>
              <w:ind w:left="3"/>
              <w:spacing w:before="81"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80"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431"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45"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125.41</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125.41</w:t>
            </w:r>
          </w:p>
        </w:tc>
        <w:tc>
          <w:tcPr>
            <w:tcW w:w="1431"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45" w:type="dxa"/>
            <w:vAlign w:val="top"/>
          </w:tcPr>
          <w:p>
            <w:pPr>
              <w:ind w:left="3"/>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436" w:type="dxa"/>
            <w:vAlign w:val="top"/>
          </w:tcPr>
          <w:p>
            <w:pPr>
              <w:ind w:right="23"/>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431"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20807</w:t>
            </w:r>
          </w:p>
        </w:tc>
        <w:tc>
          <w:tcPr>
            <w:tcW w:w="3045" w:type="dxa"/>
            <w:vAlign w:val="top"/>
          </w:tcPr>
          <w:p>
            <w:pPr>
              <w:ind w:left="5"/>
              <w:spacing w:before="82"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480"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1099.77</w:t>
            </w:r>
          </w:p>
        </w:tc>
        <w:tc>
          <w:tcPr>
            <w:tcW w:w="1436" w:type="dxa"/>
            <w:vAlign w:val="top"/>
          </w:tcPr>
          <w:p>
            <w:pPr>
              <w:pStyle w:val="TableText"/>
              <w:rPr/>
            </w:pPr>
            <w:r/>
          </w:p>
        </w:tc>
        <w:tc>
          <w:tcPr>
            <w:tcW w:w="1431" w:type="dxa"/>
            <w:vAlign w:val="top"/>
          </w:tcPr>
          <w:p>
            <w:pPr>
              <w:pStyle w:val="TableText"/>
              <w:ind w:left="849"/>
              <w:spacing w:before="101" w:line="186" w:lineRule="auto"/>
              <w:rPr>
                <w:sz w:val="13"/>
                <w:szCs w:val="13"/>
              </w:rPr>
            </w:pPr>
            <w:r>
              <w:rPr>
                <w:sz w:val="13"/>
                <w:szCs w:val="13"/>
                <w:color w:val="212529"/>
                <w:spacing w:val="3"/>
              </w:rPr>
              <w:t>1099.</w:t>
            </w:r>
            <w:r>
              <w:rPr>
                <w:sz w:val="13"/>
                <w:szCs w:val="13"/>
                <w:color w:val="212529"/>
                <w:spacing w:val="17"/>
              </w:rPr>
              <w:t xml:space="preserve"> </w:t>
            </w:r>
            <w:r>
              <w:rPr>
                <w:sz w:val="13"/>
                <w:szCs w:val="13"/>
                <w:color w:val="212529"/>
                <w:spacing w:val="3"/>
              </w:rPr>
              <w:t>77</w:t>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2080799</w:t>
            </w:r>
          </w:p>
        </w:tc>
        <w:tc>
          <w:tcPr>
            <w:tcW w:w="3045" w:type="dxa"/>
            <w:vAlign w:val="top"/>
          </w:tcPr>
          <w:p>
            <w:pPr>
              <w:ind w:left="3"/>
              <w:spacing w:before="82" w:line="230" w:lineRule="auto"/>
              <w:rPr>
                <w:rFonts w:ascii="SimSun" w:hAnsi="SimSun" w:eastAsia="SimSun" w:cs="SimSun"/>
                <w:sz w:val="15"/>
                <w:szCs w:val="15"/>
              </w:rPr>
            </w:pPr>
            <w:r>
              <w:rPr>
                <w:rFonts w:ascii="SimSun" w:hAnsi="SimSun" w:eastAsia="SimSun" w:cs="SimSun"/>
                <w:sz w:val="15"/>
                <w:szCs w:val="15"/>
                <w:color w:val="212529"/>
                <w:spacing w:val="11"/>
              </w:rPr>
              <w:t>其他就业补助支出</w:t>
            </w:r>
          </w:p>
        </w:tc>
        <w:tc>
          <w:tcPr>
            <w:tcW w:w="1480"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1099.77</w:t>
            </w:r>
          </w:p>
        </w:tc>
        <w:tc>
          <w:tcPr>
            <w:tcW w:w="1436" w:type="dxa"/>
            <w:vAlign w:val="top"/>
          </w:tcPr>
          <w:p>
            <w:pPr>
              <w:pStyle w:val="TableText"/>
              <w:rPr/>
            </w:pPr>
            <w:r/>
          </w:p>
        </w:tc>
        <w:tc>
          <w:tcPr>
            <w:tcW w:w="1431"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1099.77</w:t>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45"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36" w:type="dxa"/>
            <w:vAlign w:val="top"/>
          </w:tcPr>
          <w:p>
            <w:pPr>
              <w:pStyle w:val="TableText"/>
              <w:ind w:left="1008"/>
              <w:spacing w:before="102" w:line="186" w:lineRule="auto"/>
              <w:rPr>
                <w:sz w:val="13"/>
                <w:szCs w:val="13"/>
              </w:rPr>
            </w:pPr>
            <w:r>
              <w:rPr>
                <w:sz w:val="13"/>
                <w:szCs w:val="13"/>
                <w:color w:val="212529"/>
                <w:spacing w:val="3"/>
              </w:rPr>
              <w:t>54.</w:t>
            </w:r>
            <w:r>
              <w:rPr>
                <w:sz w:val="13"/>
                <w:szCs w:val="13"/>
                <w:color w:val="212529"/>
                <w:spacing w:val="14"/>
              </w:rPr>
              <w:t xml:space="preserve"> </w:t>
            </w:r>
            <w:r>
              <w:rPr>
                <w:sz w:val="13"/>
                <w:szCs w:val="13"/>
                <w:color w:val="212529"/>
                <w:spacing w:val="3"/>
              </w:rPr>
              <w:t>52</w:t>
            </w:r>
          </w:p>
        </w:tc>
        <w:tc>
          <w:tcPr>
            <w:tcW w:w="1431"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45"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36" w:type="dxa"/>
            <w:vAlign w:val="top"/>
          </w:tcPr>
          <w:p>
            <w:pPr>
              <w:pStyle w:val="TableText"/>
              <w:ind w:left="1008"/>
              <w:spacing w:before="102" w:line="186" w:lineRule="auto"/>
              <w:rPr>
                <w:sz w:val="13"/>
                <w:szCs w:val="13"/>
              </w:rPr>
            </w:pPr>
            <w:r>
              <w:rPr>
                <w:sz w:val="13"/>
                <w:szCs w:val="13"/>
                <w:color w:val="212529"/>
                <w:spacing w:val="3"/>
              </w:rPr>
              <w:t>54.</w:t>
            </w:r>
            <w:r>
              <w:rPr>
                <w:sz w:val="13"/>
                <w:szCs w:val="13"/>
                <w:color w:val="212529"/>
                <w:spacing w:val="14"/>
              </w:rPr>
              <w:t xml:space="preserve"> </w:t>
            </w:r>
            <w:r>
              <w:rPr>
                <w:sz w:val="13"/>
                <w:szCs w:val="13"/>
                <w:color w:val="212529"/>
                <w:spacing w:val="3"/>
              </w:rPr>
              <w:t>52</w:t>
            </w:r>
          </w:p>
        </w:tc>
        <w:tc>
          <w:tcPr>
            <w:tcW w:w="1431" w:type="dxa"/>
            <w:vAlign w:val="top"/>
          </w:tcPr>
          <w:p>
            <w:pPr>
              <w:pStyle w:val="TableText"/>
              <w:rPr/>
            </w:pPr>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45"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80"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436"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431"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45" w:type="dxa"/>
            <w:vAlign w:val="top"/>
          </w:tcPr>
          <w:p>
            <w:pPr>
              <w:ind w:left="5"/>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431"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45"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31" w:type="dxa"/>
            <w:vAlign w:val="top"/>
          </w:tcPr>
          <w:p>
            <w:pPr>
              <w:pStyle w:val="TableText"/>
              <w:rPr/>
            </w:pPr>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045"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80"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876.00</w:t>
            </w:r>
          </w:p>
        </w:tc>
        <w:tc>
          <w:tcPr>
            <w:tcW w:w="1436" w:type="dxa"/>
            <w:vAlign w:val="top"/>
          </w:tcPr>
          <w:p>
            <w:pPr>
              <w:pStyle w:val="TableText"/>
              <w:rPr/>
            </w:pPr>
            <w:r/>
          </w:p>
        </w:tc>
        <w:tc>
          <w:tcPr>
            <w:tcW w:w="1431" w:type="dxa"/>
            <w:vAlign w:val="top"/>
          </w:tcPr>
          <w:p>
            <w:pPr>
              <w:pStyle w:val="TableText"/>
              <w:ind w:left="919"/>
              <w:spacing w:before="104" w:line="172" w:lineRule="auto"/>
              <w:rPr>
                <w:sz w:val="14"/>
                <w:szCs w:val="14"/>
              </w:rPr>
            </w:pPr>
            <w:r>
              <w:rPr>
                <w:sz w:val="14"/>
                <w:szCs w:val="14"/>
                <w:color w:val="212529"/>
              </w:rPr>
              <w:t>876.</w:t>
            </w:r>
            <w:r>
              <w:rPr>
                <w:sz w:val="14"/>
                <w:szCs w:val="14"/>
                <w:color w:val="212529"/>
                <w:spacing w:val="8"/>
              </w:rPr>
              <w:t xml:space="preserve"> </w:t>
            </w:r>
            <w:r>
              <w:rPr>
                <w:sz w:val="14"/>
                <w:szCs w:val="14"/>
                <w:color w:val="212529"/>
              </w:rPr>
              <w:t>00</w:t>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045" w:type="dxa"/>
            <w:vAlign w:val="top"/>
          </w:tcPr>
          <w:p>
            <w:pPr>
              <w:ind w:left="3"/>
              <w:spacing w:before="85"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80"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1436" w:type="dxa"/>
            <w:vAlign w:val="top"/>
          </w:tcPr>
          <w:p>
            <w:pPr>
              <w:pStyle w:val="TableText"/>
              <w:rPr/>
            </w:pPr>
            <w:r/>
          </w:p>
        </w:tc>
        <w:tc>
          <w:tcPr>
            <w:tcW w:w="1431" w:type="dxa"/>
            <w:vAlign w:val="top"/>
          </w:tcPr>
          <w:p>
            <w:pPr>
              <w:pStyle w:val="TableText"/>
              <w:ind w:left="919"/>
              <w:spacing w:before="104" w:line="172" w:lineRule="auto"/>
              <w:rPr>
                <w:sz w:val="14"/>
                <w:szCs w:val="14"/>
              </w:rPr>
            </w:pPr>
            <w:r>
              <w:rPr>
                <w:sz w:val="14"/>
                <w:szCs w:val="14"/>
                <w:color w:val="212529"/>
              </w:rPr>
              <w:t>865.</w:t>
            </w:r>
            <w:r>
              <w:rPr>
                <w:sz w:val="14"/>
                <w:szCs w:val="14"/>
                <w:color w:val="212529"/>
                <w:spacing w:val="8"/>
              </w:rPr>
              <w:t xml:space="preserve"> </w:t>
            </w:r>
            <w:r>
              <w:rPr>
                <w:sz w:val="14"/>
                <w:szCs w:val="14"/>
                <w:color w:val="212529"/>
              </w:rPr>
              <w:t>00</w:t>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045" w:type="dxa"/>
            <w:vAlign w:val="top"/>
          </w:tcPr>
          <w:p>
            <w:pPr>
              <w:ind w:left="3"/>
              <w:spacing w:before="85"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80"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1436" w:type="dxa"/>
            <w:vAlign w:val="top"/>
          </w:tcPr>
          <w:p>
            <w:pPr>
              <w:pStyle w:val="TableText"/>
              <w:rPr/>
            </w:pPr>
            <w:r/>
          </w:p>
        </w:tc>
        <w:tc>
          <w:tcPr>
            <w:tcW w:w="1431"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3045"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1"/>
              </w:rPr>
              <w:t>普惠金融发展支出</w:t>
            </w:r>
          </w:p>
        </w:tc>
        <w:tc>
          <w:tcPr>
            <w:tcW w:w="1480"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436" w:type="dxa"/>
            <w:vAlign w:val="top"/>
          </w:tcPr>
          <w:p>
            <w:pPr>
              <w:pStyle w:val="TableText"/>
              <w:rPr/>
            </w:pPr>
            <w:r/>
          </w:p>
        </w:tc>
        <w:tc>
          <w:tcPr>
            <w:tcW w:w="1431" w:type="dxa"/>
            <w:vAlign w:val="top"/>
          </w:tcPr>
          <w:p>
            <w:pPr>
              <w:pStyle w:val="TableText"/>
              <w:ind w:left="1011"/>
              <w:spacing w:before="104" w:line="186" w:lineRule="auto"/>
              <w:rPr>
                <w:sz w:val="13"/>
                <w:szCs w:val="13"/>
              </w:rPr>
            </w:pPr>
            <w:r>
              <w:rPr>
                <w:sz w:val="13"/>
                <w:szCs w:val="13"/>
                <w:color w:val="212529"/>
                <w:spacing w:val="2"/>
              </w:rPr>
              <w:t>11.</w:t>
            </w:r>
            <w:r>
              <w:rPr>
                <w:sz w:val="13"/>
                <w:szCs w:val="13"/>
                <w:color w:val="212529"/>
                <w:spacing w:val="11"/>
                <w:w w:val="102"/>
              </w:rPr>
              <w:t xml:space="preserve"> </w:t>
            </w:r>
            <w:r>
              <w:rPr>
                <w:sz w:val="13"/>
                <w:szCs w:val="13"/>
                <w:color w:val="212529"/>
                <w:spacing w:val="2"/>
              </w:rPr>
              <w:t>00</w:t>
            </w:r>
          </w:p>
        </w:tc>
      </w:tr>
      <w:tr>
        <w:trPr>
          <w:trHeight w:val="314" w:hRule="atLeast"/>
        </w:trPr>
        <w:tc>
          <w:tcPr>
            <w:tcW w:w="176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2130804</w:t>
            </w:r>
          </w:p>
        </w:tc>
        <w:tc>
          <w:tcPr>
            <w:tcW w:w="3045"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1"/>
              </w:rPr>
              <w:t>创业担保贷款贴息及奖补</w:t>
            </w:r>
          </w:p>
        </w:tc>
        <w:tc>
          <w:tcPr>
            <w:tcW w:w="1480" w:type="dxa"/>
            <w:vAlign w:val="top"/>
          </w:tcPr>
          <w:p>
            <w:pPr>
              <w:ind w:right="17"/>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436" w:type="dxa"/>
            <w:vAlign w:val="top"/>
          </w:tcPr>
          <w:p>
            <w:pPr>
              <w:pStyle w:val="TableText"/>
              <w:rPr/>
            </w:pPr>
            <w:r/>
          </w:p>
        </w:tc>
        <w:tc>
          <w:tcPr>
            <w:tcW w:w="1431"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r>
      <w:tr>
        <w:trPr>
          <w:trHeight w:val="314" w:hRule="atLeast"/>
        </w:trPr>
        <w:tc>
          <w:tcPr>
            <w:tcW w:w="1766" w:type="dxa"/>
            <w:vAlign w:val="top"/>
          </w:tcPr>
          <w:p>
            <w:pPr>
              <w:ind w:left="8"/>
              <w:spacing w:before="86"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45" w:type="dxa"/>
            <w:vAlign w:val="top"/>
          </w:tcPr>
          <w:p>
            <w:pPr>
              <w:ind w:left="4"/>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36" w:type="dxa"/>
            <w:vAlign w:val="top"/>
          </w:tcPr>
          <w:p>
            <w:pPr>
              <w:pStyle w:val="TableText"/>
              <w:ind w:left="935"/>
              <w:spacing w:before="105" w:line="162" w:lineRule="auto"/>
              <w:rPr>
                <w:sz w:val="15"/>
                <w:szCs w:val="15"/>
              </w:rPr>
            </w:pPr>
            <w:r>
              <w:rPr>
                <w:sz w:val="15"/>
                <w:szCs w:val="15"/>
                <w:color w:val="212529"/>
                <w:spacing w:val="1"/>
              </w:rPr>
              <w:t>101.80</w:t>
            </w:r>
          </w:p>
        </w:tc>
        <w:tc>
          <w:tcPr>
            <w:tcW w:w="1431" w:type="dxa"/>
            <w:vAlign w:val="top"/>
          </w:tcPr>
          <w:p>
            <w:pPr>
              <w:pStyle w:val="TableText"/>
              <w:rPr/>
            </w:pPr>
            <w:r/>
          </w:p>
        </w:tc>
      </w:tr>
      <w:tr>
        <w:trPr>
          <w:trHeight w:val="314" w:hRule="atLeast"/>
        </w:trPr>
        <w:tc>
          <w:tcPr>
            <w:tcW w:w="1766"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45" w:type="dxa"/>
            <w:vAlign w:val="top"/>
          </w:tcPr>
          <w:p>
            <w:pPr>
              <w:ind w:left="4"/>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36" w:type="dxa"/>
            <w:vAlign w:val="top"/>
          </w:tcPr>
          <w:p>
            <w:pPr>
              <w:pStyle w:val="TableText"/>
              <w:ind w:left="935"/>
              <w:spacing w:before="105" w:line="162" w:lineRule="auto"/>
              <w:rPr>
                <w:sz w:val="15"/>
                <w:szCs w:val="15"/>
              </w:rPr>
            </w:pPr>
            <w:r>
              <w:rPr>
                <w:sz w:val="15"/>
                <w:szCs w:val="15"/>
                <w:color w:val="212529"/>
                <w:spacing w:val="1"/>
              </w:rPr>
              <w:t>101.80</w:t>
            </w:r>
          </w:p>
        </w:tc>
        <w:tc>
          <w:tcPr>
            <w:tcW w:w="1431" w:type="dxa"/>
            <w:vAlign w:val="top"/>
          </w:tcPr>
          <w:p>
            <w:pPr>
              <w:pStyle w:val="TableText"/>
              <w:rPr/>
            </w:pPr>
            <w:r/>
          </w:p>
        </w:tc>
      </w:tr>
      <w:tr>
        <w:trPr>
          <w:trHeight w:val="320" w:hRule="atLeast"/>
        </w:trPr>
        <w:tc>
          <w:tcPr>
            <w:tcW w:w="1766" w:type="dxa"/>
            <w:vAlign w:val="top"/>
          </w:tcPr>
          <w:p>
            <w:pPr>
              <w:ind w:left="8"/>
              <w:spacing w:before="87"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45" w:type="dxa"/>
            <w:vAlign w:val="top"/>
          </w:tcPr>
          <w:p>
            <w:pPr>
              <w:ind w:left="4"/>
              <w:spacing w:before="8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8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36" w:type="dxa"/>
            <w:vAlign w:val="top"/>
          </w:tcPr>
          <w:p>
            <w:pPr>
              <w:ind w:right="23"/>
              <w:spacing w:before="8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31" w:type="dxa"/>
            <w:vAlign w:val="top"/>
          </w:tcPr>
          <w:p>
            <w:pPr>
              <w:pStyle w:val="TableText"/>
              <w:rPr/>
            </w:pPr>
            <w:r/>
          </w:p>
        </w:tc>
      </w:tr>
    </w:tbl>
    <w:p>
      <w:pPr>
        <w:rPr>
          <w:rFonts w:ascii="Arial"/>
          <w:sz w:val="21"/>
        </w:rPr>
      </w:pPr>
      <w:r/>
    </w:p>
    <w:p>
      <w:pPr>
        <w:sectPr>
          <w:headerReference w:type="default" r:id="rId2"/>
          <w:footerReference w:type="default" r:id="rId10"/>
          <w:pgSz w:w="11900" w:h="16840"/>
          <w:pgMar w:top="642" w:right="600" w:bottom="340" w:left="600" w:header="326" w:footer="9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4" w:hRule="atLeast"/>
        </w:trPr>
        <w:tc>
          <w:tcPr>
            <w:tcW w:w="18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4"/>
            <w:bookmarkEnd w:id="14"/>
            <w:bookmarkStart w:name="bookmark9" w:id="15"/>
            <w:bookmarkEnd w:id="15"/>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085" w:type="dxa"/>
            <w:vAlign w:val="top"/>
            <w:tcBorders>
              <w:top w:val="single" w:color="FFFFFF" w:sz="4" w:space="0"/>
              <w:left w:val="single" w:color="FFFFFF" w:sz="2" w:space="0"/>
              <w:right w:val="single" w:color="FFFFFF" w:sz="2" w:space="0"/>
            </w:tcBorders>
          </w:tcPr>
          <w:p>
            <w:pPr>
              <w:ind w:left="412"/>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63" w:type="dxa"/>
            <w:vAlign w:val="top"/>
            <w:vMerge w:val="restart"/>
            <w:tcBorders>
              <w:bottom w:val="nil"/>
            </w:tcBorders>
          </w:tcPr>
          <w:p>
            <w:pPr>
              <w:ind w:left="75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384"/>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22" w:type="dxa"/>
            <w:vAlign w:val="top"/>
            <w:vMerge w:val="restart"/>
            <w:tcBorders>
              <w:bottom w:val="nil"/>
            </w:tcBorders>
          </w:tcPr>
          <w:p>
            <w:pPr>
              <w:ind w:left="78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4"/>
          </w:tcPr>
          <w:p>
            <w:pPr>
              <w:ind w:left="194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63" w:type="dxa"/>
            <w:vAlign w:val="top"/>
            <w:vMerge w:val="continue"/>
            <w:tcBorders>
              <w:top w:val="nil"/>
            </w:tcBorders>
          </w:tcPr>
          <w:p>
            <w:pPr>
              <w:pStyle w:val="TableText"/>
              <w:rPr/>
            </w:pPr>
            <w:r/>
          </w:p>
        </w:tc>
        <w:tc>
          <w:tcPr>
            <w:tcW w:w="1134" w:type="dxa"/>
            <w:vAlign w:val="top"/>
            <w:vMerge w:val="continue"/>
            <w:tcBorders>
              <w:top w:val="nil"/>
            </w:tcBorders>
          </w:tcPr>
          <w:p>
            <w:pPr>
              <w:pStyle w:val="TableText"/>
              <w:rPr/>
            </w:pPr>
            <w:r/>
          </w:p>
        </w:tc>
        <w:tc>
          <w:tcPr>
            <w:tcW w:w="1922" w:type="dxa"/>
            <w:vAlign w:val="top"/>
            <w:vMerge w:val="continue"/>
            <w:tcBorders>
              <w:top w:val="nil"/>
            </w:tcBorders>
          </w:tcPr>
          <w:p>
            <w:pPr>
              <w:pStyle w:val="TableText"/>
              <w:rPr/>
            </w:pPr>
            <w:r/>
          </w:p>
        </w:tc>
        <w:tc>
          <w:tcPr>
            <w:tcW w:w="1134" w:type="dxa"/>
            <w:vAlign w:val="top"/>
          </w:tcPr>
          <w:p>
            <w:pPr>
              <w:ind w:left="402"/>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85"/>
              <w:spacing w:before="107" w:line="157" w:lineRule="exact"/>
              <w:outlineLvl w:val="1"/>
              <w:rPr>
                <w:rFonts w:ascii="Microsoft YaHei" w:hAnsi="Microsoft YaHei" w:eastAsia="Microsoft YaHei" w:cs="Microsoft YaHei"/>
                <w:sz w:val="15"/>
                <w:szCs w:val="15"/>
              </w:rPr>
            </w:pPr>
            <w:bookmarkStart w:name="bookmark11" w:id="16"/>
            <w:bookmarkEnd w:id="16"/>
            <w:bookmarkStart w:name="bookmark10" w:id="17"/>
            <w:bookmarkEnd w:id="17"/>
            <w:r>
              <w:rPr>
                <w:rFonts w:ascii="Microsoft YaHei" w:hAnsi="Microsoft YaHei" w:eastAsia="Microsoft YaHei" w:cs="Microsoft YaHei"/>
                <w:sz w:val="15"/>
                <w:szCs w:val="15"/>
                <w:color w:val="212529"/>
                <w:spacing w:val="11"/>
              </w:rPr>
              <w:t>一般公共预算</w:t>
            </w:r>
          </w:p>
        </w:tc>
        <w:tc>
          <w:tcPr>
            <w:tcW w:w="864" w:type="dxa"/>
            <w:vAlign w:val="top"/>
          </w:tcPr>
          <w:p>
            <w:pPr>
              <w:ind w:left="2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6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85" w:type="dxa"/>
            <w:vAlign w:val="top"/>
          </w:tcPr>
          <w:p>
            <w:pPr>
              <w:ind w:left="64"/>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536"/>
              <w:spacing w:before="110" w:line="202" w:lineRule="exact"/>
              <w:rPr>
                <w:rFonts w:ascii="SimSun" w:hAnsi="SimSun" w:eastAsia="SimSun" w:cs="SimSun"/>
                <w:sz w:val="15"/>
                <w:szCs w:val="15"/>
              </w:rPr>
            </w:pPr>
            <w:r>
              <w:rPr>
                <w:rFonts w:ascii="SimSun" w:hAnsi="SimSun" w:eastAsia="SimSun" w:cs="SimSun"/>
                <w:sz w:val="15"/>
                <w:szCs w:val="15"/>
                <w:color w:val="212529"/>
                <w:spacing w:val="4"/>
                <w:position w:val="1"/>
              </w:rPr>
              <w:t>5415.75</w:t>
            </w:r>
          </w:p>
        </w:tc>
        <w:tc>
          <w:tcPr>
            <w:tcW w:w="1922" w:type="dxa"/>
            <w:vAlign w:val="top"/>
          </w:tcPr>
          <w:p>
            <w:pPr>
              <w:ind w:left="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ind w:left="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5"/>
              </w:rPr>
              <w:t>国防支出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34"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4401.64</w:t>
            </w:r>
          </w:p>
        </w:tc>
        <w:tc>
          <w:tcPr>
            <w:tcW w:w="1156"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4401.64</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34"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156"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34"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876.00</w:t>
            </w:r>
          </w:p>
        </w:tc>
        <w:tc>
          <w:tcPr>
            <w:tcW w:w="1156" w:type="dxa"/>
            <w:vAlign w:val="top"/>
          </w:tcPr>
          <w:p>
            <w:pPr>
              <w:ind w:right="1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876.00</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3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156"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2" w:right="13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4"/>
              </w:rPr>
              <w:t>的支出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4" w:hRule="atLeast"/>
        </w:trPr>
        <w:tc>
          <w:tcPr>
            <w:tcW w:w="1863" w:type="dxa"/>
            <w:vAlign w:val="top"/>
          </w:tcPr>
          <w:p>
            <w:pPr>
              <w:ind w:left="43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34" w:type="dxa"/>
            <w:vAlign w:val="top"/>
          </w:tcPr>
          <w:p>
            <w:pPr>
              <w:pStyle w:val="TableText"/>
              <w:ind w:left="269"/>
              <w:spacing w:before="137" w:line="173" w:lineRule="auto"/>
              <w:rPr>
                <w:sz w:val="14"/>
                <w:szCs w:val="14"/>
              </w:rPr>
            </w:pPr>
            <w:r>
              <w:rPr>
                <w:sz w:val="14"/>
                <w:szCs w:val="14"/>
                <w:color w:val="212529"/>
              </w:rPr>
              <w:t>5415.</w:t>
            </w:r>
            <w:r>
              <w:rPr>
                <w:sz w:val="14"/>
                <w:szCs w:val="14"/>
                <w:color w:val="212529"/>
                <w:spacing w:val="7"/>
              </w:rPr>
              <w:t xml:space="preserve"> </w:t>
            </w:r>
            <w:r>
              <w:rPr>
                <w:sz w:val="14"/>
                <w:szCs w:val="14"/>
                <w:color w:val="212529"/>
              </w:rPr>
              <w:t>75</w:t>
            </w:r>
          </w:p>
        </w:tc>
        <w:tc>
          <w:tcPr>
            <w:tcW w:w="1922" w:type="dxa"/>
            <w:vAlign w:val="top"/>
          </w:tcPr>
          <w:p>
            <w:pPr>
              <w:ind w:left="463"/>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34" w:type="dxa"/>
            <w:vAlign w:val="top"/>
          </w:tcPr>
          <w:p>
            <w:pPr>
              <w:pStyle w:val="TableText"/>
              <w:ind w:left="280"/>
              <w:spacing w:before="138"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1156" w:type="dxa"/>
            <w:vAlign w:val="top"/>
          </w:tcPr>
          <w:p>
            <w:pPr>
              <w:pStyle w:val="TableText"/>
              <w:ind w:left="293"/>
              <w:spacing w:before="138"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864" w:type="dxa"/>
            <w:vAlign w:val="top"/>
          </w:tcPr>
          <w:p>
            <w:pPr>
              <w:pStyle w:val="TableText"/>
              <w:rPr/>
            </w:pPr>
            <w:r/>
          </w:p>
        </w:tc>
        <w:tc>
          <w:tcPr>
            <w:tcW w:w="1085"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93"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3" w:hRule="atLeast"/>
        </w:trPr>
        <w:tc>
          <w:tcPr>
            <w:tcW w:w="1863" w:type="dxa"/>
            <w:vAlign w:val="top"/>
          </w:tcPr>
          <w:p>
            <w:pPr>
              <w:ind w:left="7"/>
              <w:spacing w:before="113" w:line="229" w:lineRule="auto"/>
              <w:rPr>
                <w:rFonts w:ascii="SimSun" w:hAnsi="SimSun" w:eastAsia="SimSun" w:cs="SimSun"/>
                <w:sz w:val="15"/>
                <w:szCs w:val="15"/>
              </w:rPr>
            </w:pPr>
            <w:bookmarkStart w:name="bookmark40" w:id="18"/>
            <w:bookmarkEnd w:id="18"/>
            <w:r>
              <w:rPr>
                <w:rFonts w:ascii="SimSun" w:hAnsi="SimSun" w:eastAsia="SimSun" w:cs="SimSun"/>
                <w:sz w:val="15"/>
                <w:szCs w:val="15"/>
                <w:color w:val="212529"/>
                <w:spacing w:val="10"/>
              </w:rPr>
              <w:t>上年财政拨款结转</w:t>
            </w:r>
          </w:p>
        </w:tc>
        <w:tc>
          <w:tcPr>
            <w:tcW w:w="1134" w:type="dxa"/>
            <w:vAlign w:val="top"/>
          </w:tcPr>
          <w:p>
            <w:pPr>
              <w:ind w:left="707"/>
              <w:spacing w:before="113" w:line="202" w:lineRule="exac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707"/>
              <w:spacing w:before="110" w:line="202" w:lineRule="exac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3" w:hRule="atLeast"/>
        </w:trPr>
        <w:tc>
          <w:tcPr>
            <w:tcW w:w="1863" w:type="dxa"/>
            <w:vAlign w:val="top"/>
          </w:tcPr>
          <w:p>
            <w:pPr>
              <w:ind w:left="59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34" w:type="dxa"/>
            <w:vAlign w:val="top"/>
          </w:tcPr>
          <w:p>
            <w:pPr>
              <w:pStyle w:val="TableText"/>
              <w:ind w:left="269"/>
              <w:spacing w:before="136"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1922" w:type="dxa"/>
            <w:vAlign w:val="top"/>
          </w:tcPr>
          <w:p>
            <w:pPr>
              <w:ind w:left="624"/>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34" w:type="dxa"/>
            <w:vAlign w:val="top"/>
          </w:tcPr>
          <w:p>
            <w:pPr>
              <w:pStyle w:val="TableText"/>
              <w:ind w:left="280"/>
              <w:spacing w:before="136"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1156" w:type="dxa"/>
            <w:vAlign w:val="top"/>
          </w:tcPr>
          <w:p>
            <w:pPr>
              <w:pStyle w:val="TableText"/>
              <w:ind w:left="293"/>
              <w:spacing w:before="136" w:line="172" w:lineRule="auto"/>
              <w:rPr>
                <w:sz w:val="14"/>
                <w:szCs w:val="14"/>
              </w:rPr>
            </w:pPr>
            <w:r>
              <w:rPr>
                <w:sz w:val="14"/>
                <w:szCs w:val="14"/>
                <w:color w:val="212529"/>
              </w:rPr>
              <w:t>5433.</w:t>
            </w:r>
            <w:r>
              <w:rPr>
                <w:sz w:val="14"/>
                <w:szCs w:val="14"/>
                <w:color w:val="212529"/>
                <w:spacing w:val="7"/>
              </w:rPr>
              <w:t xml:space="preserve"> </w:t>
            </w:r>
            <w:r>
              <w:rPr>
                <w:sz w:val="14"/>
                <w:szCs w:val="14"/>
                <w:color w:val="212529"/>
              </w:rPr>
              <w:t>97</w:t>
            </w:r>
          </w:p>
        </w:tc>
        <w:tc>
          <w:tcPr>
            <w:tcW w:w="864" w:type="dxa"/>
            <w:vAlign w:val="top"/>
          </w:tcPr>
          <w:p>
            <w:pPr>
              <w:pStyle w:val="TableText"/>
              <w:rPr/>
            </w:pPr>
            <w:r/>
          </w:p>
        </w:tc>
        <w:tc>
          <w:tcPr>
            <w:tcW w:w="1085"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5"/>
        <w:gridCol w:w="3013"/>
        <w:gridCol w:w="1577"/>
        <w:gridCol w:w="1447"/>
        <w:gridCol w:w="1496"/>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9"/>
            <w:bookmarkEnd w:id="19"/>
            <w:bookmarkStart w:name="bookmark10" w:id="20"/>
            <w:bookmarkEnd w:id="2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62"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496" w:type="dxa"/>
            <w:vAlign w:val="top"/>
            <w:tcBorders>
              <w:top w:val="single" w:color="FFFFFF" w:sz="4" w:space="0"/>
              <w:left w:val="single" w:color="FFFFFF" w:sz="2" w:space="0"/>
              <w:right w:val="single" w:color="FFFFFF" w:sz="2" w:space="0"/>
            </w:tcBorders>
          </w:tcPr>
          <w:p>
            <w:pPr>
              <w:ind w:left="823"/>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38" w:type="dxa"/>
            <w:vAlign w:val="top"/>
            <w:gridSpan w:val="2"/>
          </w:tcPr>
          <w:p>
            <w:pPr>
              <w:ind w:left="214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520" w:type="dxa"/>
            <w:vAlign w:val="top"/>
            <w:gridSpan w:val="3"/>
          </w:tcPr>
          <w:p>
            <w:pPr>
              <w:ind w:left="176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25" w:type="dxa"/>
            <w:vAlign w:val="top"/>
          </w:tcPr>
          <w:p>
            <w:pPr>
              <w:ind w:left="47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13" w:type="dxa"/>
            <w:vAlign w:val="top"/>
          </w:tcPr>
          <w:p>
            <w:pPr>
              <w:ind w:left="116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77" w:type="dxa"/>
            <w:vAlign w:val="top"/>
          </w:tcPr>
          <w:p>
            <w:pPr>
              <w:ind w:left="617"/>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ind w:left="385"/>
              <w:spacing w:before="64" w:line="157" w:lineRule="exact"/>
              <w:outlineLvl w:val="1"/>
              <w:rPr>
                <w:rFonts w:ascii="Microsoft YaHei" w:hAnsi="Microsoft YaHei" w:eastAsia="Microsoft YaHei" w:cs="Microsoft YaHei"/>
                <w:sz w:val="15"/>
                <w:szCs w:val="15"/>
              </w:rPr>
            </w:pPr>
            <w:bookmarkStart w:name="bookmark11" w:id="21"/>
            <w:bookmarkEnd w:id="21"/>
            <w:r>
              <w:rPr>
                <w:rFonts w:ascii="Microsoft YaHei" w:hAnsi="Microsoft YaHei" w:eastAsia="Microsoft YaHei" w:cs="Microsoft YaHei"/>
                <w:sz w:val="15"/>
                <w:szCs w:val="15"/>
                <w:color w:val="212529"/>
                <w:spacing w:val="8"/>
                <w:position w:val="-1"/>
              </w:rPr>
              <w:t>基本支出</w:t>
            </w:r>
          </w:p>
        </w:tc>
        <w:tc>
          <w:tcPr>
            <w:tcW w:w="1496" w:type="dxa"/>
            <w:vAlign w:val="top"/>
          </w:tcPr>
          <w:p>
            <w:pPr>
              <w:ind w:left="41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38" w:type="dxa"/>
            <w:vAlign w:val="top"/>
            <w:gridSpan w:val="2"/>
          </w:tcPr>
          <w:p>
            <w:pPr>
              <w:ind w:left="214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77" w:type="dxa"/>
            <w:vAlign w:val="top"/>
          </w:tcPr>
          <w:p>
            <w:pPr>
              <w:pStyle w:val="TableText"/>
              <w:ind w:left="985"/>
              <w:spacing w:before="87" w:line="173" w:lineRule="auto"/>
              <w:rPr>
                <w:sz w:val="14"/>
                <w:szCs w:val="14"/>
              </w:rPr>
            </w:pPr>
            <w:r>
              <w:rPr>
                <w:sz w:val="14"/>
                <w:szCs w:val="14"/>
                <w:color w:val="212529"/>
              </w:rPr>
              <w:t>5415.</w:t>
            </w:r>
            <w:r>
              <w:rPr>
                <w:sz w:val="14"/>
                <w:szCs w:val="14"/>
                <w:color w:val="212529"/>
                <w:spacing w:val="7"/>
              </w:rPr>
              <w:t xml:space="preserve"> </w:t>
            </w:r>
            <w:r>
              <w:rPr>
                <w:sz w:val="14"/>
                <w:szCs w:val="14"/>
                <w:color w:val="212529"/>
              </w:rPr>
              <w:t>75</w:t>
            </w:r>
          </w:p>
        </w:tc>
        <w:tc>
          <w:tcPr>
            <w:tcW w:w="1447" w:type="dxa"/>
            <w:vAlign w:val="top"/>
          </w:tcPr>
          <w:p>
            <w:pPr>
              <w:pStyle w:val="TableText"/>
              <w:ind w:left="868"/>
              <w:spacing w:before="87" w:line="186" w:lineRule="auto"/>
              <w:rPr>
                <w:sz w:val="13"/>
                <w:szCs w:val="13"/>
              </w:rPr>
            </w:pPr>
            <w:r>
              <w:rPr>
                <w:sz w:val="13"/>
                <w:szCs w:val="13"/>
                <w:color w:val="212529"/>
                <w:spacing w:val="4"/>
              </w:rPr>
              <w:t>1451.</w:t>
            </w:r>
            <w:r>
              <w:rPr>
                <w:sz w:val="13"/>
                <w:szCs w:val="13"/>
                <w:color w:val="212529"/>
                <w:spacing w:val="4"/>
              </w:rPr>
              <w:t xml:space="preserve"> </w:t>
            </w:r>
            <w:r>
              <w:rPr>
                <w:sz w:val="13"/>
                <w:szCs w:val="13"/>
                <w:color w:val="212529"/>
                <w:spacing w:val="4"/>
              </w:rPr>
              <w:t>23</w:t>
            </w:r>
          </w:p>
        </w:tc>
        <w:tc>
          <w:tcPr>
            <w:tcW w:w="1496" w:type="dxa"/>
            <w:vAlign w:val="top"/>
          </w:tcPr>
          <w:p>
            <w:pPr>
              <w:pStyle w:val="TableText"/>
              <w:ind w:left="905"/>
              <w:spacing w:before="87" w:line="172" w:lineRule="auto"/>
              <w:rPr>
                <w:sz w:val="14"/>
                <w:szCs w:val="14"/>
              </w:rPr>
            </w:pPr>
            <w:r>
              <w:rPr>
                <w:sz w:val="14"/>
                <w:szCs w:val="14"/>
                <w:color w:val="212529"/>
              </w:rPr>
              <w:t>3964.</w:t>
            </w:r>
            <w:r>
              <w:rPr>
                <w:sz w:val="14"/>
                <w:szCs w:val="14"/>
                <w:color w:val="212529"/>
                <w:spacing w:val="7"/>
              </w:rPr>
              <w:t xml:space="preserve"> </w:t>
            </w:r>
            <w:r>
              <w:rPr>
                <w:sz w:val="14"/>
                <w:szCs w:val="14"/>
                <w:color w:val="212529"/>
              </w:rPr>
              <w:t>52</w:t>
            </w:r>
          </w:p>
        </w:tc>
      </w:tr>
      <w:tr>
        <w:trPr>
          <w:trHeight w:val="292" w:hRule="atLeast"/>
        </w:trPr>
        <w:tc>
          <w:tcPr>
            <w:tcW w:w="1625"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13"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77" w:type="dxa"/>
            <w:vAlign w:val="top"/>
          </w:tcPr>
          <w:p>
            <w:pPr>
              <w:ind w:right="2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4387.43</w:t>
            </w:r>
          </w:p>
        </w:tc>
        <w:tc>
          <w:tcPr>
            <w:tcW w:w="1447"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1294.91</w:t>
            </w:r>
          </w:p>
        </w:tc>
        <w:tc>
          <w:tcPr>
            <w:tcW w:w="1496"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3092.52</w:t>
            </w:r>
          </w:p>
        </w:tc>
      </w:tr>
      <w:tr>
        <w:trPr>
          <w:trHeight w:val="292" w:hRule="atLeast"/>
        </w:trPr>
        <w:tc>
          <w:tcPr>
            <w:tcW w:w="1625"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20801</w:t>
            </w:r>
          </w:p>
        </w:tc>
        <w:tc>
          <w:tcPr>
            <w:tcW w:w="3013"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577" w:type="dxa"/>
            <w:vAlign w:val="top"/>
          </w:tcPr>
          <w:p>
            <w:pPr>
              <w:ind w:right="2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3119.15</w:t>
            </w:r>
          </w:p>
        </w:tc>
        <w:tc>
          <w:tcPr>
            <w:tcW w:w="1447"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1112.19</w:t>
            </w:r>
          </w:p>
        </w:tc>
        <w:tc>
          <w:tcPr>
            <w:tcW w:w="1496"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2006.96</w:t>
            </w:r>
          </w:p>
        </w:tc>
      </w:tr>
      <w:tr>
        <w:trPr>
          <w:trHeight w:val="292" w:hRule="atLeast"/>
        </w:trPr>
        <w:tc>
          <w:tcPr>
            <w:tcW w:w="1625"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2080101</w:t>
            </w:r>
          </w:p>
        </w:tc>
        <w:tc>
          <w:tcPr>
            <w:tcW w:w="3013"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252.63</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252.63</w:t>
            </w:r>
          </w:p>
        </w:tc>
        <w:tc>
          <w:tcPr>
            <w:tcW w:w="1496" w:type="dxa"/>
            <w:vAlign w:val="top"/>
          </w:tcPr>
          <w:p>
            <w:pPr>
              <w:pStyle w:val="TableText"/>
              <w:rPr/>
            </w:pPr>
            <w:r/>
          </w:p>
        </w:tc>
      </w:tr>
      <w:tr>
        <w:trPr>
          <w:trHeight w:val="293"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2080105</w:t>
            </w:r>
          </w:p>
        </w:tc>
        <w:tc>
          <w:tcPr>
            <w:tcW w:w="3013"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9"/>
              </w:rPr>
              <w:t>劳动保障监察</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c>
          <w:tcPr>
            <w:tcW w:w="1447" w:type="dxa"/>
            <w:vAlign w:val="top"/>
          </w:tcPr>
          <w:p>
            <w:pPr>
              <w:pStyle w:val="TableText"/>
              <w:rPr/>
            </w:pPr>
            <w:r/>
          </w:p>
        </w:tc>
        <w:tc>
          <w:tcPr>
            <w:tcW w:w="1496"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r>
      <w:tr>
        <w:trPr>
          <w:trHeight w:val="293"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2080106</w:t>
            </w:r>
          </w:p>
        </w:tc>
        <w:tc>
          <w:tcPr>
            <w:tcW w:w="3013"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10"/>
              </w:rPr>
              <w:t>就业管理事务</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447" w:type="dxa"/>
            <w:vAlign w:val="top"/>
          </w:tcPr>
          <w:p>
            <w:pPr>
              <w:pStyle w:val="TableText"/>
              <w:rPr/>
            </w:pPr>
            <w:r/>
          </w:p>
        </w:tc>
        <w:tc>
          <w:tcPr>
            <w:tcW w:w="1496"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292"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2080109</w:t>
            </w:r>
          </w:p>
        </w:tc>
        <w:tc>
          <w:tcPr>
            <w:tcW w:w="3013" w:type="dxa"/>
            <w:vAlign w:val="top"/>
          </w:tcPr>
          <w:p>
            <w:pPr>
              <w:ind w:left="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447" w:type="dxa"/>
            <w:vAlign w:val="top"/>
          </w:tcPr>
          <w:p>
            <w:pPr>
              <w:pStyle w:val="TableText"/>
              <w:rPr/>
            </w:pPr>
            <w:r/>
          </w:p>
        </w:tc>
        <w:tc>
          <w:tcPr>
            <w:tcW w:w="1496"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3"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2080111</w:t>
            </w:r>
          </w:p>
        </w:tc>
        <w:tc>
          <w:tcPr>
            <w:tcW w:w="3013" w:type="dxa"/>
            <w:vAlign w:val="top"/>
          </w:tcPr>
          <w:p>
            <w:pPr>
              <w:ind w:left="8"/>
              <w:spacing w:before="71" w:line="228" w:lineRule="auto"/>
              <w:rPr>
                <w:rFonts w:ascii="SimSun" w:hAnsi="SimSun" w:eastAsia="SimSun" w:cs="SimSun"/>
                <w:sz w:val="15"/>
                <w:szCs w:val="15"/>
              </w:rPr>
            </w:pPr>
            <w:r>
              <w:rPr>
                <w:rFonts w:ascii="SimSun" w:hAnsi="SimSun" w:eastAsia="SimSun" w:cs="SimSun"/>
                <w:sz w:val="15"/>
                <w:szCs w:val="15"/>
                <w:color w:val="212529"/>
                <w:spacing w:val="11"/>
              </w:rPr>
              <w:t>公共就业服务和职业技能鉴定机构</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260.02</w:t>
            </w:r>
          </w:p>
        </w:tc>
        <w:tc>
          <w:tcPr>
            <w:tcW w:w="1447" w:type="dxa"/>
            <w:vAlign w:val="top"/>
          </w:tcPr>
          <w:p>
            <w:pPr>
              <w:pStyle w:val="TableText"/>
              <w:rPr/>
            </w:pPr>
            <w:r/>
          </w:p>
        </w:tc>
        <w:tc>
          <w:tcPr>
            <w:tcW w:w="1496"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260.02</w:t>
            </w:r>
          </w:p>
        </w:tc>
      </w:tr>
      <w:tr>
        <w:trPr>
          <w:trHeight w:val="293"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2080112</w:t>
            </w:r>
          </w:p>
        </w:tc>
        <w:tc>
          <w:tcPr>
            <w:tcW w:w="3013"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0"/>
              </w:rPr>
              <w:t>劳动人事争议调解仲裁</w:t>
            </w:r>
          </w:p>
        </w:tc>
        <w:tc>
          <w:tcPr>
            <w:tcW w:w="1577" w:type="dxa"/>
            <w:vAlign w:val="top"/>
          </w:tcPr>
          <w:p>
            <w:pPr>
              <w:ind w:right="25"/>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w:t>
            </w:r>
          </w:p>
        </w:tc>
        <w:tc>
          <w:tcPr>
            <w:tcW w:w="1447" w:type="dxa"/>
            <w:vAlign w:val="top"/>
          </w:tcPr>
          <w:p>
            <w:pPr>
              <w:pStyle w:val="TableText"/>
              <w:rPr/>
            </w:pPr>
            <w:r/>
          </w:p>
        </w:tc>
        <w:tc>
          <w:tcPr>
            <w:tcW w:w="1496" w:type="dxa"/>
            <w:vAlign w:val="top"/>
          </w:tcPr>
          <w:p>
            <w:pPr>
              <w:ind w:right="24"/>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w:t>
            </w:r>
          </w:p>
        </w:tc>
      </w:tr>
      <w:tr>
        <w:trPr>
          <w:trHeight w:val="293"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2080150</w:t>
            </w:r>
          </w:p>
        </w:tc>
        <w:tc>
          <w:tcPr>
            <w:tcW w:w="3013" w:type="dxa"/>
            <w:vAlign w:val="top"/>
          </w:tcPr>
          <w:p>
            <w:pPr>
              <w:ind w:left="4"/>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859.55</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859.55</w:t>
            </w:r>
          </w:p>
        </w:tc>
        <w:tc>
          <w:tcPr>
            <w:tcW w:w="1496" w:type="dxa"/>
            <w:vAlign w:val="top"/>
          </w:tcPr>
          <w:p>
            <w:pPr>
              <w:pStyle w:val="TableText"/>
              <w:rPr/>
            </w:pPr>
            <w:r/>
          </w:p>
        </w:tc>
      </w:tr>
      <w:tr>
        <w:trPr>
          <w:trHeight w:val="293"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2080199</w:t>
            </w:r>
          </w:p>
        </w:tc>
        <w:tc>
          <w:tcPr>
            <w:tcW w:w="3013" w:type="dxa"/>
            <w:vAlign w:val="top"/>
          </w:tcPr>
          <w:p>
            <w:pPr>
              <w:ind w:left="2"/>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其他人力资源和社会保障管理事务支出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1689.38</w:t>
            </w:r>
          </w:p>
        </w:tc>
        <w:tc>
          <w:tcPr>
            <w:tcW w:w="1447" w:type="dxa"/>
            <w:vAlign w:val="top"/>
          </w:tcPr>
          <w:p>
            <w:pPr>
              <w:pStyle w:val="TableText"/>
              <w:rPr/>
            </w:pPr>
            <w:r/>
          </w:p>
        </w:tc>
        <w:tc>
          <w:tcPr>
            <w:tcW w:w="1496"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1689.38</w:t>
            </w:r>
          </w:p>
        </w:tc>
      </w:tr>
      <w:tr>
        <w:trPr>
          <w:trHeight w:val="293" w:hRule="atLeast"/>
        </w:trPr>
        <w:tc>
          <w:tcPr>
            <w:tcW w:w="1625"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13" w:type="dxa"/>
            <w:vAlign w:val="top"/>
          </w:tcPr>
          <w:p>
            <w:pPr>
              <w:ind w:left="3"/>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182.72</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182.72</w:t>
            </w:r>
          </w:p>
        </w:tc>
        <w:tc>
          <w:tcPr>
            <w:tcW w:w="1496" w:type="dxa"/>
            <w:vAlign w:val="top"/>
          </w:tcPr>
          <w:p>
            <w:pPr>
              <w:pStyle w:val="TableText"/>
              <w:rPr/>
            </w:pPr>
            <w:r/>
          </w:p>
        </w:tc>
      </w:tr>
      <w:tr>
        <w:trPr>
          <w:trHeight w:val="292" w:hRule="atLeast"/>
        </w:trPr>
        <w:tc>
          <w:tcPr>
            <w:tcW w:w="1625"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013"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77" w:type="dxa"/>
            <w:vAlign w:val="top"/>
          </w:tcPr>
          <w:p>
            <w:pPr>
              <w:ind w:right="2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447"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496" w:type="dxa"/>
            <w:vAlign w:val="top"/>
          </w:tcPr>
          <w:p>
            <w:pPr>
              <w:pStyle w:val="TableText"/>
              <w:rPr/>
            </w:pPr>
            <w:r/>
          </w:p>
        </w:tc>
      </w:tr>
      <w:tr>
        <w:trPr>
          <w:trHeight w:val="293"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13" w:type="dxa"/>
            <w:vAlign w:val="top"/>
          </w:tcPr>
          <w:p>
            <w:pPr>
              <w:ind w:left="2"/>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125.41</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125.41</w:t>
            </w:r>
          </w:p>
        </w:tc>
        <w:tc>
          <w:tcPr>
            <w:tcW w:w="1496" w:type="dxa"/>
            <w:vAlign w:val="top"/>
          </w:tcPr>
          <w:p>
            <w:pPr>
              <w:pStyle w:val="TableText"/>
              <w:rPr/>
            </w:pPr>
            <w:r/>
          </w:p>
        </w:tc>
      </w:tr>
      <w:tr>
        <w:trPr>
          <w:trHeight w:val="292" w:hRule="atLeast"/>
        </w:trPr>
        <w:tc>
          <w:tcPr>
            <w:tcW w:w="1625"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13" w:type="dxa"/>
            <w:vAlign w:val="top"/>
          </w:tcPr>
          <w:p>
            <w:pPr>
              <w:ind w:left="2"/>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496" w:type="dxa"/>
            <w:vAlign w:val="top"/>
          </w:tcPr>
          <w:p>
            <w:pPr>
              <w:pStyle w:val="TableText"/>
              <w:rPr/>
            </w:pPr>
            <w:r/>
          </w:p>
        </w:tc>
      </w:tr>
      <w:tr>
        <w:trPr>
          <w:trHeight w:val="293"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20807</w:t>
            </w:r>
          </w:p>
        </w:tc>
        <w:tc>
          <w:tcPr>
            <w:tcW w:w="3013" w:type="dxa"/>
            <w:vAlign w:val="top"/>
          </w:tcPr>
          <w:p>
            <w:pPr>
              <w:ind w:left="4"/>
              <w:spacing w:before="70"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1085.56</w:t>
            </w:r>
          </w:p>
        </w:tc>
        <w:tc>
          <w:tcPr>
            <w:tcW w:w="1447" w:type="dxa"/>
            <w:vAlign w:val="top"/>
          </w:tcPr>
          <w:p>
            <w:pPr>
              <w:pStyle w:val="TableText"/>
              <w:rPr/>
            </w:pPr>
            <w:r/>
          </w:p>
        </w:tc>
        <w:tc>
          <w:tcPr>
            <w:tcW w:w="1496"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1085.56</w:t>
            </w:r>
          </w:p>
        </w:tc>
      </w:tr>
      <w:tr>
        <w:trPr>
          <w:trHeight w:val="293"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2080799</w:t>
            </w:r>
          </w:p>
        </w:tc>
        <w:tc>
          <w:tcPr>
            <w:tcW w:w="3013" w:type="dxa"/>
            <w:vAlign w:val="top"/>
          </w:tcPr>
          <w:p>
            <w:pPr>
              <w:ind w:left="2"/>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其他就业补助支出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1085.56</w:t>
            </w:r>
          </w:p>
        </w:tc>
        <w:tc>
          <w:tcPr>
            <w:tcW w:w="1447" w:type="dxa"/>
            <w:vAlign w:val="top"/>
          </w:tcPr>
          <w:p>
            <w:pPr>
              <w:pStyle w:val="TableText"/>
              <w:rPr/>
            </w:pPr>
            <w:r/>
          </w:p>
        </w:tc>
        <w:tc>
          <w:tcPr>
            <w:tcW w:w="1496"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1085.56</w:t>
            </w:r>
          </w:p>
        </w:tc>
      </w:tr>
      <w:tr>
        <w:trPr>
          <w:trHeight w:val="292" w:hRule="atLeast"/>
        </w:trPr>
        <w:tc>
          <w:tcPr>
            <w:tcW w:w="1625"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13"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96" w:type="dxa"/>
            <w:vAlign w:val="top"/>
          </w:tcPr>
          <w:p>
            <w:pPr>
              <w:pStyle w:val="TableText"/>
              <w:rPr/>
            </w:pPr>
            <w:r/>
          </w:p>
        </w:tc>
      </w:tr>
      <w:tr>
        <w:trPr>
          <w:trHeight w:val="292"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13" w:type="dxa"/>
            <w:vAlign w:val="top"/>
          </w:tcPr>
          <w:p>
            <w:pPr>
              <w:ind w:left="3"/>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47"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54.52</w:t>
            </w:r>
          </w:p>
        </w:tc>
        <w:tc>
          <w:tcPr>
            <w:tcW w:w="1496" w:type="dxa"/>
            <w:vAlign w:val="top"/>
          </w:tcPr>
          <w:p>
            <w:pPr>
              <w:pStyle w:val="TableText"/>
              <w:rPr/>
            </w:pPr>
            <w:r/>
          </w:p>
        </w:tc>
      </w:tr>
      <w:tr>
        <w:trPr>
          <w:trHeight w:val="293" w:hRule="atLeast"/>
        </w:trPr>
        <w:tc>
          <w:tcPr>
            <w:tcW w:w="1625"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13" w:type="dxa"/>
            <w:vAlign w:val="top"/>
          </w:tcPr>
          <w:p>
            <w:pPr>
              <w:ind w:left="3"/>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77" w:type="dxa"/>
            <w:vAlign w:val="top"/>
          </w:tcPr>
          <w:p>
            <w:pPr>
              <w:ind w:right="25"/>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447" w:type="dxa"/>
            <w:vAlign w:val="top"/>
          </w:tcPr>
          <w:p>
            <w:pPr>
              <w:ind w:right="20"/>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496" w:type="dxa"/>
            <w:vAlign w:val="top"/>
          </w:tcPr>
          <w:p>
            <w:pPr>
              <w:pStyle w:val="TableText"/>
              <w:rPr/>
            </w:pPr>
            <w:r/>
          </w:p>
        </w:tc>
      </w:tr>
      <w:tr>
        <w:trPr>
          <w:trHeight w:val="292" w:hRule="atLeast"/>
        </w:trPr>
        <w:tc>
          <w:tcPr>
            <w:tcW w:w="1625"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13" w:type="dxa"/>
            <w:vAlign w:val="top"/>
          </w:tcPr>
          <w:p>
            <w:pPr>
              <w:ind w:left="4"/>
              <w:spacing w:before="71"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447"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496" w:type="dxa"/>
            <w:vAlign w:val="top"/>
          </w:tcPr>
          <w:p>
            <w:pPr>
              <w:pStyle w:val="TableText"/>
              <w:rPr/>
            </w:pPr>
            <w:r/>
          </w:p>
        </w:tc>
      </w:tr>
      <w:tr>
        <w:trPr>
          <w:trHeight w:val="292" w:hRule="atLeast"/>
        </w:trPr>
        <w:tc>
          <w:tcPr>
            <w:tcW w:w="1625"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13"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96" w:type="dxa"/>
            <w:vAlign w:val="top"/>
          </w:tcPr>
          <w:p>
            <w:pPr>
              <w:pStyle w:val="TableText"/>
              <w:rPr/>
            </w:pPr>
            <w:r/>
          </w:p>
        </w:tc>
      </w:tr>
      <w:tr>
        <w:trPr>
          <w:trHeight w:val="293"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013" w:type="dxa"/>
            <w:vAlign w:val="top"/>
          </w:tcPr>
          <w:p>
            <w:pPr>
              <w:ind w:left="4"/>
              <w:spacing w:before="73"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872.00</w:t>
            </w:r>
          </w:p>
        </w:tc>
        <w:tc>
          <w:tcPr>
            <w:tcW w:w="1447" w:type="dxa"/>
            <w:vAlign w:val="top"/>
          </w:tcPr>
          <w:p>
            <w:pPr>
              <w:pStyle w:val="TableText"/>
              <w:rPr/>
            </w:pPr>
            <w:r/>
          </w:p>
        </w:tc>
        <w:tc>
          <w:tcPr>
            <w:tcW w:w="149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872.00</w:t>
            </w:r>
          </w:p>
        </w:tc>
      </w:tr>
      <w:tr>
        <w:trPr>
          <w:trHeight w:val="292"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013"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1447" w:type="dxa"/>
            <w:vAlign w:val="top"/>
          </w:tcPr>
          <w:p>
            <w:pPr>
              <w:pStyle w:val="TableText"/>
              <w:rPr/>
            </w:pPr>
            <w:r/>
          </w:p>
        </w:tc>
        <w:tc>
          <w:tcPr>
            <w:tcW w:w="1496"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r>
      <w:tr>
        <w:trPr>
          <w:trHeight w:val="292" w:hRule="atLeast"/>
        </w:trPr>
        <w:tc>
          <w:tcPr>
            <w:tcW w:w="1625"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013" w:type="dxa"/>
            <w:vAlign w:val="top"/>
          </w:tcPr>
          <w:p>
            <w:pPr>
              <w:ind w:left="2"/>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1447" w:type="dxa"/>
            <w:vAlign w:val="top"/>
          </w:tcPr>
          <w:p>
            <w:pPr>
              <w:pStyle w:val="TableText"/>
              <w:rPr/>
            </w:pPr>
            <w:r/>
          </w:p>
        </w:tc>
        <w:tc>
          <w:tcPr>
            <w:tcW w:w="149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r>
      <w:tr>
        <w:trPr>
          <w:trHeight w:val="293" w:hRule="atLeast"/>
        </w:trPr>
        <w:tc>
          <w:tcPr>
            <w:tcW w:w="1625"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3013"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1"/>
              </w:rPr>
              <w:t>普惠金融发展支出</w:t>
            </w:r>
          </w:p>
        </w:tc>
        <w:tc>
          <w:tcPr>
            <w:tcW w:w="1577"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447" w:type="dxa"/>
            <w:vAlign w:val="top"/>
          </w:tcPr>
          <w:p>
            <w:pPr>
              <w:pStyle w:val="TableText"/>
              <w:rPr/>
            </w:pPr>
            <w:r/>
          </w:p>
        </w:tc>
        <w:tc>
          <w:tcPr>
            <w:tcW w:w="1496"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r>
      <w:tr>
        <w:trPr>
          <w:trHeight w:val="292" w:hRule="atLeast"/>
        </w:trPr>
        <w:tc>
          <w:tcPr>
            <w:tcW w:w="1625"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2130804</w:t>
            </w:r>
          </w:p>
        </w:tc>
        <w:tc>
          <w:tcPr>
            <w:tcW w:w="3013" w:type="dxa"/>
            <w:vAlign w:val="top"/>
          </w:tcPr>
          <w:p>
            <w:pPr>
              <w:ind w:left="3"/>
              <w:spacing w:before="74" w:line="229" w:lineRule="auto"/>
              <w:rPr>
                <w:rFonts w:ascii="SimSun" w:hAnsi="SimSun" w:eastAsia="SimSun" w:cs="SimSun"/>
                <w:sz w:val="15"/>
                <w:szCs w:val="15"/>
              </w:rPr>
            </w:pPr>
            <w:r>
              <w:rPr>
                <w:rFonts w:ascii="SimSun" w:hAnsi="SimSun" w:eastAsia="SimSun" w:cs="SimSun"/>
                <w:sz w:val="15"/>
                <w:szCs w:val="15"/>
                <w:color w:val="212529"/>
                <w:spacing w:val="11"/>
              </w:rPr>
              <w:t>创业担保贷款贴息及奖补</w:t>
            </w:r>
          </w:p>
        </w:tc>
        <w:tc>
          <w:tcPr>
            <w:tcW w:w="1577" w:type="dxa"/>
            <w:vAlign w:val="top"/>
          </w:tcPr>
          <w:p>
            <w:pPr>
              <w:ind w:right="2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447" w:type="dxa"/>
            <w:vAlign w:val="top"/>
          </w:tcPr>
          <w:p>
            <w:pPr>
              <w:pStyle w:val="TableText"/>
              <w:rPr/>
            </w:pPr>
            <w:r/>
          </w:p>
        </w:tc>
        <w:tc>
          <w:tcPr>
            <w:tcW w:w="1496"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r>
      <w:tr>
        <w:trPr>
          <w:trHeight w:val="292" w:hRule="atLeast"/>
        </w:trPr>
        <w:tc>
          <w:tcPr>
            <w:tcW w:w="1625"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13"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77"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47"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96" w:type="dxa"/>
            <w:vAlign w:val="top"/>
          </w:tcPr>
          <w:p>
            <w:pPr>
              <w:pStyle w:val="TableText"/>
              <w:rPr/>
            </w:pPr>
            <w:r/>
          </w:p>
        </w:tc>
      </w:tr>
      <w:tr>
        <w:trPr>
          <w:trHeight w:val="293" w:hRule="atLeast"/>
        </w:trPr>
        <w:tc>
          <w:tcPr>
            <w:tcW w:w="1625"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13" w:type="dxa"/>
            <w:vAlign w:val="top"/>
          </w:tcPr>
          <w:p>
            <w:pPr>
              <w:ind w:left="4"/>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96" w:type="dxa"/>
            <w:vAlign w:val="top"/>
          </w:tcPr>
          <w:p>
            <w:pPr>
              <w:pStyle w:val="TableText"/>
              <w:rPr/>
            </w:pPr>
            <w:r/>
          </w:p>
        </w:tc>
      </w:tr>
      <w:tr>
        <w:trPr>
          <w:trHeight w:val="298" w:hRule="atLeast"/>
        </w:trPr>
        <w:tc>
          <w:tcPr>
            <w:tcW w:w="1625"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13" w:type="dxa"/>
            <w:vAlign w:val="top"/>
          </w:tcPr>
          <w:p>
            <w:pPr>
              <w:ind w:left="4"/>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496" w:type="dxa"/>
            <w:vAlign w:val="top"/>
          </w:tcPr>
          <w:p>
            <w:pPr>
              <w:pStyle w:val="TableText"/>
              <w:rPr/>
            </w:pPr>
            <w:r/>
          </w:p>
        </w:tc>
      </w:tr>
    </w:tbl>
    <w:p>
      <w:pPr>
        <w:rPr>
          <w:rFonts w:ascii="Arial"/>
          <w:sz w:val="21"/>
        </w:rPr>
      </w:pPr>
      <w:r/>
    </w:p>
    <w:p>
      <w:pPr>
        <w:sectPr>
          <w:footerReference w:type="default" r:id="rId13"/>
          <w:pgSz w:w="11900" w:h="1684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22"/>
            <w:bookmarkEnd w:id="22"/>
            <w:bookmarkStart w:name="bookmark11" w:id="23"/>
            <w:bookmarkEnd w:id="23"/>
            <w:bookmarkStart w:name="bookmark12" w:id="24"/>
            <w:bookmarkEnd w:id="2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62"/>
              <w:spacing w:before="87" w:line="186" w:lineRule="auto"/>
              <w:rPr>
                <w:sz w:val="13"/>
                <w:szCs w:val="13"/>
              </w:rPr>
            </w:pPr>
            <w:r>
              <w:rPr>
                <w:sz w:val="13"/>
                <w:szCs w:val="13"/>
                <w:color w:val="212529"/>
                <w:spacing w:val="4"/>
              </w:rPr>
              <w:t>1451.</w:t>
            </w:r>
            <w:r>
              <w:rPr>
                <w:sz w:val="13"/>
                <w:szCs w:val="13"/>
                <w:color w:val="212529"/>
                <w:spacing w:val="4"/>
              </w:rPr>
              <w:t xml:space="preserve"> </w:t>
            </w:r>
            <w:r>
              <w:rPr>
                <w:sz w:val="13"/>
                <w:szCs w:val="13"/>
                <w:color w:val="212529"/>
                <w:spacing w:val="4"/>
              </w:rPr>
              <w:t>23</w:t>
            </w:r>
          </w:p>
        </w:tc>
        <w:tc>
          <w:tcPr>
            <w:tcW w:w="1242" w:type="dxa"/>
            <w:vAlign w:val="top"/>
          </w:tcPr>
          <w:p>
            <w:pPr>
              <w:pStyle w:val="TableText"/>
              <w:ind w:left="666"/>
              <w:spacing w:before="87" w:line="186" w:lineRule="auto"/>
              <w:rPr>
                <w:sz w:val="13"/>
                <w:szCs w:val="13"/>
              </w:rPr>
            </w:pPr>
            <w:r>
              <w:rPr>
                <w:sz w:val="13"/>
                <w:szCs w:val="13"/>
                <w:color w:val="212529"/>
                <w:spacing w:val="3"/>
              </w:rPr>
              <w:t>1315.</w:t>
            </w:r>
            <w:r>
              <w:rPr>
                <w:sz w:val="13"/>
                <w:szCs w:val="13"/>
                <w:color w:val="212529"/>
                <w:spacing w:val="16"/>
                <w:w w:val="101"/>
              </w:rPr>
              <w:t xml:space="preserve"> </w:t>
            </w:r>
            <w:r>
              <w:rPr>
                <w:sz w:val="13"/>
                <w:szCs w:val="13"/>
                <w:color w:val="212529"/>
                <w:spacing w:val="3"/>
              </w:rPr>
              <w:t>25</w:t>
            </w:r>
          </w:p>
        </w:tc>
        <w:tc>
          <w:tcPr>
            <w:tcW w:w="1172" w:type="dxa"/>
            <w:vAlign w:val="top"/>
          </w:tcPr>
          <w:p>
            <w:pPr>
              <w:pStyle w:val="TableText"/>
              <w:ind w:left="672"/>
              <w:spacing w:before="87" w:line="186" w:lineRule="auto"/>
              <w:rPr>
                <w:sz w:val="13"/>
                <w:szCs w:val="13"/>
              </w:rPr>
            </w:pPr>
            <w:r>
              <w:rPr>
                <w:sz w:val="13"/>
                <w:szCs w:val="13"/>
                <w:color w:val="212529"/>
                <w:spacing w:val="3"/>
              </w:rPr>
              <w:t>135.</w:t>
            </w:r>
            <w:r>
              <w:rPr>
                <w:sz w:val="13"/>
                <w:szCs w:val="13"/>
                <w:color w:val="212529"/>
                <w:spacing w:val="11"/>
              </w:rPr>
              <w:t xml:space="preserve"> </w:t>
            </w:r>
            <w:r>
              <w:rPr>
                <w:sz w:val="13"/>
                <w:szCs w:val="13"/>
                <w:color w:val="212529"/>
                <w:spacing w:val="3"/>
              </w:rPr>
              <w:t>98</w:t>
            </w:r>
          </w:p>
        </w:tc>
      </w:tr>
      <w:tr>
        <w:trPr>
          <w:trHeight w:val="293"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1281.89</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1281.89</w:t>
            </w:r>
          </w:p>
        </w:tc>
        <w:tc>
          <w:tcPr>
            <w:tcW w:w="1172" w:type="dxa"/>
            <w:vAlign w:val="top"/>
          </w:tcPr>
          <w:p>
            <w:pPr>
              <w:pStyle w:val="TableText"/>
              <w:rPr/>
            </w:pPr>
            <w:r/>
          </w:p>
        </w:tc>
      </w:tr>
      <w:tr>
        <w:trPr>
          <w:trHeight w:val="293" w:hRule="atLeast"/>
        </w:trPr>
        <w:tc>
          <w:tcPr>
            <w:tcW w:w="3202"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8"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172" w:type="dxa"/>
            <w:vAlign w:val="top"/>
          </w:tcPr>
          <w:p>
            <w:pPr>
              <w:pStyle w:val="TableText"/>
              <w:rPr/>
            </w:pPr>
            <w:r/>
          </w:p>
        </w:tc>
      </w:tr>
      <w:tr>
        <w:trPr>
          <w:trHeight w:val="293" w:hRule="atLeast"/>
        </w:trPr>
        <w:tc>
          <w:tcPr>
            <w:tcW w:w="3202"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382.20</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382.20</w:t>
            </w:r>
          </w:p>
        </w:tc>
        <w:tc>
          <w:tcPr>
            <w:tcW w:w="1172" w:type="dxa"/>
            <w:vAlign w:val="top"/>
          </w:tcPr>
          <w:p>
            <w:pPr>
              <w:pStyle w:val="TableText"/>
              <w:rPr/>
            </w:pPr>
            <w:r/>
          </w:p>
        </w:tc>
      </w:tr>
      <w:tr>
        <w:trPr>
          <w:trHeight w:val="293" w:hRule="atLeast"/>
        </w:trPr>
        <w:tc>
          <w:tcPr>
            <w:tcW w:w="3202" w:type="dxa"/>
            <w:vAlign w:val="top"/>
          </w:tcPr>
          <w:p>
            <w:pPr>
              <w:ind w:left="330"/>
              <w:spacing w:before="68"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68"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43.86</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43.86</w:t>
            </w:r>
          </w:p>
        </w:tc>
        <w:tc>
          <w:tcPr>
            <w:tcW w:w="1172" w:type="dxa"/>
            <w:vAlign w:val="top"/>
          </w:tcPr>
          <w:p>
            <w:pPr>
              <w:pStyle w:val="TableText"/>
              <w:rPr/>
            </w:pPr>
            <w:r/>
          </w:p>
        </w:tc>
      </w:tr>
      <w:tr>
        <w:trPr>
          <w:trHeight w:val="293" w:hRule="atLeast"/>
        </w:trPr>
        <w:tc>
          <w:tcPr>
            <w:tcW w:w="3202" w:type="dxa"/>
            <w:vAlign w:val="top"/>
          </w:tcPr>
          <w:p>
            <w:pPr>
              <w:ind w:left="330"/>
              <w:spacing w:before="67"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172" w:type="dxa"/>
            <w:vAlign w:val="top"/>
          </w:tcPr>
          <w:p>
            <w:pPr>
              <w:pStyle w:val="TableText"/>
              <w:rPr/>
            </w:pPr>
            <w:r/>
          </w:p>
        </w:tc>
      </w:tr>
      <w:tr>
        <w:trPr>
          <w:trHeight w:val="292" w:hRule="atLeast"/>
        </w:trPr>
        <w:tc>
          <w:tcPr>
            <w:tcW w:w="3202" w:type="dxa"/>
            <w:vAlign w:val="top"/>
          </w:tcPr>
          <w:p>
            <w:pPr>
              <w:ind w:left="332"/>
              <w:spacing w:before="67"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67"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11.97</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11.97</w:t>
            </w:r>
          </w:p>
        </w:tc>
        <w:tc>
          <w:tcPr>
            <w:tcW w:w="1172" w:type="dxa"/>
            <w:vAlign w:val="top"/>
          </w:tcPr>
          <w:p>
            <w:pPr>
              <w:pStyle w:val="TableText"/>
              <w:rPr/>
            </w:pPr>
            <w:r/>
          </w:p>
        </w:tc>
      </w:tr>
      <w:tr>
        <w:trPr>
          <w:trHeight w:val="293" w:hRule="atLeast"/>
        </w:trPr>
        <w:tc>
          <w:tcPr>
            <w:tcW w:w="3202" w:type="dxa"/>
            <w:vAlign w:val="top"/>
          </w:tcPr>
          <w:p>
            <w:pPr>
              <w:ind w:left="333"/>
              <w:spacing w:before="68"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267.71</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267.71</w:t>
            </w:r>
          </w:p>
        </w:tc>
        <w:tc>
          <w:tcPr>
            <w:tcW w:w="1172" w:type="dxa"/>
            <w:vAlign w:val="top"/>
          </w:tcPr>
          <w:p>
            <w:pPr>
              <w:pStyle w:val="TableText"/>
              <w:rPr/>
            </w:pPr>
            <w:r/>
          </w:p>
        </w:tc>
      </w:tr>
      <w:tr>
        <w:trPr>
          <w:trHeight w:val="293" w:hRule="atLeast"/>
        </w:trPr>
        <w:tc>
          <w:tcPr>
            <w:tcW w:w="3202"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19.03</w:t>
            </w:r>
          </w:p>
        </w:tc>
        <w:tc>
          <w:tcPr>
            <w:tcW w:w="1242" w:type="dxa"/>
            <w:vAlign w:val="top"/>
          </w:tcPr>
          <w:p>
            <w:pPr>
              <w:ind w:right="17"/>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19.03</w:t>
            </w:r>
          </w:p>
        </w:tc>
        <w:tc>
          <w:tcPr>
            <w:tcW w:w="1172" w:type="dxa"/>
            <w:vAlign w:val="top"/>
          </w:tcPr>
          <w:p>
            <w:pPr>
              <w:pStyle w:val="TableText"/>
              <w:rPr/>
            </w:pPr>
            <w:r/>
          </w:p>
        </w:tc>
      </w:tr>
      <w:tr>
        <w:trPr>
          <w:trHeight w:val="293" w:hRule="atLeast"/>
        </w:trPr>
        <w:tc>
          <w:tcPr>
            <w:tcW w:w="3202"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106.39</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106.39</w:t>
            </w:r>
          </w:p>
        </w:tc>
        <w:tc>
          <w:tcPr>
            <w:tcW w:w="1172" w:type="dxa"/>
            <w:vAlign w:val="top"/>
          </w:tcPr>
          <w:p>
            <w:pPr>
              <w:pStyle w:val="TableText"/>
              <w:rPr/>
            </w:pPr>
            <w:r/>
          </w:p>
        </w:tc>
      </w:tr>
      <w:tr>
        <w:trPr>
          <w:trHeight w:val="293" w:hRule="atLeast"/>
        </w:trPr>
        <w:tc>
          <w:tcPr>
            <w:tcW w:w="3202" w:type="dxa"/>
            <w:vAlign w:val="top"/>
          </w:tcPr>
          <w:p>
            <w:pPr>
              <w:ind w:left="330"/>
              <w:spacing w:before="67"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24" w:type="dxa"/>
            <w:vAlign w:val="top"/>
          </w:tcPr>
          <w:p>
            <w:pPr>
              <w:ind w:left="334"/>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172" w:type="dxa"/>
            <w:vAlign w:val="top"/>
          </w:tcPr>
          <w:p>
            <w:pPr>
              <w:pStyle w:val="TableText"/>
              <w:rPr/>
            </w:pPr>
            <w:r/>
          </w:p>
        </w:tc>
      </w:tr>
      <w:tr>
        <w:trPr>
          <w:trHeight w:val="293" w:hRule="atLeast"/>
        </w:trPr>
        <w:tc>
          <w:tcPr>
            <w:tcW w:w="3202"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7.73</w:t>
            </w:r>
          </w:p>
        </w:tc>
        <w:tc>
          <w:tcPr>
            <w:tcW w:w="1172" w:type="dxa"/>
            <w:vAlign w:val="top"/>
          </w:tcPr>
          <w:p>
            <w:pPr>
              <w:pStyle w:val="TableText"/>
              <w:rPr/>
            </w:pPr>
            <w:r/>
          </w:p>
        </w:tc>
      </w:tr>
      <w:tr>
        <w:trPr>
          <w:trHeight w:val="292" w:hRule="atLeast"/>
        </w:trPr>
        <w:tc>
          <w:tcPr>
            <w:tcW w:w="3202"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66"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242" w:type="dxa"/>
            <w:vAlign w:val="top"/>
          </w:tcPr>
          <w:p>
            <w:pPr>
              <w:ind w:right="17"/>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43.22</w:t>
            </w:r>
          </w:p>
        </w:tc>
        <w:tc>
          <w:tcPr>
            <w:tcW w:w="1172" w:type="dxa"/>
            <w:vAlign w:val="top"/>
          </w:tcPr>
          <w:p>
            <w:pPr>
              <w:pStyle w:val="TableText"/>
              <w:rPr/>
            </w:pPr>
            <w:r/>
          </w:p>
        </w:tc>
      </w:tr>
      <w:tr>
        <w:trPr>
          <w:trHeight w:val="293" w:hRule="atLeast"/>
        </w:trPr>
        <w:tc>
          <w:tcPr>
            <w:tcW w:w="3202" w:type="dxa"/>
            <w:vAlign w:val="top"/>
          </w:tcPr>
          <w:p>
            <w:pPr>
              <w:ind w:left="336"/>
              <w:spacing w:before="67"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172" w:type="dxa"/>
            <w:vAlign w:val="top"/>
          </w:tcPr>
          <w:p>
            <w:pPr>
              <w:pStyle w:val="TableText"/>
              <w:rPr/>
            </w:pPr>
            <w:r/>
          </w:p>
        </w:tc>
      </w:tr>
      <w:tr>
        <w:trPr>
          <w:trHeight w:val="292" w:hRule="atLeast"/>
        </w:trPr>
        <w:tc>
          <w:tcPr>
            <w:tcW w:w="3202" w:type="dxa"/>
            <w:vAlign w:val="top"/>
          </w:tcPr>
          <w:p>
            <w:pPr>
              <w:ind w:left="330"/>
              <w:spacing w:before="67"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67"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c>
          <w:tcPr>
            <w:tcW w:w="1172" w:type="dxa"/>
            <w:vAlign w:val="top"/>
          </w:tcPr>
          <w:p>
            <w:pPr>
              <w:pStyle w:val="TableText"/>
              <w:rPr/>
            </w:pPr>
            <w:r/>
          </w:p>
        </w:tc>
      </w:tr>
      <w:tr>
        <w:trPr>
          <w:trHeight w:val="293" w:hRule="atLeast"/>
        </w:trPr>
        <w:tc>
          <w:tcPr>
            <w:tcW w:w="3202" w:type="dxa"/>
            <w:vAlign w:val="top"/>
          </w:tcPr>
          <w:p>
            <w:pPr>
              <w:ind w:left="330"/>
              <w:spacing w:before="68"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67"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0.52</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0.52</w:t>
            </w:r>
          </w:p>
        </w:tc>
        <w:tc>
          <w:tcPr>
            <w:tcW w:w="1172" w:type="dxa"/>
            <w:vAlign w:val="top"/>
          </w:tcPr>
          <w:p>
            <w:pPr>
              <w:pStyle w:val="TableText"/>
              <w:rPr/>
            </w:pPr>
            <w:r/>
          </w:p>
        </w:tc>
      </w:tr>
      <w:tr>
        <w:trPr>
          <w:trHeight w:val="293" w:hRule="atLeast"/>
        </w:trPr>
        <w:tc>
          <w:tcPr>
            <w:tcW w:w="3202" w:type="dxa"/>
            <w:vAlign w:val="top"/>
          </w:tcPr>
          <w:p>
            <w:pPr>
              <w:ind w:left="331"/>
              <w:spacing w:before="6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67"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101.80</w:t>
            </w:r>
          </w:p>
        </w:tc>
        <w:tc>
          <w:tcPr>
            <w:tcW w:w="1172" w:type="dxa"/>
            <w:vAlign w:val="top"/>
          </w:tcPr>
          <w:p>
            <w:pPr>
              <w:pStyle w:val="TableText"/>
              <w:rPr/>
            </w:pPr>
            <w:r/>
          </w:p>
        </w:tc>
      </w:tr>
      <w:tr>
        <w:trPr>
          <w:trHeight w:val="292" w:hRule="atLeast"/>
        </w:trPr>
        <w:tc>
          <w:tcPr>
            <w:tcW w:w="3202" w:type="dxa"/>
            <w:vAlign w:val="top"/>
          </w:tcPr>
          <w:p>
            <w:pPr>
              <w:ind w:left="330"/>
              <w:spacing w:before="67"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67"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24.03</w:t>
            </w:r>
          </w:p>
        </w:tc>
        <w:tc>
          <w:tcPr>
            <w:tcW w:w="1242"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24.03</w:t>
            </w:r>
          </w:p>
        </w:tc>
        <w:tc>
          <w:tcPr>
            <w:tcW w:w="1172" w:type="dxa"/>
            <w:vAlign w:val="top"/>
          </w:tcPr>
          <w:p>
            <w:pPr>
              <w:pStyle w:val="TableText"/>
              <w:rPr/>
            </w:pPr>
            <w:r/>
          </w:p>
        </w:tc>
      </w:tr>
      <w:tr>
        <w:trPr>
          <w:trHeight w:val="292" w:hRule="atLeast"/>
        </w:trPr>
        <w:tc>
          <w:tcPr>
            <w:tcW w:w="3202" w:type="dxa"/>
            <w:vAlign w:val="top"/>
          </w:tcPr>
          <w:p>
            <w:pPr>
              <w:ind w:left="330"/>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4"/>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98.70</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98.70</w:t>
            </w:r>
          </w:p>
        </w:tc>
        <w:tc>
          <w:tcPr>
            <w:tcW w:w="1172" w:type="dxa"/>
            <w:vAlign w:val="top"/>
          </w:tcPr>
          <w:p>
            <w:pPr>
              <w:pStyle w:val="TableText"/>
              <w:rPr/>
            </w:pPr>
            <w:r/>
          </w:p>
        </w:tc>
      </w:tr>
      <w:tr>
        <w:trPr>
          <w:trHeight w:val="293" w:hRule="atLeast"/>
        </w:trPr>
        <w:tc>
          <w:tcPr>
            <w:tcW w:w="3202"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c>
          <w:tcPr>
            <w:tcW w:w="1242" w:type="dxa"/>
            <w:vAlign w:val="top"/>
          </w:tcPr>
          <w:p>
            <w:pPr>
              <w:pStyle w:val="TableText"/>
              <w:rPr/>
            </w:pPr>
            <w:r/>
          </w:p>
        </w:tc>
        <w:tc>
          <w:tcPr>
            <w:tcW w:w="1172"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r>
      <w:tr>
        <w:trPr>
          <w:trHeight w:val="292" w:hRule="atLeast"/>
        </w:trPr>
        <w:tc>
          <w:tcPr>
            <w:tcW w:w="3202" w:type="dxa"/>
            <w:vAlign w:val="top"/>
          </w:tcPr>
          <w:p>
            <w:pPr>
              <w:ind w:left="334"/>
              <w:spacing w:before="68"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68"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8.46</w:t>
            </w:r>
          </w:p>
        </w:tc>
        <w:tc>
          <w:tcPr>
            <w:tcW w:w="1242" w:type="dxa"/>
            <w:vAlign w:val="top"/>
          </w:tcPr>
          <w:p>
            <w:pPr>
              <w:pStyle w:val="TableText"/>
              <w:rPr/>
            </w:pPr>
            <w:r/>
          </w:p>
        </w:tc>
        <w:tc>
          <w:tcPr>
            <w:tcW w:w="1172"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8.46</w:t>
            </w:r>
          </w:p>
        </w:tc>
      </w:tr>
      <w:tr>
        <w:trPr>
          <w:trHeight w:val="292" w:hRule="atLeast"/>
        </w:trPr>
        <w:tc>
          <w:tcPr>
            <w:tcW w:w="3202" w:type="dxa"/>
            <w:vAlign w:val="top"/>
          </w:tcPr>
          <w:p>
            <w:pPr>
              <w:ind w:left="332"/>
              <w:spacing w:before="69"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24"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pStyle w:val="TableText"/>
              <w:rPr/>
            </w:pPr>
            <w:r/>
          </w:p>
        </w:tc>
        <w:tc>
          <w:tcPr>
            <w:tcW w:w="1172"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3202" w:type="dxa"/>
            <w:vAlign w:val="top"/>
          </w:tcPr>
          <w:p>
            <w:pPr>
              <w:ind w:left="349"/>
              <w:spacing w:before="69"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202" w:type="dxa"/>
            <w:vAlign w:val="top"/>
          </w:tcPr>
          <w:p>
            <w:pPr>
              <w:ind w:left="343"/>
              <w:spacing w:before="69"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24"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pStyle w:val="TableText"/>
              <w:rPr/>
            </w:pPr>
            <w:r/>
          </w:p>
        </w:tc>
        <w:tc>
          <w:tcPr>
            <w:tcW w:w="1172"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202"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30.16</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30.16</w:t>
            </w:r>
          </w:p>
        </w:tc>
      </w:tr>
      <w:tr>
        <w:trPr>
          <w:trHeight w:val="293" w:hRule="atLeast"/>
        </w:trPr>
        <w:tc>
          <w:tcPr>
            <w:tcW w:w="3202" w:type="dxa"/>
            <w:vAlign w:val="top"/>
          </w:tcPr>
          <w:p>
            <w:pPr>
              <w:ind w:left="331"/>
              <w:spacing w:before="71"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22.35</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22.35</w:t>
            </w:r>
          </w:p>
        </w:tc>
      </w:tr>
      <w:tr>
        <w:trPr>
          <w:trHeight w:val="292" w:hRule="atLeast"/>
        </w:trPr>
        <w:tc>
          <w:tcPr>
            <w:tcW w:w="320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pStyle w:val="TableText"/>
              <w:rPr/>
            </w:pPr>
            <w:r/>
          </w:p>
        </w:tc>
        <w:tc>
          <w:tcPr>
            <w:tcW w:w="1172" w:type="dxa"/>
            <w:vAlign w:val="top"/>
          </w:tcPr>
          <w:p>
            <w:pPr>
              <w:ind w:right="22"/>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202" w:type="dxa"/>
            <w:vAlign w:val="top"/>
          </w:tcPr>
          <w:p>
            <w:pPr>
              <w:ind w:left="335"/>
              <w:spacing w:before="71" w:line="229" w:lineRule="auto"/>
              <w:rPr>
                <w:rFonts w:ascii="SimSun" w:hAnsi="SimSun" w:eastAsia="SimSun" w:cs="SimSun"/>
                <w:sz w:val="15"/>
                <w:szCs w:val="15"/>
              </w:rPr>
            </w:pPr>
            <w:r>
              <w:rPr>
                <w:rFonts w:ascii="SimSun" w:hAnsi="SimSun" w:eastAsia="SimSun" w:cs="SimSun"/>
                <w:sz w:val="15"/>
                <w:szCs w:val="15"/>
                <w:color w:val="212529"/>
                <w:spacing w:val="7"/>
              </w:rPr>
              <w:t>劳务费</w:t>
            </w:r>
          </w:p>
        </w:tc>
        <w:tc>
          <w:tcPr>
            <w:tcW w:w="2224" w:type="dxa"/>
            <w:vAlign w:val="top"/>
          </w:tcPr>
          <w:p>
            <w:pPr>
              <w:ind w:left="332"/>
              <w:spacing w:before="71"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202"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15.68</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15.68</w:t>
            </w:r>
          </w:p>
        </w:tc>
      </w:tr>
      <w:tr>
        <w:trPr>
          <w:trHeight w:val="292"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w:t>
            </w:r>
          </w:p>
        </w:tc>
      </w:tr>
      <w:tr>
        <w:trPr>
          <w:trHeight w:val="293"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5"/>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23.27</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23.27</w:t>
            </w:r>
          </w:p>
        </w:tc>
      </w:tr>
      <w:tr>
        <w:trPr>
          <w:trHeight w:val="292" w:hRule="atLeast"/>
        </w:trPr>
        <w:tc>
          <w:tcPr>
            <w:tcW w:w="3202"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24"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15.89</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15.89</w:t>
            </w:r>
          </w:p>
        </w:tc>
      </w:tr>
      <w:tr>
        <w:trPr>
          <w:trHeight w:val="293" w:hRule="atLeast"/>
        </w:trPr>
        <w:tc>
          <w:tcPr>
            <w:tcW w:w="320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24"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202"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24" w:type="dxa"/>
            <w:vAlign w:val="top"/>
          </w:tcPr>
          <w:p>
            <w:pPr>
              <w:pStyle w:val="TableText"/>
              <w:rPr/>
            </w:pPr>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33.36</w:t>
            </w:r>
          </w:p>
        </w:tc>
        <w:tc>
          <w:tcPr>
            <w:tcW w:w="1242"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33.36</w:t>
            </w:r>
          </w:p>
        </w:tc>
        <w:tc>
          <w:tcPr>
            <w:tcW w:w="1172" w:type="dxa"/>
            <w:vAlign w:val="top"/>
          </w:tcPr>
          <w:p>
            <w:pPr>
              <w:pStyle w:val="TableText"/>
              <w:rPr/>
            </w:pPr>
            <w:r/>
          </w:p>
        </w:tc>
      </w:tr>
      <w:tr>
        <w:trPr>
          <w:trHeight w:val="292" w:hRule="atLeast"/>
        </w:trPr>
        <w:tc>
          <w:tcPr>
            <w:tcW w:w="3202"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242"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32.31</w:t>
            </w:r>
          </w:p>
        </w:tc>
        <w:tc>
          <w:tcPr>
            <w:tcW w:w="1172" w:type="dxa"/>
            <w:vAlign w:val="top"/>
          </w:tcPr>
          <w:p>
            <w:pPr>
              <w:pStyle w:val="TableText"/>
              <w:rPr/>
            </w:pPr>
            <w:r/>
          </w:p>
        </w:tc>
      </w:tr>
      <w:tr>
        <w:trPr>
          <w:trHeight w:val="298" w:hRule="atLeast"/>
        </w:trPr>
        <w:tc>
          <w:tcPr>
            <w:tcW w:w="320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24"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172" w:type="dxa"/>
            <w:vAlign w:val="top"/>
          </w:tcPr>
          <w:p>
            <w:pPr>
              <w:pStyle w:val="TableText"/>
              <w:rPr/>
            </w:pPr>
            <w:r/>
          </w:p>
        </w:tc>
      </w:tr>
    </w:tbl>
    <w:p>
      <w:pPr>
        <w:rPr>
          <w:rFonts w:ascii="Arial"/>
          <w:sz w:val="21"/>
        </w:rPr>
      </w:pPr>
      <w:r/>
    </w:p>
    <w:p>
      <w:pPr>
        <w:sectPr>
          <w:footerReference w:type="default" r:id="rId14"/>
          <w:pgSz w:w="11900" w:h="16840"/>
          <w:pgMar w:top="642" w:right="600" w:bottom="340" w:left="600" w:header="326" w:footer="9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3" w:id="26"/>
            <w:bookmarkEnd w:id="2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5"/>
          <w:pgSz w:w="11900" w:h="16840"/>
          <w:pgMar w:top="642" w:right="600" w:bottom="340" w:left="600" w:header="326" w:footer="9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7"/>
            <w:bookmarkEnd w:id="27"/>
            <w:bookmarkStart w:name="bookmark14" w:id="28"/>
            <w:bookmarkEnd w:id="2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6"/>
          <w:pgSz w:w="11900" w:h="1684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8"/>
        <w:gridCol w:w="1490"/>
        <w:gridCol w:w="1404"/>
        <w:gridCol w:w="1328"/>
        <w:gridCol w:w="1388"/>
      </w:tblGrid>
      <w:tr>
        <w:trPr>
          <w:trHeight w:val="384" w:hRule="atLeast"/>
        </w:trPr>
        <w:tc>
          <w:tcPr>
            <w:tcW w:w="35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9"/>
            <w:bookmarkEnd w:id="29"/>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8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48" w:type="dxa"/>
            <w:vAlign w:val="top"/>
            <w:vMerge w:val="restart"/>
            <w:tcBorders>
              <w:bottom w:val="nil"/>
            </w:tcBorders>
          </w:tcPr>
          <w:p>
            <w:pPr>
              <w:pStyle w:val="TableText"/>
              <w:rPr/>
            </w:pPr>
            <w:r/>
          </w:p>
          <w:p>
            <w:pPr>
              <w:ind w:left="160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10" w:type="dxa"/>
            <w:vAlign w:val="top"/>
            <w:gridSpan w:val="4"/>
          </w:tcPr>
          <w:p>
            <w:pPr>
              <w:ind w:left="23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48" w:type="dxa"/>
            <w:vAlign w:val="top"/>
            <w:vMerge w:val="continue"/>
            <w:tcBorders>
              <w:top w:val="nil"/>
            </w:tcBorders>
          </w:tcPr>
          <w:p>
            <w:pPr>
              <w:pStyle w:val="TableText"/>
              <w:rPr/>
            </w:pPr>
            <w:r/>
          </w:p>
        </w:tc>
        <w:tc>
          <w:tcPr>
            <w:tcW w:w="1490" w:type="dxa"/>
            <w:vAlign w:val="top"/>
          </w:tcPr>
          <w:p>
            <w:pPr>
              <w:ind w:left="57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201"/>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88" w:type="dxa"/>
            <w:vAlign w:val="top"/>
          </w:tcPr>
          <w:p>
            <w:pPr>
              <w:ind w:left="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48" w:type="dxa"/>
            <w:vAlign w:val="top"/>
          </w:tcPr>
          <w:p>
            <w:pPr>
              <w:ind w:left="113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36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959"/>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90"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40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156"/>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9" w:hRule="atLeast"/>
        </w:trPr>
        <w:tc>
          <w:tcPr>
            <w:tcW w:w="3548" w:type="dxa"/>
            <w:vAlign w:val="top"/>
          </w:tcPr>
          <w:p>
            <w:pPr>
              <w:ind w:left="99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90"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40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28" w:type="dxa"/>
            <w:vAlign w:val="top"/>
          </w:tcPr>
          <w:p>
            <w:pPr>
              <w:pStyle w:val="TableText"/>
              <w:rPr/>
            </w:pPr>
            <w:r/>
          </w:p>
        </w:tc>
        <w:tc>
          <w:tcPr>
            <w:tcW w:w="1388" w:type="dxa"/>
            <w:vAlign w:val="top"/>
          </w:tcPr>
          <w:p>
            <w:pPr>
              <w:pStyle w:val="TableText"/>
              <w:rPr/>
            </w:pPr>
            <w:r/>
          </w:p>
        </w:tc>
      </w:tr>
      <w:tr>
        <w:trPr>
          <w:trHeight w:val="384" w:hRule="atLeast"/>
        </w:trPr>
        <w:tc>
          <w:tcPr>
            <w:tcW w:w="3548" w:type="dxa"/>
            <w:vAlign w:val="top"/>
          </w:tcPr>
          <w:p>
            <w:pPr>
              <w:ind w:left="1603"/>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40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28" w:type="dxa"/>
            <w:vAlign w:val="top"/>
          </w:tcPr>
          <w:p>
            <w:pPr>
              <w:pStyle w:val="TableText"/>
              <w:rPr/>
            </w:pPr>
            <w:r/>
          </w:p>
        </w:tc>
        <w:tc>
          <w:tcPr>
            <w:tcW w:w="1388" w:type="dxa"/>
            <w:vAlign w:val="top"/>
          </w:tcPr>
          <w:p>
            <w:pPr>
              <w:pStyle w:val="TableText"/>
              <w:rPr/>
            </w:pPr>
            <w:r/>
          </w:p>
        </w:tc>
      </w:tr>
    </w:tbl>
    <w:p>
      <w:pPr>
        <w:rPr>
          <w:rFonts w:ascii="Arial"/>
          <w:sz w:val="21"/>
        </w:rPr>
      </w:pPr>
      <w:r/>
    </w:p>
    <w:p>
      <w:pPr>
        <w:sectPr>
          <w:footerReference w:type="default" r:id="rId17"/>
          <w:pgSz w:w="11900" w:h="1684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51"/>
        <w:gridCol w:w="1523"/>
        <w:gridCol w:w="1620"/>
        <w:gridCol w:w="1404"/>
        <w:gridCol w:w="1560"/>
      </w:tblGrid>
      <w:tr>
        <w:trPr>
          <w:trHeight w:val="383" w:hRule="atLeast"/>
        </w:trPr>
        <w:tc>
          <w:tcPr>
            <w:tcW w:w="305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23" w:type="dxa"/>
            <w:vAlign w:val="top"/>
            <w:tcBorders>
              <w:left w:val="single" w:color="FFFFFF" w:sz="2" w:space="0"/>
              <w:right w:val="single" w:color="FFFFFF" w:sz="2" w:space="0"/>
              <w:bottom w:val="single" w:color="FFFFFF" w:sz="4" w:space="0"/>
              <w:top w:val="nil"/>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0" w:type="dxa"/>
            <w:vAlign w:val="top"/>
            <w:tcBorders>
              <w:left w:val="single" w:color="FFFFFF" w:sz="2" w:space="0"/>
              <w:right w:val="single" w:color="FFFFFF" w:sz="2" w:space="0"/>
              <w:bottom w:val="single" w:color="FFFFFF" w:sz="4" w:space="0"/>
              <w:top w:val="single" w:color="FFFFFF" w:sz="4" w:space="0"/>
            </w:tcBorders>
          </w:tcPr>
          <w:p>
            <w:pPr>
              <w:ind w:left="757"/>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30"/>
            <w:bookmarkEnd w:id="30"/>
            <w:bookmarkStart w:name="bookmark16" w:id="31"/>
            <w:bookmarkEnd w:id="31"/>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51"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523"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404" w:type="dxa"/>
            <w:vAlign w:val="top"/>
            <w:tcBorders>
              <w:left w:val="single" w:color="FFFFFF" w:sz="2" w:space="0"/>
              <w:right w:val="single" w:color="FFFFFF" w:sz="2" w:space="0"/>
              <w:top w:val="single" w:color="FFFFFF" w:sz="4" w:space="0"/>
            </w:tcBorders>
          </w:tcPr>
          <w:p>
            <w:pPr>
              <w:pStyle w:val="TableText"/>
              <w:rPr/>
            </w:pPr>
            <w:r/>
          </w:p>
        </w:tc>
        <w:tc>
          <w:tcPr>
            <w:tcW w:w="1560" w:type="dxa"/>
            <w:vAlign w:val="top"/>
            <w:tcBorders>
              <w:left w:val="single" w:color="FFFFFF" w:sz="2" w:space="0"/>
              <w:right w:val="single" w:color="FFFFFF" w:sz="2" w:space="0"/>
              <w:top w:val="single" w:color="FFFFFF" w:sz="4" w:space="0"/>
            </w:tcBorders>
          </w:tcPr>
          <w:p>
            <w:pPr>
              <w:ind w:left="952"/>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51" w:type="dxa"/>
            <w:vAlign w:val="top"/>
            <w:vMerge w:val="restart"/>
            <w:tcBorders>
              <w:bottom w:val="nil"/>
            </w:tcBorders>
          </w:tcPr>
          <w:p>
            <w:pPr>
              <w:ind w:left="118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07" w:type="dxa"/>
            <w:vAlign w:val="top"/>
            <w:gridSpan w:val="4"/>
          </w:tcPr>
          <w:p>
            <w:pPr>
              <w:ind w:left="2637"/>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51" w:type="dxa"/>
            <w:vAlign w:val="top"/>
            <w:vMerge w:val="continue"/>
            <w:tcBorders>
              <w:top w:val="nil"/>
            </w:tcBorders>
          </w:tcPr>
          <w:p>
            <w:pPr>
              <w:pStyle w:val="TableText"/>
              <w:rPr/>
            </w:pPr>
            <w:r/>
          </w:p>
        </w:tc>
        <w:tc>
          <w:tcPr>
            <w:tcW w:w="1523" w:type="dxa"/>
            <w:vAlign w:val="top"/>
          </w:tcPr>
          <w:p>
            <w:pPr>
              <w:ind w:left="58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620" w:type="dxa"/>
            <w:vAlign w:val="top"/>
          </w:tcPr>
          <w:p>
            <w:pPr>
              <w:ind w:left="311"/>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04" w:type="dxa"/>
            <w:vAlign w:val="top"/>
          </w:tcPr>
          <w:p>
            <w:pPr>
              <w:ind w:left="12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0" w:type="dxa"/>
            <w:vAlign w:val="top"/>
          </w:tcPr>
          <w:p>
            <w:pPr>
              <w:ind w:left="138"/>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51" w:type="dxa"/>
            <w:vAlign w:val="top"/>
          </w:tcPr>
          <w:p>
            <w:pPr>
              <w:ind w:left="118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523"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c>
          <w:tcPr>
            <w:tcW w:w="1620"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c>
          <w:tcPr>
            <w:tcW w:w="1404" w:type="dxa"/>
            <w:vAlign w:val="top"/>
          </w:tcPr>
          <w:p>
            <w:pPr>
              <w:pStyle w:val="TableText"/>
              <w:rPr/>
            </w:pPr>
            <w:r/>
          </w:p>
        </w:tc>
        <w:tc>
          <w:tcPr>
            <w:tcW w:w="1560" w:type="dxa"/>
            <w:vAlign w:val="top"/>
          </w:tcPr>
          <w:p>
            <w:pPr>
              <w:pStyle w:val="TableText"/>
              <w:rPr/>
            </w:pPr>
            <w:r/>
          </w:p>
        </w:tc>
      </w:tr>
      <w:tr>
        <w:trPr>
          <w:trHeight w:val="383" w:hRule="atLeast"/>
        </w:trPr>
        <w:tc>
          <w:tcPr>
            <w:tcW w:w="3051"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1"/>
              </w:rPr>
              <w:t>兴县人力资源和社会保障局</w:t>
            </w:r>
          </w:p>
        </w:tc>
        <w:tc>
          <w:tcPr>
            <w:tcW w:w="152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c>
          <w:tcPr>
            <w:tcW w:w="16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135.98</w:t>
            </w:r>
          </w:p>
        </w:tc>
        <w:tc>
          <w:tcPr>
            <w:tcW w:w="1404" w:type="dxa"/>
            <w:vAlign w:val="top"/>
          </w:tcPr>
          <w:p>
            <w:pPr>
              <w:pStyle w:val="TableText"/>
              <w:rPr/>
            </w:pPr>
            <w:r/>
          </w:p>
        </w:tc>
        <w:tc>
          <w:tcPr>
            <w:tcW w:w="1560" w:type="dxa"/>
            <w:vAlign w:val="top"/>
          </w:tcPr>
          <w:p>
            <w:pPr>
              <w:pStyle w:val="TableText"/>
              <w:rPr/>
            </w:pPr>
            <w:r/>
          </w:p>
        </w:tc>
      </w:tr>
    </w:tbl>
    <w:p>
      <w:pPr>
        <w:rPr>
          <w:rFonts w:ascii="Arial"/>
          <w:sz w:val="21"/>
        </w:rPr>
      </w:pPr>
      <w:r/>
    </w:p>
    <w:p>
      <w:pPr>
        <w:sectPr>
          <w:footerReference w:type="default" r:id="rId18"/>
          <w:pgSz w:w="11900" w:h="16840"/>
          <w:pgMar w:top="642" w:right="600" w:bottom="340" w:left="600" w:header="326" w:footer="93"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3"/>
        <w:gridCol w:w="1274"/>
        <w:gridCol w:w="1274"/>
        <w:gridCol w:w="626"/>
        <w:gridCol w:w="1069"/>
        <w:gridCol w:w="1037"/>
        <w:gridCol w:w="805"/>
      </w:tblGrid>
      <w:tr>
        <w:trPr>
          <w:trHeight w:val="384" w:hRule="atLeast"/>
        </w:trPr>
        <w:tc>
          <w:tcPr>
            <w:tcW w:w="307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42" w:type="dxa"/>
            <w:vAlign w:val="top"/>
            <w:gridSpan w:val="2"/>
            <w:tcBorders>
              <w:bottom w:val="single" w:color="FFFFFF" w:sz="4" w:space="0"/>
              <w:top w:val="single" w:color="FFFFFF" w:sz="4" w:space="0"/>
              <w:left w:val="single" w:color="FFFFFF" w:sz="2" w:space="0"/>
              <w:right w:val="single" w:color="FFFFFF" w:sz="2" w:space="0"/>
            </w:tcBorders>
          </w:tcPr>
          <w:p>
            <w:pPr>
              <w:ind w:left="103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32"/>
            <w:bookmarkEnd w:id="32"/>
            <w:bookmarkStart w:name="bookmark17" w:id="33"/>
            <w:bookmarkEnd w:id="33"/>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16"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842" w:type="dxa"/>
            <w:vAlign w:val="top"/>
            <w:gridSpan w:val="2"/>
            <w:tcBorders>
              <w:top w:val="single" w:color="FFFFFF" w:sz="4" w:space="0"/>
              <w:left w:val="single" w:color="FFFFFF" w:sz="2" w:space="0"/>
              <w:right w:val="single" w:color="FFFFFF" w:sz="2" w:space="0"/>
            </w:tcBorders>
          </w:tcPr>
          <w:p>
            <w:pPr>
              <w:ind w:left="1169"/>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073" w:type="dxa"/>
            <w:vAlign w:val="top"/>
            <w:vMerge w:val="restart"/>
            <w:tcBorders>
              <w:bottom w:val="nil"/>
            </w:tcBorders>
          </w:tcPr>
          <w:p>
            <w:pPr>
              <w:pStyle w:val="TableText"/>
              <w:spacing w:line="322" w:lineRule="auto"/>
              <w:rPr/>
            </w:pPr>
            <w:r/>
          </w:p>
          <w:p>
            <w:pPr>
              <w:ind w:left="1197"/>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pStyle w:val="TableText"/>
              <w:spacing w:line="322" w:lineRule="auto"/>
              <w:rPr/>
            </w:pPr>
            <w:r/>
          </w:p>
          <w:p>
            <w:pPr>
              <w:ind w:left="460"/>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69" w:type="dxa"/>
            <w:vAlign w:val="top"/>
            <w:gridSpan w:val="3"/>
          </w:tcPr>
          <w:p>
            <w:pPr>
              <w:ind w:left="908"/>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6"/>
              <w:spacing w:before="30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pStyle w:val="TableText"/>
              <w:spacing w:line="321" w:lineRule="auto"/>
              <w:rPr/>
            </w:pPr>
            <w:r/>
          </w:p>
          <w:p>
            <w:pPr>
              <w:ind w:left="68"/>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073"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274" w:type="dxa"/>
            <w:vAlign w:val="top"/>
          </w:tcPr>
          <w:p>
            <w:pPr>
              <w:ind w:left="136"/>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26" w:type="dxa"/>
            <w:vAlign w:val="top"/>
          </w:tcPr>
          <w:p>
            <w:pPr>
              <w:ind w:left="58"/>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7"/>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tcPr>
          <w:p>
            <w:pPr>
              <w:ind w:left="54"/>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37"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3073" w:type="dxa"/>
            <w:vAlign w:val="top"/>
          </w:tcPr>
          <w:p>
            <w:pPr>
              <w:ind w:left="1495"/>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4"/>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74" w:type="dxa"/>
            <w:vAlign w:val="top"/>
          </w:tcPr>
          <w:p>
            <w:pPr>
              <w:ind w:left="588"/>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26" w:type="dxa"/>
            <w:vAlign w:val="top"/>
          </w:tcPr>
          <w:p>
            <w:pPr>
              <w:ind w:left="262"/>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069" w:type="dxa"/>
            <w:vAlign w:val="top"/>
          </w:tcPr>
          <w:p>
            <w:pPr>
              <w:ind w:left="488"/>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3"/>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9"/>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73" w:type="dxa"/>
            <w:vAlign w:val="top"/>
          </w:tcPr>
          <w:p>
            <w:pPr>
              <w:ind w:left="10"/>
              <w:spacing w:before="111" w:line="228" w:lineRule="auto"/>
              <w:rPr>
                <w:rFonts w:ascii="SimSun" w:hAnsi="SimSun" w:eastAsia="SimSun" w:cs="SimSun"/>
                <w:sz w:val="15"/>
                <w:szCs w:val="15"/>
              </w:rPr>
            </w:pPr>
            <w:r>
              <w:rPr>
                <w:rFonts w:ascii="SimSun" w:hAnsi="SimSun" w:eastAsia="SimSun" w:cs="SimSun"/>
                <w:sz w:val="15"/>
                <w:szCs w:val="15"/>
                <w:color w:val="212529"/>
                <w:spacing w:val="11"/>
              </w:rPr>
              <w:t>兴县人力资源和社会保障局</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3964.52</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3964.52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172"/>
              <w:spacing w:before="111" w:line="228" w:lineRule="auto"/>
              <w:rPr>
                <w:rFonts w:ascii="SimSun" w:hAnsi="SimSun" w:eastAsia="SimSun" w:cs="SimSun"/>
                <w:sz w:val="15"/>
                <w:szCs w:val="15"/>
              </w:rPr>
            </w:pPr>
            <w:r>
              <w:rPr>
                <w:rFonts w:ascii="SimSun" w:hAnsi="SimSun" w:eastAsia="SimSun" w:cs="SimSun"/>
                <w:sz w:val="15"/>
                <w:szCs w:val="15"/>
                <w:color w:val="212529"/>
                <w:spacing w:val="11"/>
              </w:rPr>
              <w:t>兴县人力资源和社会保障局</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3964.52</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3964.52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8" w:right="146" w:firstLine="324"/>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2025年中央财政转移支付就业补助资</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
              </w:rPr>
              <w:t>金</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1082.00</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1" w:line="229" w:lineRule="auto"/>
              <w:rPr>
                <w:rFonts w:ascii="SimSun" w:hAnsi="SimSun" w:eastAsia="SimSun" w:cs="SimSun"/>
                <w:sz w:val="15"/>
                <w:szCs w:val="15"/>
              </w:rPr>
            </w:pPr>
            <w:r>
              <w:rPr>
                <w:rFonts w:ascii="SimSun" w:hAnsi="SimSun" w:eastAsia="SimSun" w:cs="SimSun"/>
                <w:sz w:val="15"/>
                <w:szCs w:val="15"/>
                <w:color w:val="212529"/>
                <w:spacing w:val="11"/>
              </w:rPr>
              <w:t>兴动时代大数据扶贫车间房租</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6"/>
              <w:spacing w:before="26" w:line="211" w:lineRule="auto"/>
              <w:rPr>
                <w:rFonts w:ascii="SimSun" w:hAnsi="SimSun" w:eastAsia="SimSun" w:cs="SimSun"/>
                <w:sz w:val="15"/>
                <w:szCs w:val="15"/>
              </w:rPr>
            </w:pPr>
            <w:r>
              <w:rPr>
                <w:rFonts w:ascii="SimSun" w:hAnsi="SimSun" w:eastAsia="SimSun" w:cs="SimSun"/>
                <w:sz w:val="15"/>
                <w:szCs w:val="15"/>
                <w:color w:val="212529"/>
                <w:spacing w:val="11"/>
              </w:rPr>
              <w:t>兴县创业就业服务基地建设项目（装</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6"/>
              </w:rPr>
              <w:t>修工程）</w:t>
            </w:r>
          </w:p>
        </w:tc>
        <w:tc>
          <w:tcPr>
            <w:tcW w:w="1274" w:type="dxa"/>
            <w:vAlign w:val="top"/>
          </w:tcPr>
          <w:p>
            <w:pPr>
              <w:ind w:right="26"/>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1274" w:type="dxa"/>
            <w:vAlign w:val="top"/>
          </w:tcPr>
          <w:p>
            <w:pPr>
              <w:ind w:right="24"/>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6"/>
              <w:spacing w:before="26" w:line="211" w:lineRule="auto"/>
              <w:rPr>
                <w:rFonts w:ascii="SimSun" w:hAnsi="SimSun" w:eastAsia="SimSun" w:cs="SimSun"/>
                <w:sz w:val="15"/>
                <w:szCs w:val="15"/>
              </w:rPr>
            </w:pPr>
            <w:r>
              <w:rPr>
                <w:rFonts w:ascii="SimSun" w:hAnsi="SimSun" w:eastAsia="SimSun" w:cs="SimSun"/>
                <w:sz w:val="15"/>
                <w:szCs w:val="15"/>
                <w:color w:val="212529"/>
                <w:spacing w:val="11"/>
              </w:rPr>
              <w:t>兴县创业就业服务基地建设项目（配</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套用具采购）</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6"/>
              <w:spacing w:before="26" w:line="211" w:lineRule="auto"/>
              <w:rPr>
                <w:rFonts w:ascii="SimSun" w:hAnsi="SimSun" w:eastAsia="SimSun" w:cs="SimSun"/>
                <w:sz w:val="15"/>
                <w:szCs w:val="15"/>
              </w:rPr>
            </w:pPr>
            <w:r>
              <w:rPr>
                <w:rFonts w:ascii="SimSun" w:hAnsi="SimSun" w:eastAsia="SimSun" w:cs="SimSun"/>
                <w:sz w:val="15"/>
                <w:szCs w:val="15"/>
                <w:color w:val="212529"/>
                <w:spacing w:val="11"/>
              </w:rPr>
              <w:t>兴县创业就业服务基地建设项目（配</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套设备采购）</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8" w:right="146" w:firstLine="324"/>
              <w:spacing w:before="26" w:line="210" w:lineRule="auto"/>
              <w:rPr>
                <w:rFonts w:ascii="SimSun" w:hAnsi="SimSun" w:eastAsia="SimSun" w:cs="SimSun"/>
                <w:sz w:val="15"/>
                <w:szCs w:val="15"/>
              </w:rPr>
            </w:pPr>
            <w:r>
              <w:rPr>
                <w:rFonts w:ascii="SimSun" w:hAnsi="SimSun" w:eastAsia="SimSun" w:cs="SimSun"/>
                <w:sz w:val="15"/>
                <w:szCs w:val="15"/>
                <w:color w:val="212529"/>
                <w:spacing w:val="10"/>
              </w:rPr>
              <w:t>2025年人社局脱贫劳动力务工就业和</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1"/>
              </w:rPr>
              <w:t>就业帮扶车间务工就业稳岗补助</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63" w:firstLine="326"/>
              <w:spacing w:before="27" w:line="210" w:lineRule="auto"/>
              <w:rPr>
                <w:rFonts w:ascii="SimSun" w:hAnsi="SimSun" w:eastAsia="SimSun" w:cs="SimSun"/>
                <w:sz w:val="15"/>
                <w:szCs w:val="15"/>
              </w:rPr>
            </w:pPr>
            <w:r>
              <w:rPr>
                <w:rFonts w:ascii="SimSun" w:hAnsi="SimSun" w:eastAsia="SimSun" w:cs="SimSun"/>
                <w:sz w:val="15"/>
                <w:szCs w:val="15"/>
                <w:color w:val="212529"/>
                <w:spacing w:val="9"/>
              </w:rPr>
              <w:t>2025年省级财政就业补助资金(调查失</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1"/>
              </w:rPr>
              <w:t>业率补助、农村劳动力转移就业监测补助)</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3.56</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3.56</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4" w:line="228" w:lineRule="auto"/>
              <w:rPr>
                <w:rFonts w:ascii="SimSun" w:hAnsi="SimSun" w:eastAsia="SimSun" w:cs="SimSun"/>
                <w:sz w:val="15"/>
                <w:szCs w:val="15"/>
              </w:rPr>
            </w:pPr>
            <w:r>
              <w:rPr>
                <w:rFonts w:ascii="SimSun" w:hAnsi="SimSun" w:eastAsia="SimSun" w:cs="SimSun"/>
                <w:sz w:val="15"/>
                <w:szCs w:val="15"/>
                <w:color w:val="212529"/>
                <w:spacing w:val="11"/>
              </w:rPr>
              <w:t>政府购买服务费社保基数调整费用</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9.30</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146" w:firstLine="326"/>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2025审计局、环保局等单位政府购买</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服务费</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182.03</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182.03</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4" w:line="229" w:lineRule="auto"/>
              <w:rPr>
                <w:rFonts w:ascii="SimSun" w:hAnsi="SimSun" w:eastAsia="SimSun" w:cs="SimSun"/>
                <w:sz w:val="15"/>
                <w:szCs w:val="15"/>
              </w:rPr>
            </w:pPr>
            <w:r>
              <w:rPr>
                <w:rFonts w:ascii="SimSun" w:hAnsi="SimSun" w:eastAsia="SimSun" w:cs="SimSun"/>
                <w:sz w:val="15"/>
                <w:szCs w:val="15"/>
                <w:color w:val="212529"/>
                <w:spacing w:val="9"/>
              </w:rPr>
              <w:t>2025年回引大学生人员工资</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156.13</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156.13</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4" w:line="229" w:lineRule="auto"/>
              <w:rPr>
                <w:rFonts w:ascii="SimSun" w:hAnsi="SimSun" w:eastAsia="SimSun" w:cs="SimSun"/>
                <w:sz w:val="15"/>
                <w:szCs w:val="15"/>
              </w:rPr>
            </w:pPr>
            <w:r>
              <w:rPr>
                <w:rFonts w:ascii="SimSun" w:hAnsi="SimSun" w:eastAsia="SimSun" w:cs="SimSun"/>
                <w:sz w:val="15"/>
                <w:szCs w:val="15"/>
                <w:color w:val="212529"/>
                <w:spacing w:val="9"/>
              </w:rPr>
              <w:t>兴动时代大数据扶贫车间房租(2025)</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8" w:right="146" w:firstLine="324"/>
              <w:spacing w:before="27" w:line="210" w:lineRule="auto"/>
              <w:rPr>
                <w:rFonts w:ascii="SimSun" w:hAnsi="SimSun" w:eastAsia="SimSun" w:cs="SimSun"/>
                <w:sz w:val="15"/>
                <w:szCs w:val="15"/>
              </w:rPr>
            </w:pPr>
            <w:r>
              <w:rPr>
                <w:rFonts w:ascii="SimSun" w:hAnsi="SimSun" w:eastAsia="SimSun" w:cs="SimSun"/>
                <w:sz w:val="15"/>
                <w:szCs w:val="15"/>
                <w:color w:val="212529"/>
                <w:spacing w:val="11"/>
              </w:rPr>
              <w:t>事业单位校园招聘、招才引智等专项</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经费</w:t>
            </w:r>
          </w:p>
        </w:tc>
        <w:tc>
          <w:tcPr>
            <w:tcW w:w="1274"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8.70</w:t>
            </w:r>
          </w:p>
        </w:tc>
        <w:tc>
          <w:tcPr>
            <w:tcW w:w="1274"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5" w:line="228" w:lineRule="auto"/>
              <w:rPr>
                <w:rFonts w:ascii="SimSun" w:hAnsi="SimSun" w:eastAsia="SimSun" w:cs="SimSun"/>
                <w:sz w:val="15"/>
                <w:szCs w:val="15"/>
              </w:rPr>
            </w:pPr>
            <w:r>
              <w:rPr>
                <w:rFonts w:ascii="SimSun" w:hAnsi="SimSun" w:eastAsia="SimSun" w:cs="SimSun"/>
                <w:sz w:val="15"/>
                <w:szCs w:val="15"/>
                <w:color w:val="212529"/>
                <w:spacing w:val="10"/>
              </w:rPr>
              <w:t>政府购买服务费(50个政府购买人员)</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5" w:line="229" w:lineRule="auto"/>
              <w:rPr>
                <w:rFonts w:ascii="SimSun" w:hAnsi="SimSun" w:eastAsia="SimSun" w:cs="SimSun"/>
                <w:sz w:val="15"/>
                <w:szCs w:val="15"/>
              </w:rPr>
            </w:pPr>
            <w:r>
              <w:rPr>
                <w:rFonts w:ascii="SimSun" w:hAnsi="SimSun" w:eastAsia="SimSun" w:cs="SimSun"/>
                <w:sz w:val="15"/>
                <w:szCs w:val="15"/>
                <w:color w:val="212529"/>
                <w:spacing w:val="9"/>
              </w:rPr>
              <w:t>兴动时代大数据扶贫车间房租(2024)</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34.24</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34.24</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15" w:right="146" w:firstLine="319"/>
              <w:spacing w:before="29" w:line="209" w:lineRule="auto"/>
              <w:rPr>
                <w:rFonts w:ascii="SimSun" w:hAnsi="SimSun" w:eastAsia="SimSun" w:cs="SimSun"/>
                <w:sz w:val="15"/>
                <w:szCs w:val="15"/>
              </w:rPr>
            </w:pPr>
            <w:r>
              <w:rPr>
                <w:rFonts w:ascii="SimSun" w:hAnsi="SimSun" w:eastAsia="SimSun" w:cs="SimSun"/>
                <w:sz w:val="15"/>
                <w:szCs w:val="15"/>
                <w:color w:val="212529"/>
                <w:spacing w:val="11"/>
              </w:rPr>
              <w:t>审计局、环保局等单位政府购买服务</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4"/>
              </w:rPr>
              <w:t>费（2026）</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5" w:line="229" w:lineRule="auto"/>
              <w:rPr>
                <w:rFonts w:ascii="SimSun" w:hAnsi="SimSun" w:eastAsia="SimSun" w:cs="SimSun"/>
                <w:sz w:val="15"/>
                <w:szCs w:val="15"/>
              </w:rPr>
            </w:pPr>
            <w:r>
              <w:rPr>
                <w:rFonts w:ascii="SimSun" w:hAnsi="SimSun" w:eastAsia="SimSun" w:cs="SimSun"/>
                <w:sz w:val="15"/>
                <w:szCs w:val="15"/>
                <w:color w:val="212529"/>
                <w:spacing w:val="10"/>
              </w:rPr>
              <w:t>2025年度工伤预防培训工作专项经费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15" w:right="146" w:firstLine="316"/>
              <w:spacing w:before="29" w:line="209" w:lineRule="auto"/>
              <w:rPr>
                <w:rFonts w:ascii="SimSun" w:hAnsi="SimSun" w:eastAsia="SimSun" w:cs="SimSun"/>
                <w:sz w:val="15"/>
                <w:szCs w:val="15"/>
              </w:rPr>
            </w:pPr>
            <w:r>
              <w:rPr>
                <w:rFonts w:ascii="SimSun" w:hAnsi="SimSun" w:eastAsia="SimSun" w:cs="SimSun"/>
                <w:sz w:val="15"/>
                <w:szCs w:val="15"/>
                <w:color w:val="212529"/>
                <w:spacing w:val="11"/>
              </w:rPr>
              <w:t>就业社保服务社区村村全覆盖专项经</w:t>
            </w:r>
            <w:r>
              <w:rPr>
                <w:rFonts w:ascii="SimSun" w:hAnsi="SimSun" w:eastAsia="SimSun" w:cs="SimSun"/>
                <w:sz w:val="15"/>
                <w:szCs w:val="15"/>
                <w:color w:val="212529"/>
                <w:spacing w:val="6"/>
              </w:rPr>
              <w:t xml:space="preserve"> </w:t>
            </w:r>
            <w:r>
              <w:rPr>
                <w:rFonts w:ascii="SimSun" w:hAnsi="SimSun" w:eastAsia="SimSun" w:cs="SimSun"/>
                <w:sz w:val="15"/>
                <w:szCs w:val="15"/>
                <w:color w:val="212529"/>
              </w:rPr>
              <w:t>费</w:t>
            </w:r>
          </w:p>
        </w:tc>
        <w:tc>
          <w:tcPr>
            <w:tcW w:w="1274"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274"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6" w:line="228" w:lineRule="auto"/>
              <w:rPr>
                <w:rFonts w:ascii="SimSun" w:hAnsi="SimSun" w:eastAsia="SimSun" w:cs="SimSun"/>
                <w:sz w:val="15"/>
                <w:szCs w:val="15"/>
              </w:rPr>
            </w:pPr>
            <w:r>
              <w:rPr>
                <w:rFonts w:ascii="SimSun" w:hAnsi="SimSun" w:eastAsia="SimSun" w:cs="SimSun"/>
                <w:sz w:val="15"/>
                <w:szCs w:val="15"/>
                <w:color w:val="212529"/>
                <w:spacing w:val="11"/>
              </w:rPr>
              <w:t>人社会议系统网络租赁费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6" w:line="229" w:lineRule="auto"/>
              <w:rPr>
                <w:rFonts w:ascii="SimSun" w:hAnsi="SimSun" w:eastAsia="SimSun" w:cs="SimSun"/>
                <w:sz w:val="15"/>
                <w:szCs w:val="15"/>
              </w:rPr>
            </w:pPr>
            <w:r>
              <w:rPr>
                <w:rFonts w:ascii="SimSun" w:hAnsi="SimSun" w:eastAsia="SimSun" w:cs="SimSun"/>
                <w:sz w:val="15"/>
                <w:szCs w:val="15"/>
                <w:color w:val="212529"/>
                <w:spacing w:val="9"/>
              </w:rPr>
              <w:t>人社部门2025年设备购置费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6" w:line="228" w:lineRule="auto"/>
              <w:rPr>
                <w:rFonts w:ascii="SimSun" w:hAnsi="SimSun" w:eastAsia="SimSun" w:cs="SimSun"/>
                <w:sz w:val="15"/>
                <w:szCs w:val="15"/>
              </w:rPr>
            </w:pPr>
            <w:r>
              <w:rPr>
                <w:rFonts w:ascii="SimSun" w:hAnsi="SimSun" w:eastAsia="SimSun" w:cs="SimSun"/>
                <w:sz w:val="15"/>
                <w:szCs w:val="15"/>
                <w:color w:val="212529"/>
                <w:spacing w:val="9"/>
              </w:rPr>
              <w:t>2021年-2024年引进优秀人才住房补贴</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6" w:line="229" w:lineRule="auto"/>
              <w:rPr>
                <w:rFonts w:ascii="SimSun" w:hAnsi="SimSun" w:eastAsia="SimSun" w:cs="SimSun"/>
                <w:sz w:val="15"/>
                <w:szCs w:val="15"/>
              </w:rPr>
            </w:pPr>
            <w:r>
              <w:rPr>
                <w:rFonts w:ascii="SimSun" w:hAnsi="SimSun" w:eastAsia="SimSun" w:cs="SimSun"/>
                <w:sz w:val="15"/>
                <w:szCs w:val="15"/>
                <w:color w:val="212529"/>
                <w:spacing w:val="10"/>
              </w:rPr>
              <w:t>创业担保贷款贴息</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27"/>
              <w:spacing w:before="117" w:line="228" w:lineRule="auto"/>
              <w:rPr>
                <w:rFonts w:ascii="SimSun" w:hAnsi="SimSun" w:eastAsia="SimSun" w:cs="SimSun"/>
                <w:sz w:val="15"/>
                <w:szCs w:val="15"/>
              </w:rPr>
            </w:pPr>
            <w:r>
              <w:rPr>
                <w:rFonts w:ascii="SimSun" w:hAnsi="SimSun" w:eastAsia="SimSun" w:cs="SimSun"/>
                <w:sz w:val="15"/>
                <w:szCs w:val="15"/>
                <w:color w:val="212529"/>
                <w:spacing w:val="11"/>
              </w:rPr>
              <w:t>H政府购买人员工资、保险、派遣费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107.62</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7" w:line="229" w:lineRule="auto"/>
              <w:rPr>
                <w:rFonts w:ascii="SimSun" w:hAnsi="SimSun" w:eastAsia="SimSun" w:cs="SimSun"/>
                <w:sz w:val="15"/>
                <w:szCs w:val="15"/>
              </w:rPr>
            </w:pPr>
            <w:r>
              <w:rPr>
                <w:rFonts w:ascii="SimSun" w:hAnsi="SimSun" w:eastAsia="SimSun" w:cs="SimSun"/>
                <w:sz w:val="15"/>
                <w:szCs w:val="15"/>
                <w:color w:val="212529"/>
                <w:spacing w:val="11"/>
              </w:rPr>
              <w:t>兴县创业就业服务中心网络费用</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7.52</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9"/>
              </w:rPr>
              <w:t>2025年培训人员体检费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9"/>
              </w:rPr>
              <w:t>2024年培训人员体检费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8"/>
              </w:rPr>
              <w:t>2025年见习人员工资</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65" w:firstLine="326"/>
              <w:spacing w:before="30" w:line="208" w:lineRule="auto"/>
              <w:rPr>
                <w:rFonts w:ascii="SimSun" w:hAnsi="SimSun" w:eastAsia="SimSun" w:cs="SimSun"/>
                <w:sz w:val="15"/>
                <w:szCs w:val="15"/>
              </w:rPr>
            </w:pPr>
            <w:r>
              <w:rPr>
                <w:rFonts w:ascii="SimSun" w:hAnsi="SimSun" w:eastAsia="SimSun" w:cs="SimSun"/>
                <w:sz w:val="15"/>
                <w:szCs w:val="15"/>
                <w:color w:val="212529"/>
                <w:spacing w:val="9"/>
              </w:rPr>
              <w:t>2025年创业就业服务基地(包含零工市</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场)孵化基地租赁费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65" w:firstLine="326"/>
              <w:spacing w:before="32" w:line="207" w:lineRule="auto"/>
              <w:rPr>
                <w:rFonts w:ascii="SimSun" w:hAnsi="SimSun" w:eastAsia="SimSun" w:cs="SimSun"/>
                <w:sz w:val="15"/>
                <w:szCs w:val="15"/>
              </w:rPr>
            </w:pPr>
            <w:r>
              <w:rPr>
                <w:rFonts w:ascii="SimSun" w:hAnsi="SimSun" w:eastAsia="SimSun" w:cs="SimSun"/>
                <w:sz w:val="15"/>
                <w:szCs w:val="15"/>
                <w:color w:val="212529"/>
                <w:spacing w:val="9"/>
              </w:rPr>
              <w:t>2024年创业就业服务基地(包含零工市</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场)孵化基地租赁费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129.67</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129.67</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84" w:hRule="atLeast"/>
        </w:trPr>
        <w:tc>
          <w:tcPr>
            <w:tcW w:w="3073" w:type="dxa"/>
            <w:vAlign w:val="top"/>
          </w:tcPr>
          <w:p>
            <w:pPr>
              <w:ind w:left="331"/>
              <w:spacing w:before="118" w:line="228" w:lineRule="auto"/>
              <w:rPr>
                <w:rFonts w:ascii="SimSun" w:hAnsi="SimSun" w:eastAsia="SimSun" w:cs="SimSun"/>
                <w:sz w:val="15"/>
                <w:szCs w:val="15"/>
              </w:rPr>
            </w:pPr>
            <w:r>
              <w:rPr>
                <w:rFonts w:ascii="SimSun" w:hAnsi="SimSun" w:eastAsia="SimSun" w:cs="SimSun"/>
                <w:sz w:val="15"/>
                <w:szCs w:val="15"/>
                <w:color w:val="212529"/>
                <w:spacing w:val="11"/>
              </w:rPr>
              <w:t>培训过程监管及结果评估费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bl>
    <w:p>
      <w:pPr>
        <w:rPr>
          <w:rFonts w:ascii="Arial"/>
          <w:sz w:val="21"/>
        </w:rPr>
      </w:pPr>
      <w:r/>
    </w:p>
    <w:p>
      <w:pPr>
        <w:sectPr>
          <w:footerReference w:type="default" r:id="rId19"/>
          <w:pgSz w:w="11900" w:h="16840"/>
          <w:pgMar w:top="642" w:right="600" w:bottom="340" w:left="600" w:header="326" w:footer="93"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3"/>
        <w:gridCol w:w="1274"/>
        <w:gridCol w:w="1274"/>
        <w:gridCol w:w="626"/>
        <w:gridCol w:w="1069"/>
        <w:gridCol w:w="1037"/>
        <w:gridCol w:w="805"/>
      </w:tblGrid>
      <w:tr>
        <w:trPr>
          <w:trHeight w:val="384" w:hRule="atLeast"/>
        </w:trPr>
        <w:tc>
          <w:tcPr>
            <w:tcW w:w="3073" w:type="dxa"/>
            <w:vAlign w:val="top"/>
          </w:tcPr>
          <w:p>
            <w:pPr>
              <w:ind w:left="334"/>
              <w:spacing w:before="114" w:line="228" w:lineRule="auto"/>
              <w:rPr>
                <w:rFonts w:ascii="SimSun" w:hAnsi="SimSun" w:eastAsia="SimSun" w:cs="SimSun"/>
                <w:sz w:val="15"/>
                <w:szCs w:val="15"/>
              </w:rPr>
            </w:pPr>
            <w:bookmarkStart w:name="bookmark47" w:id="34"/>
            <w:bookmarkEnd w:id="34"/>
            <w:r>
              <w:rPr>
                <w:rFonts w:ascii="SimSun" w:hAnsi="SimSun" w:eastAsia="SimSun" w:cs="SimSun"/>
                <w:sz w:val="15"/>
                <w:szCs w:val="15"/>
                <w:color w:val="212529"/>
                <w:spacing w:val="7"/>
              </w:rPr>
              <w:t>兴县“</w:t>
            </w:r>
            <w:r>
              <w:rPr>
                <w:rFonts w:ascii="SimSun" w:hAnsi="SimSun" w:eastAsia="SimSun" w:cs="SimSun"/>
                <w:sz w:val="15"/>
                <w:szCs w:val="15"/>
                <w:color w:val="212529"/>
                <w:spacing w:val="-32"/>
              </w:rPr>
              <w:t xml:space="preserve"> </w:t>
            </w:r>
            <w:r>
              <w:rPr>
                <w:rFonts w:ascii="SimSun" w:hAnsi="SimSun" w:eastAsia="SimSun" w:cs="SimSun"/>
                <w:sz w:val="15"/>
                <w:szCs w:val="15"/>
                <w:color w:val="212529"/>
                <w:spacing w:val="7"/>
              </w:rPr>
              <w:t>吕梁山</w:t>
            </w:r>
            <w:r>
              <w:rPr>
                <w:rFonts w:ascii="SimSun" w:hAnsi="SimSun" w:eastAsia="SimSun" w:cs="SimSun"/>
                <w:sz w:val="15"/>
                <w:szCs w:val="15"/>
                <w:color w:val="212529"/>
                <w:spacing w:val="-50"/>
              </w:rPr>
              <w:t xml:space="preserve"> </w:t>
            </w:r>
            <w:r>
              <w:rPr>
                <w:rFonts w:ascii="SimSun" w:hAnsi="SimSun" w:eastAsia="SimSun" w:cs="SimSun"/>
                <w:sz w:val="15"/>
                <w:szCs w:val="15"/>
                <w:color w:val="212529"/>
                <w:spacing w:val="7"/>
              </w:rPr>
              <w:t>”护工宣传及培训经费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3"/>
              <w:spacing w:before="108" w:line="228" w:lineRule="auto"/>
              <w:rPr>
                <w:rFonts w:ascii="SimSun" w:hAnsi="SimSun" w:eastAsia="SimSun" w:cs="SimSun"/>
                <w:sz w:val="15"/>
                <w:szCs w:val="15"/>
              </w:rPr>
            </w:pPr>
            <w:r>
              <w:rPr>
                <w:rFonts w:ascii="SimSun" w:hAnsi="SimSun" w:eastAsia="SimSun" w:cs="SimSun"/>
                <w:sz w:val="15"/>
                <w:szCs w:val="15"/>
                <w:color w:val="212529"/>
                <w:spacing w:val="9"/>
              </w:rPr>
              <w:t>2023-2024年职业技能培训绩效评估费</w:t>
            </w:r>
          </w:p>
        </w:tc>
        <w:tc>
          <w:tcPr>
            <w:tcW w:w="1274" w:type="dxa"/>
            <w:vAlign w:val="top"/>
          </w:tcPr>
          <w:p>
            <w:pPr>
              <w:ind w:right="26"/>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274" w:type="dxa"/>
            <w:vAlign w:val="top"/>
          </w:tcPr>
          <w:p>
            <w:pPr>
              <w:ind w:right="24"/>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3"/>
              <w:spacing w:before="110" w:line="229" w:lineRule="auto"/>
              <w:rPr>
                <w:rFonts w:ascii="SimSun" w:hAnsi="SimSun" w:eastAsia="SimSun" w:cs="SimSun"/>
                <w:sz w:val="15"/>
                <w:szCs w:val="15"/>
              </w:rPr>
            </w:pPr>
            <w:r>
              <w:rPr>
                <w:rFonts w:ascii="SimSun" w:hAnsi="SimSun" w:eastAsia="SimSun" w:cs="SimSun"/>
                <w:sz w:val="15"/>
                <w:szCs w:val="15"/>
                <w:color w:val="212529"/>
                <w:spacing w:val="9"/>
              </w:rPr>
              <w:t>2025年档案数字化专项经费</w:t>
            </w:r>
          </w:p>
        </w:tc>
        <w:tc>
          <w:tcPr>
            <w:tcW w:w="1274"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274"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6"/>
              <w:spacing w:before="111" w:line="229" w:lineRule="auto"/>
              <w:rPr>
                <w:rFonts w:ascii="SimSun" w:hAnsi="SimSun" w:eastAsia="SimSun" w:cs="SimSun"/>
                <w:sz w:val="15"/>
                <w:szCs w:val="15"/>
              </w:rPr>
            </w:pPr>
            <w:r>
              <w:rPr>
                <w:rFonts w:ascii="SimSun" w:hAnsi="SimSun" w:eastAsia="SimSun" w:cs="SimSun"/>
                <w:sz w:val="15"/>
                <w:szCs w:val="15"/>
                <w:color w:val="212529"/>
                <w:spacing w:val="11"/>
              </w:rPr>
              <w:t>公共实训基地建设工程设备款</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17.84</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17.84</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2" w:line="229" w:lineRule="auto"/>
              <w:rPr>
                <w:rFonts w:ascii="SimSun" w:hAnsi="SimSun" w:eastAsia="SimSun" w:cs="SimSun"/>
                <w:sz w:val="15"/>
                <w:szCs w:val="15"/>
              </w:rPr>
            </w:pPr>
            <w:r>
              <w:rPr>
                <w:rFonts w:ascii="SimSun" w:hAnsi="SimSun" w:eastAsia="SimSun" w:cs="SimSun"/>
                <w:sz w:val="15"/>
                <w:szCs w:val="15"/>
                <w:color w:val="212529"/>
                <w:spacing w:val="8"/>
              </w:rPr>
              <w:t>零工市场2023年和2024年取暖费</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22.82</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3" w:line="229" w:lineRule="auto"/>
              <w:rPr>
                <w:rFonts w:ascii="SimSun" w:hAnsi="SimSun" w:eastAsia="SimSun" w:cs="SimSun"/>
                <w:sz w:val="15"/>
                <w:szCs w:val="15"/>
              </w:rPr>
            </w:pPr>
            <w:r>
              <w:rPr>
                <w:rFonts w:ascii="SimSun" w:hAnsi="SimSun" w:eastAsia="SimSun" w:cs="SimSun"/>
                <w:sz w:val="15"/>
                <w:szCs w:val="15"/>
                <w:color w:val="212529"/>
                <w:spacing w:val="9"/>
              </w:rPr>
              <w:t>2024年公共实训基地取暖费</w:t>
            </w:r>
          </w:p>
        </w:tc>
        <w:tc>
          <w:tcPr>
            <w:tcW w:w="1274" w:type="dxa"/>
            <w:vAlign w:val="top"/>
          </w:tcPr>
          <w:p>
            <w:pPr>
              <w:ind w:right="26"/>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74" w:type="dxa"/>
            <w:vAlign w:val="top"/>
          </w:tcPr>
          <w:p>
            <w:pPr>
              <w:ind w:right="24"/>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3" w:line="228" w:lineRule="auto"/>
              <w:rPr>
                <w:rFonts w:ascii="SimSun" w:hAnsi="SimSun" w:eastAsia="SimSun" w:cs="SimSun"/>
                <w:sz w:val="15"/>
                <w:szCs w:val="15"/>
              </w:rPr>
            </w:pPr>
            <w:r>
              <w:rPr>
                <w:rFonts w:ascii="SimSun" w:hAnsi="SimSun" w:eastAsia="SimSun" w:cs="SimSun"/>
                <w:sz w:val="15"/>
                <w:szCs w:val="15"/>
                <w:color w:val="212529"/>
                <w:spacing w:val="9"/>
              </w:rPr>
              <w:t>2025年举办招聘会专项经费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6"/>
              <w:spacing w:before="16" w:line="217" w:lineRule="auto"/>
              <w:rPr>
                <w:rFonts w:ascii="SimSun" w:hAnsi="SimSun" w:eastAsia="SimSun" w:cs="SimSun"/>
                <w:sz w:val="15"/>
                <w:szCs w:val="15"/>
              </w:rPr>
            </w:pPr>
            <w:r>
              <w:rPr>
                <w:rFonts w:ascii="SimSun" w:hAnsi="SimSun" w:eastAsia="SimSun" w:cs="SimSun"/>
                <w:sz w:val="15"/>
                <w:szCs w:val="15"/>
                <w:color w:val="212529"/>
                <w:spacing w:val="11"/>
              </w:rPr>
              <w:t>安装山西数字人社一体化平台专用网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络等费用</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8" w:right="146" w:firstLine="323"/>
              <w:spacing w:before="16" w:line="217" w:lineRule="auto"/>
              <w:rPr>
                <w:rFonts w:ascii="SimSun" w:hAnsi="SimSun" w:eastAsia="SimSun" w:cs="SimSun"/>
                <w:sz w:val="15"/>
                <w:szCs w:val="15"/>
              </w:rPr>
            </w:pPr>
            <w:r>
              <w:rPr>
                <w:rFonts w:ascii="SimSun" w:hAnsi="SimSun" w:eastAsia="SimSun" w:cs="SimSun"/>
                <w:sz w:val="15"/>
                <w:szCs w:val="15"/>
                <w:color w:val="212529"/>
                <w:spacing w:val="11"/>
              </w:rPr>
              <w:t>聘请山西三发财税核査欠缴企业职工</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0"/>
              </w:rPr>
              <w:t>社会保险项目</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3" w:line="229" w:lineRule="auto"/>
              <w:rPr>
                <w:rFonts w:ascii="SimSun" w:hAnsi="SimSun" w:eastAsia="SimSun" w:cs="SimSun"/>
                <w:sz w:val="15"/>
                <w:szCs w:val="15"/>
              </w:rPr>
            </w:pPr>
            <w:r>
              <w:rPr>
                <w:rFonts w:ascii="SimSun" w:hAnsi="SimSun" w:eastAsia="SimSun" w:cs="SimSun"/>
                <w:sz w:val="15"/>
                <w:szCs w:val="15"/>
                <w:color w:val="212529"/>
                <w:spacing w:val="9"/>
              </w:rPr>
              <w:t>2025年人社部门业务运行经费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4"/>
              <w:spacing w:before="114" w:line="229" w:lineRule="auto"/>
              <w:rPr>
                <w:rFonts w:ascii="SimSun" w:hAnsi="SimSun" w:eastAsia="SimSun" w:cs="SimSun"/>
                <w:sz w:val="15"/>
                <w:szCs w:val="15"/>
              </w:rPr>
            </w:pPr>
            <w:r>
              <w:rPr>
                <w:rFonts w:ascii="SimSun" w:hAnsi="SimSun" w:eastAsia="SimSun" w:cs="SimSun"/>
                <w:sz w:val="15"/>
                <w:szCs w:val="15"/>
                <w:color w:val="212529"/>
                <w:spacing w:val="11"/>
              </w:rPr>
              <w:t>兴县第六届职业技能大赛专项经费</w:t>
            </w:r>
          </w:p>
        </w:tc>
        <w:tc>
          <w:tcPr>
            <w:tcW w:w="1274" w:type="dxa"/>
            <w:vAlign w:val="top"/>
          </w:tcPr>
          <w:p>
            <w:pPr>
              <w:ind w:right="26"/>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274" w:type="dxa"/>
            <w:vAlign w:val="top"/>
          </w:tcPr>
          <w:p>
            <w:pPr>
              <w:ind w:right="24"/>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5" w:line="229" w:lineRule="auto"/>
              <w:rPr>
                <w:rFonts w:ascii="SimSun" w:hAnsi="SimSun" w:eastAsia="SimSun" w:cs="SimSun"/>
                <w:sz w:val="15"/>
                <w:szCs w:val="15"/>
              </w:rPr>
            </w:pPr>
            <w:r>
              <w:rPr>
                <w:rFonts w:ascii="SimSun" w:hAnsi="SimSun" w:eastAsia="SimSun" w:cs="SimSun"/>
                <w:sz w:val="15"/>
                <w:szCs w:val="15"/>
                <w:color w:val="212529"/>
                <w:spacing w:val="9"/>
              </w:rPr>
              <w:t>2025年人社部门业务运行经费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15" w:right="146" w:firstLine="318"/>
              <w:spacing w:before="18" w:line="215" w:lineRule="auto"/>
              <w:rPr>
                <w:rFonts w:ascii="SimSun" w:hAnsi="SimSun" w:eastAsia="SimSun" w:cs="SimSun"/>
                <w:sz w:val="15"/>
                <w:szCs w:val="15"/>
              </w:rPr>
            </w:pPr>
            <w:r>
              <w:rPr>
                <w:rFonts w:ascii="SimSun" w:hAnsi="SimSun" w:eastAsia="SimSun" w:cs="SimSun"/>
                <w:sz w:val="15"/>
                <w:szCs w:val="15"/>
                <w:color w:val="212529"/>
                <w:spacing w:val="7"/>
              </w:rPr>
              <w:t>兴县“</w:t>
            </w:r>
            <w:r>
              <w:rPr>
                <w:rFonts w:ascii="SimSun" w:hAnsi="SimSun" w:eastAsia="SimSun" w:cs="SimSun"/>
                <w:sz w:val="15"/>
                <w:szCs w:val="15"/>
                <w:color w:val="212529"/>
                <w:spacing w:val="-32"/>
              </w:rPr>
              <w:t xml:space="preserve"> </w:t>
            </w:r>
            <w:r>
              <w:rPr>
                <w:rFonts w:ascii="SimSun" w:hAnsi="SimSun" w:eastAsia="SimSun" w:cs="SimSun"/>
                <w:sz w:val="15"/>
                <w:szCs w:val="15"/>
                <w:color w:val="212529"/>
                <w:spacing w:val="7"/>
              </w:rPr>
              <w:t>吕梁山</w:t>
            </w:r>
            <w:r>
              <w:rPr>
                <w:rFonts w:ascii="SimSun" w:hAnsi="SimSun" w:eastAsia="SimSun" w:cs="SimSun"/>
                <w:sz w:val="15"/>
                <w:szCs w:val="15"/>
                <w:color w:val="212529"/>
                <w:spacing w:val="-50"/>
              </w:rPr>
              <w:t xml:space="preserve"> </w:t>
            </w:r>
            <w:r>
              <w:rPr>
                <w:rFonts w:ascii="SimSun" w:hAnsi="SimSun" w:eastAsia="SimSun" w:cs="SimSun"/>
                <w:sz w:val="15"/>
                <w:szCs w:val="15"/>
                <w:color w:val="212529"/>
                <w:spacing w:val="7"/>
              </w:rPr>
              <w:t>”护工宣传及培训经费</w:t>
            </w:r>
            <w:r>
              <w:rPr>
                <w:rFonts w:ascii="SimSun" w:hAnsi="SimSun" w:eastAsia="SimSun" w:cs="SimSun"/>
                <w:sz w:val="15"/>
                <w:szCs w:val="15"/>
                <w:color w:val="212529"/>
              </w:rPr>
              <w:t xml:space="preserve"> </w:t>
            </w:r>
            <w:r>
              <w:rPr>
                <w:rFonts w:ascii="SimSun" w:hAnsi="SimSun" w:eastAsia="SimSun" w:cs="SimSun"/>
                <w:sz w:val="15"/>
                <w:szCs w:val="15"/>
                <w:color w:val="212529"/>
                <w:spacing w:val="8"/>
              </w:rPr>
              <w:t>（政府采购部分）</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8" w:right="146" w:firstLine="324"/>
              <w:spacing w:before="19" w:line="215" w:lineRule="auto"/>
              <w:rPr>
                <w:rFonts w:ascii="SimSun" w:hAnsi="SimSun" w:eastAsia="SimSun" w:cs="SimSun"/>
                <w:sz w:val="15"/>
                <w:szCs w:val="15"/>
              </w:rPr>
            </w:pPr>
            <w:r>
              <w:rPr>
                <w:rFonts w:ascii="SimSun" w:hAnsi="SimSun" w:eastAsia="SimSun" w:cs="SimSun"/>
                <w:sz w:val="15"/>
                <w:szCs w:val="15"/>
                <w:color w:val="212529"/>
                <w:spacing w:val="11"/>
              </w:rPr>
              <w:t>事业单位校园招聘、招才引智等专项</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经费(政采部分)</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15" w:right="146" w:firstLine="316"/>
              <w:spacing w:before="20" w:line="214" w:lineRule="auto"/>
              <w:rPr>
                <w:rFonts w:ascii="SimSun" w:hAnsi="SimSun" w:eastAsia="SimSun" w:cs="SimSun"/>
                <w:sz w:val="15"/>
                <w:szCs w:val="15"/>
              </w:rPr>
            </w:pPr>
            <w:r>
              <w:rPr>
                <w:rFonts w:ascii="SimSun" w:hAnsi="SimSun" w:eastAsia="SimSun" w:cs="SimSun"/>
                <w:sz w:val="15"/>
                <w:szCs w:val="15"/>
                <w:color w:val="212529"/>
                <w:spacing w:val="11"/>
              </w:rPr>
              <w:t>就业社保服务社区村村全覆盖专项经</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7"/>
              </w:rPr>
              <w:t>费（政采部分）</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8" w:right="146" w:firstLine="324"/>
              <w:spacing w:before="21" w:line="214" w:lineRule="auto"/>
              <w:rPr>
                <w:rFonts w:ascii="SimSun" w:hAnsi="SimSun" w:eastAsia="SimSun" w:cs="SimSun"/>
                <w:sz w:val="15"/>
                <w:szCs w:val="15"/>
              </w:rPr>
            </w:pPr>
            <w:r>
              <w:rPr>
                <w:rFonts w:ascii="SimSun" w:hAnsi="SimSun" w:eastAsia="SimSun" w:cs="SimSun"/>
                <w:sz w:val="15"/>
                <w:szCs w:val="15"/>
                <w:color w:val="212529"/>
                <w:spacing w:val="10"/>
              </w:rPr>
              <w:t>2025年举办招聘会专项经费（政采部</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分）</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84" w:hRule="atLeast"/>
        </w:trPr>
        <w:tc>
          <w:tcPr>
            <w:tcW w:w="3073" w:type="dxa"/>
            <w:vAlign w:val="top"/>
          </w:tcPr>
          <w:p>
            <w:pPr>
              <w:ind w:left="8" w:right="146" w:firstLine="324"/>
              <w:spacing w:before="21" w:line="217" w:lineRule="auto"/>
              <w:rPr>
                <w:rFonts w:ascii="SimSun" w:hAnsi="SimSun" w:eastAsia="SimSun" w:cs="SimSun"/>
                <w:sz w:val="15"/>
                <w:szCs w:val="15"/>
              </w:rPr>
            </w:pPr>
            <w:r>
              <w:rPr>
                <w:rFonts w:ascii="SimSun" w:hAnsi="SimSun" w:eastAsia="SimSun" w:cs="SimSun"/>
                <w:sz w:val="15"/>
                <w:szCs w:val="15"/>
                <w:color w:val="212529"/>
                <w:spacing w:val="10"/>
              </w:rPr>
              <w:t>2025年档案数字化专项经费（政采部</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分）</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bl>
    <w:p>
      <w:pPr>
        <w:rPr>
          <w:rFonts w:ascii="Arial"/>
          <w:sz w:val="21"/>
        </w:rPr>
      </w:pPr>
      <w:r/>
    </w:p>
    <w:p>
      <w:pPr>
        <w:sectPr>
          <w:footerReference w:type="default" r:id="rId20"/>
          <w:pgSz w:w="11900" w:h="16840"/>
          <w:pgMar w:top="642" w:right="600" w:bottom="340" w:left="600" w:header="326" w:footer="9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88"/>
        <w:gridCol w:w="1296"/>
        <w:gridCol w:w="1404"/>
        <w:gridCol w:w="1134"/>
        <w:gridCol w:w="1236"/>
      </w:tblGrid>
      <w:tr>
        <w:trPr>
          <w:trHeight w:val="384" w:hRule="atLeast"/>
        </w:trPr>
        <w:tc>
          <w:tcPr>
            <w:tcW w:w="40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6" w:type="dxa"/>
            <w:vAlign w:val="top"/>
            <w:tcBorders>
              <w:bottom w:val="single" w:color="FFFFFF" w:sz="4" w:space="0"/>
              <w:top w:val="single" w:color="FFFFFF" w:sz="4" w:space="0"/>
              <w:left w:val="single" w:color="FFFFFF" w:sz="2" w:space="0"/>
              <w:right w:val="single" w:color="FFFFFF" w:sz="2" w:space="0"/>
            </w:tcBorders>
          </w:tcPr>
          <w:p>
            <w:pPr>
              <w:ind w:left="43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8" w:id="35"/>
            <w:bookmarkEnd w:id="35"/>
            <w:bookmarkStart w:name="bookmark18" w:id="36"/>
            <w:bookmarkEnd w:id="36"/>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22"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部门名称：兴县人力资源和社会保障局</w:t>
            </w:r>
          </w:p>
        </w:tc>
        <w:tc>
          <w:tcPr>
            <w:tcW w:w="1236" w:type="dxa"/>
            <w:vAlign w:val="top"/>
            <w:tcBorders>
              <w:top w:val="single" w:color="FFFFFF" w:sz="4" w:space="0"/>
              <w:left w:val="single" w:color="FFFFFF" w:sz="2" w:space="0"/>
              <w:right w:val="single" w:color="FFFFFF" w:sz="2" w:space="0"/>
            </w:tcBorders>
          </w:tcPr>
          <w:p>
            <w:pPr>
              <w:ind w:left="56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88" w:type="dxa"/>
            <w:vAlign w:val="top"/>
            <w:vMerge w:val="restart"/>
            <w:tcBorders>
              <w:bottom w:val="nil"/>
            </w:tcBorders>
          </w:tcPr>
          <w:p>
            <w:pPr>
              <w:ind w:left="170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774" w:type="dxa"/>
            <w:vAlign w:val="top"/>
            <w:gridSpan w:val="3"/>
          </w:tcPr>
          <w:p>
            <w:pPr>
              <w:ind w:left="130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8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04" w:type="dxa"/>
            <w:vAlign w:val="top"/>
          </w:tcPr>
          <w:p>
            <w:pPr>
              <w:ind w:left="203"/>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34" w:type="dxa"/>
            <w:vAlign w:val="top"/>
          </w:tcPr>
          <w:p>
            <w:pPr>
              <w:ind w:left="155"/>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39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36" w:type="dxa"/>
            <w:vAlign w:val="top"/>
          </w:tcPr>
          <w:p>
            <w:pPr>
              <w:ind w:left="301"/>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88" w:type="dxa"/>
            <w:vAlign w:val="top"/>
          </w:tcPr>
          <w:p>
            <w:pPr>
              <w:ind w:left="200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59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04" w:type="dxa"/>
            <w:vAlign w:val="top"/>
          </w:tcPr>
          <w:p>
            <w:pPr>
              <w:ind w:left="655"/>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34" w:type="dxa"/>
            <w:vAlign w:val="top"/>
          </w:tcPr>
          <w:p>
            <w:pPr>
              <w:ind w:left="521"/>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6"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88"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1"/>
              </w:rPr>
              <w:t>兴县人力资源和社会保障局</w:t>
            </w:r>
          </w:p>
        </w:tc>
        <w:tc>
          <w:tcPr>
            <w:tcW w:w="1296"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40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134" w:type="dxa"/>
            <w:vAlign w:val="top"/>
          </w:tcPr>
          <w:p>
            <w:pPr>
              <w:pStyle w:val="TableText"/>
              <w:rPr/>
            </w:pPr>
            <w:r/>
          </w:p>
        </w:tc>
        <w:tc>
          <w:tcPr>
            <w:tcW w:w="1236" w:type="dxa"/>
            <w:vAlign w:val="top"/>
          </w:tcPr>
          <w:p>
            <w:pPr>
              <w:pStyle w:val="TableText"/>
              <w:rPr/>
            </w:pPr>
            <w:r/>
          </w:p>
        </w:tc>
      </w:tr>
      <w:tr>
        <w:trPr>
          <w:trHeight w:val="378" w:hRule="atLeast"/>
        </w:trPr>
        <w:tc>
          <w:tcPr>
            <w:tcW w:w="4088" w:type="dxa"/>
            <w:vAlign w:val="top"/>
          </w:tcPr>
          <w:p>
            <w:pPr>
              <w:ind w:left="172"/>
              <w:spacing w:before="116" w:line="228" w:lineRule="auto"/>
              <w:rPr>
                <w:rFonts w:ascii="SimSun" w:hAnsi="SimSun" w:eastAsia="SimSun" w:cs="SimSun"/>
                <w:sz w:val="15"/>
                <w:szCs w:val="15"/>
              </w:rPr>
            </w:pPr>
            <w:r>
              <w:rPr>
                <w:rFonts w:ascii="SimSun" w:hAnsi="SimSun" w:eastAsia="SimSun" w:cs="SimSun"/>
                <w:sz w:val="15"/>
                <w:szCs w:val="15"/>
                <w:color w:val="212529"/>
                <w:spacing w:val="11"/>
              </w:rPr>
              <w:t>兴县人力资源和社会保障局</w:t>
            </w:r>
          </w:p>
        </w:tc>
        <w:tc>
          <w:tcPr>
            <w:tcW w:w="1296"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40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18.21</w:t>
            </w:r>
          </w:p>
        </w:tc>
        <w:tc>
          <w:tcPr>
            <w:tcW w:w="1134" w:type="dxa"/>
            <w:vAlign w:val="top"/>
          </w:tcPr>
          <w:p>
            <w:pPr>
              <w:pStyle w:val="TableText"/>
              <w:rPr/>
            </w:pPr>
            <w:r/>
          </w:p>
        </w:tc>
        <w:tc>
          <w:tcPr>
            <w:tcW w:w="1236" w:type="dxa"/>
            <w:vAlign w:val="top"/>
          </w:tcPr>
          <w:p>
            <w:pPr>
              <w:pStyle w:val="TableText"/>
              <w:rPr/>
            </w:pPr>
            <w:r/>
          </w:p>
        </w:tc>
      </w:tr>
      <w:tr>
        <w:trPr>
          <w:trHeight w:val="379" w:hRule="atLeast"/>
        </w:trPr>
        <w:tc>
          <w:tcPr>
            <w:tcW w:w="4088" w:type="dxa"/>
            <w:vAlign w:val="top"/>
          </w:tcPr>
          <w:p>
            <w:pPr>
              <w:ind w:left="7" w:right="188" w:firstLine="325"/>
              <w:spacing w:before="31" w:line="208" w:lineRule="auto"/>
              <w:rPr>
                <w:rFonts w:ascii="SimSun" w:hAnsi="SimSun" w:eastAsia="SimSun" w:cs="SimSun"/>
                <w:sz w:val="15"/>
                <w:szCs w:val="15"/>
              </w:rPr>
            </w:pPr>
            <w:r>
              <w:rPr>
                <w:rFonts w:ascii="SimSun" w:hAnsi="SimSun" w:eastAsia="SimSun" w:cs="SimSun"/>
                <w:sz w:val="15"/>
                <w:szCs w:val="15"/>
                <w:color w:val="212529"/>
                <w:spacing w:val="10"/>
              </w:rPr>
              <w:t>2024年中央和省级财政就业补助资金（第二批）晋</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7"/>
              </w:rPr>
              <w:t>财社【2024】72号</w:t>
            </w:r>
          </w:p>
        </w:tc>
        <w:tc>
          <w:tcPr>
            <w:tcW w:w="1296"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10.03</w:t>
            </w:r>
          </w:p>
        </w:tc>
        <w:tc>
          <w:tcPr>
            <w:tcW w:w="140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10.03</w:t>
            </w:r>
          </w:p>
        </w:tc>
        <w:tc>
          <w:tcPr>
            <w:tcW w:w="1134" w:type="dxa"/>
            <w:vAlign w:val="top"/>
          </w:tcPr>
          <w:p>
            <w:pPr>
              <w:pStyle w:val="TableText"/>
              <w:rPr/>
            </w:pPr>
            <w:r/>
          </w:p>
        </w:tc>
        <w:tc>
          <w:tcPr>
            <w:tcW w:w="1236" w:type="dxa"/>
            <w:vAlign w:val="top"/>
          </w:tcPr>
          <w:p>
            <w:pPr>
              <w:pStyle w:val="TableText"/>
              <w:rPr/>
            </w:pPr>
            <w:r/>
          </w:p>
        </w:tc>
      </w:tr>
      <w:tr>
        <w:trPr>
          <w:trHeight w:val="379" w:hRule="atLeast"/>
        </w:trPr>
        <w:tc>
          <w:tcPr>
            <w:tcW w:w="4088"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9"/>
              </w:rPr>
              <w:t>2024年中央财政就业补助资金晋财社【2023】312号</w:t>
            </w:r>
          </w:p>
        </w:tc>
        <w:tc>
          <w:tcPr>
            <w:tcW w:w="1296"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3.98</w:t>
            </w:r>
          </w:p>
        </w:tc>
        <w:tc>
          <w:tcPr>
            <w:tcW w:w="140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3.98</w:t>
            </w:r>
          </w:p>
        </w:tc>
        <w:tc>
          <w:tcPr>
            <w:tcW w:w="1134" w:type="dxa"/>
            <w:vAlign w:val="top"/>
          </w:tcPr>
          <w:p>
            <w:pPr>
              <w:pStyle w:val="TableText"/>
              <w:rPr/>
            </w:pPr>
            <w:r/>
          </w:p>
        </w:tc>
        <w:tc>
          <w:tcPr>
            <w:tcW w:w="1236" w:type="dxa"/>
            <w:vAlign w:val="top"/>
          </w:tcPr>
          <w:p>
            <w:pPr>
              <w:pStyle w:val="TableText"/>
              <w:rPr/>
            </w:pPr>
            <w:r/>
          </w:p>
        </w:tc>
      </w:tr>
      <w:tr>
        <w:trPr>
          <w:trHeight w:val="379" w:hRule="atLeast"/>
        </w:trPr>
        <w:tc>
          <w:tcPr>
            <w:tcW w:w="4088" w:type="dxa"/>
            <w:vAlign w:val="top"/>
          </w:tcPr>
          <w:p>
            <w:pPr>
              <w:ind w:left="10" w:right="186" w:firstLine="322"/>
              <w:spacing w:before="31" w:line="208" w:lineRule="auto"/>
              <w:rPr>
                <w:rFonts w:ascii="SimSun" w:hAnsi="SimSun" w:eastAsia="SimSun" w:cs="SimSun"/>
                <w:sz w:val="15"/>
                <w:szCs w:val="15"/>
              </w:rPr>
            </w:pPr>
            <w:r>
              <w:rPr>
                <w:rFonts w:ascii="SimSun" w:hAnsi="SimSun" w:eastAsia="SimSun" w:cs="SimSun"/>
                <w:sz w:val="15"/>
                <w:szCs w:val="15"/>
                <w:color w:val="212529"/>
                <w:spacing w:val="9"/>
              </w:rPr>
              <w:t>2024年市级普惠金融发展专项资金吕财金[2024]14</w:t>
            </w:r>
            <w:r>
              <w:rPr>
                <w:rFonts w:ascii="SimSun" w:hAnsi="SimSun" w:eastAsia="SimSun" w:cs="SimSun"/>
                <w:sz w:val="15"/>
                <w:szCs w:val="15"/>
                <w:color w:val="212529"/>
                <w:spacing w:val="4"/>
              </w:rPr>
              <w:t xml:space="preserve"> </w:t>
            </w:r>
            <w:r>
              <w:rPr>
                <w:rFonts w:ascii="SimSun" w:hAnsi="SimSun" w:eastAsia="SimSun" w:cs="SimSun"/>
                <w:sz w:val="15"/>
                <w:szCs w:val="15"/>
                <w:color w:val="212529"/>
              </w:rPr>
              <w:t>号</w:t>
            </w:r>
          </w:p>
        </w:tc>
        <w:tc>
          <w:tcPr>
            <w:tcW w:w="1296"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404"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134" w:type="dxa"/>
            <w:vAlign w:val="top"/>
          </w:tcPr>
          <w:p>
            <w:pPr>
              <w:pStyle w:val="TableText"/>
              <w:rPr/>
            </w:pPr>
            <w:r/>
          </w:p>
        </w:tc>
        <w:tc>
          <w:tcPr>
            <w:tcW w:w="1236" w:type="dxa"/>
            <w:vAlign w:val="top"/>
          </w:tcPr>
          <w:p>
            <w:pPr>
              <w:pStyle w:val="TableText"/>
              <w:rPr/>
            </w:pPr>
            <w:r/>
          </w:p>
        </w:tc>
      </w:tr>
      <w:tr>
        <w:trPr>
          <w:trHeight w:val="384" w:hRule="atLeast"/>
        </w:trPr>
        <w:tc>
          <w:tcPr>
            <w:tcW w:w="4088" w:type="dxa"/>
            <w:vAlign w:val="top"/>
          </w:tcPr>
          <w:p>
            <w:pPr>
              <w:ind w:left="7" w:right="107" w:firstLine="325"/>
              <w:spacing w:before="31" w:line="211" w:lineRule="auto"/>
              <w:rPr>
                <w:rFonts w:ascii="SimSun" w:hAnsi="SimSun" w:eastAsia="SimSun" w:cs="SimSun"/>
                <w:sz w:val="15"/>
                <w:szCs w:val="15"/>
              </w:rPr>
            </w:pPr>
            <w:r>
              <w:rPr>
                <w:rFonts w:ascii="SimSun" w:hAnsi="SimSun" w:eastAsia="SimSun" w:cs="SimSun"/>
                <w:sz w:val="15"/>
                <w:szCs w:val="15"/>
                <w:color w:val="212529"/>
                <w:spacing w:val="10"/>
              </w:rPr>
              <w:t>2024年省级财政就业补助资金(调查失业率补助、农</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1"/>
              </w:rPr>
              <w:t>村劳动力转移就业监测补助)</w:t>
            </w:r>
          </w:p>
        </w:tc>
        <w:tc>
          <w:tcPr>
            <w:tcW w:w="1296"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40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34" w:type="dxa"/>
            <w:vAlign w:val="top"/>
          </w:tcPr>
          <w:p>
            <w:pPr>
              <w:pStyle w:val="TableText"/>
              <w:rPr/>
            </w:pPr>
            <w:r/>
          </w:p>
        </w:tc>
        <w:tc>
          <w:tcPr>
            <w:tcW w:w="1236" w:type="dxa"/>
            <w:vAlign w:val="top"/>
          </w:tcPr>
          <w:p>
            <w:pPr>
              <w:pStyle w:val="TableText"/>
              <w:rPr/>
            </w:pPr>
            <w:r/>
          </w:p>
        </w:tc>
      </w:tr>
    </w:tbl>
    <w:p>
      <w:pPr>
        <w:rPr>
          <w:rFonts w:ascii="Arial"/>
          <w:sz w:val="21"/>
        </w:rPr>
      </w:pPr>
      <w:r/>
    </w:p>
    <w:p>
      <w:pPr>
        <w:sectPr>
          <w:footerReference w:type="default" r:id="rId21"/>
          <w:pgSz w:w="11900" w:h="16840"/>
          <w:pgMar w:top="642" w:right="600" w:bottom="340" w:left="600" w:header="326" w:footer="93" w:gutter="0"/>
        </w:sectPr>
        <w:rPr>
          <w:rFonts w:ascii="Arial" w:hAnsi="Arial" w:eastAsia="Arial" w:cs="Arial"/>
          <w:sz w:val="21"/>
          <w:szCs w:val="21"/>
        </w:rPr>
      </w:pPr>
    </w:p>
    <w:p>
      <w:pPr>
        <w:spacing w:line="332" w:lineRule="auto"/>
        <w:rPr>
          <w:rFonts w:ascii="Arial"/>
          <w:sz w:val="21"/>
        </w:rPr>
      </w:pPr>
      <w:r/>
    </w:p>
    <w:p>
      <w:pPr>
        <w:spacing w:line="332" w:lineRule="auto"/>
        <w:rPr>
          <w:rFonts w:ascii="Arial"/>
          <w:sz w:val="21"/>
        </w:rPr>
      </w:pPr>
      <w:r/>
    </w:p>
    <w:p>
      <w:pPr>
        <w:ind w:left="3464"/>
        <w:spacing w:before="99" w:line="230" w:lineRule="exact"/>
        <w:outlineLvl w:val="0"/>
        <w:rPr>
          <w:rFonts w:ascii="Microsoft YaHei" w:hAnsi="Microsoft YaHei" w:eastAsia="Microsoft YaHei" w:cs="Microsoft YaHei"/>
          <w:sz w:val="23"/>
          <w:szCs w:val="23"/>
        </w:rPr>
      </w:pPr>
      <w:bookmarkStart w:name="bookmark19" w:id="37"/>
      <w:bookmarkEnd w:id="37"/>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8"/>
      <w:bookmarkEnd w:id="38"/>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59" w:right="623" w:firstLine="461"/>
        <w:spacing w:before="187" w:line="323" w:lineRule="auto"/>
        <w:jc w:val="both"/>
        <w:rPr>
          <w:rFonts w:ascii="FangSong" w:hAnsi="FangSong" w:eastAsia="FangSong" w:cs="FangSong"/>
          <w:sz w:val="23"/>
          <w:szCs w:val="23"/>
        </w:rPr>
      </w:pPr>
      <w:r>
        <w:rPr>
          <w:rFonts w:ascii="FangSong" w:hAnsi="FangSong" w:eastAsia="FangSong" w:cs="FangSong"/>
          <w:sz w:val="23"/>
          <w:szCs w:val="23"/>
          <w:spacing w:val="13"/>
        </w:rPr>
        <w:t>2025年度兴县人力资源和社会保障局预算收入总计5,433.97万元</w:t>
      </w:r>
      <w:r>
        <w:rPr>
          <w:rFonts w:ascii="FangSong" w:hAnsi="FangSong" w:eastAsia="FangSong" w:cs="FangSong"/>
          <w:sz w:val="23"/>
          <w:szCs w:val="23"/>
          <w:spacing w:val="-46"/>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6"/>
        </w:rPr>
        <w:t xml:space="preserve"> </w:t>
      </w:r>
      <w:r>
        <w:rPr>
          <w:rFonts w:ascii="FangSong" w:hAnsi="FangSong" w:eastAsia="FangSong" w:cs="FangSong"/>
          <w:sz w:val="23"/>
          <w:szCs w:val="23"/>
          <w:spacing w:val="13"/>
        </w:rPr>
        <w:t>本年收入</w:t>
      </w:r>
      <w:r>
        <w:rPr>
          <w:rFonts w:ascii="FangSong" w:hAnsi="FangSong" w:eastAsia="FangSong" w:cs="FangSong"/>
          <w:sz w:val="23"/>
          <w:szCs w:val="23"/>
        </w:rPr>
        <w:t xml:space="preserve"> </w:t>
      </w:r>
      <w:r>
        <w:rPr>
          <w:rFonts w:ascii="FangSong" w:hAnsi="FangSong" w:eastAsia="FangSong" w:cs="FangSong"/>
          <w:sz w:val="23"/>
          <w:szCs w:val="23"/>
          <w:spacing w:val="2"/>
        </w:rPr>
        <w:t>5,415.75万元，上年结转18.21万元，比上年减少28574.31万元，下降84.02</w:t>
      </w:r>
      <w:r>
        <w:rPr>
          <w:rFonts w:ascii="FangSong" w:hAnsi="FangSong" w:eastAsia="FangSong" w:cs="FangSong"/>
          <w:sz w:val="23"/>
          <w:szCs w:val="23"/>
          <w:spacing w:val="1"/>
        </w:rPr>
        <w:t>%，主要原因是财</w:t>
      </w:r>
      <w:r>
        <w:rPr>
          <w:rFonts w:ascii="FangSong" w:hAnsi="FangSong" w:eastAsia="FangSong" w:cs="FangSong"/>
          <w:sz w:val="23"/>
          <w:szCs w:val="23"/>
        </w:rPr>
        <w:t xml:space="preserve"> </w:t>
      </w:r>
      <w:r>
        <w:rPr>
          <w:rFonts w:ascii="FangSong" w:hAnsi="FangSong" w:eastAsia="FangSong" w:cs="FangSong"/>
          <w:sz w:val="23"/>
          <w:szCs w:val="23"/>
          <w:spacing w:val="9"/>
        </w:rPr>
        <w:t>政对机</w:t>
      </w:r>
      <w:r>
        <w:rPr>
          <w:rFonts w:ascii="FangSong" w:hAnsi="FangSong" w:eastAsia="FangSong" w:cs="FangSong"/>
          <w:sz w:val="23"/>
          <w:szCs w:val="23"/>
          <w:spacing w:val="-66"/>
        </w:rPr>
        <w:t xml:space="preserve"> </w:t>
      </w:r>
      <w:r>
        <w:rPr>
          <w:rFonts w:ascii="FangSong" w:hAnsi="FangSong" w:eastAsia="FangSong" w:cs="FangSong"/>
          <w:sz w:val="23"/>
          <w:szCs w:val="23"/>
          <w:spacing w:val="9"/>
        </w:rPr>
        <w:t>关养老保</w:t>
      </w:r>
      <w:r>
        <w:rPr>
          <w:rFonts w:ascii="FangSong" w:hAnsi="FangSong" w:eastAsia="FangSong" w:cs="FangSong"/>
          <w:sz w:val="23"/>
          <w:szCs w:val="23"/>
          <w:spacing w:val="-64"/>
        </w:rPr>
        <w:t xml:space="preserve"> </w:t>
      </w:r>
      <w:r>
        <w:rPr>
          <w:rFonts w:ascii="FangSong" w:hAnsi="FangSong" w:eastAsia="FangSong" w:cs="FangSong"/>
          <w:sz w:val="23"/>
          <w:szCs w:val="23"/>
          <w:spacing w:val="9"/>
        </w:rPr>
        <w:t>险补助</w:t>
      </w:r>
      <w:r>
        <w:rPr>
          <w:rFonts w:ascii="FangSong" w:hAnsi="FangSong" w:eastAsia="FangSong" w:cs="FangSong"/>
          <w:sz w:val="23"/>
          <w:szCs w:val="23"/>
          <w:spacing w:val="-66"/>
        </w:rPr>
        <w:t xml:space="preserve"> </w:t>
      </w:r>
      <w:r>
        <w:rPr>
          <w:rFonts w:ascii="FangSong" w:hAnsi="FangSong" w:eastAsia="FangSong" w:cs="FangSong"/>
          <w:sz w:val="23"/>
          <w:szCs w:val="23"/>
          <w:spacing w:val="9"/>
        </w:rPr>
        <w:t>等部</w:t>
      </w:r>
      <w:r>
        <w:rPr>
          <w:rFonts w:ascii="FangSong" w:hAnsi="FangSong" w:eastAsia="FangSong" w:cs="FangSong"/>
          <w:sz w:val="23"/>
          <w:szCs w:val="23"/>
          <w:spacing w:val="-53"/>
        </w:rPr>
        <w:t xml:space="preserve"> </w:t>
      </w:r>
      <w:r>
        <w:rPr>
          <w:rFonts w:ascii="FangSong" w:hAnsi="FangSong" w:eastAsia="FangSong" w:cs="FangSong"/>
          <w:sz w:val="23"/>
          <w:szCs w:val="23"/>
          <w:spacing w:val="9"/>
        </w:rPr>
        <w:t>门禁用科</w:t>
      </w:r>
      <w:r>
        <w:rPr>
          <w:rFonts w:ascii="FangSong" w:hAnsi="FangSong" w:eastAsia="FangSong" w:cs="FangSong"/>
          <w:sz w:val="23"/>
          <w:szCs w:val="23"/>
          <w:spacing w:val="-34"/>
        </w:rPr>
        <w:t xml:space="preserve"> </w:t>
      </w:r>
      <w:r>
        <w:rPr>
          <w:rFonts w:ascii="FangSong" w:hAnsi="FangSong" w:eastAsia="FangSong" w:cs="FangSong"/>
          <w:sz w:val="23"/>
          <w:szCs w:val="23"/>
          <w:spacing w:val="9"/>
        </w:rPr>
        <w:t>目预算直接下</w:t>
      </w:r>
      <w:r>
        <w:rPr>
          <w:rFonts w:ascii="FangSong" w:hAnsi="FangSong" w:eastAsia="FangSong" w:cs="FangSong"/>
          <w:sz w:val="23"/>
          <w:szCs w:val="23"/>
          <w:spacing w:val="-67"/>
        </w:rPr>
        <w:t xml:space="preserve"> </w:t>
      </w:r>
      <w:r>
        <w:rPr>
          <w:rFonts w:ascii="FangSong" w:hAnsi="FangSong" w:eastAsia="FangSong" w:cs="FangSong"/>
          <w:sz w:val="23"/>
          <w:szCs w:val="23"/>
          <w:spacing w:val="9"/>
        </w:rPr>
        <w:t>到财政局</w:t>
      </w:r>
      <w:r>
        <w:rPr>
          <w:rFonts w:ascii="FangSong" w:hAnsi="FangSong" w:eastAsia="FangSong" w:cs="FangSong"/>
          <w:sz w:val="23"/>
          <w:szCs w:val="23"/>
          <w:spacing w:val="-59"/>
        </w:rPr>
        <w:t xml:space="preserve"> </w:t>
      </w:r>
      <w:r>
        <w:rPr>
          <w:rFonts w:ascii="FangSong" w:hAnsi="FangSong" w:eastAsia="FangSong" w:cs="FangSong"/>
          <w:sz w:val="23"/>
          <w:szCs w:val="23"/>
          <w:spacing w:val="9"/>
        </w:rPr>
        <w:t>；本年部</w:t>
      </w:r>
      <w:r>
        <w:rPr>
          <w:rFonts w:ascii="FangSong" w:hAnsi="FangSong" w:eastAsia="FangSong" w:cs="FangSong"/>
          <w:sz w:val="23"/>
          <w:szCs w:val="23"/>
          <w:spacing w:val="-52"/>
        </w:rPr>
        <w:t xml:space="preserve"> </w:t>
      </w:r>
      <w:r>
        <w:rPr>
          <w:rFonts w:ascii="FangSong" w:hAnsi="FangSong" w:eastAsia="FangSong" w:cs="FangSong"/>
          <w:sz w:val="23"/>
          <w:szCs w:val="23"/>
          <w:spacing w:val="9"/>
        </w:rPr>
        <w:t>门预算支</w:t>
      </w:r>
      <w:r>
        <w:rPr>
          <w:rFonts w:ascii="FangSong" w:hAnsi="FangSong" w:eastAsia="FangSong" w:cs="FangSong"/>
          <w:sz w:val="23"/>
          <w:szCs w:val="23"/>
          <w:spacing w:val="-52"/>
        </w:rPr>
        <w:t xml:space="preserve"> </w:t>
      </w:r>
      <w:r>
        <w:rPr>
          <w:rFonts w:ascii="FangSong" w:hAnsi="FangSong" w:eastAsia="FangSong" w:cs="FangSong"/>
          <w:sz w:val="23"/>
          <w:szCs w:val="23"/>
          <w:spacing w:val="9"/>
        </w:rPr>
        <w:t>出</w:t>
      </w:r>
      <w:r>
        <w:rPr>
          <w:rFonts w:ascii="FangSong" w:hAnsi="FangSong" w:eastAsia="FangSong" w:cs="FangSong"/>
          <w:sz w:val="23"/>
          <w:szCs w:val="23"/>
          <w:spacing w:val="-65"/>
        </w:rPr>
        <w:t xml:space="preserve"> </w:t>
      </w:r>
      <w:r>
        <w:rPr>
          <w:rFonts w:ascii="FangSong" w:hAnsi="FangSong" w:eastAsia="FangSong" w:cs="FangSong"/>
          <w:sz w:val="23"/>
          <w:szCs w:val="23"/>
          <w:spacing w:val="9"/>
        </w:rPr>
        <w:t>总计</w:t>
      </w:r>
      <w:r>
        <w:rPr>
          <w:rFonts w:ascii="FangSong" w:hAnsi="FangSong" w:eastAsia="FangSong" w:cs="FangSong"/>
          <w:sz w:val="23"/>
          <w:szCs w:val="23"/>
        </w:rPr>
        <w:t xml:space="preserve"> </w:t>
      </w:r>
      <w:r>
        <w:rPr>
          <w:rFonts w:ascii="FangSong" w:hAnsi="FangSong" w:eastAsia="FangSong" w:cs="FangSong"/>
          <w:sz w:val="23"/>
          <w:szCs w:val="23"/>
          <w:spacing w:val="5"/>
        </w:rPr>
        <w:t>5,433.97万元</w:t>
      </w:r>
      <w:r>
        <w:rPr>
          <w:rFonts w:ascii="FangSong" w:hAnsi="FangSong" w:eastAsia="FangSong" w:cs="FangSong"/>
          <w:sz w:val="23"/>
          <w:szCs w:val="23"/>
          <w:spacing w:val="-57"/>
        </w:rPr>
        <w:t xml:space="preserve"> </w:t>
      </w:r>
      <w:r>
        <w:rPr>
          <w:rFonts w:ascii="FangSong" w:hAnsi="FangSong" w:eastAsia="FangSong" w:cs="FangSong"/>
          <w:sz w:val="23"/>
          <w:szCs w:val="23"/>
          <w:spacing w:val="5"/>
        </w:rPr>
        <w:t>，其</w:t>
      </w:r>
      <w:r>
        <w:rPr>
          <w:rFonts w:ascii="FangSong" w:hAnsi="FangSong" w:eastAsia="FangSong" w:cs="FangSong"/>
          <w:sz w:val="23"/>
          <w:szCs w:val="23"/>
          <w:spacing w:val="-43"/>
        </w:rPr>
        <w:t xml:space="preserve"> </w:t>
      </w:r>
      <w:r>
        <w:rPr>
          <w:rFonts w:ascii="FangSong" w:hAnsi="FangSong" w:eastAsia="FangSong" w:cs="FangSong"/>
          <w:sz w:val="23"/>
          <w:szCs w:val="23"/>
          <w:spacing w:val="5"/>
        </w:rPr>
        <w:t>中</w:t>
      </w:r>
      <w:r>
        <w:rPr>
          <w:rFonts w:ascii="FangSong" w:hAnsi="FangSong" w:eastAsia="FangSong" w:cs="FangSong"/>
          <w:sz w:val="23"/>
          <w:szCs w:val="23"/>
          <w:spacing w:val="-55"/>
        </w:rPr>
        <w:t xml:space="preserve"> </w:t>
      </w:r>
      <w:r>
        <w:rPr>
          <w:rFonts w:ascii="FangSong" w:hAnsi="FangSong" w:eastAsia="FangSong" w:cs="FangSong"/>
          <w:sz w:val="23"/>
          <w:szCs w:val="23"/>
          <w:spacing w:val="5"/>
        </w:rPr>
        <w:t>：本</w:t>
      </w:r>
      <w:r>
        <w:rPr>
          <w:rFonts w:ascii="FangSong" w:hAnsi="FangSong" w:eastAsia="FangSong" w:cs="FangSong"/>
          <w:sz w:val="23"/>
          <w:szCs w:val="23"/>
          <w:spacing w:val="-69"/>
        </w:rPr>
        <w:t xml:space="preserve"> </w:t>
      </w:r>
      <w:r>
        <w:rPr>
          <w:rFonts w:ascii="FangSong" w:hAnsi="FangSong" w:eastAsia="FangSong" w:cs="FangSong"/>
          <w:sz w:val="23"/>
          <w:szCs w:val="23"/>
          <w:spacing w:val="5"/>
        </w:rPr>
        <w:t>年预算安排5,415.75万元</w:t>
      </w:r>
      <w:r>
        <w:rPr>
          <w:rFonts w:ascii="FangSong" w:hAnsi="FangSong" w:eastAsia="FangSong" w:cs="FangSong"/>
          <w:sz w:val="23"/>
          <w:szCs w:val="23"/>
          <w:spacing w:val="-56"/>
        </w:rPr>
        <w:t xml:space="preserve"> </w:t>
      </w:r>
      <w:r>
        <w:rPr>
          <w:rFonts w:ascii="FangSong" w:hAnsi="FangSong" w:eastAsia="FangSong" w:cs="FangSong"/>
          <w:sz w:val="23"/>
          <w:szCs w:val="23"/>
          <w:spacing w:val="5"/>
        </w:rPr>
        <w:t>，上</w:t>
      </w:r>
      <w:r>
        <w:rPr>
          <w:rFonts w:ascii="FangSong" w:hAnsi="FangSong" w:eastAsia="FangSong" w:cs="FangSong"/>
          <w:sz w:val="23"/>
          <w:szCs w:val="23"/>
          <w:spacing w:val="-68"/>
        </w:rPr>
        <w:t xml:space="preserve"> </w:t>
      </w:r>
      <w:r>
        <w:rPr>
          <w:rFonts w:ascii="FangSong" w:hAnsi="FangSong" w:eastAsia="FangSong" w:cs="FangSong"/>
          <w:sz w:val="23"/>
          <w:szCs w:val="23"/>
          <w:spacing w:val="5"/>
        </w:rPr>
        <w:t>年</w:t>
      </w:r>
      <w:r>
        <w:rPr>
          <w:rFonts w:ascii="FangSong" w:hAnsi="FangSong" w:eastAsia="FangSong" w:cs="FangSong"/>
          <w:sz w:val="23"/>
          <w:szCs w:val="23"/>
          <w:spacing w:val="-69"/>
        </w:rPr>
        <w:t xml:space="preserve"> </w:t>
      </w:r>
      <w:r>
        <w:rPr>
          <w:rFonts w:ascii="FangSong" w:hAnsi="FangSong" w:eastAsia="FangSong" w:cs="FangSong"/>
          <w:sz w:val="23"/>
          <w:szCs w:val="23"/>
          <w:spacing w:val="5"/>
        </w:rPr>
        <w:t>结转1</w:t>
      </w:r>
      <w:r>
        <w:rPr>
          <w:rFonts w:ascii="FangSong" w:hAnsi="FangSong" w:eastAsia="FangSong" w:cs="FangSong"/>
          <w:sz w:val="23"/>
          <w:szCs w:val="23"/>
          <w:spacing w:val="4"/>
        </w:rPr>
        <w:t>8.21万元</w:t>
      </w:r>
      <w:r>
        <w:rPr>
          <w:rFonts w:ascii="FangSong" w:hAnsi="FangSong" w:eastAsia="FangSong" w:cs="FangSong"/>
          <w:sz w:val="23"/>
          <w:szCs w:val="23"/>
          <w:spacing w:val="-56"/>
        </w:rPr>
        <w:t xml:space="preserve"> </w:t>
      </w:r>
      <w:r>
        <w:rPr>
          <w:rFonts w:ascii="FangSong" w:hAnsi="FangSong" w:eastAsia="FangSong" w:cs="FangSong"/>
          <w:sz w:val="23"/>
          <w:szCs w:val="23"/>
          <w:spacing w:val="4"/>
        </w:rPr>
        <w:t>，</w:t>
      </w:r>
      <w:r>
        <w:rPr>
          <w:rFonts w:ascii="FangSong" w:hAnsi="FangSong" w:eastAsia="FangSong" w:cs="FangSong"/>
          <w:sz w:val="23"/>
          <w:szCs w:val="23"/>
          <w:spacing w:val="-46"/>
        </w:rPr>
        <w:t xml:space="preserve"> </w:t>
      </w:r>
      <w:r>
        <w:rPr>
          <w:rFonts w:ascii="FangSong" w:hAnsi="FangSong" w:eastAsia="FangSong" w:cs="FangSong"/>
          <w:sz w:val="23"/>
          <w:szCs w:val="23"/>
          <w:spacing w:val="4"/>
        </w:rPr>
        <w:t>比上</w:t>
      </w:r>
      <w:r>
        <w:rPr>
          <w:rFonts w:ascii="FangSong" w:hAnsi="FangSong" w:eastAsia="FangSong" w:cs="FangSong"/>
          <w:sz w:val="23"/>
          <w:szCs w:val="23"/>
          <w:spacing w:val="-68"/>
        </w:rPr>
        <w:t xml:space="preserve"> </w:t>
      </w:r>
      <w:r>
        <w:rPr>
          <w:rFonts w:ascii="FangSong" w:hAnsi="FangSong" w:eastAsia="FangSong" w:cs="FangSong"/>
          <w:sz w:val="23"/>
          <w:szCs w:val="23"/>
          <w:spacing w:val="4"/>
        </w:rPr>
        <w:t>年减少</w:t>
      </w:r>
      <w:r>
        <w:rPr>
          <w:rFonts w:ascii="FangSong" w:hAnsi="FangSong" w:eastAsia="FangSong" w:cs="FangSong"/>
          <w:sz w:val="23"/>
          <w:szCs w:val="23"/>
        </w:rPr>
        <w:t xml:space="preserve"> </w:t>
      </w:r>
      <w:r>
        <w:rPr>
          <w:rFonts w:ascii="FangSong" w:hAnsi="FangSong" w:eastAsia="FangSong" w:cs="FangSong"/>
          <w:sz w:val="23"/>
          <w:szCs w:val="23"/>
          <w:spacing w:val="5"/>
        </w:rPr>
        <w:t>28574.31万元，下降84.02%，主要原因是财政</w:t>
      </w:r>
      <w:r>
        <w:rPr>
          <w:rFonts w:ascii="FangSong" w:hAnsi="FangSong" w:eastAsia="FangSong" w:cs="FangSong"/>
          <w:sz w:val="23"/>
          <w:szCs w:val="23"/>
          <w:spacing w:val="4"/>
        </w:rPr>
        <w:t>对机关养老保险补助等部门禁用科目预算直接</w:t>
      </w:r>
      <w:r>
        <w:rPr>
          <w:rFonts w:ascii="FangSong" w:hAnsi="FangSong" w:eastAsia="FangSong" w:cs="FangSong"/>
          <w:sz w:val="23"/>
          <w:szCs w:val="23"/>
        </w:rPr>
        <w:t xml:space="preserve"> </w:t>
      </w:r>
      <w:r>
        <w:rPr>
          <w:rFonts w:ascii="FangSong" w:hAnsi="FangSong" w:eastAsia="FangSong" w:cs="FangSong"/>
          <w:sz w:val="23"/>
          <w:szCs w:val="23"/>
          <w:spacing w:val="-2"/>
        </w:rPr>
        <w:t>下到财政局</w:t>
      </w:r>
    </w:p>
    <w:p>
      <w:pPr>
        <w:ind w:left="661"/>
        <w:spacing w:before="2" w:line="230" w:lineRule="exact"/>
        <w:outlineLvl w:val="1"/>
        <w:rPr>
          <w:rFonts w:ascii="Microsoft YaHei" w:hAnsi="Microsoft YaHei" w:eastAsia="Microsoft YaHei" w:cs="Microsoft YaHei"/>
          <w:sz w:val="22"/>
          <w:szCs w:val="22"/>
        </w:rPr>
      </w:pPr>
      <w:bookmarkStart w:name="bookmark21" w:id="39"/>
      <w:bookmarkEnd w:id="39"/>
      <w:r>
        <w:rPr>
          <w:rFonts w:ascii="Microsoft YaHei" w:hAnsi="Microsoft YaHei" w:eastAsia="Microsoft YaHei" w:cs="Microsoft YaHei"/>
          <w:sz w:val="22"/>
          <w:szCs w:val="22"/>
          <w:spacing w:val="8"/>
          <w:position w:val="-1"/>
        </w:rPr>
        <w:t>二、收入预算情况说明</w:t>
      </w:r>
    </w:p>
    <w:p>
      <w:pPr>
        <w:ind w:left="663" w:right="623" w:firstLine="457"/>
        <w:spacing w:before="172"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2025年度兴县人力资源和社会保障局预算收入5,433.97万元，主要包括一</w:t>
      </w:r>
      <w:r>
        <w:rPr>
          <w:rFonts w:ascii="FangSong" w:hAnsi="FangSong" w:eastAsia="FangSong" w:cs="FangSong"/>
          <w:sz w:val="23"/>
          <w:szCs w:val="23"/>
          <w:spacing w:val="4"/>
        </w:rPr>
        <w:t>般公共预算拨</w:t>
      </w:r>
      <w:r>
        <w:rPr>
          <w:rFonts w:ascii="FangSong" w:hAnsi="FangSong" w:eastAsia="FangSong" w:cs="FangSong"/>
          <w:sz w:val="23"/>
          <w:szCs w:val="23"/>
        </w:rPr>
        <w:t xml:space="preserve"> </w:t>
      </w:r>
      <w:r>
        <w:rPr>
          <w:rFonts w:ascii="FangSong" w:hAnsi="FangSong" w:eastAsia="FangSong" w:cs="FangSong"/>
          <w:sz w:val="23"/>
          <w:szCs w:val="23"/>
        </w:rPr>
        <w:t>款收入5,415.75万元，</w:t>
      </w:r>
      <w:r>
        <w:rPr>
          <w:rFonts w:ascii="FangSong" w:hAnsi="FangSong" w:eastAsia="FangSong" w:cs="FangSong"/>
          <w:sz w:val="23"/>
          <w:szCs w:val="23"/>
          <w:spacing w:val="-57"/>
        </w:rPr>
        <w:t xml:space="preserve"> </w:t>
      </w:r>
      <w:r>
        <w:rPr>
          <w:rFonts w:ascii="FangSong" w:hAnsi="FangSong" w:eastAsia="FangSong" w:cs="FangSong"/>
          <w:sz w:val="23"/>
          <w:szCs w:val="23"/>
        </w:rPr>
        <w:t>占99.66%；政府性基金预算拨</w:t>
      </w:r>
      <w:r>
        <w:rPr>
          <w:rFonts w:ascii="FangSong" w:hAnsi="FangSong" w:eastAsia="FangSong" w:cs="FangSong"/>
          <w:sz w:val="23"/>
          <w:szCs w:val="23"/>
          <w:spacing w:val="-1"/>
        </w:rPr>
        <w:t>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w:t>
      </w:r>
      <w:r>
        <w:rPr>
          <w:rFonts w:ascii="FangSong" w:hAnsi="FangSong" w:eastAsia="FangSong" w:cs="FangSong"/>
          <w:sz w:val="23"/>
          <w:szCs w:val="23"/>
        </w:rPr>
        <w:t xml:space="preserve"> </w:t>
      </w:r>
      <w:r>
        <w:rPr>
          <w:rFonts w:ascii="FangSong" w:hAnsi="FangSong" w:eastAsia="FangSong" w:cs="FangSong"/>
          <w:sz w:val="23"/>
          <w:szCs w:val="23"/>
          <w:spacing w:val="-2"/>
        </w:rPr>
        <w:t>拨款收入0万元，</w:t>
      </w:r>
      <w:r>
        <w:rPr>
          <w:rFonts w:ascii="FangSong" w:hAnsi="FangSong" w:eastAsia="FangSong" w:cs="FangSong"/>
          <w:sz w:val="23"/>
          <w:szCs w:val="23"/>
          <w:spacing w:val="-44"/>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w:t>
      </w:r>
      <w:r>
        <w:rPr>
          <w:rFonts w:ascii="FangSong" w:hAnsi="FangSong" w:eastAsia="FangSong" w:cs="FangSong"/>
          <w:sz w:val="23"/>
          <w:szCs w:val="23"/>
        </w:rPr>
        <w:t xml:space="preserve"> </w:t>
      </w:r>
      <w:r>
        <w:rPr>
          <w:rFonts w:ascii="FangSong" w:hAnsi="FangSong" w:eastAsia="FangSong" w:cs="FangSong"/>
          <w:sz w:val="23"/>
          <w:szCs w:val="23"/>
          <w:spacing w:val="-3"/>
        </w:rPr>
        <w:t>转18.21万元，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占0.34%。无</w:t>
      </w:r>
    </w:p>
    <w:p>
      <w:pPr>
        <w:spacing w:line="362" w:lineRule="auto"/>
        <w:rPr>
          <w:rFonts w:ascii="Arial"/>
          <w:sz w:val="21"/>
        </w:rPr>
      </w:pPr>
      <w:r/>
    </w:p>
    <w:p>
      <w:pPr>
        <w:ind w:firstLine="2885"/>
        <w:spacing w:line="2855" w:lineRule="exact"/>
        <w:rPr/>
      </w:pPr>
      <w:r>
        <w:rPr>
          <w:position w:val="-57"/>
        </w:rPr>
        <w:drawing>
          <wp:inline distT="0" distB="0" distL="0" distR="0">
            <wp:extent cx="2473252" cy="1813292"/>
            <wp:effectExtent l="0" t="0" r="0" b="0"/>
            <wp:docPr id="4" name="IM 4"/>
            <wp:cNvGraphicFramePr/>
            <a:graphic>
              <a:graphicData uri="http://schemas.openxmlformats.org/drawingml/2006/picture">
                <pic:pic>
                  <pic:nvPicPr>
                    <pic:cNvPr id="4" name="IM 4"/>
                    <pic:cNvPicPr/>
                  </pic:nvPicPr>
                  <pic:blipFill>
                    <a:blip r:embed="rId23"/>
                    <a:stretch>
                      <a:fillRect/>
                    </a:stretch>
                  </pic:blipFill>
                  <pic:spPr>
                    <a:xfrm rot="0">
                      <a:off x="0" y="0"/>
                      <a:ext cx="2473252"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2" w:id="40"/>
      <w:bookmarkEnd w:id="40"/>
      <w:r>
        <w:rPr>
          <w:rFonts w:ascii="Microsoft YaHei" w:hAnsi="Microsoft YaHei" w:eastAsia="Microsoft YaHei" w:cs="Microsoft YaHei"/>
          <w:sz w:val="22"/>
          <w:szCs w:val="22"/>
          <w:spacing w:val="7"/>
          <w:position w:val="-1"/>
        </w:rPr>
        <w:t>三、支出预算情况说明</w:t>
      </w:r>
    </w:p>
    <w:p>
      <w:pPr>
        <w:ind w:left="667" w:right="623" w:firstLine="453"/>
        <w:spacing w:before="186" w:line="319" w:lineRule="auto"/>
        <w:rPr>
          <w:rFonts w:ascii="FangSong" w:hAnsi="FangSong" w:eastAsia="FangSong" w:cs="FangSong"/>
          <w:sz w:val="23"/>
          <w:szCs w:val="23"/>
        </w:rPr>
      </w:pPr>
      <w:r>
        <w:rPr>
          <w:rFonts w:ascii="FangSong" w:hAnsi="FangSong" w:eastAsia="FangSong" w:cs="FangSong"/>
          <w:sz w:val="23"/>
          <w:szCs w:val="23"/>
          <w:spacing w:val="5"/>
        </w:rPr>
        <w:t>2025年度兴县人力资源和社会保障局支出预算5433</w:t>
      </w:r>
      <w:r>
        <w:rPr>
          <w:rFonts w:ascii="FangSong" w:hAnsi="FangSong" w:eastAsia="FangSong" w:cs="FangSong"/>
          <w:sz w:val="23"/>
          <w:szCs w:val="23"/>
          <w:spacing w:val="4"/>
        </w:rPr>
        <w:t>.97万元，其中：基本支出1451.23万</w:t>
      </w:r>
      <w:r>
        <w:rPr>
          <w:rFonts w:ascii="FangSong" w:hAnsi="FangSong" w:eastAsia="FangSong" w:cs="FangSong"/>
          <w:sz w:val="23"/>
          <w:szCs w:val="23"/>
        </w:rPr>
        <w:t xml:space="preserve"> </w:t>
      </w:r>
      <w:r>
        <w:rPr>
          <w:rFonts w:ascii="FangSong" w:hAnsi="FangSong" w:eastAsia="FangSong" w:cs="FangSong"/>
          <w:sz w:val="23"/>
          <w:szCs w:val="23"/>
          <w:spacing w:val="-4"/>
        </w:rPr>
        <w:t>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占26.71%；项目支出3982.74万元，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占73.29%。</w:t>
      </w:r>
    </w:p>
    <w:p>
      <w:pPr>
        <w:ind w:left="671"/>
        <w:spacing w:line="230" w:lineRule="exact"/>
        <w:outlineLvl w:val="1"/>
        <w:rPr>
          <w:rFonts w:ascii="Microsoft YaHei" w:hAnsi="Microsoft YaHei" w:eastAsia="Microsoft YaHei" w:cs="Microsoft YaHei"/>
          <w:sz w:val="22"/>
          <w:szCs w:val="22"/>
        </w:rPr>
      </w:pPr>
      <w:bookmarkStart w:name="bookmark23" w:id="41"/>
      <w:bookmarkEnd w:id="41"/>
      <w:r>
        <w:rPr>
          <w:rFonts w:ascii="Microsoft YaHei" w:hAnsi="Microsoft YaHei" w:eastAsia="Microsoft YaHei" w:cs="Microsoft YaHei"/>
          <w:sz w:val="22"/>
          <w:szCs w:val="22"/>
          <w:spacing w:val="8"/>
          <w:position w:val="-1"/>
        </w:rPr>
        <w:t>四、财政拨款收支预算总体情况说明</w:t>
      </w:r>
    </w:p>
    <w:p>
      <w:pPr>
        <w:ind w:left="655" w:right="623" w:firstLine="464"/>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2025年度兴县人力资源和社会保障局财政拨款收支总预算5,433.97万元。</w:t>
      </w:r>
      <w:r>
        <w:rPr>
          <w:rFonts w:ascii="FangSong" w:hAnsi="FangSong" w:eastAsia="FangSong" w:cs="FangSong"/>
          <w:sz w:val="23"/>
          <w:szCs w:val="23"/>
          <w:spacing w:val="4"/>
        </w:rPr>
        <w:t>其中：一般公</w:t>
      </w:r>
      <w:r>
        <w:rPr>
          <w:rFonts w:ascii="FangSong" w:hAnsi="FangSong" w:eastAsia="FangSong" w:cs="FangSong"/>
          <w:sz w:val="23"/>
          <w:szCs w:val="23"/>
        </w:rPr>
        <w:t xml:space="preserve"> </w:t>
      </w:r>
      <w:r>
        <w:rPr>
          <w:rFonts w:ascii="FangSong" w:hAnsi="FangSong" w:eastAsia="FangSong" w:cs="FangSong"/>
          <w:sz w:val="23"/>
          <w:szCs w:val="23"/>
          <w:spacing w:val="9"/>
        </w:rPr>
        <w:t>共预算拨款5,433.97万元，政府性基金预算拨款0万元，</w:t>
      </w:r>
      <w:r>
        <w:rPr>
          <w:rFonts w:ascii="FangSong" w:hAnsi="FangSong" w:eastAsia="FangSong" w:cs="FangSong"/>
          <w:sz w:val="23"/>
          <w:szCs w:val="23"/>
          <w:spacing w:val="-61"/>
        </w:rPr>
        <w:t xml:space="preserve"> </w:t>
      </w:r>
      <w:r>
        <w:rPr>
          <w:rFonts w:ascii="FangSong" w:hAnsi="FangSong" w:eastAsia="FangSong" w:cs="FangSong"/>
          <w:sz w:val="23"/>
          <w:szCs w:val="23"/>
          <w:spacing w:val="9"/>
        </w:rPr>
        <w:t>国有资本经营预算拨款0万元。其</w:t>
      </w:r>
      <w:r>
        <w:rPr>
          <w:rFonts w:ascii="FangSong" w:hAnsi="FangSong" w:eastAsia="FangSong" w:cs="FangSong"/>
          <w:sz w:val="23"/>
          <w:szCs w:val="23"/>
        </w:rPr>
        <w:t xml:space="preserve"> </w:t>
      </w:r>
      <w:r>
        <w:rPr>
          <w:rFonts w:ascii="FangSong" w:hAnsi="FangSong" w:eastAsia="FangSong" w:cs="FangSong"/>
          <w:sz w:val="23"/>
          <w:szCs w:val="23"/>
          <w:spacing w:val="2"/>
        </w:rPr>
        <w:t>中：当年拨款收入5,415.75万元，上年结转收入18.21万元。支出包括：社会保障和就业支出</w:t>
      </w:r>
      <w:r>
        <w:rPr>
          <w:rFonts w:ascii="FangSong" w:hAnsi="FangSong" w:eastAsia="FangSong" w:cs="FangSong"/>
          <w:sz w:val="23"/>
          <w:szCs w:val="23"/>
          <w:spacing w:val="10"/>
        </w:rPr>
        <w:t xml:space="preserve"> </w:t>
      </w:r>
      <w:r>
        <w:rPr>
          <w:rFonts w:ascii="FangSong" w:hAnsi="FangSong" w:eastAsia="FangSong" w:cs="FangSong"/>
          <w:sz w:val="23"/>
          <w:szCs w:val="23"/>
          <w:spacing w:val="2"/>
        </w:rPr>
        <w:t>4,401.64万元、卫生健康支出54.52万元、农林水支出876.00万元、住房保障支出101.80</w:t>
      </w:r>
      <w:r>
        <w:rPr>
          <w:rFonts w:ascii="FangSong" w:hAnsi="FangSong" w:eastAsia="FangSong" w:cs="FangSong"/>
          <w:sz w:val="23"/>
          <w:szCs w:val="23"/>
          <w:spacing w:val="1"/>
        </w:rPr>
        <w:t>万元</w:t>
      </w:r>
      <w:r>
        <w:rPr>
          <w:rFonts w:ascii="FangSong" w:hAnsi="FangSong" w:eastAsia="FangSong" w:cs="FangSong"/>
          <w:sz w:val="23"/>
          <w:szCs w:val="23"/>
        </w:rPr>
        <w:t xml:space="preserve"> </w:t>
      </w:r>
      <w:r>
        <w:rPr>
          <w:rFonts w:ascii="FangSong" w:hAnsi="FangSong" w:eastAsia="FangSong" w:cs="FangSong"/>
          <w:sz w:val="23"/>
          <w:szCs w:val="23"/>
          <w:spacing w:val="4"/>
        </w:rPr>
        <w:t>等。无</w:t>
      </w:r>
    </w:p>
    <w:p>
      <w:pPr>
        <w:ind w:left="664"/>
        <w:spacing w:line="230" w:lineRule="exact"/>
        <w:outlineLvl w:val="1"/>
        <w:rPr>
          <w:rFonts w:ascii="Microsoft YaHei" w:hAnsi="Microsoft YaHei" w:eastAsia="Microsoft YaHei" w:cs="Microsoft YaHei"/>
          <w:sz w:val="22"/>
          <w:szCs w:val="22"/>
        </w:rPr>
      </w:pPr>
      <w:bookmarkStart w:name="bookmark24" w:id="42"/>
      <w:bookmarkEnd w:id="42"/>
      <w:r>
        <w:rPr>
          <w:rFonts w:ascii="Microsoft YaHei" w:hAnsi="Microsoft YaHei" w:eastAsia="Microsoft YaHei" w:cs="Microsoft YaHei"/>
          <w:sz w:val="22"/>
          <w:szCs w:val="22"/>
          <w:spacing w:val="8"/>
          <w:position w:val="-1"/>
        </w:rPr>
        <w:t>五、一般公共预算支出情况说明</w:t>
      </w:r>
    </w:p>
    <w:p>
      <w:pPr>
        <w:ind w:left="11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59" w:right="623" w:firstLine="461"/>
        <w:spacing w:before="124" w:line="322" w:lineRule="auto"/>
        <w:rPr>
          <w:rFonts w:ascii="FangSong" w:hAnsi="FangSong" w:eastAsia="FangSong" w:cs="FangSong"/>
          <w:sz w:val="23"/>
          <w:szCs w:val="23"/>
        </w:rPr>
      </w:pPr>
      <w:r>
        <w:rPr>
          <w:rFonts w:ascii="FangSong" w:hAnsi="FangSong" w:eastAsia="FangSong" w:cs="FangSong"/>
          <w:sz w:val="23"/>
          <w:szCs w:val="23"/>
          <w:spacing w:val="6"/>
        </w:rPr>
        <w:t>2025年度兴县人力资源和社会保障局一般公共预算当年支出5,415.75万元,</w:t>
      </w:r>
      <w:r>
        <w:rPr>
          <w:rFonts w:ascii="FangSong" w:hAnsi="FangSong" w:eastAsia="FangSong" w:cs="FangSong"/>
          <w:sz w:val="23"/>
          <w:szCs w:val="23"/>
          <w:spacing w:val="-50"/>
        </w:rPr>
        <w:t xml:space="preserve"> </w:t>
      </w:r>
      <w:r>
        <w:rPr>
          <w:rFonts w:ascii="FangSong" w:hAnsi="FangSong" w:eastAsia="FangSong" w:cs="FangSong"/>
          <w:sz w:val="23"/>
          <w:szCs w:val="23"/>
          <w:spacing w:val="6"/>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28479.75万元，下降84.02%。</w:t>
      </w:r>
    </w:p>
    <w:p>
      <w:pPr>
        <w:ind w:left="11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2"/>
          <w:pgSz w:w="11900" w:h="16840"/>
          <w:pgMar w:top="642" w:right="600" w:bottom="340" w:left="600" w:header="326" w:footer="93"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664" w:right="623" w:firstLine="455"/>
        <w:spacing w:before="75" w:line="326" w:lineRule="auto"/>
        <w:rPr>
          <w:rFonts w:ascii="FangSong" w:hAnsi="FangSong" w:eastAsia="FangSong" w:cs="FangSong"/>
          <w:sz w:val="23"/>
          <w:szCs w:val="23"/>
        </w:rPr>
      </w:pPr>
      <w:r>
        <w:rPr>
          <w:rFonts w:ascii="FangSong" w:hAnsi="FangSong" w:eastAsia="FangSong" w:cs="FangSong"/>
          <w:sz w:val="23"/>
          <w:szCs w:val="23"/>
          <w:spacing w:val="2"/>
        </w:rPr>
        <w:t>2025年度兴县人力资源和社会保障局一般公共预算当年支出5,415.75万元,主要用于以下</w:t>
      </w:r>
      <w:r>
        <w:rPr>
          <w:rFonts w:ascii="FangSong" w:hAnsi="FangSong" w:eastAsia="FangSong" w:cs="FangSong"/>
          <w:sz w:val="23"/>
          <w:szCs w:val="23"/>
          <w:spacing w:val="9"/>
        </w:rPr>
        <w:t xml:space="preserve"> </w:t>
      </w:r>
      <w:r>
        <w:rPr>
          <w:rFonts w:ascii="FangSong" w:hAnsi="FangSong" w:eastAsia="FangSong" w:cs="FangSong"/>
          <w:sz w:val="23"/>
          <w:szCs w:val="23"/>
          <w:spacing w:val="2"/>
        </w:rPr>
        <w:t>方面：社会保障和就业支出4,387.43万元，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占81.01%；卫生</w:t>
      </w:r>
      <w:r>
        <w:rPr>
          <w:rFonts w:ascii="FangSong" w:hAnsi="FangSong" w:eastAsia="FangSong" w:cs="FangSong"/>
          <w:sz w:val="23"/>
          <w:szCs w:val="23"/>
          <w:spacing w:val="1"/>
        </w:rPr>
        <w:t>健康支出54.52万元，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占1.01%；</w:t>
      </w:r>
      <w:r>
        <w:rPr>
          <w:rFonts w:ascii="FangSong" w:hAnsi="FangSong" w:eastAsia="FangSong" w:cs="FangSong"/>
          <w:sz w:val="23"/>
          <w:szCs w:val="23"/>
        </w:rPr>
        <w:t xml:space="preserve"> </w:t>
      </w:r>
      <w:r>
        <w:rPr>
          <w:rFonts w:ascii="FangSong" w:hAnsi="FangSong" w:eastAsia="FangSong" w:cs="FangSong"/>
          <w:sz w:val="23"/>
          <w:szCs w:val="23"/>
          <w:spacing w:val="-2"/>
        </w:rPr>
        <w:t>农林水支出872.00万元，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占16.10%；住房保障支出101.80万元，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占1.88%等。无</w:t>
      </w:r>
    </w:p>
    <w:p>
      <w:pPr>
        <w:ind w:firstLine="3425"/>
        <w:spacing w:before="142" w:line="2304" w:lineRule="exact"/>
        <w:rPr/>
      </w:pPr>
      <w:r>
        <w:rPr>
          <w:position w:val="-46"/>
        </w:rPr>
        <w:drawing>
          <wp:inline distT="0" distB="0" distL="0" distR="0">
            <wp:extent cx="2498619" cy="1463338"/>
            <wp:effectExtent l="0" t="0" r="0" b="0"/>
            <wp:docPr id="6" name="IM 6"/>
            <wp:cNvGraphicFramePr/>
            <a:graphic>
              <a:graphicData uri="http://schemas.openxmlformats.org/drawingml/2006/picture">
                <pic:pic>
                  <pic:nvPicPr>
                    <pic:cNvPr id="6" name="IM 6"/>
                    <pic:cNvPicPr/>
                  </pic:nvPicPr>
                  <pic:blipFill>
                    <a:blip r:embed="rId25"/>
                    <a:stretch>
                      <a:fillRect/>
                    </a:stretch>
                  </pic:blipFill>
                  <pic:spPr>
                    <a:xfrm rot="0">
                      <a:off x="0" y="0"/>
                      <a:ext cx="2498619" cy="1463338"/>
                    </a:xfrm>
                    <a:prstGeom prst="rect">
                      <a:avLst/>
                    </a:prstGeom>
                  </pic:spPr>
                </pic:pic>
              </a:graphicData>
            </a:graphic>
          </wp:inline>
        </w:drawing>
      </w:r>
    </w:p>
    <w:p>
      <w:pPr>
        <w:spacing w:line="344" w:lineRule="auto"/>
        <w:rPr>
          <w:rFonts w:ascii="Arial"/>
          <w:sz w:val="21"/>
        </w:rPr>
      </w:pPr>
      <w:r/>
    </w:p>
    <w:p>
      <w:pPr>
        <w:spacing w:line="344"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43"/>
      <w:bookmarkEnd w:id="43"/>
      <w:r>
        <w:rPr>
          <w:rFonts w:ascii="Microsoft YaHei" w:hAnsi="Microsoft YaHei" w:eastAsia="Microsoft YaHei" w:cs="Microsoft YaHei"/>
          <w:sz w:val="22"/>
          <w:szCs w:val="22"/>
          <w:spacing w:val="8"/>
          <w:position w:val="-1"/>
        </w:rPr>
        <w:t>六、一般公共预算基本支出情况说明</w:t>
      </w:r>
    </w:p>
    <w:p>
      <w:pPr>
        <w:ind w:left="1120"/>
        <w:spacing w:before="174" w:line="221" w:lineRule="auto"/>
        <w:rPr>
          <w:rFonts w:ascii="FangSong" w:hAnsi="FangSong" w:eastAsia="FangSong" w:cs="FangSong"/>
          <w:sz w:val="23"/>
          <w:szCs w:val="23"/>
        </w:rPr>
      </w:pPr>
      <w:r>
        <w:rPr>
          <w:rFonts w:ascii="FangSong" w:hAnsi="FangSong" w:eastAsia="FangSong" w:cs="FangSong"/>
          <w:sz w:val="23"/>
          <w:szCs w:val="23"/>
        </w:rPr>
        <w:t>2025年度兴县人力资源和社会保障局一般公共预算安排基本支出1,451.23万元，其中：</w:t>
      </w:r>
    </w:p>
    <w:p>
      <w:pPr>
        <w:ind w:left="664" w:right="623" w:firstLine="463"/>
        <w:spacing w:before="135" w:line="321" w:lineRule="auto"/>
        <w:jc w:val="both"/>
        <w:rPr>
          <w:rFonts w:ascii="FangSong" w:hAnsi="FangSong" w:eastAsia="FangSong" w:cs="FangSong"/>
          <w:sz w:val="23"/>
          <w:szCs w:val="23"/>
        </w:rPr>
      </w:pPr>
      <w:r>
        <w:rPr>
          <w:rFonts w:ascii="FangSong" w:hAnsi="FangSong" w:eastAsia="FangSong" w:cs="FangSong"/>
          <w:sz w:val="23"/>
          <w:szCs w:val="23"/>
          <w:spacing w:val="5"/>
        </w:rPr>
        <w:t>人员经费1,315.25万元，主要包括：其他对个人和家庭的补助、其他工资福利</w:t>
      </w:r>
      <w:r>
        <w:rPr>
          <w:rFonts w:ascii="FangSong" w:hAnsi="FangSong" w:eastAsia="FangSong" w:cs="FangSong"/>
          <w:sz w:val="23"/>
          <w:szCs w:val="23"/>
          <w:spacing w:val="4"/>
        </w:rPr>
        <w:t>支出、其</w:t>
      </w:r>
      <w:r>
        <w:rPr>
          <w:rFonts w:ascii="FangSong" w:hAnsi="FangSong" w:eastAsia="FangSong" w:cs="FangSong"/>
          <w:sz w:val="23"/>
          <w:szCs w:val="23"/>
        </w:rPr>
        <w:t xml:space="preserve"> </w:t>
      </w:r>
      <w:r>
        <w:rPr>
          <w:rFonts w:ascii="FangSong" w:hAnsi="FangSong" w:eastAsia="FangSong" w:cs="FangSong"/>
          <w:sz w:val="23"/>
          <w:szCs w:val="23"/>
          <w:spacing w:val="5"/>
        </w:rPr>
        <w:t>他社会保障缴费、公务员医疗补助缴费、绩效工资、基本工资、机关事业单位基本养老保险</w:t>
      </w:r>
      <w:r>
        <w:rPr>
          <w:rFonts w:ascii="FangSong" w:hAnsi="FangSong" w:eastAsia="FangSong" w:cs="FangSong"/>
          <w:sz w:val="23"/>
          <w:szCs w:val="23"/>
          <w:spacing w:val="10"/>
        </w:rPr>
        <w:t xml:space="preserve"> </w:t>
      </w:r>
      <w:r>
        <w:rPr>
          <w:rFonts w:ascii="FangSong" w:hAnsi="FangSong" w:eastAsia="FangSong" w:cs="FangSong"/>
          <w:sz w:val="23"/>
          <w:szCs w:val="23"/>
        </w:rPr>
        <w:t>缴费、奖金、住房公积金、退休费、职工基本医疗保险缴费、职业年金缴费、津贴补贴等；</w:t>
      </w:r>
    </w:p>
    <w:p>
      <w:pPr>
        <w:ind w:left="671" w:right="622" w:firstLine="458"/>
        <w:spacing w:before="11" w:line="322" w:lineRule="auto"/>
        <w:jc w:val="both"/>
        <w:rPr>
          <w:rFonts w:ascii="FangSong" w:hAnsi="FangSong" w:eastAsia="FangSong" w:cs="FangSong"/>
          <w:sz w:val="23"/>
          <w:szCs w:val="23"/>
        </w:rPr>
      </w:pPr>
      <w:r>
        <w:rPr>
          <w:rFonts w:ascii="FangSong" w:hAnsi="FangSong" w:eastAsia="FangSong" w:cs="FangSong"/>
          <w:sz w:val="23"/>
          <w:szCs w:val="23"/>
          <w:spacing w:val="4"/>
        </w:rPr>
        <w:t>公用经费135.98万元，主要包括：办公费、邮电费、公务用车运行维护费、</w:t>
      </w:r>
      <w:r>
        <w:rPr>
          <w:rFonts w:ascii="FangSong" w:hAnsi="FangSong" w:eastAsia="FangSong" w:cs="FangSong"/>
          <w:sz w:val="23"/>
          <w:szCs w:val="23"/>
          <w:spacing w:val="-68"/>
        </w:rPr>
        <w:t xml:space="preserve"> </w:t>
      </w:r>
      <w:r>
        <w:rPr>
          <w:rFonts w:ascii="FangSong" w:hAnsi="FangSong" w:eastAsia="FangSong" w:cs="FangSong"/>
          <w:sz w:val="23"/>
          <w:szCs w:val="23"/>
          <w:spacing w:val="3"/>
        </w:rPr>
        <w:t>电费、物业</w:t>
      </w:r>
      <w:r>
        <w:rPr>
          <w:rFonts w:ascii="FangSong" w:hAnsi="FangSong" w:eastAsia="FangSong" w:cs="FangSong"/>
          <w:sz w:val="23"/>
          <w:szCs w:val="23"/>
        </w:rPr>
        <w:t xml:space="preserve"> </w:t>
      </w:r>
      <w:r>
        <w:rPr>
          <w:rFonts w:ascii="FangSong" w:hAnsi="FangSong" w:eastAsia="FangSong" w:cs="FangSong"/>
          <w:sz w:val="23"/>
          <w:szCs w:val="23"/>
          <w:spacing w:val="5"/>
        </w:rPr>
        <w:t>管理费、福利费、其他交通费用、其他商品和服务支出、差旅费、工会经费、取暖费、劳务</w:t>
      </w:r>
      <w:r>
        <w:rPr>
          <w:rFonts w:ascii="FangSong" w:hAnsi="FangSong" w:eastAsia="FangSong" w:cs="FangSong"/>
          <w:sz w:val="23"/>
          <w:szCs w:val="23"/>
          <w:spacing w:val="4"/>
        </w:rPr>
        <w:t xml:space="preserve"> </w:t>
      </w:r>
      <w:r>
        <w:rPr>
          <w:rFonts w:ascii="FangSong" w:hAnsi="FangSong" w:eastAsia="FangSong" w:cs="FangSong"/>
          <w:sz w:val="23"/>
          <w:szCs w:val="23"/>
          <w:spacing w:val="-4"/>
        </w:rPr>
        <w:t>费、水费等。</w:t>
      </w:r>
    </w:p>
    <w:p>
      <w:pPr>
        <w:ind w:left="655"/>
        <w:spacing w:before="4" w:line="229" w:lineRule="exact"/>
        <w:outlineLvl w:val="1"/>
        <w:rPr>
          <w:rFonts w:ascii="Microsoft YaHei" w:hAnsi="Microsoft YaHei" w:eastAsia="Microsoft YaHei" w:cs="Microsoft YaHei"/>
          <w:sz w:val="22"/>
          <w:szCs w:val="22"/>
        </w:rPr>
      </w:pPr>
      <w:bookmarkStart w:name="bookmark26" w:id="44"/>
      <w:bookmarkEnd w:id="4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59" w:right="623" w:firstLine="461"/>
        <w:spacing w:before="173" w:line="324" w:lineRule="auto"/>
        <w:jc w:val="both"/>
        <w:rPr>
          <w:rFonts w:ascii="FangSong" w:hAnsi="FangSong" w:eastAsia="FangSong" w:cs="FangSong"/>
          <w:sz w:val="23"/>
          <w:szCs w:val="23"/>
        </w:rPr>
      </w:pPr>
      <w:r>
        <w:rPr>
          <w:rFonts w:ascii="FangSong" w:hAnsi="FangSong" w:eastAsia="FangSong" w:cs="FangSong"/>
          <w:sz w:val="23"/>
          <w:szCs w:val="23"/>
          <w:spacing w:val="3"/>
        </w:rPr>
        <w:t>2025年兴县人力资源和社会保障局财政拨款安排的“</w:t>
      </w:r>
      <w:r>
        <w:rPr>
          <w:rFonts w:ascii="FangSong" w:hAnsi="FangSong" w:eastAsia="FangSong" w:cs="FangSong"/>
          <w:sz w:val="23"/>
          <w:szCs w:val="23"/>
          <w:spacing w:val="-70"/>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8"/>
        </w:rPr>
        <w:t xml:space="preserve"> </w:t>
      </w:r>
      <w:r>
        <w:rPr>
          <w:rFonts w:ascii="FangSong" w:hAnsi="FangSong" w:eastAsia="FangSong" w:cs="FangSong"/>
          <w:sz w:val="23"/>
          <w:szCs w:val="23"/>
          <w:spacing w:val="3"/>
        </w:rPr>
        <w:t>”经费预算2.00万元与2024年</w:t>
      </w:r>
      <w:r>
        <w:rPr>
          <w:rFonts w:ascii="FangSong" w:hAnsi="FangSong" w:eastAsia="FangSong" w:cs="FangSong"/>
          <w:sz w:val="23"/>
          <w:szCs w:val="23"/>
        </w:rPr>
        <w:t xml:space="preserve"> </w:t>
      </w:r>
      <w:r>
        <w:rPr>
          <w:rFonts w:ascii="FangSong" w:hAnsi="FangSong" w:eastAsia="FangSong" w:cs="FangSong"/>
          <w:sz w:val="23"/>
          <w:szCs w:val="23"/>
          <w:spacing w:val="4"/>
        </w:rPr>
        <w:t>预算数相同。其中：</w:t>
      </w:r>
      <w:r>
        <w:rPr>
          <w:rFonts w:ascii="FangSong" w:hAnsi="FangSong" w:eastAsia="FangSong" w:cs="FangSong"/>
          <w:sz w:val="23"/>
          <w:szCs w:val="23"/>
          <w:spacing w:val="-63"/>
        </w:rPr>
        <w:t xml:space="preserve"> </w:t>
      </w:r>
      <w:r>
        <w:rPr>
          <w:rFonts w:ascii="FangSong" w:hAnsi="FangSong" w:eastAsia="FangSong" w:cs="FangSong"/>
          <w:sz w:val="23"/>
          <w:szCs w:val="23"/>
          <w:spacing w:val="4"/>
        </w:rPr>
        <w:t>因公出国（境）费0万元，与上年预算数相同；公务接待费0万元，与上</w:t>
      </w:r>
      <w:r>
        <w:rPr>
          <w:rFonts w:ascii="FangSong" w:hAnsi="FangSong" w:eastAsia="FangSong" w:cs="FangSong"/>
          <w:sz w:val="23"/>
          <w:szCs w:val="23"/>
        </w:rPr>
        <w:t xml:space="preserve"> </w:t>
      </w:r>
      <w:r>
        <w:rPr>
          <w:rFonts w:ascii="FangSong" w:hAnsi="FangSong" w:eastAsia="FangSong" w:cs="FangSong"/>
          <w:sz w:val="23"/>
          <w:szCs w:val="23"/>
          <w:spacing w:val="5"/>
        </w:rPr>
        <w:t>年预算数相同；公务用车购置及运行费2.00万元，与上年预算数相同。公务用车运行维护费</w:t>
      </w:r>
      <w:r>
        <w:rPr>
          <w:rFonts w:ascii="FangSong" w:hAnsi="FangSong" w:eastAsia="FangSong" w:cs="FangSong"/>
          <w:sz w:val="23"/>
          <w:szCs w:val="23"/>
          <w:spacing w:val="6"/>
        </w:rPr>
        <w:t xml:space="preserve"> </w:t>
      </w:r>
      <w:r>
        <w:rPr>
          <w:rFonts w:ascii="FangSong" w:hAnsi="FangSong" w:eastAsia="FangSong" w:cs="FangSong"/>
          <w:sz w:val="23"/>
          <w:szCs w:val="23"/>
        </w:rPr>
        <w:t>2.00万元，与上年预算数相同；公务用车购置费0万元，与上年预算数相同。</w:t>
      </w:r>
    </w:p>
    <w:p>
      <w:pPr>
        <w:spacing w:line="262" w:lineRule="auto"/>
        <w:rPr>
          <w:rFonts w:ascii="Arial"/>
          <w:sz w:val="21"/>
        </w:rPr>
      </w:pPr>
      <w:r/>
    </w:p>
    <w:p>
      <w:pPr>
        <w:ind w:firstLine="2126"/>
        <w:spacing w:line="2556" w:lineRule="exact"/>
        <w:rPr/>
      </w:pPr>
      <w:r>
        <w:rPr>
          <w:position w:val="-51"/>
        </w:rPr>
        <w:drawing>
          <wp:inline distT="0" distB="0" distL="0" distR="0">
            <wp:extent cx="3944520" cy="1622758"/>
            <wp:effectExtent l="0" t="0" r="0" b="0"/>
            <wp:docPr id="8" name="IM 8"/>
            <wp:cNvGraphicFramePr/>
            <a:graphic>
              <a:graphicData uri="http://schemas.openxmlformats.org/drawingml/2006/picture">
                <pic:pic>
                  <pic:nvPicPr>
                    <pic:cNvPr id="8" name="IM 8"/>
                    <pic:cNvPicPr/>
                  </pic:nvPicPr>
                  <pic:blipFill>
                    <a:blip r:embed="rId26"/>
                    <a:stretch>
                      <a:fillRect/>
                    </a:stretch>
                  </pic:blipFill>
                  <pic:spPr>
                    <a:xfrm rot="0">
                      <a:off x="0" y="0"/>
                      <a:ext cx="3944520" cy="1622758"/>
                    </a:xfrm>
                    <a:prstGeom prst="rect">
                      <a:avLst/>
                    </a:prstGeom>
                  </pic:spPr>
                </pic:pic>
              </a:graphicData>
            </a:graphic>
          </wp:inline>
        </w:drawing>
      </w:r>
    </w:p>
    <w:p>
      <w:pPr>
        <w:spacing w:line="445" w:lineRule="auto"/>
        <w:rPr>
          <w:rFonts w:ascii="Arial"/>
          <w:sz w:val="21"/>
        </w:rPr>
      </w:pPr>
      <w:r/>
    </w:p>
    <w:p>
      <w:pPr>
        <w:ind w:left="653"/>
        <w:spacing w:before="99" w:line="230" w:lineRule="exact"/>
        <w:outlineLvl w:val="1"/>
        <w:rPr>
          <w:rFonts w:ascii="Microsoft YaHei" w:hAnsi="Microsoft YaHei" w:eastAsia="Microsoft YaHei" w:cs="Microsoft YaHei"/>
          <w:sz w:val="23"/>
          <w:szCs w:val="23"/>
        </w:rPr>
      </w:pPr>
      <w:bookmarkStart w:name="bookmark27" w:id="45"/>
      <w:bookmarkEnd w:id="45"/>
      <w:r>
        <w:rPr>
          <w:rFonts w:ascii="Microsoft YaHei" w:hAnsi="Microsoft YaHei" w:eastAsia="Microsoft YaHei" w:cs="Microsoft YaHei"/>
          <w:sz w:val="23"/>
          <w:szCs w:val="23"/>
          <w:spacing w:val="-1"/>
          <w:position w:val="-1"/>
        </w:rPr>
        <w:t>八、机关运行经费增减变动原因说明</w:t>
      </w:r>
    </w:p>
    <w:p>
      <w:pPr>
        <w:ind w:left="663" w:right="623" w:firstLine="462"/>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本单位2025年机关运行经费财政拨款预算135.98万元，</w:t>
      </w:r>
      <w:r>
        <w:rPr>
          <w:rFonts w:ascii="FangSong" w:hAnsi="FangSong" w:eastAsia="FangSong" w:cs="FangSong"/>
          <w:sz w:val="23"/>
          <w:szCs w:val="23"/>
          <w:spacing w:val="4"/>
        </w:rPr>
        <w:t>2024年机关运行经费财政拨款预</w:t>
      </w:r>
      <w:r>
        <w:rPr>
          <w:rFonts w:ascii="FangSong" w:hAnsi="FangSong" w:eastAsia="FangSong" w:cs="FangSong"/>
          <w:sz w:val="23"/>
          <w:szCs w:val="23"/>
        </w:rPr>
        <w:t xml:space="preserve"> </w:t>
      </w:r>
      <w:r>
        <w:rPr>
          <w:rFonts w:ascii="FangSong" w:hAnsi="FangSong" w:eastAsia="FangSong" w:cs="FangSong"/>
          <w:sz w:val="23"/>
          <w:szCs w:val="23"/>
          <w:spacing w:val="2"/>
        </w:rPr>
        <w:t>算113.12万元，比2024年增加22.86万元，增长了20.21%，原因是：本单位在正</w:t>
      </w:r>
      <w:r>
        <w:rPr>
          <w:rFonts w:ascii="FangSong" w:hAnsi="FangSong" w:eastAsia="FangSong" w:cs="FangSong"/>
          <w:sz w:val="23"/>
          <w:szCs w:val="23"/>
          <w:spacing w:val="1"/>
        </w:rPr>
        <w:t>常运转的情况</w:t>
      </w:r>
      <w:r>
        <w:rPr>
          <w:rFonts w:ascii="FangSong" w:hAnsi="FangSong" w:eastAsia="FangSong" w:cs="FangSong"/>
          <w:sz w:val="23"/>
          <w:szCs w:val="23"/>
        </w:rPr>
        <w:t xml:space="preserve"> </w:t>
      </w:r>
      <w:r>
        <w:rPr>
          <w:rFonts w:ascii="FangSong" w:hAnsi="FangSong" w:eastAsia="FangSong" w:cs="FangSong"/>
          <w:sz w:val="23"/>
          <w:szCs w:val="23"/>
          <w:spacing w:val="-2"/>
        </w:rPr>
        <w:t>下，业务量增加。</w:t>
      </w:r>
    </w:p>
    <w:p>
      <w:pPr>
        <w:spacing w:line="322" w:lineRule="auto"/>
        <w:sectPr>
          <w:footerReference w:type="default" r:id="rId24"/>
          <w:pgSz w:w="11900" w:h="16840"/>
          <w:pgMar w:top="642" w:right="600" w:bottom="340" w:left="600" w:header="326" w:footer="93" w:gutter="0"/>
        </w:sectPr>
        <w:rPr>
          <w:rFonts w:ascii="FangSong" w:hAnsi="FangSong" w:eastAsia="FangSong" w:cs="FangSong"/>
          <w:sz w:val="23"/>
          <w:szCs w:val="23"/>
        </w:rPr>
      </w:pPr>
    </w:p>
    <w:p>
      <w:pPr>
        <w:spacing w:line="271" w:lineRule="auto"/>
        <w:rPr>
          <w:rFonts w:ascii="Arial"/>
          <w:sz w:val="21"/>
        </w:rPr>
      </w:pPr>
      <w:r/>
    </w:p>
    <w:p>
      <w:pPr>
        <w:spacing w:line="271" w:lineRule="auto"/>
        <w:rPr>
          <w:rFonts w:ascii="Arial"/>
          <w:sz w:val="21"/>
        </w:rPr>
      </w:pPr>
      <w:r/>
    </w:p>
    <w:p>
      <w:pPr>
        <w:ind w:left="658"/>
        <w:spacing w:before="94" w:line="225" w:lineRule="exact"/>
        <w:outlineLvl w:val="1"/>
        <w:rPr>
          <w:rFonts w:ascii="Microsoft YaHei" w:hAnsi="Microsoft YaHei" w:eastAsia="Microsoft YaHei" w:cs="Microsoft YaHei"/>
          <w:sz w:val="22"/>
          <w:szCs w:val="22"/>
        </w:rPr>
      </w:pPr>
      <w:bookmarkStart w:name="bookmark29" w:id="46"/>
      <w:bookmarkEnd w:id="46"/>
      <w:r>
        <w:rPr>
          <w:rFonts w:ascii="Microsoft YaHei" w:hAnsi="Microsoft YaHei" w:eastAsia="Microsoft YaHei" w:cs="Microsoft YaHei"/>
          <w:sz w:val="22"/>
          <w:szCs w:val="22"/>
          <w:spacing w:val="9"/>
          <w:position w:val="-1"/>
        </w:rPr>
        <w:t>九、政府采购情况</w:t>
      </w:r>
    </w:p>
    <w:p>
      <w:pPr>
        <w:ind w:left="665" w:right="623" w:firstLine="454"/>
        <w:spacing w:before="178" w:line="323" w:lineRule="auto"/>
        <w:rPr>
          <w:rFonts w:ascii="FangSong" w:hAnsi="FangSong" w:eastAsia="FangSong" w:cs="FangSong"/>
          <w:sz w:val="23"/>
          <w:szCs w:val="23"/>
        </w:rPr>
      </w:pPr>
      <w:r>
        <w:rPr>
          <w:rFonts w:ascii="FangSong" w:hAnsi="FangSong" w:eastAsia="FangSong" w:cs="FangSong"/>
          <w:sz w:val="23"/>
          <w:szCs w:val="23"/>
          <w:spacing w:val="5"/>
        </w:rPr>
        <w:t>2025年兴县人力资源和社会保障局政府采购预算总额292.33万元。其中：政府采购货物</w:t>
      </w:r>
      <w:r>
        <w:rPr>
          <w:rFonts w:ascii="FangSong" w:hAnsi="FangSong" w:eastAsia="FangSong" w:cs="FangSong"/>
          <w:sz w:val="23"/>
          <w:szCs w:val="23"/>
        </w:rPr>
        <w:t xml:space="preserve"> </w:t>
      </w:r>
      <w:r>
        <w:rPr>
          <w:rFonts w:ascii="FangSong" w:hAnsi="FangSong" w:eastAsia="FangSong" w:cs="FangSong"/>
          <w:sz w:val="23"/>
          <w:szCs w:val="23"/>
        </w:rPr>
        <w:t>预算45.50万元、政府采购工程预算0万元、政府采购服务预算246.83万元。</w:t>
      </w:r>
    </w:p>
    <w:p>
      <w:pPr>
        <w:ind w:left="660"/>
        <w:spacing w:line="229"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65" w:right="623" w:hanging="6"/>
        <w:spacing w:before="134" w:line="321" w:lineRule="auto"/>
        <w:rPr>
          <w:rFonts w:ascii="FangSong" w:hAnsi="FangSong" w:eastAsia="FangSong" w:cs="FangSong"/>
          <w:sz w:val="23"/>
          <w:szCs w:val="23"/>
        </w:rPr>
      </w:pPr>
      <w:r>
        <w:rPr>
          <w:rFonts w:ascii="FangSong" w:hAnsi="FangSong" w:eastAsia="FangSong" w:cs="FangSong"/>
          <w:sz w:val="23"/>
          <w:szCs w:val="23"/>
          <w:spacing w:val="5"/>
        </w:rPr>
        <w:t>2025年编报单位整体支出绩效目标，涉</w:t>
      </w:r>
      <w:r>
        <w:rPr>
          <w:rFonts w:ascii="FangSong" w:hAnsi="FangSong" w:eastAsia="FangSong" w:cs="FangSong"/>
          <w:sz w:val="23"/>
          <w:szCs w:val="23"/>
          <w:spacing w:val="4"/>
        </w:rPr>
        <w:t>及部门预算资金5433.97万元，其中基本支出1451.23</w:t>
      </w:r>
      <w:r>
        <w:rPr>
          <w:rFonts w:ascii="FangSong" w:hAnsi="FangSong" w:eastAsia="FangSong" w:cs="FangSong"/>
          <w:sz w:val="23"/>
          <w:szCs w:val="23"/>
        </w:rPr>
        <w:t xml:space="preserve"> </w:t>
      </w:r>
      <w:r>
        <w:rPr>
          <w:rFonts w:ascii="FangSong" w:hAnsi="FangSong" w:eastAsia="FangSong" w:cs="FangSong"/>
          <w:sz w:val="23"/>
          <w:szCs w:val="23"/>
          <w:spacing w:val="-1"/>
        </w:rPr>
        <w:t>万元，项目支出3982.74万元。</w:t>
      </w:r>
    </w:p>
    <w:p>
      <w:pPr>
        <w:ind w:left="11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55" w:right="623" w:firstLine="464"/>
        <w:spacing w:before="132" w:line="323" w:lineRule="auto"/>
        <w:rPr>
          <w:rFonts w:ascii="FangSong" w:hAnsi="FangSong" w:eastAsia="FangSong" w:cs="FangSong"/>
          <w:sz w:val="23"/>
          <w:szCs w:val="23"/>
        </w:rPr>
      </w:pPr>
      <w:r>
        <w:rPr>
          <w:rFonts w:ascii="FangSong" w:hAnsi="FangSong" w:eastAsia="FangSong" w:cs="FangSong"/>
          <w:sz w:val="23"/>
          <w:szCs w:val="23"/>
        </w:rPr>
        <w:t>2025</w:t>
      </w:r>
      <w:r>
        <w:rPr>
          <w:rFonts w:ascii="FangSong" w:hAnsi="FangSong" w:eastAsia="FangSong" w:cs="FangSong"/>
          <w:sz w:val="23"/>
          <w:szCs w:val="23"/>
          <w:spacing w:val="-68"/>
        </w:rPr>
        <w:t xml:space="preserve"> </w:t>
      </w:r>
      <w:r>
        <w:rPr>
          <w:rFonts w:ascii="FangSong" w:hAnsi="FangSong" w:eastAsia="FangSong" w:cs="FangSong"/>
          <w:sz w:val="23"/>
          <w:szCs w:val="23"/>
        </w:rPr>
        <w:t>年</w:t>
      </w:r>
      <w:r>
        <w:rPr>
          <w:rFonts w:ascii="FangSong" w:hAnsi="FangSong" w:eastAsia="FangSong" w:cs="FangSong"/>
          <w:sz w:val="23"/>
          <w:szCs w:val="23"/>
          <w:spacing w:val="-67"/>
        </w:rPr>
        <w:t xml:space="preserve"> </w:t>
      </w:r>
      <w:r>
        <w:rPr>
          <w:rFonts w:ascii="FangSong" w:hAnsi="FangSong" w:eastAsia="FangSong" w:cs="FangSong"/>
          <w:sz w:val="23"/>
          <w:szCs w:val="23"/>
        </w:rPr>
        <w:t>兴县</w:t>
      </w:r>
      <w:r>
        <w:rPr>
          <w:rFonts w:ascii="FangSong" w:hAnsi="FangSong" w:eastAsia="FangSong" w:cs="FangSong"/>
          <w:sz w:val="23"/>
          <w:szCs w:val="23"/>
          <w:spacing w:val="-69"/>
        </w:rPr>
        <w:t xml:space="preserve"> </w:t>
      </w:r>
      <w:r>
        <w:rPr>
          <w:rFonts w:ascii="FangSong" w:hAnsi="FangSong" w:eastAsia="FangSong" w:cs="FangSong"/>
          <w:sz w:val="23"/>
          <w:szCs w:val="23"/>
        </w:rPr>
        <w:t>人</w:t>
      </w:r>
      <w:r>
        <w:rPr>
          <w:rFonts w:ascii="FangSong" w:hAnsi="FangSong" w:eastAsia="FangSong" w:cs="FangSong"/>
          <w:sz w:val="23"/>
          <w:szCs w:val="23"/>
          <w:spacing w:val="-69"/>
        </w:rPr>
        <w:t xml:space="preserve"> </w:t>
      </w:r>
      <w:r>
        <w:rPr>
          <w:rFonts w:ascii="FangSong" w:hAnsi="FangSong" w:eastAsia="FangSong" w:cs="FangSong"/>
          <w:sz w:val="23"/>
          <w:szCs w:val="23"/>
        </w:rPr>
        <w:t>力资</w:t>
      </w:r>
      <w:r>
        <w:rPr>
          <w:rFonts w:ascii="FangSong" w:hAnsi="FangSong" w:eastAsia="FangSong" w:cs="FangSong"/>
          <w:sz w:val="23"/>
          <w:szCs w:val="23"/>
          <w:spacing w:val="-68"/>
        </w:rPr>
        <w:t xml:space="preserve"> </w:t>
      </w:r>
      <w:r>
        <w:rPr>
          <w:rFonts w:ascii="FangSong" w:hAnsi="FangSong" w:eastAsia="FangSong" w:cs="FangSong"/>
          <w:sz w:val="23"/>
          <w:szCs w:val="23"/>
        </w:rPr>
        <w:t>源和社</w:t>
      </w:r>
      <w:r>
        <w:rPr>
          <w:rFonts w:ascii="FangSong" w:hAnsi="FangSong" w:eastAsia="FangSong" w:cs="FangSong"/>
          <w:sz w:val="23"/>
          <w:szCs w:val="23"/>
          <w:spacing w:val="-65"/>
        </w:rPr>
        <w:t xml:space="preserve"> </w:t>
      </w:r>
      <w:r>
        <w:rPr>
          <w:rFonts w:ascii="FangSong" w:hAnsi="FangSong" w:eastAsia="FangSong" w:cs="FangSong"/>
          <w:sz w:val="23"/>
          <w:szCs w:val="23"/>
        </w:rPr>
        <w:t>会保</w:t>
      </w:r>
      <w:r>
        <w:rPr>
          <w:rFonts w:ascii="FangSong" w:hAnsi="FangSong" w:eastAsia="FangSong" w:cs="FangSong"/>
          <w:sz w:val="23"/>
          <w:szCs w:val="23"/>
          <w:spacing w:val="-60"/>
        </w:rPr>
        <w:t xml:space="preserve"> </w:t>
      </w:r>
      <w:r>
        <w:rPr>
          <w:rFonts w:ascii="FangSong" w:hAnsi="FangSong" w:eastAsia="FangSong" w:cs="FangSong"/>
          <w:sz w:val="23"/>
          <w:szCs w:val="23"/>
        </w:rPr>
        <w:t>障</w:t>
      </w:r>
      <w:r>
        <w:rPr>
          <w:rFonts w:ascii="FangSong" w:hAnsi="FangSong" w:eastAsia="FangSong" w:cs="FangSong"/>
          <w:sz w:val="23"/>
          <w:szCs w:val="23"/>
          <w:spacing w:val="-69"/>
        </w:rPr>
        <w:t xml:space="preserve"> </w:t>
      </w:r>
      <w:r>
        <w:rPr>
          <w:rFonts w:ascii="FangSong" w:hAnsi="FangSong" w:eastAsia="FangSong" w:cs="FangSong"/>
          <w:sz w:val="23"/>
          <w:szCs w:val="23"/>
        </w:rPr>
        <w:t>局纳入</w:t>
      </w:r>
      <w:r>
        <w:rPr>
          <w:rFonts w:ascii="FangSong" w:hAnsi="FangSong" w:eastAsia="FangSong" w:cs="FangSong"/>
          <w:sz w:val="23"/>
          <w:szCs w:val="23"/>
          <w:spacing w:val="-69"/>
        </w:rPr>
        <w:t xml:space="preserve"> </w:t>
      </w:r>
      <w:r>
        <w:rPr>
          <w:rFonts w:ascii="FangSong" w:hAnsi="FangSong" w:eastAsia="FangSong" w:cs="FangSong"/>
          <w:sz w:val="23"/>
          <w:szCs w:val="23"/>
        </w:rPr>
        <w:t>绩</w:t>
      </w:r>
      <w:r>
        <w:rPr>
          <w:rFonts w:ascii="FangSong" w:hAnsi="FangSong" w:eastAsia="FangSong" w:cs="FangSong"/>
          <w:sz w:val="23"/>
          <w:szCs w:val="23"/>
          <w:spacing w:val="-69"/>
        </w:rPr>
        <w:t xml:space="preserve"> </w:t>
      </w:r>
      <w:r>
        <w:rPr>
          <w:rFonts w:ascii="FangSong" w:hAnsi="FangSong" w:eastAsia="FangSong" w:cs="FangSong"/>
          <w:sz w:val="23"/>
          <w:szCs w:val="23"/>
        </w:rPr>
        <w:t>效</w:t>
      </w:r>
      <w:r>
        <w:rPr>
          <w:rFonts w:ascii="FangSong" w:hAnsi="FangSong" w:eastAsia="FangSong" w:cs="FangSong"/>
          <w:sz w:val="23"/>
          <w:szCs w:val="23"/>
          <w:spacing w:val="-32"/>
        </w:rPr>
        <w:t xml:space="preserve"> </w:t>
      </w:r>
      <w:r>
        <w:rPr>
          <w:rFonts w:ascii="FangSong" w:hAnsi="FangSong" w:eastAsia="FangSong" w:cs="FangSong"/>
          <w:sz w:val="23"/>
          <w:szCs w:val="23"/>
        </w:rPr>
        <w:t>目标</w:t>
      </w:r>
      <w:r>
        <w:rPr>
          <w:rFonts w:ascii="FangSong" w:hAnsi="FangSong" w:eastAsia="FangSong" w:cs="FangSong"/>
          <w:sz w:val="23"/>
          <w:szCs w:val="23"/>
          <w:spacing w:val="-60"/>
        </w:rPr>
        <w:t xml:space="preserve"> </w:t>
      </w:r>
      <w:r>
        <w:rPr>
          <w:rFonts w:ascii="FangSong" w:hAnsi="FangSong" w:eastAsia="FangSong" w:cs="FangSong"/>
          <w:sz w:val="23"/>
          <w:szCs w:val="23"/>
        </w:rPr>
        <w:t>管理</w:t>
      </w:r>
      <w:r>
        <w:rPr>
          <w:rFonts w:ascii="FangSong" w:hAnsi="FangSong" w:eastAsia="FangSong" w:cs="FangSong"/>
          <w:sz w:val="23"/>
          <w:szCs w:val="23"/>
          <w:spacing w:val="-59"/>
        </w:rPr>
        <w:t xml:space="preserve"> </w:t>
      </w:r>
      <w:r>
        <w:rPr>
          <w:rFonts w:ascii="FangSong" w:hAnsi="FangSong" w:eastAsia="FangSong" w:cs="FangSong"/>
          <w:sz w:val="23"/>
          <w:szCs w:val="23"/>
        </w:rPr>
        <w:t>的</w:t>
      </w:r>
      <w:r>
        <w:rPr>
          <w:rFonts w:ascii="FangSong" w:hAnsi="FangSong" w:eastAsia="FangSong" w:cs="FangSong"/>
          <w:sz w:val="23"/>
          <w:szCs w:val="23"/>
          <w:spacing w:val="-65"/>
        </w:rPr>
        <w:t xml:space="preserve"> </w:t>
      </w:r>
      <w:r>
        <w:rPr>
          <w:rFonts w:ascii="FangSong" w:hAnsi="FangSong" w:eastAsia="FangSong" w:cs="FangSong"/>
          <w:sz w:val="23"/>
          <w:szCs w:val="23"/>
        </w:rPr>
        <w:t>二级项</w:t>
      </w:r>
      <w:r>
        <w:rPr>
          <w:rFonts w:ascii="FangSong" w:hAnsi="FangSong" w:eastAsia="FangSong" w:cs="FangSong"/>
          <w:sz w:val="23"/>
          <w:szCs w:val="23"/>
          <w:spacing w:val="-32"/>
        </w:rPr>
        <w:t xml:space="preserve"> </w:t>
      </w:r>
      <w:r>
        <w:rPr>
          <w:rFonts w:ascii="FangSong" w:hAnsi="FangSong" w:eastAsia="FangSong" w:cs="FangSong"/>
          <w:sz w:val="23"/>
          <w:szCs w:val="23"/>
        </w:rPr>
        <w:t>目5</w:t>
      </w:r>
      <w:r>
        <w:rPr>
          <w:rFonts w:ascii="FangSong" w:hAnsi="FangSong" w:eastAsia="FangSong" w:cs="FangSong"/>
          <w:sz w:val="23"/>
          <w:szCs w:val="23"/>
          <w:spacing w:val="-1"/>
        </w:rPr>
        <w:t>3个</w:t>
      </w:r>
      <w:r>
        <w:rPr>
          <w:rFonts w:ascii="FangSong" w:hAnsi="FangSong" w:eastAsia="FangSong" w:cs="FangSong"/>
          <w:sz w:val="23"/>
          <w:szCs w:val="23"/>
          <w:spacing w:val="-57"/>
        </w:rPr>
        <w:t xml:space="preserve"> </w:t>
      </w:r>
      <w:r>
        <w:rPr>
          <w:rFonts w:ascii="FangSong" w:hAnsi="FangSong" w:eastAsia="FangSong" w:cs="FangSong"/>
          <w:sz w:val="23"/>
          <w:szCs w:val="23"/>
          <w:spacing w:val="-1"/>
        </w:rPr>
        <w:t>，</w:t>
      </w:r>
      <w:r>
        <w:rPr>
          <w:rFonts w:ascii="FangSong" w:hAnsi="FangSong" w:eastAsia="FangSong" w:cs="FangSong"/>
          <w:sz w:val="23"/>
          <w:szCs w:val="23"/>
          <w:spacing w:val="-66"/>
        </w:rPr>
        <w:t xml:space="preserve"> </w:t>
      </w:r>
      <w:r>
        <w:rPr>
          <w:rFonts w:ascii="FangSong" w:hAnsi="FangSong" w:eastAsia="FangSong" w:cs="FangSong"/>
          <w:sz w:val="23"/>
          <w:szCs w:val="23"/>
          <w:spacing w:val="-1"/>
        </w:rPr>
        <w:t>共计金额</w:t>
      </w:r>
      <w:r>
        <w:rPr>
          <w:rFonts w:ascii="FangSong" w:hAnsi="FangSong" w:eastAsia="FangSong" w:cs="FangSong"/>
          <w:sz w:val="23"/>
          <w:szCs w:val="23"/>
        </w:rPr>
        <w:t xml:space="preserve"> </w:t>
      </w:r>
      <w:r>
        <w:rPr>
          <w:rFonts w:ascii="FangSong" w:hAnsi="FangSong" w:eastAsia="FangSong" w:cs="FangSong"/>
          <w:sz w:val="23"/>
          <w:szCs w:val="23"/>
          <w:spacing w:val="5"/>
        </w:rPr>
        <w:t>4,072.43万元。其中：其他运转类项目0个，涉及金额0万元；特定目</w:t>
      </w:r>
      <w:r>
        <w:rPr>
          <w:rFonts w:ascii="FangSong" w:hAnsi="FangSong" w:eastAsia="FangSong" w:cs="FangSong"/>
          <w:sz w:val="23"/>
          <w:szCs w:val="23"/>
          <w:spacing w:val="4"/>
        </w:rPr>
        <w:t>标类项目53个，涉及金</w:t>
      </w:r>
      <w:r>
        <w:rPr>
          <w:rFonts w:ascii="FangSong" w:hAnsi="FangSong" w:eastAsia="FangSong" w:cs="FangSong"/>
          <w:sz w:val="23"/>
          <w:szCs w:val="23"/>
        </w:rPr>
        <w:t xml:space="preserve"> </w:t>
      </w:r>
      <w:r>
        <w:rPr>
          <w:rFonts w:ascii="FangSong" w:hAnsi="FangSong" w:eastAsia="FangSong" w:cs="FangSong"/>
          <w:sz w:val="23"/>
          <w:szCs w:val="23"/>
          <w:spacing w:val="3"/>
        </w:rPr>
        <w:t>额4,072.43万元。公开项目绩效目标53个，涉及项目金额4,072.43万元，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占部门（单位）项</w:t>
      </w:r>
      <w:r>
        <w:rPr>
          <w:rFonts w:ascii="FangSong" w:hAnsi="FangSong" w:eastAsia="FangSong" w:cs="FangSong"/>
          <w:sz w:val="23"/>
          <w:szCs w:val="23"/>
        </w:rPr>
        <w:t xml:space="preserve"> </w:t>
      </w:r>
      <w:r>
        <w:rPr>
          <w:rFonts w:ascii="FangSong" w:hAnsi="FangSong" w:eastAsia="FangSong" w:cs="FangSong"/>
          <w:sz w:val="23"/>
          <w:szCs w:val="23"/>
          <w:spacing w:val="11"/>
        </w:rPr>
        <w:t>目支出总额的100%。其中：其他运转类</w:t>
      </w:r>
      <w:r>
        <w:rPr>
          <w:rFonts w:ascii="FangSong" w:hAnsi="FangSong" w:eastAsia="FangSong" w:cs="FangSong"/>
          <w:sz w:val="23"/>
          <w:szCs w:val="23"/>
          <w:spacing w:val="10"/>
        </w:rPr>
        <w:t>项目0个，涉及项目金额0万元；特定目标类项目53</w:t>
      </w:r>
      <w:r>
        <w:rPr>
          <w:rFonts w:ascii="FangSong" w:hAnsi="FangSong" w:eastAsia="FangSong" w:cs="FangSong"/>
          <w:sz w:val="23"/>
          <w:szCs w:val="23"/>
        </w:rPr>
        <w:t xml:space="preserve"> </w:t>
      </w:r>
      <w:r>
        <w:rPr>
          <w:rFonts w:ascii="FangSong" w:hAnsi="FangSong" w:eastAsia="FangSong" w:cs="FangSong"/>
          <w:sz w:val="23"/>
          <w:szCs w:val="23"/>
        </w:rPr>
        <w:t>个，涉及项目金额4,072.43万元。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7"/>
          <w:pgSz w:w="11900" w:h="16840"/>
          <w:pgMar w:top="642" w:right="600" w:bottom="340" w:left="600" w:header="326" w:footer="9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605"/>
        <w:spacing w:line="13461" w:lineRule="exact"/>
        <w:rPr/>
      </w:pPr>
      <w:r>
        <w:rPr>
          <w:position w:val="-269"/>
        </w:rPr>
        <w:drawing>
          <wp:inline distT="0" distB="0" distL="0" distR="0">
            <wp:extent cx="6041461" cy="8547295"/>
            <wp:effectExtent l="0" t="0" r="0" b="0"/>
            <wp:docPr id="10" name="IM 10"/>
            <wp:cNvGraphicFramePr/>
            <a:graphic>
              <a:graphicData uri="http://schemas.openxmlformats.org/drawingml/2006/picture">
                <pic:pic>
                  <pic:nvPicPr>
                    <pic:cNvPr id="10" name="IM 10"/>
                    <pic:cNvPicPr/>
                  </pic:nvPicPr>
                  <pic:blipFill>
                    <a:blip r:embed="rId29"/>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28"/>
          <w:pgSz w:w="11900" w:h="16840"/>
          <w:pgMar w:top="642" w:right="600" w:bottom="340" w:left="600" w:header="326" w:footer="91" w:gutter="0"/>
        </w:sectPr>
        <w:rPr/>
      </w:pPr>
    </w:p>
    <w:p>
      <w:pPr>
        <w:spacing w:line="277" w:lineRule="auto"/>
        <w:rPr>
          <w:rFonts w:ascii="Arial"/>
          <w:sz w:val="21"/>
        </w:rPr>
      </w:pPr>
      <w:r/>
    </w:p>
    <w:p>
      <w:pPr>
        <w:spacing w:line="278" w:lineRule="auto"/>
        <w:rPr>
          <w:rFonts w:ascii="Arial"/>
          <w:sz w:val="21"/>
        </w:rPr>
      </w:pPr>
      <w:r/>
    </w:p>
    <w:p>
      <w:pPr>
        <w:ind w:firstLine="1091"/>
        <w:spacing w:line="13461" w:lineRule="exact"/>
        <w:rPr/>
      </w:pPr>
      <w:r>
        <w:rPr>
          <w:position w:val="-269"/>
        </w:rPr>
        <w:drawing>
          <wp:inline distT="0" distB="0" distL="0" distR="0">
            <wp:extent cx="5423585" cy="8547295"/>
            <wp:effectExtent l="0" t="0" r="0" b="0"/>
            <wp:docPr id="12" name="IM 12"/>
            <wp:cNvGraphicFramePr/>
            <a:graphic>
              <a:graphicData uri="http://schemas.openxmlformats.org/drawingml/2006/picture">
                <pic:pic>
                  <pic:nvPicPr>
                    <pic:cNvPr id="12" name="IM 12"/>
                    <pic:cNvPicPr/>
                  </pic:nvPicPr>
                  <pic:blipFill>
                    <a:blip r:embed="rId31"/>
                    <a:stretch>
                      <a:fillRect/>
                    </a:stretch>
                  </pic:blipFill>
                  <pic:spPr>
                    <a:xfrm rot="0">
                      <a:off x="0" y="0"/>
                      <a:ext cx="5423585" cy="8547295"/>
                    </a:xfrm>
                    <a:prstGeom prst="rect">
                      <a:avLst/>
                    </a:prstGeom>
                  </pic:spPr>
                </pic:pic>
              </a:graphicData>
            </a:graphic>
          </wp:inline>
        </w:drawing>
      </w:r>
    </w:p>
    <w:p>
      <w:pPr>
        <w:spacing w:line="13461" w:lineRule="exact"/>
        <w:sectPr>
          <w:footerReference w:type="default" r:id="rId30"/>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616"/>
        <w:spacing w:line="13461" w:lineRule="exact"/>
        <w:rPr/>
      </w:pPr>
      <w:r>
        <w:rPr>
          <w:position w:val="-269"/>
        </w:rPr>
        <w:drawing>
          <wp:inline distT="0" distB="0" distL="0" distR="0">
            <wp:extent cx="6041461" cy="8547295"/>
            <wp:effectExtent l="0" t="0" r="0" b="0"/>
            <wp:docPr id="14" name="IM 14"/>
            <wp:cNvGraphicFramePr/>
            <a:graphic>
              <a:graphicData uri="http://schemas.openxmlformats.org/drawingml/2006/picture">
                <pic:pic>
                  <pic:nvPicPr>
                    <pic:cNvPr id="14" name="IM 14"/>
                    <pic:cNvPicPr/>
                  </pic:nvPicPr>
                  <pic:blipFill>
                    <a:blip r:embed="rId33"/>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32"/>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1308"/>
        <w:spacing w:line="13461" w:lineRule="exact"/>
        <w:rPr/>
      </w:pPr>
      <w:r>
        <w:rPr>
          <w:position w:val="-269"/>
        </w:rPr>
        <w:drawing>
          <wp:inline distT="0" distB="0" distL="0" distR="0">
            <wp:extent cx="5148973" cy="8547295"/>
            <wp:effectExtent l="0" t="0" r="0" b="0"/>
            <wp:docPr id="16" name="IM 16"/>
            <wp:cNvGraphicFramePr/>
            <a:graphic>
              <a:graphicData uri="http://schemas.openxmlformats.org/drawingml/2006/picture">
                <pic:pic>
                  <pic:nvPicPr>
                    <pic:cNvPr id="16" name="IM 16"/>
                    <pic:cNvPicPr/>
                  </pic:nvPicPr>
                  <pic:blipFill>
                    <a:blip r:embed="rId35"/>
                    <a:stretch>
                      <a:fillRect/>
                    </a:stretch>
                  </pic:blipFill>
                  <pic:spPr>
                    <a:xfrm rot="0">
                      <a:off x="0" y="0"/>
                      <a:ext cx="5148973" cy="8547295"/>
                    </a:xfrm>
                    <a:prstGeom prst="rect">
                      <a:avLst/>
                    </a:prstGeom>
                  </pic:spPr>
                </pic:pic>
              </a:graphicData>
            </a:graphic>
          </wp:inline>
        </w:drawing>
      </w:r>
    </w:p>
    <w:p>
      <w:pPr>
        <w:spacing w:line="13461" w:lineRule="exact"/>
        <w:sectPr>
          <w:footerReference w:type="default" r:id="rId34"/>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789"/>
        <w:spacing w:line="13461" w:lineRule="exact"/>
        <w:rPr/>
      </w:pPr>
      <w:r>
        <w:rPr>
          <w:position w:val="-269"/>
        </w:rPr>
        <w:drawing>
          <wp:inline distT="0" distB="0" distL="0" distR="0">
            <wp:extent cx="5876694" cy="8547295"/>
            <wp:effectExtent l="0" t="0" r="0" b="0"/>
            <wp:docPr id="18" name="IM 18"/>
            <wp:cNvGraphicFramePr/>
            <a:graphic>
              <a:graphicData uri="http://schemas.openxmlformats.org/drawingml/2006/picture">
                <pic:pic>
                  <pic:nvPicPr>
                    <pic:cNvPr id="18" name="IM 18"/>
                    <pic:cNvPicPr/>
                  </pic:nvPicPr>
                  <pic:blipFill>
                    <a:blip r:embed="rId37"/>
                    <a:stretch>
                      <a:fillRect/>
                    </a:stretch>
                  </pic:blipFill>
                  <pic:spPr>
                    <a:xfrm rot="0">
                      <a:off x="0" y="0"/>
                      <a:ext cx="5876694" cy="8547295"/>
                    </a:xfrm>
                    <a:prstGeom prst="rect">
                      <a:avLst/>
                    </a:prstGeom>
                  </pic:spPr>
                </pic:pic>
              </a:graphicData>
            </a:graphic>
          </wp:inline>
        </w:drawing>
      </w:r>
    </w:p>
    <w:p>
      <w:pPr>
        <w:spacing w:line="13461" w:lineRule="exact"/>
        <w:sectPr>
          <w:footerReference w:type="default" r:id="rId36"/>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832"/>
        <w:spacing w:line="13461" w:lineRule="exact"/>
        <w:rPr/>
      </w:pPr>
      <w:r>
        <w:rPr>
          <w:position w:val="-269"/>
        </w:rPr>
        <w:drawing>
          <wp:inline distT="0" distB="0" distL="0" distR="0">
            <wp:extent cx="5821772" cy="8547295"/>
            <wp:effectExtent l="0" t="0" r="0" b="0"/>
            <wp:docPr id="20" name="IM 20"/>
            <wp:cNvGraphicFramePr/>
            <a:graphic>
              <a:graphicData uri="http://schemas.openxmlformats.org/drawingml/2006/picture">
                <pic:pic>
                  <pic:nvPicPr>
                    <pic:cNvPr id="20" name="IM 20"/>
                    <pic:cNvPicPr/>
                  </pic:nvPicPr>
                  <pic:blipFill>
                    <a:blip r:embed="rId39"/>
                    <a:stretch>
                      <a:fillRect/>
                    </a:stretch>
                  </pic:blipFill>
                  <pic:spPr>
                    <a:xfrm rot="0">
                      <a:off x="0" y="0"/>
                      <a:ext cx="5821772" cy="8547295"/>
                    </a:xfrm>
                    <a:prstGeom prst="rect">
                      <a:avLst/>
                    </a:prstGeom>
                  </pic:spPr>
                </pic:pic>
              </a:graphicData>
            </a:graphic>
          </wp:inline>
        </w:drawing>
      </w:r>
    </w:p>
    <w:p>
      <w:pPr>
        <w:spacing w:line="13461" w:lineRule="exact"/>
        <w:sectPr>
          <w:footerReference w:type="default" r:id="rId38"/>
          <w:pgSz w:w="11900" w:h="16840"/>
          <w:pgMar w:top="642" w:right="600" w:bottom="340" w:left="600" w:header="326" w:footer="91" w:gutter="0"/>
        </w:sectPr>
        <w:rPr/>
      </w:pPr>
    </w:p>
    <w:p>
      <w:pPr>
        <w:spacing w:line="277" w:lineRule="auto"/>
        <w:rPr>
          <w:rFonts w:ascii="Arial"/>
          <w:sz w:val="21"/>
        </w:rPr>
      </w:pPr>
      <w:r/>
    </w:p>
    <w:p>
      <w:pPr>
        <w:spacing w:line="278" w:lineRule="auto"/>
        <w:rPr>
          <w:rFonts w:ascii="Arial"/>
          <w:sz w:val="21"/>
        </w:rPr>
      </w:pPr>
      <w:r/>
    </w:p>
    <w:p>
      <w:pPr>
        <w:ind w:firstLine="1059"/>
        <w:spacing w:line="13461" w:lineRule="exact"/>
        <w:rPr/>
      </w:pPr>
      <w:r>
        <w:rPr>
          <w:position w:val="-269"/>
        </w:rPr>
        <w:drawing>
          <wp:inline distT="0" distB="0" distL="0" distR="0">
            <wp:extent cx="5464777" cy="8547295"/>
            <wp:effectExtent l="0" t="0" r="0" b="0"/>
            <wp:docPr id="22" name="IM 22"/>
            <wp:cNvGraphicFramePr/>
            <a:graphic>
              <a:graphicData uri="http://schemas.openxmlformats.org/drawingml/2006/picture">
                <pic:pic>
                  <pic:nvPicPr>
                    <pic:cNvPr id="22" name="IM 22"/>
                    <pic:cNvPicPr/>
                  </pic:nvPicPr>
                  <pic:blipFill>
                    <a:blip r:embed="rId41"/>
                    <a:stretch>
                      <a:fillRect/>
                    </a:stretch>
                  </pic:blipFill>
                  <pic:spPr>
                    <a:xfrm rot="0">
                      <a:off x="0" y="0"/>
                      <a:ext cx="5464777" cy="8547295"/>
                    </a:xfrm>
                    <a:prstGeom prst="rect">
                      <a:avLst/>
                    </a:prstGeom>
                  </pic:spPr>
                </pic:pic>
              </a:graphicData>
            </a:graphic>
          </wp:inline>
        </w:drawing>
      </w:r>
    </w:p>
    <w:p>
      <w:pPr>
        <w:spacing w:line="13461" w:lineRule="exact"/>
        <w:sectPr>
          <w:footerReference w:type="default" r:id="rId40"/>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994"/>
        <w:spacing w:line="13461" w:lineRule="exact"/>
        <w:rPr/>
      </w:pPr>
      <w:r>
        <w:rPr>
          <w:position w:val="-269"/>
        </w:rPr>
        <w:drawing>
          <wp:inline distT="0" distB="0" distL="0" distR="0">
            <wp:extent cx="5615812" cy="8547295"/>
            <wp:effectExtent l="0" t="0" r="0" b="0"/>
            <wp:docPr id="24" name="IM 24"/>
            <wp:cNvGraphicFramePr/>
            <a:graphic>
              <a:graphicData uri="http://schemas.openxmlformats.org/drawingml/2006/picture">
                <pic:pic>
                  <pic:nvPicPr>
                    <pic:cNvPr id="24" name="IM 24"/>
                    <pic:cNvPicPr/>
                  </pic:nvPicPr>
                  <pic:blipFill>
                    <a:blip r:embed="rId43"/>
                    <a:stretch>
                      <a:fillRect/>
                    </a:stretch>
                  </pic:blipFill>
                  <pic:spPr>
                    <a:xfrm rot="0">
                      <a:off x="0" y="0"/>
                      <a:ext cx="5615812" cy="8547295"/>
                    </a:xfrm>
                    <a:prstGeom prst="rect">
                      <a:avLst/>
                    </a:prstGeom>
                  </pic:spPr>
                </pic:pic>
              </a:graphicData>
            </a:graphic>
          </wp:inline>
        </w:drawing>
      </w:r>
    </w:p>
    <w:p>
      <w:pPr>
        <w:spacing w:line="13461" w:lineRule="exact"/>
        <w:sectPr>
          <w:footerReference w:type="default" r:id="rId42"/>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1210"/>
        <w:spacing w:line="13461" w:lineRule="exact"/>
        <w:rPr/>
      </w:pPr>
      <w:r>
        <w:rPr>
          <w:position w:val="-269"/>
        </w:rPr>
        <w:drawing>
          <wp:inline distT="0" distB="0" distL="0" distR="0">
            <wp:extent cx="5341201" cy="8547295"/>
            <wp:effectExtent l="0" t="0" r="0" b="0"/>
            <wp:docPr id="26" name="IM 26"/>
            <wp:cNvGraphicFramePr/>
            <a:graphic>
              <a:graphicData uri="http://schemas.openxmlformats.org/drawingml/2006/picture">
                <pic:pic>
                  <pic:nvPicPr>
                    <pic:cNvPr id="26" name="IM 26"/>
                    <pic:cNvPicPr/>
                  </pic:nvPicPr>
                  <pic:blipFill>
                    <a:blip r:embed="rId45"/>
                    <a:stretch>
                      <a:fillRect/>
                    </a:stretch>
                  </pic:blipFill>
                  <pic:spPr>
                    <a:xfrm rot="0">
                      <a:off x="0" y="0"/>
                      <a:ext cx="5341201" cy="8547295"/>
                    </a:xfrm>
                    <a:prstGeom prst="rect">
                      <a:avLst/>
                    </a:prstGeom>
                  </pic:spPr>
                </pic:pic>
              </a:graphicData>
            </a:graphic>
          </wp:inline>
        </w:drawing>
      </w:r>
    </w:p>
    <w:p>
      <w:pPr>
        <w:spacing w:line="13461" w:lineRule="exact"/>
        <w:sectPr>
          <w:footerReference w:type="default" r:id="rId44"/>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1091"/>
        <w:spacing w:line="13461" w:lineRule="exact"/>
        <w:rPr/>
      </w:pPr>
      <w:r>
        <w:rPr>
          <w:position w:val="-269"/>
        </w:rPr>
        <w:drawing>
          <wp:inline distT="0" distB="0" distL="0" distR="0">
            <wp:extent cx="5492238" cy="8547295"/>
            <wp:effectExtent l="0" t="0" r="0" b="0"/>
            <wp:docPr id="28" name="IM 28"/>
            <wp:cNvGraphicFramePr/>
            <a:graphic>
              <a:graphicData uri="http://schemas.openxmlformats.org/drawingml/2006/picture">
                <pic:pic>
                  <pic:nvPicPr>
                    <pic:cNvPr id="28" name="IM 28"/>
                    <pic:cNvPicPr/>
                  </pic:nvPicPr>
                  <pic:blipFill>
                    <a:blip r:embed="rId47"/>
                    <a:stretch>
                      <a:fillRect/>
                    </a:stretch>
                  </pic:blipFill>
                  <pic:spPr>
                    <a:xfrm rot="0">
                      <a:off x="0" y="0"/>
                      <a:ext cx="5492238" cy="8547295"/>
                    </a:xfrm>
                    <a:prstGeom prst="rect">
                      <a:avLst/>
                    </a:prstGeom>
                  </pic:spPr>
                </pic:pic>
              </a:graphicData>
            </a:graphic>
          </wp:inline>
        </w:drawing>
      </w:r>
    </w:p>
    <w:p>
      <w:pPr>
        <w:spacing w:line="13461" w:lineRule="exact"/>
        <w:sectPr>
          <w:footerReference w:type="default" r:id="rId46"/>
          <w:pgSz w:w="11900" w:h="16840"/>
          <w:pgMar w:top="642" w:right="600" w:bottom="340" w:left="600" w:header="326" w:footer="93" w:gutter="0"/>
        </w:sectPr>
        <w:rPr/>
      </w:pPr>
    </w:p>
    <w:p>
      <w:pPr>
        <w:spacing w:line="277" w:lineRule="auto"/>
        <w:rPr>
          <w:rFonts w:ascii="Arial"/>
          <w:sz w:val="21"/>
        </w:rPr>
      </w:pPr>
      <w:r/>
    </w:p>
    <w:p>
      <w:pPr>
        <w:spacing w:line="278" w:lineRule="auto"/>
        <w:rPr>
          <w:rFonts w:ascii="Arial"/>
          <w:sz w:val="21"/>
        </w:rPr>
      </w:pPr>
      <w:r/>
    </w:p>
    <w:p>
      <w:pPr>
        <w:ind w:firstLine="605"/>
        <w:spacing w:line="13461" w:lineRule="exact"/>
        <w:rPr/>
      </w:pPr>
      <w:r>
        <w:rPr>
          <w:position w:val="-269"/>
        </w:rPr>
        <w:drawing>
          <wp:inline distT="0" distB="0" distL="0" distR="0">
            <wp:extent cx="6041461" cy="8547295"/>
            <wp:effectExtent l="0" t="0" r="0" b="0"/>
            <wp:docPr id="30" name="IM 30"/>
            <wp:cNvGraphicFramePr/>
            <a:graphic>
              <a:graphicData uri="http://schemas.openxmlformats.org/drawingml/2006/picture">
                <pic:pic>
                  <pic:nvPicPr>
                    <pic:cNvPr id="30" name="IM 30"/>
                    <pic:cNvPicPr/>
                  </pic:nvPicPr>
                  <pic:blipFill>
                    <a:blip r:embed="rId49"/>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8"/>
          <w:pgSz w:w="11900" w:h="16840"/>
          <w:pgMar w:top="642" w:right="600" w:bottom="340" w:left="600" w:header="326" w:footer="93" w:gutter="0"/>
        </w:sectPr>
        <w:rPr/>
      </w:pPr>
    </w:p>
    <w:p>
      <w:pPr>
        <w:spacing w:line="271" w:lineRule="auto"/>
        <w:rPr>
          <w:rFonts w:ascii="Arial"/>
          <w:sz w:val="21"/>
        </w:rPr>
      </w:pPr>
      <w:r/>
    </w:p>
    <w:p>
      <w:pPr>
        <w:spacing w:line="271"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1" w:id="50"/>
      <w:bookmarkEnd w:id="50"/>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2"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6"/>
        </w:rPr>
        <w:t>截至2025年4月30</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日，兴县人力资源和社会保障局共有公务用车编制1辆，实有1辆，其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中：领导用车1辆，机要通信用车0辆，应急保障用车0辆，执法执勤用车0辆，特种专业技术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用车0辆，事业单位业务用车0辆，其他公务用车0辆。无</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669" w:right="623" w:firstLine="455"/>
        <w:spacing w:before="123" w:line="322" w:lineRule="auto"/>
        <w:rPr>
          <w:rFonts w:ascii="FangSong" w:hAnsi="FangSong" w:eastAsia="FangSong" w:cs="FangSong"/>
          <w:sz w:val="23"/>
          <w:szCs w:val="23"/>
        </w:rPr>
      </w:pPr>
      <w:r>
        <w:rPr>
          <w:rFonts w:ascii="FangSong" w:hAnsi="FangSong" w:eastAsia="FangSong" w:cs="FangSong"/>
          <w:sz w:val="23"/>
          <w:szCs w:val="23"/>
          <w:spacing w:val="3"/>
        </w:rPr>
        <w:t>截至2025年4月30</w:t>
      </w:r>
      <w:r>
        <w:rPr>
          <w:rFonts w:ascii="FangSong" w:hAnsi="FangSong" w:eastAsia="FangSong" w:cs="FangSong"/>
          <w:sz w:val="23"/>
          <w:szCs w:val="23"/>
          <w:spacing w:val="-40"/>
        </w:rPr>
        <w:t xml:space="preserve"> </w:t>
      </w:r>
      <w:r>
        <w:rPr>
          <w:rFonts w:ascii="FangSong" w:hAnsi="FangSong" w:eastAsia="FangSong" w:cs="FangSong"/>
          <w:sz w:val="23"/>
          <w:szCs w:val="23"/>
          <w:spacing w:val="3"/>
        </w:rPr>
        <w:t>日，兴县人力资源和社会保障局使用的办公用房建筑总面积1897.09平</w:t>
      </w:r>
      <w:r>
        <w:rPr>
          <w:rFonts w:ascii="FangSong" w:hAnsi="FangSong" w:eastAsia="FangSong" w:cs="FangSong"/>
          <w:sz w:val="23"/>
          <w:szCs w:val="23"/>
        </w:rPr>
        <w:t xml:space="preserve"> </w:t>
      </w:r>
      <w:r>
        <w:rPr>
          <w:rFonts w:ascii="FangSong" w:hAnsi="FangSong" w:eastAsia="FangSong" w:cs="FangSong"/>
          <w:sz w:val="23"/>
          <w:szCs w:val="23"/>
          <w:spacing w:val="-5"/>
        </w:rPr>
        <w:t>方米。</w:t>
      </w:r>
      <w:r>
        <w:rPr>
          <w:rFonts w:ascii="FangSong" w:hAnsi="FangSong" w:eastAsia="FangSong" w:cs="FangSong"/>
          <w:sz w:val="23"/>
          <w:szCs w:val="23"/>
          <w:spacing w:val="18"/>
        </w:rPr>
        <w:t xml:space="preserve"> </w:t>
      </w:r>
      <w:r>
        <w:rPr>
          <w:rFonts w:ascii="FangSong" w:hAnsi="FangSong" w:eastAsia="FangSong" w:cs="FangSong"/>
          <w:sz w:val="23"/>
          <w:szCs w:val="23"/>
          <w:spacing w:val="-5"/>
        </w:rPr>
        <w:t>无</w:t>
      </w:r>
    </w:p>
    <w:p>
      <w:pPr>
        <w:ind w:left="11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3" w:right="6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截至2025年4月30日，兴县人力资源和社会保障局占有使用价值50万元（原值）以上的通</w:t>
      </w:r>
      <w:r>
        <w:rPr>
          <w:rFonts w:ascii="FangSong" w:hAnsi="FangSong" w:eastAsia="FangSong" w:cs="FangSong"/>
          <w:sz w:val="23"/>
          <w:szCs w:val="23"/>
          <w:spacing w:val="9"/>
        </w:rPr>
        <w:t xml:space="preserve"> </w:t>
      </w:r>
      <w:r>
        <w:rPr>
          <w:rFonts w:ascii="FangSong" w:hAnsi="FangSong" w:eastAsia="FangSong" w:cs="FangSong"/>
          <w:sz w:val="23"/>
          <w:szCs w:val="23"/>
          <w:spacing w:val="3"/>
        </w:rPr>
        <w:t>用设备0台（套</w:t>
      </w:r>
      <w:r>
        <w:rPr>
          <w:rFonts w:ascii="FangSong" w:hAnsi="FangSong" w:eastAsia="FangSong" w:cs="FangSong"/>
          <w:sz w:val="23"/>
          <w:szCs w:val="23"/>
          <w:spacing w:val="20"/>
        </w:rPr>
        <w:t>）；</w:t>
      </w:r>
      <w:r>
        <w:rPr>
          <w:rFonts w:ascii="FangSong" w:hAnsi="FangSong" w:eastAsia="FangSong" w:cs="FangSong"/>
          <w:sz w:val="23"/>
          <w:szCs w:val="23"/>
          <w:spacing w:val="3"/>
        </w:rPr>
        <w:t>兴县人力资源和社会保障局占有使用价值100万元（原值）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以上的通用设</w:t>
      </w:r>
      <w:r>
        <w:rPr>
          <w:rFonts w:ascii="FangSong" w:hAnsi="FangSong" w:eastAsia="FangSong" w:cs="FangSong"/>
          <w:sz w:val="23"/>
          <w:szCs w:val="23"/>
        </w:rPr>
        <w:t xml:space="preserve"> </w:t>
      </w:r>
      <w:r>
        <w:rPr>
          <w:rFonts w:ascii="FangSong" w:hAnsi="FangSong" w:eastAsia="FangSong" w:cs="FangSong"/>
          <w:sz w:val="23"/>
          <w:szCs w:val="23"/>
        </w:rPr>
        <w:t>备0台（套）。无</w:t>
      </w:r>
    </w:p>
    <w:p>
      <w:pPr>
        <w:ind w:left="660"/>
        <w:spacing w:line="228" w:lineRule="exact"/>
        <w:outlineLvl w:val="1"/>
        <w:rPr>
          <w:rFonts w:ascii="Microsoft YaHei" w:hAnsi="Microsoft YaHei" w:eastAsia="Microsoft YaHei" w:cs="Microsoft YaHei"/>
          <w:sz w:val="22"/>
          <w:szCs w:val="22"/>
        </w:rPr>
      </w:pPr>
      <w:bookmarkStart w:name="bookmark32" w:id="51"/>
      <w:bookmarkEnd w:id="51"/>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3" w:id="52"/>
      <w:bookmarkEnd w:id="52"/>
      <w:r>
        <w:rPr>
          <w:rFonts w:ascii="FangSong" w:hAnsi="FangSong" w:eastAsia="FangSong" w:cs="FangSong"/>
          <w:sz w:val="23"/>
          <w:szCs w:val="23"/>
          <w:spacing w:val="-1"/>
        </w:rPr>
        <w:t>（一）政府购买服务指导性目录</w:t>
      </w:r>
    </w:p>
    <w:p>
      <w:pPr>
        <w:ind w:left="11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9" w:line="222" w:lineRule="auto"/>
        <w:outlineLvl w:val="2"/>
        <w:rPr>
          <w:rFonts w:ascii="FangSong" w:hAnsi="FangSong" w:eastAsia="FangSong" w:cs="FangSong"/>
          <w:sz w:val="23"/>
          <w:szCs w:val="23"/>
        </w:rPr>
      </w:pPr>
      <w:bookmarkStart w:name="bookmark34" w:id="53"/>
      <w:bookmarkEnd w:id="53"/>
      <w:r>
        <w:rPr>
          <w:rFonts w:ascii="FangSong" w:hAnsi="FangSong" w:eastAsia="FangSong" w:cs="FangSong"/>
          <w:sz w:val="23"/>
          <w:szCs w:val="23"/>
          <w:spacing w:val="-3"/>
        </w:rPr>
        <w:t>（二）其他</w:t>
      </w:r>
    </w:p>
    <w:p>
      <w:pPr>
        <w:ind w:left="11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50"/>
          <w:pgSz w:w="11900" w:h="16840"/>
          <w:pgMar w:top="642" w:right="600" w:bottom="340" w:left="600" w:header="326" w:footer="93" w:gutter="0"/>
        </w:sectPr>
        <w:rPr>
          <w:rFonts w:ascii="FangSong" w:hAnsi="FangSong" w:eastAsia="FangSong" w:cs="FangSong"/>
          <w:sz w:val="23"/>
          <w:szCs w:val="23"/>
        </w:rPr>
      </w:pPr>
    </w:p>
    <w:p>
      <w:pPr>
        <w:spacing w:line="269" w:lineRule="auto"/>
        <w:rPr>
          <w:rFonts w:ascii="Arial"/>
          <w:sz w:val="21"/>
        </w:rPr>
      </w:pPr>
      <w:r/>
    </w:p>
    <w:p>
      <w:pPr>
        <w:spacing w:line="270"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35" w:id="54"/>
      <w:bookmarkEnd w:id="54"/>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51"/>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48"/>
    <w:bookmarkEnd w:id="48"/>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50" w:id="49"/>
    <w:bookmarkEnd w:id="49"/>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兴县人力资源和社会保障局2025年部门预算公开报告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233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兴县人力资源和社会保障局2025年部门预算公开报告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2.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styles" Target="styles.xml"/><Relationship Id="rId52" Type="http://schemas.openxmlformats.org/officeDocument/2006/relationships/settings" Target="settings.xml"/><Relationship Id="rId51" Type="http://schemas.openxmlformats.org/officeDocument/2006/relationships/footer" Target="footer34.xml"/><Relationship Id="rId50" Type="http://schemas.openxmlformats.org/officeDocument/2006/relationships/footer" Target="footer33.xml"/><Relationship Id="rId5" Type="http://schemas.openxmlformats.org/officeDocument/2006/relationships/footer" Target="footer3.xml"/><Relationship Id="rId49" Type="http://schemas.openxmlformats.org/officeDocument/2006/relationships/image" Target="media/image15.jpeg"/><Relationship Id="rId48" Type="http://schemas.openxmlformats.org/officeDocument/2006/relationships/footer" Target="footer32.xml"/><Relationship Id="rId47" Type="http://schemas.openxmlformats.org/officeDocument/2006/relationships/image" Target="media/image14.png"/><Relationship Id="rId46" Type="http://schemas.openxmlformats.org/officeDocument/2006/relationships/footer" Target="footer31.xml"/><Relationship Id="rId45" Type="http://schemas.openxmlformats.org/officeDocument/2006/relationships/image" Target="media/image13.png"/><Relationship Id="rId44" Type="http://schemas.openxmlformats.org/officeDocument/2006/relationships/footer" Target="footer30.xml"/><Relationship Id="rId43" Type="http://schemas.openxmlformats.org/officeDocument/2006/relationships/image" Target="media/image12.png"/><Relationship Id="rId42" Type="http://schemas.openxmlformats.org/officeDocument/2006/relationships/footer" Target="footer29.xml"/><Relationship Id="rId41" Type="http://schemas.openxmlformats.org/officeDocument/2006/relationships/image" Target="media/image11.png"/><Relationship Id="rId40" Type="http://schemas.openxmlformats.org/officeDocument/2006/relationships/footer" Target="footer28.xml"/><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footer" Target="footer27.xml"/><Relationship Id="rId37" Type="http://schemas.openxmlformats.org/officeDocument/2006/relationships/image" Target="media/image9.png"/><Relationship Id="rId36" Type="http://schemas.openxmlformats.org/officeDocument/2006/relationships/footer" Target="footer26.xml"/><Relationship Id="rId35" Type="http://schemas.openxmlformats.org/officeDocument/2006/relationships/image" Target="media/image8.png"/><Relationship Id="rId34" Type="http://schemas.openxmlformats.org/officeDocument/2006/relationships/footer" Target="footer25.xml"/><Relationship Id="rId33" Type="http://schemas.openxmlformats.org/officeDocument/2006/relationships/image" Target="media/image7.jpeg"/><Relationship Id="rId32" Type="http://schemas.openxmlformats.org/officeDocument/2006/relationships/footer" Target="footer24.xml"/><Relationship Id="rId31" Type="http://schemas.openxmlformats.org/officeDocument/2006/relationships/image" Target="media/image6.png"/><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footer" Target="footer20.xml"/><Relationship Id="rId23" Type="http://schemas.openxmlformats.org/officeDocument/2006/relationships/image" Target="media/image2.png"/><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2025-04-30T11:29:28Z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2025-09-26T11:16:07</vt:filetime>
  </property>
</Properties>
</file>