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479"/>
        <w:spacing w:before="111" w:line="22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6"/>
        </w:rPr>
        <w:t>兴 县</w:t>
      </w:r>
      <w:r>
        <w:rPr>
          <w:rFonts w:ascii="SimSun" w:hAnsi="SimSun" w:eastAsia="SimSun" w:cs="SimSun"/>
          <w:sz w:val="34"/>
          <w:szCs w:val="34"/>
          <w:spacing w:val="-11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6"/>
        </w:rPr>
        <w:t>企 业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6"/>
        </w:rPr>
        <w:t>信 息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276"/>
        <w:spacing w:before="111" w:line="46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"/>
          <w:position w:val="2"/>
        </w:rPr>
        <w:t>2 0 2 3 年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度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部 门 决 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"/>
          <w:position w:val="2"/>
        </w:rPr>
        <w:t>开</w:t>
      </w:r>
    </w:p>
    <w:p>
      <w:pPr>
        <w:spacing w:line="461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19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08" w:right="1537" w:firstLine="11"/>
        <w:spacing w:before="276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管理、监督、服务、协调下属国有商业企业，主导企业发展，推进企业改制创新，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监督国有资产，维护企业安全稳定科学发展，完成县委、县政府及有关部门交办的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其他任务。</w:t>
      </w:r>
    </w:p>
    <w:p>
      <w:pPr>
        <w:ind w:left="1808"/>
        <w:spacing w:before="142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11" w:right="1411" w:firstLine="1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兴县商业总公司是2002年机构改革中明确的经营实体，本单位现有在职人员2人。本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单位内设机构为办公室、财务室。</w:t>
      </w:r>
    </w:p>
    <w:p>
      <w:pPr>
        <w:spacing w:line="319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部门名称：兴县企业信息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120.44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7.73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7.35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3.49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2"/>
                <w:position w:val="1"/>
              </w:rPr>
              <w:t>1.57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4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104.43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4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3.22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642" w:right="0" w:bottom="340" w:left="0" w:header="326" w:footer="110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127.79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29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7.35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127.79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127.79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7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3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771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187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14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767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47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pStyle w:val="TableText"/>
              <w:ind w:left="1122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"/>
              <w:spacing w:before="297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5"/>
              <w:spacing w:before="202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44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"/>
              <w:spacing w:before="202" w:line="209" w:lineRule="auto"/>
              <w:rPr/>
            </w:pPr>
            <w:r>
              <w:rPr>
                <w:color w:val="212529"/>
                <w:spacing w:val="-3"/>
              </w:rPr>
              <w:t>上级补助</w:t>
            </w:r>
          </w:p>
          <w:p>
            <w:pPr>
              <w:pStyle w:val="TableText"/>
              <w:ind w:left="194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"/>
              <w:spacing w:line="206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64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85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63"/>
              <w:spacing w:line="202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3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481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255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04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ind w:left="1111"/>
              <w:spacing w:before="6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39" w:type="dxa"/>
            <w:vAlign w:val="top"/>
          </w:tcPr>
          <w:p>
            <w:pPr>
              <w:ind w:left="515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03" w:type="dxa"/>
            <w:vAlign w:val="top"/>
          </w:tcPr>
          <w:p>
            <w:pPr>
              <w:ind w:left="491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ind w:left="40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32" w:type="dxa"/>
            <w:vAlign w:val="top"/>
          </w:tcPr>
          <w:p>
            <w:pPr>
              <w:ind w:left="310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953" w:type="dxa"/>
            <w:vAlign w:val="top"/>
          </w:tcPr>
          <w:p>
            <w:pPr>
              <w:ind w:left="418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ind w:left="1115"/>
              <w:spacing w:before="6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127.79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5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7.35</w:t>
            </w:r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9" w:right="100" w:hanging="1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59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6"/>
              <w:spacing w:before="60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9" w:right="100" w:hanging="1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 w:right="10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7" w:right="100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20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3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00"/>
              <w:spacing w:before="1" w:line="202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20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3.41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20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5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4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5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5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 w:right="100" w:firstLine="3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1.47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1.47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9"/>
              <w:spacing w:before="67" w:line="219" w:lineRule="auto"/>
              <w:rPr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0.09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4" w:right="100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4"/>
              </w:rPr>
              <w:t>216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8" w:right="100" w:hanging="11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商业服务业等支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111.79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7.35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21602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7"/>
              <w:spacing w:before="67" w:line="219" w:lineRule="auto"/>
              <w:rPr/>
            </w:pPr>
            <w:r>
              <w:rPr>
                <w:color w:val="212529"/>
                <w:spacing w:val="-2"/>
              </w:rPr>
              <w:t>商业流通事务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111.79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7.35</w:t>
            </w:r>
          </w:p>
        </w:tc>
      </w:tr>
      <w:tr>
        <w:trPr>
          <w:trHeight w:val="410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2160299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5" w:right="100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其他商业流通事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111.79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7.35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"/>
              <w:spacing w:before="68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9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9"/>
        <w:gridCol w:w="1439"/>
        <w:gridCol w:w="1307"/>
        <w:gridCol w:w="1223"/>
        <w:gridCol w:w="1223"/>
        <w:gridCol w:w="551"/>
        <w:gridCol w:w="959"/>
        <w:gridCol w:w="965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4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65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95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部门名称：兴县企业信息</w:t>
            </w:r>
          </w:p>
        </w:tc>
        <w:tc>
          <w:tcPr>
            <w:tcW w:w="244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4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86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88" w:type="dxa"/>
            <w:vAlign w:val="top"/>
            <w:gridSpan w:val="2"/>
          </w:tcPr>
          <w:p>
            <w:pPr>
              <w:ind w:left="1191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5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6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8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9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297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40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88" w:type="dxa"/>
            <w:vAlign w:val="top"/>
            <w:gridSpan w:val="2"/>
          </w:tcPr>
          <w:p>
            <w:pPr>
              <w:pStyle w:val="TableText"/>
              <w:ind w:left="1197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551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ind w:left="552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ind w:left="422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65" w:type="dxa"/>
            <w:vAlign w:val="top"/>
          </w:tcPr>
          <w:p>
            <w:pPr>
              <w:ind w:left="425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88" w:type="dxa"/>
            <w:vAlign w:val="top"/>
            <w:gridSpan w:val="2"/>
          </w:tcPr>
          <w:p>
            <w:pPr>
              <w:pStyle w:val="TableText"/>
              <w:ind w:left="1198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31"/>
              <w:spacing w:before="4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51.16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9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69.28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9" w:right="172" w:hanging="1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3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46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"/>
              <w:spacing w:before="47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3"/>
              <w:spacing w:before="4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9" w:right="172" w:hanging="1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3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" w:right="17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9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" w:right="17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206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72"/>
              <w:spacing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20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3.41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20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3.41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6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52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 w:right="172" w:firstLine="3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100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1.47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1.47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0.09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0.09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" w:right="172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4"/>
              </w:rPr>
              <w:t>216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9" w:right="172" w:hanging="11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商业服务业等支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31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42.88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9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61.55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21602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"/>
              <w:spacing w:before="55" w:line="219" w:lineRule="auto"/>
              <w:rPr/>
            </w:pPr>
            <w:r>
              <w:rPr>
                <w:color w:val="212529"/>
                <w:spacing w:val="-2"/>
              </w:rPr>
              <w:t>商业流通事务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42.88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9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61.55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2160299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" w:right="172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其他商业流通事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31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42.88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9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61.55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49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6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1900" w:h="1684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14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28"/>
        <w:gridCol w:w="2710"/>
        <w:gridCol w:w="1618"/>
        <w:gridCol w:w="1391"/>
        <w:gridCol w:w="1469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2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869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538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1618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12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391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34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538" w:type="dxa"/>
            <w:vAlign w:val="top"/>
            <w:gridSpan w:val="2"/>
          </w:tcPr>
          <w:p>
            <w:pPr>
              <w:ind w:left="2067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ind w:left="1857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ind w:left="531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710" w:type="dxa"/>
            <w:vAlign w:val="top"/>
          </w:tcPr>
          <w:p>
            <w:pPr>
              <w:ind w:left="971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18" w:type="dxa"/>
            <w:vAlign w:val="top"/>
          </w:tcPr>
          <w:p>
            <w:pPr>
              <w:ind w:left="609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391" w:type="dxa"/>
            <w:vAlign w:val="top"/>
          </w:tcPr>
          <w:p>
            <w:pPr>
              <w:ind w:left="320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469" w:type="dxa"/>
            <w:vAlign w:val="top"/>
          </w:tcPr>
          <w:p>
            <w:pPr>
              <w:ind w:left="354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538" w:type="dxa"/>
            <w:vAlign w:val="top"/>
            <w:gridSpan w:val="2"/>
          </w:tcPr>
          <w:p>
            <w:pPr>
              <w:ind w:left="2065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759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637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75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538" w:type="dxa"/>
            <w:vAlign w:val="top"/>
            <w:gridSpan w:val="2"/>
          </w:tcPr>
          <w:p>
            <w:pPr>
              <w:pStyle w:val="TableText"/>
              <w:ind w:left="2074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120.44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7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51.16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32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69.28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7"/>
              <w:spacing w:before="50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6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  <w:tc>
          <w:tcPr>
            <w:tcW w:w="13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7.73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3.49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5" w:right="182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3.41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4"/>
              <w:spacing w:before="51" w:line="219" w:lineRule="auto"/>
              <w:rPr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6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2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8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1.57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5"/>
              <w:spacing w:before="53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1.47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1.47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2101103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公务员医疗补助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0.09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0.02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4"/>
              </w:rPr>
              <w:t>216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9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商业服务业等支出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42.88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61.55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21602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9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商业流通事务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42.88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61.55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2160299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1"/>
              </w:rPr>
              <w:t>其他商业流通事务支出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104.43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42.88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right="32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61.55</w:t>
            </w:r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28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3.22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16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9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789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57" w:type="dxa"/>
            <w:vAlign w:val="top"/>
            <w:gridSpan w:val="3"/>
          </w:tcPr>
          <w:p>
            <w:pPr>
              <w:ind w:left="1397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409" w:type="dxa"/>
            <w:vAlign w:val="top"/>
            <w:gridSpan w:val="9"/>
          </w:tcPr>
          <w:p>
            <w:pPr>
              <w:ind w:left="4821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8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1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8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35.00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13.66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5.24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0.69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3.32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3" w:right="115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0" w:right="64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3.41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1.55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3.22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3.81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15.92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18"/>
          <w:pgSz w:w="16840" w:h="1190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5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15.23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8" w:right="93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2" w:right="93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0.69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93" w:type="dxa"/>
            <w:vAlign w:val="top"/>
            <w:gridSpan w:val="2"/>
          </w:tcPr>
          <w:p>
            <w:pPr>
              <w:pStyle w:val="TableText"/>
              <w:ind w:left="89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50.92</w:t>
            </w:r>
          </w:p>
        </w:tc>
        <w:tc>
          <w:tcPr>
            <w:tcW w:w="9323" w:type="dxa"/>
            <w:vAlign w:val="top"/>
            <w:gridSpan w:val="8"/>
          </w:tcPr>
          <w:p>
            <w:pPr>
              <w:pStyle w:val="TableText"/>
              <w:ind w:left="421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0.24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2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4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部门名称：兴县企业信息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22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5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单位名称：兴县企业信息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23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48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8" w:right="1537" w:firstLine="497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2023年度收入总计127.79万元，支出总计127.79万元。与上年相比，收入总计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减少25.85万元，下降16.82%，支出总计减少25.85万元，下降16.82%。主要原因</w:t>
      </w:r>
    </w:p>
    <w:p>
      <w:pPr>
        <w:ind w:left="1307"/>
        <w:spacing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是2023年初比较上年退休人员减少一人，2023年年中在职人员减少一人。</w:t>
      </w:r>
    </w:p>
    <w:p>
      <w:pPr>
        <w:ind w:left="1802"/>
        <w:spacing w:before="13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2023年度收入合计127.79万元，其中：</w:t>
      </w:r>
    </w:p>
    <w:p>
      <w:pPr>
        <w:ind w:left="1814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财政拨款收入120.44万元，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占比94.25%；</w:t>
      </w:r>
    </w:p>
    <w:p>
      <w:pPr>
        <w:ind w:left="1812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事业收入0万元，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其他收入7.35万元，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占比5.75%。</w:t>
      </w:r>
    </w:p>
    <w:p>
      <w:pPr>
        <w:ind w:left="180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2023年度支出合计120.44万元，其中：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基本支出51.16万元，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占比42.48%；</w:t>
      </w:r>
    </w:p>
    <w:p>
      <w:pPr>
        <w:ind w:left="18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项目支出69.28万元，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占比57.52%；</w:t>
      </w:r>
    </w:p>
    <w:p>
      <w:pPr>
        <w:ind w:left="1812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9" w:right="1588" w:firstLine="496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2023年度财政拨款收入总计120.44万元，支出总计120.44万元。与上年相比，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财政拨款收入总计减少33.20万元，下降21.61%；财政拨款支出总计增加51.71万</w:t>
      </w:r>
    </w:p>
    <w:p>
      <w:pPr>
        <w:ind w:left="1331" w:right="1537" w:hanging="21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元，增长75.24%。主要原因是2023年度财政拨款收入及支出减少了疫情防控及拆除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旧戏台及东侧建筑相关补助，增加发放了2023年肉联厂职工生活费。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2023年一般公共预算财政拨款决算支出120.</w:t>
      </w:r>
      <w:r>
        <w:rPr>
          <w:rFonts w:ascii="FangSong" w:hAnsi="FangSong" w:eastAsia="FangSong" w:cs="FangSong"/>
          <w:sz w:val="25"/>
          <w:szCs w:val="25"/>
          <w:spacing w:val="-1"/>
        </w:rPr>
        <w:t>44万元，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17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100.00%。与上年相比，一般公共预算财政拨款支出减少33.20万元，下降</w:t>
      </w:r>
    </w:p>
    <w:p>
      <w:pPr>
        <w:ind w:left="1306" w:right="1537" w:hanging="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21.61%。主要原因是2023年初比较上年退休人员减少一人，2023年年中在职人员减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少一人，因此一般公共预算财政拨款支出减少职工的工资及社保等支出。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pict>
          <v:shape id="_x0000_s172" style="position:absolute;margin-left:-13.08pt;margin-top:31.8076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74" style="position:absolute;margin-left:391.92pt;margin-top:16.7337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2023年度一般公共预算财政拨款支出120.44万元，主要用于以下方面：</w:t>
      </w:r>
    </w:p>
    <w:p>
      <w:pPr>
        <w:ind w:left="1815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一般公共服务支出(类)7.73万元，</w:t>
      </w:r>
      <w:r>
        <w:rPr>
          <w:rFonts w:ascii="FangSong" w:hAnsi="FangSong" w:eastAsia="FangSong" w:cs="FangSong"/>
          <w:sz w:val="25"/>
          <w:szCs w:val="25"/>
          <w:spacing w:val="-5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占比6.42%；</w:t>
      </w:r>
    </w:p>
    <w:p>
      <w:pPr>
        <w:ind w:firstLine="1290"/>
        <w:spacing w:before="33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4"/>
          <w:footerReference w:type="default" r:id="rId25"/>
          <w:pgSz w:w="11900" w:h="16840"/>
          <w:pgMar w:top="642" w:right="0" w:bottom="340" w:left="0" w:header="326" w:footer="111" w:gutter="0"/>
        </w:sectPr>
        <w:rPr/>
      </w:pPr>
    </w:p>
    <w:p>
      <w:pPr>
        <w:ind w:left="1810"/>
        <w:spacing w:before="4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社会保障和就业支出(类)3.49万元，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占比2.90%；</w:t>
      </w:r>
    </w:p>
    <w:p>
      <w:pPr>
        <w:ind w:left="1815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卫生健康支出(类)1.57万元，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占比1.31%；</w:t>
      </w:r>
    </w:p>
    <w:p>
      <w:pPr>
        <w:ind w:left="182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商业服务业等支出(类)104.43万元，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占比86.71%；</w:t>
      </w:r>
    </w:p>
    <w:p>
      <w:pPr>
        <w:ind w:left="18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住房保障支出(类)3.22万元，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占比2.67%。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2023年度一般公共预算财政拨款支出年初预算189.27万元，支出决算120.44万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元，完成年初预算的63.63%。其中：</w:t>
      </w:r>
    </w:p>
    <w:p>
      <w:pPr>
        <w:ind w:left="1304" w:right="1411" w:firstLine="506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社会保障和就业支出(类)年初预算10.11016万元，支出决算3.487576万元，完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成年初预算的34.5%，用于支付职工养老保险，较上年决算减少3.632268万元，下降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51.02%，主要原因为职工减少；</w:t>
      </w:r>
    </w:p>
    <w:p>
      <w:pPr>
        <w:ind w:left="1311" w:right="1411" w:hanging="1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卫生健康支出(类)年初预算1.910586万元，支出决算1.572357万元，完成年初预算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的82.3%，用于支付职工医疗保险，较上年决算增加0.232365万元，增长16.96%，主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要原因是医保基数提高；</w:t>
      </w:r>
    </w:p>
    <w:p>
      <w:pPr>
        <w:ind w:left="1311" w:right="1537" w:firstLine="4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商业服务业等支出(类)年初预算173.870838万元，支出决算104.431972万元，</w:t>
      </w:r>
      <w:r>
        <w:rPr>
          <w:rFonts w:ascii="FangSong" w:hAnsi="FangSong" w:eastAsia="FangSong" w:cs="FangSong"/>
          <w:sz w:val="25"/>
          <w:szCs w:val="25"/>
        </w:rPr>
        <w:t>完成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年初预算的60.06%，用于支付职工工资及生活补助，较上年决算增加47.15134万</w:t>
      </w:r>
    </w:p>
    <w:p>
      <w:pPr>
        <w:ind w:left="1310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元，增长82.32%，主要原因支付肉联厂职工生</w:t>
      </w:r>
      <w:r>
        <w:rPr>
          <w:rFonts w:ascii="FangSong" w:hAnsi="FangSong" w:eastAsia="FangSong" w:cs="FangSong"/>
          <w:sz w:val="25"/>
          <w:szCs w:val="25"/>
        </w:rPr>
        <w:t>活补助；</w:t>
      </w:r>
    </w:p>
    <w:p>
      <w:pPr>
        <w:ind w:left="1300" w:right="1411" w:firstLine="6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住房保障支出(类)年初预算万元3.374179，支出决算3.2192万元，完成年初预算的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95.41%，用于支付职工住房公积金，较上年决算增加0.1232万元，增长3.98%，主要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原因住房公积金基数增加</w:t>
      </w:r>
    </w:p>
    <w:p>
      <w:pPr>
        <w:ind w:left="1805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2023年度财政拨款基本支出51.16万元，其中：</w:t>
      </w:r>
    </w:p>
    <w:p>
      <w:pPr>
        <w:ind w:left="1306" w:right="4555" w:firstLine="508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人员经费50.92万元，主要包括人员工资42.717232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机关事业单位基本养老保险缴费3.40825</w:t>
      </w:r>
      <w:r>
        <w:rPr>
          <w:rFonts w:ascii="FangSong" w:hAnsi="FangSong" w:eastAsia="FangSong" w:cs="FangSong"/>
          <w:sz w:val="25"/>
          <w:szCs w:val="25"/>
        </w:rPr>
        <w:t>6万元；</w:t>
      </w:r>
    </w:p>
    <w:p>
      <w:pPr>
        <w:ind w:left="1306"/>
        <w:spacing w:before="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职工基本医疗保险缴费1.466628万元；</w:t>
      </w:r>
    </w:p>
    <w:p>
      <w:pPr>
        <w:ind w:left="1311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公务员医疗补助缴费0.087312万元；</w:t>
      </w:r>
    </w:p>
    <w:p>
      <w:pPr>
        <w:ind w:left="1308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其他社会保障缴费0.018417万元；</w:t>
      </w:r>
    </w:p>
    <w:p>
      <w:pPr>
        <w:ind w:left="13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住房公积金3.2192万元；</w:t>
      </w:r>
    </w:p>
    <w:p>
      <w:pPr>
        <w:ind w:left="1816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公用经费0.24万元，主要包括2023年兴县商业总公司办公室取暖。</w:t>
      </w:r>
    </w:p>
    <w:p>
      <w:pPr>
        <w:ind w:left="1797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pict>
          <v:shape id="_x0000_s190" style="position:absolute;margin-left:-13.08pt;margin-top:35.3547pt;mso-position-vertical-relative:text;mso-position-horizontal-relative:text;width:119.4pt;height:18.85pt;z-index:2516602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0" w:line="284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92" style="position:absolute;margin-left:391.92pt;margin-top:13.6975pt;mso-position-vertical-relative:text;mso-position-horizontal-relative:text;width:119.4pt;height:18.85pt;z-index:2516613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firstLine="1290"/>
        <w:spacing w:line="24" w:lineRule="exact"/>
        <w:rPr/>
      </w:pPr>
      <w:r>
        <w:rPr/>
        <w:drawing>
          <wp:inline distT="0" distB="0" distL="0" distR="0">
            <wp:extent cx="5914769" cy="1524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" w:lineRule="exact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111" w:gutter="0"/>
        </w:sectPr>
        <w:rPr/>
      </w:pPr>
    </w:p>
    <w:p>
      <w:pPr>
        <w:ind w:left="1307" w:right="1909" w:firstLine="528"/>
        <w:spacing w:before="104" w:line="319" w:lineRule="auto"/>
        <w:rPr>
          <w:rFonts w:ascii="FangSong" w:hAnsi="FangSong" w:eastAsia="FangSong" w:cs="FangSong"/>
          <w:sz w:val="25"/>
          <w:szCs w:val="25"/>
        </w:rPr>
      </w:pPr>
      <w:bookmarkStart w:name="bookmark41" w:id="38"/>
      <w:bookmarkEnd w:id="38"/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是：本单位无因公出国（境）支出；</w:t>
      </w:r>
    </w:p>
    <w:p>
      <w:pPr>
        <w:ind w:left="1311" w:right="14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单位无公务用车购置支出；</w:t>
      </w:r>
    </w:p>
    <w:p>
      <w:pPr>
        <w:ind w:left="1307" w:right="16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是：本单位无公务用车运行维护费支出；</w:t>
      </w:r>
    </w:p>
    <w:p>
      <w:pPr>
        <w:ind w:left="1309" w:right="1405" w:firstLine="506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无公务接待费支出。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32" w:right="1381" w:firstLine="489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本单位无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因公出国（境）费支出。</w:t>
      </w:r>
    </w:p>
    <w:p>
      <w:pPr>
        <w:ind w:left="1307" w:right="1393" w:firstLine="498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位无公务用车购置支出。</w:t>
      </w:r>
    </w:p>
    <w:p>
      <w:pPr>
        <w:ind w:left="1312" w:right="1393" w:firstLine="495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车，主要用于：本单位无公务用车运行维护</w:t>
      </w:r>
      <w:r>
        <w:rPr>
          <w:rFonts w:ascii="FangSong" w:hAnsi="FangSong" w:eastAsia="FangSong" w:cs="FangSong"/>
          <w:sz w:val="25"/>
          <w:szCs w:val="25"/>
        </w:rPr>
        <w:t>费支出。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9" w:right="1381" w:hanging="2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无公务接待费支出；国（境）外接待费0万元，共接待国（境）外0批次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要是本单位无国（境）外接待费支出。</w:t>
      </w:r>
    </w:p>
    <w:p>
      <w:pPr>
        <w:ind w:left="18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8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执勤用车0辆、特种专业技术用车0辆、离退休干部服务用车0辆，其他用车0辆，其</w:t>
      </w:r>
    </w:p>
    <w:p>
      <w:pPr>
        <w:ind w:left="1307" w:right="2293"/>
        <w:spacing w:before="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他用车主要是本单位无车辆；单价100万元（含）以上设备（不含车辆）0台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根据预算绩效管理要求，一是组织对2023年初预算安排的所有项目资金全面开展了</w:t>
      </w:r>
    </w:p>
    <w:p>
      <w:pPr>
        <w:spacing w:line="222" w:lineRule="auto"/>
        <w:sectPr>
          <w:headerReference w:type="default" r:id="rId30"/>
          <w:footerReference w:type="default" r:id="rId31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10"/>
        <w:spacing w:before="164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绩效自评，涉及二级项目4个，资金101.5294万元，其中一般公共预算项目支出</w:t>
      </w:r>
    </w:p>
    <w:p>
      <w:pPr>
        <w:ind w:left="1311" w:right="1411" w:firstLine="5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101.5294万元。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自评结果为：4个项目自评等级为</w:t>
      </w:r>
      <w:r>
        <w:rPr>
          <w:rFonts w:ascii="FangSong" w:hAnsi="FangSong" w:eastAsia="FangSong" w:cs="FangSong"/>
          <w:sz w:val="25"/>
          <w:szCs w:val="25"/>
          <w:spacing w:val="-2"/>
        </w:rPr>
        <w:t>“优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”。二是组织对“兴县商业总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公司2023年工作经费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”“兴县商业总公司2023年肉联</w:t>
      </w:r>
      <w:r>
        <w:rPr>
          <w:rFonts w:ascii="FangSong" w:hAnsi="FangSong" w:eastAsia="FangSong" w:cs="FangSong"/>
          <w:sz w:val="25"/>
          <w:szCs w:val="25"/>
          <w:spacing w:val="-2"/>
        </w:rPr>
        <w:t>厂职工生活补助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”等“4</w:t>
      </w:r>
      <w:r>
        <w:rPr>
          <w:rFonts w:ascii="FangSong" w:hAnsi="FangSong" w:eastAsia="FangSong" w:cs="FangSong"/>
          <w:sz w:val="25"/>
          <w:szCs w:val="25"/>
          <w:spacing w:val="-9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”个项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目开展了部门评价（以部门为主体开展的重点绩</w:t>
      </w:r>
      <w:r>
        <w:rPr>
          <w:rFonts w:ascii="FangSong" w:hAnsi="FangSong" w:eastAsia="FangSong" w:cs="FangSong"/>
          <w:sz w:val="25"/>
          <w:szCs w:val="25"/>
        </w:rPr>
        <w:t>效评价</w:t>
      </w:r>
      <w:r>
        <w:rPr>
          <w:rFonts w:ascii="FangSong" w:hAnsi="FangSong" w:eastAsia="FangSong" w:cs="FangSong"/>
          <w:sz w:val="25"/>
          <w:szCs w:val="25"/>
          <w:spacing w:val="13"/>
        </w:rPr>
        <w:t>），</w:t>
      </w:r>
      <w:r>
        <w:rPr>
          <w:rFonts w:ascii="FangSong" w:hAnsi="FangSong" w:eastAsia="FangSong" w:cs="FangSong"/>
          <w:sz w:val="25"/>
          <w:szCs w:val="25"/>
        </w:rPr>
        <w:t>涉及资金101.5294万</w:t>
      </w:r>
    </w:p>
    <w:p>
      <w:pPr>
        <w:ind w:left="1311" w:right="1537" w:hanging="1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元，其中一般公共预算支出101.5294万元。从评价结果来看，项目进度及支付符合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要求。</w:t>
      </w:r>
    </w:p>
    <w:p>
      <w:pPr>
        <w:ind w:left="1309" w:right="7460" w:firstLine="496"/>
        <w:spacing w:before="1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21" w:lineRule="auto"/>
        <w:sectPr>
          <w:headerReference w:type="default" r:id="rId3"/>
          <w:footerReference w:type="default" r:id="rId32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5129"/>
        <w:spacing w:before="16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10"/>
          <w:footerReference w:type="default" r:id="rId33"/>
          <w:pgSz w:w="11900" w:h="16840"/>
          <w:pgMar w:top="642" w:right="0" w:bottom="340" w:left="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13468" w:lineRule="exact"/>
        <w:rPr/>
      </w:pPr>
      <w:r>
        <w:pict>
          <v:shape id="_x0000_s220" style="position:absolute;margin-left:491.92pt;margin-top:44.1055pt;mso-position-vertical-relative:page;mso-position-horizontal-relative:page;width:119.4pt;height:18.85pt;z-index:25166848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2" style="position:absolute;margin-left:391.92pt;margin-top:255.988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4" style="position:absolute;margin-left:491.92pt;margin-top:499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6" style="position:absolute;margin-left:86.92pt;margin-top:499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8" style="position:absolute;margin-left:-13.08pt;margin-top:255.988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headerReference w:type="default" r:id="rId34"/>
          <w:footerReference w:type="default" r:id="rId35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30" style="position:absolute;margin-left:-13.08pt;margin-top:255.988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2" style="position:absolute;margin-left:491.92pt;margin-top:44.1055pt;mso-position-vertical-relative:page;mso-position-horizontal-relative:page;width:119.4pt;height:18.85pt;z-index:25167462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4" style="position:absolute;margin-left:491.92pt;margin-top:499.988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6" style="position:absolute;margin-left:86.92pt;margin-top:499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8" style="position:absolute;margin-left:391.92pt;margin-top:255.988pt;mso-position-vertical-relative:text;mso-position-horizontal-relative:text;width:119.4pt;height:18.85pt;z-index:2516776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footerReference w:type="default" r:id="rId37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40" style="position:absolute;margin-left:391.92pt;margin-top:255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491.92pt;margin-top:44.1055pt;mso-position-vertical-relative:page;mso-position-horizontal-relative:page;width:119.4pt;height:18.85pt;z-index:25167974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491.92pt;margin-top:499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86.92pt;margin-top:499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8" style="position:absolute;margin-left:-13.08pt;margin-top:255.988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footerReference w:type="default" r:id="rId39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50" style="position:absolute;margin-left:491.92pt;margin-top:44.1055pt;mso-position-vertical-relative:page;mso-position-horizontal-relative:page;width:119.4pt;height:18.85pt;z-index:25168384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491.92pt;margin-top:499.988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86.92pt;margin-top:499.988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391.92pt;margin-top:255.988pt;mso-position-vertical-relative:text;mso-position-horizontal-relative:text;width:119.4pt;height:18.85pt;z-index:2516869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8" style="position:absolute;margin-left:-13.08pt;margin-top:255.988pt;mso-position-vertical-relative:text;mso-position-horizontal-relative:text;width:119.4pt;height:18.85pt;z-index:2516879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footerReference w:type="default" r:id="rId41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60" style="position:absolute;margin-left:-13.08pt;margin-top:255.988pt;mso-position-vertical-relative:text;mso-position-horizontal-relative:text;width:119.4pt;height:18.85pt;z-index:2516889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2" style="position:absolute;margin-left:491.92pt;margin-top:499.988pt;mso-position-vertical-relative:text;mso-position-horizontal-relative:text;width:119.4pt;height:18.85pt;z-index:25168998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4" style="position:absolute;margin-left:391.92pt;margin-top:255.988pt;mso-position-vertical-relative:text;mso-position-horizontal-relative:text;width:119.4pt;height:18.85pt;z-index:25169100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6" style="position:absolute;margin-left:86.92pt;margin-top:499.988pt;mso-position-vertical-relative:text;mso-position-horizontal-relative:text;width:119.4pt;height:18.85pt;z-index:25169203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8" style="position:absolute;margin-left:491.92pt;margin-top:44.1055pt;mso-position-vertical-relative:page;mso-position-horizontal-relative:page;width:119.4pt;height:18.85pt;z-index:25169305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footerReference w:type="default" r:id="rId43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70" style="position:absolute;margin-left:-13.08pt;margin-top:255.988pt;mso-position-vertical-relative:text;mso-position-horizontal-relative:text;width:119.4pt;height:18.85pt;z-index:2516940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491.92pt;margin-top:44.1055pt;mso-position-vertical-relative:page;mso-position-horizontal-relative:page;width:119.4pt;height:18.85pt;z-index:2516951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86.92pt;margin-top:499.988pt;mso-position-vertical-relative:text;mso-position-horizontal-relative:text;width:119.4pt;height:18.85pt;z-index:2516961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6" style="position:absolute;margin-left:391.92pt;margin-top:255.988pt;mso-position-vertical-relative:text;mso-position-horizontal-relative:text;width:119.4pt;height:18.85pt;z-index:2516971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8" style="position:absolute;margin-left:491.92pt;margin-top:499.988pt;mso-position-vertical-relative:text;mso-position-horizontal-relative:text;width:119.4pt;height:18.85pt;z-index:2516981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footerReference w:type="default" r:id="rId45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80" style="position:absolute;margin-left:-13.08pt;margin-top:255.988pt;mso-position-vertical-relative:text;mso-position-horizontal-relative:text;width:119.4pt;height:18.85pt;z-index:2516992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2" style="position:absolute;margin-left:86.92pt;margin-top:499.988pt;mso-position-vertical-relative:text;mso-position-horizontal-relative:text;width:119.4pt;height:18.85pt;z-index:2517002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4" style="position:absolute;margin-left:491.92pt;margin-top:44.1055pt;mso-position-vertical-relative:page;mso-position-horizontal-relative:page;width:119.4pt;height:18.85pt;z-index:25170124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6" style="position:absolute;margin-left:391.92pt;margin-top:255.988pt;mso-position-vertical-relative:text;mso-position-horizontal-relative:text;width:119.4pt;height:18.85pt;z-index:2517022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8" style="position:absolute;margin-left:491.92pt;margin-top:499.988pt;mso-position-vertical-relative:text;mso-position-horizontal-relative:text;width:119.4pt;height:18.85pt;z-index:2517032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8" w:lineRule="exact"/>
        <w:sectPr>
          <w:footerReference w:type="default" r:id="rId47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68" w:lineRule="exact"/>
        <w:rPr/>
      </w:pPr>
      <w:r>
        <w:pict>
          <v:shape id="_x0000_s290" style="position:absolute;margin-left:-13.08pt;margin-top:255.988pt;mso-position-vertical-relative:text;mso-position-horizontal-relative:text;width:119.4pt;height:18.85pt;z-index:2517043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2" style="position:absolute;margin-left:491.92pt;margin-top:44.1055pt;mso-position-vertical-relative:page;mso-position-horizontal-relative:page;width:119.4pt;height:18.85pt;z-index:25170534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4" style="position:absolute;margin-left:391.92pt;margin-top:255.988pt;mso-position-vertical-relative:text;mso-position-horizontal-relative:text;width:119.4pt;height:18.85pt;z-index:2517063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6" style="position:absolute;margin-left:86.92pt;margin-top:499.988pt;mso-position-vertical-relative:text;mso-position-horizontal-relative:text;width:119.4pt;height:18.85pt;z-index:2517073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8" style="position:absolute;margin-left:491.92pt;margin-top:499.988pt;mso-position-vertical-relative:text;mso-position-horizontal-relative:text;width:119.4pt;height:18.85pt;z-index:2517084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9"/>
      <w:pgSz w:w="11900" w:h="16840"/>
      <w:pgMar w:top="642" w:right="0" w:bottom="340" w:left="0" w:header="326" w:footer="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-27-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-13.08pt;margin-top:288.10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8" style="position:absolute;margin-left:86.92pt;margin-top:27.7633pt;mso-position-vertical-relative:text;mso-position-horizontal-relative:text;width:119.4pt;height:18.85pt;z-index:-2515722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-13.08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491.92pt;margin-top:44.1055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391.92pt;margin-top:288.105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86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0" style="position:absolute;margin-left:30pt;margin-top:29.5pt;mso-position-vertical-relative:page;mso-position-horizontal-relative:page;width:535pt;height:1pt;z-index:-2515742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6" style="position:absolute;margin-left:86.92pt;margin-top:27.7633pt;mso-position-vertical-relative:text;mso-position-horizontal-relative:text;width:119.4pt;height:18.85pt;z-index:-2515650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-13.08pt;margin-top:288.105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491.92pt;margin-top:44.1055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391.92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86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491.92pt;margin-top:532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88" style="position:absolute;margin-left:30pt;margin-top:29.5pt;mso-position-vertical-relative:page;mso-position-horizontal-relative:page;width:535pt;height:1pt;z-index:-2515671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4" style="position:absolute;margin-left:86.92pt;margin-top:27.7633pt;mso-position-vertical-relative:text;mso-position-horizontal-relative:text;width:119.4pt;height:18.85pt;z-index:-2515558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-13.08pt;margin-top:288.10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491.92pt;margin-top:44.1055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391.92pt;margin-top:288.10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86.92pt;margin-top:532.106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-13.08pt;margin-top:776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6" style="position:absolute;margin-left:491.92pt;margin-top:532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8" style="position:absolute;margin-left:391.92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0" style="position:absolute;margin-left:30pt;margin-top:29.5pt;mso-position-vertical-relative:page;mso-position-horizontal-relative:page;width:535pt;height:1pt;z-index:-2515578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2" style="position:absolute;margin-left:86.92pt;margin-top:27.7633pt;mso-position-vertical-relative:text;mso-position-horizontal-relative:text;width:119.4pt;height:18.85pt;z-index:-25155174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-13.08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6" style="position:absolute;margin-left:391.92pt;margin-top:776.106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8" style="position:absolute;margin-left:30pt;margin-top:29.5pt;mso-position-vertical-relative:page;mso-position-horizontal-relative:page;width:535pt;height:1pt;z-index:-25155276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34" style="position:absolute;margin-left:86.92pt;margin-top:27.7633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2" style="position:absolute;margin-left:86.92pt;margin-top:27.7633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70" style="position:absolute;margin-left:86.92pt;margin-top:27.7633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8" style="position:absolute;margin-left:86.92pt;margin-top:27.7633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06" style="position:absolute;margin-left:86.92pt;margin-top:27.7633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4" style="position:absolute;margin-left:86.92pt;margin-top:27.7633pt;mso-position-vertical-relative:text;mso-position-horizontal-relative:text;width:119.4pt;height:18.85pt;z-index:-2515875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-13.08pt;margin-top:288.105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491.92pt;margin-top:44.105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391.92pt;margin-top:288.105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86.92pt;margin-top:532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4" style="position:absolute;margin-left:-13.08pt;margin-top:776.106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6" style="position:absolute;margin-left:491.92pt;margin-top:532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8" style="position:absolute;margin-left:391.92pt;margin-top:776.106pt;mso-position-vertical-relative:page;mso-position-horizontal-relative:page;width:119.4pt;height:18.85pt;z-index:-2515916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40" style="position:absolute;margin-left:30pt;margin-top:29.5pt;mso-position-vertical-relative:page;mso-position-horizontal-relative:page;width:535pt;height:1pt;z-index:-2515896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42" style="position:absolute;margin-left:-13.08pt;margin-top:28.7633pt;mso-position-vertical-relative:text;mso-position-horizontal-relative:text;width:119.4pt;height:18.85pt;z-index:-2515793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12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287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638.92pt;margin-top:45.1055pt;mso-position-vertical-relative:page;mso-position-horizontal-relative:page;width:119.4pt;height:18.8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-45.0434pt;margin-top:406.395pt;mso-position-vertical-relative:page;mso-position-horizontal-relative:page;width:609.35pt;height:22.2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2" style="position:absolute;margin-left:280.957pt;margin-top:406.395pt;mso-position-vertical-relative:page;mso-position-horizontal-relative:page;width:609.35pt;height:22.2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4" style="position:absolute;margin-left:638.92pt;margin-top:529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6" style="position:absolute;margin-left:30pt;margin-top:29.5pt;mso-position-vertical-relative:page;mso-position-horizontal-relative:page;width:782pt;height:1pt;z-index:-251582464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兴县企业信息2023年部门决算公开报告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5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image" Target="media/image10.jpeg"/><Relationship Id="rId5" Type="http://schemas.openxmlformats.org/officeDocument/2006/relationships/header" Target="header4.xml"/><Relationship Id="rId49" Type="http://schemas.openxmlformats.org/officeDocument/2006/relationships/footer" Target="footer27.xml"/><Relationship Id="rId48" Type="http://schemas.openxmlformats.org/officeDocument/2006/relationships/image" Target="media/image9.jpeg"/><Relationship Id="rId47" Type="http://schemas.openxmlformats.org/officeDocument/2006/relationships/footer" Target="footer26.xml"/><Relationship Id="rId46" Type="http://schemas.openxmlformats.org/officeDocument/2006/relationships/image" Target="media/image8.jpeg"/><Relationship Id="rId45" Type="http://schemas.openxmlformats.org/officeDocument/2006/relationships/footer" Target="footer25.xml"/><Relationship Id="rId44" Type="http://schemas.openxmlformats.org/officeDocument/2006/relationships/image" Target="media/image7.jpeg"/><Relationship Id="rId43" Type="http://schemas.openxmlformats.org/officeDocument/2006/relationships/footer" Target="footer24.xml"/><Relationship Id="rId42" Type="http://schemas.openxmlformats.org/officeDocument/2006/relationships/image" Target="media/image6.jpeg"/><Relationship Id="rId41" Type="http://schemas.openxmlformats.org/officeDocument/2006/relationships/footer" Target="footer23.xml"/><Relationship Id="rId40" Type="http://schemas.openxmlformats.org/officeDocument/2006/relationships/image" Target="media/image5.jpeg"/><Relationship Id="rId4" Type="http://schemas.openxmlformats.org/officeDocument/2006/relationships/footer" Target="footer1.xml"/><Relationship Id="rId39" Type="http://schemas.openxmlformats.org/officeDocument/2006/relationships/footer" Target="footer22.xml"/><Relationship Id="rId38" Type="http://schemas.openxmlformats.org/officeDocument/2006/relationships/image" Target="media/image4.jpeg"/><Relationship Id="rId37" Type="http://schemas.openxmlformats.org/officeDocument/2006/relationships/footer" Target="footer21.xml"/><Relationship Id="rId36" Type="http://schemas.openxmlformats.org/officeDocument/2006/relationships/image" Target="media/image3.jpeg"/><Relationship Id="rId35" Type="http://schemas.openxmlformats.org/officeDocument/2006/relationships/footer" Target="footer20.xml"/><Relationship Id="rId34" Type="http://schemas.openxmlformats.org/officeDocument/2006/relationships/header" Target="header13.xml"/><Relationship Id="rId33" Type="http://schemas.openxmlformats.org/officeDocument/2006/relationships/footer" Target="footer19.xml"/><Relationship Id="rId32" Type="http://schemas.openxmlformats.org/officeDocument/2006/relationships/footer" Target="footer18.xml"/><Relationship Id="rId31" Type="http://schemas.openxmlformats.org/officeDocument/2006/relationships/footer" Target="footer17.xml"/><Relationship Id="rId30" Type="http://schemas.openxmlformats.org/officeDocument/2006/relationships/header" Target="header12.xml"/><Relationship Id="rId3" Type="http://schemas.openxmlformats.org/officeDocument/2006/relationships/header" Target="header3.xml"/><Relationship Id="rId29" Type="http://schemas.openxmlformats.org/officeDocument/2006/relationships/image" Target="media/image2.jpeg"/><Relationship Id="rId28" Type="http://schemas.openxmlformats.org/officeDocument/2006/relationships/footer" Target="footer16.xml"/><Relationship Id="rId27" Type="http://schemas.openxmlformats.org/officeDocument/2006/relationships/header" Target="header11.xml"/><Relationship Id="rId26" Type="http://schemas.openxmlformats.org/officeDocument/2006/relationships/image" Target="media/image1.jpeg"/><Relationship Id="rId25" Type="http://schemas.openxmlformats.org/officeDocument/2006/relationships/footer" Target="footer15.xml"/><Relationship Id="rId24" Type="http://schemas.openxmlformats.org/officeDocument/2006/relationships/header" Target="header10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9.xml"/><Relationship Id="rId16" Type="http://schemas.openxmlformats.org/officeDocument/2006/relationships/footer" Target="footer8.xml"/><Relationship Id="rId15" Type="http://schemas.openxmlformats.org/officeDocument/2006/relationships/header" Target="head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header" Target="head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2025-09-26T18:08:56Z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2025-09-26T18:21:38</vt:filetime>
  </property>
</Properties>
</file>