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463"/>
        <w:spacing w:before="140" w:line="218" w:lineRule="auto"/>
        <w:rPr>
          <w:rFonts w:ascii="SimSun" w:hAnsi="SimSun" w:eastAsia="SimSun" w:cs="SimSun"/>
          <w:sz w:val="43"/>
          <w:szCs w:val="43"/>
        </w:rPr>
      </w:pPr>
      <w:r>
        <w:rPr>
          <w:rFonts w:ascii="SimSun" w:hAnsi="SimSun" w:eastAsia="SimSun" w:cs="SimSun"/>
          <w:sz w:val="43"/>
          <w:szCs w:val="43"/>
          <w:spacing w:val="103"/>
        </w:rPr>
        <w:t>兴县蔚汾镇卫生院肖家洼分院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人员构成：设院长1名，工作人员7名。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278"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单位名称：兴县蔚汾镇卫生院肖家洼分院</w:t>
            </w:r>
          </w:p>
        </w:tc>
        <w:tc>
          <w:tcPr>
            <w:tcW w:w="3272" w:type="dxa"/>
            <w:vAlign w:val="top"/>
            <w:gridSpan w:val="3"/>
            <w:tcBorders>
              <w:top w:val="single" w:color="FFFFFF" w:sz="6" w:space="0"/>
              <w:left w:val="single" w:color="FFFFFF" w:sz="2" w:space="0"/>
              <w:right w:val="single" w:color="FFFFFF" w:sz="2" w:space="0"/>
            </w:tcBorders>
          </w:tcPr>
          <w:p>
            <w:pPr>
              <w:ind w:left="234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67" w:type="dxa"/>
            <w:vAlign w:val="top"/>
            <w:gridSpan w:val="2"/>
          </w:tcPr>
          <w:p>
            <w:pPr>
              <w:ind w:left="139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29"/>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9"/>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204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128.41</w:t>
            </w:r>
          </w:p>
        </w:tc>
        <w:tc>
          <w:tcPr>
            <w:tcW w:w="2111" w:type="dxa"/>
            <w:vAlign w:val="top"/>
          </w:tcPr>
          <w:p>
            <w:pPr>
              <w:ind w:left="8"/>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11" w:type="dxa"/>
            <w:vAlign w:val="top"/>
          </w:tcPr>
          <w:p>
            <w:pPr>
              <w:ind w:left="9"/>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13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120.79</w:t>
            </w:r>
          </w:p>
        </w:tc>
        <w:tc>
          <w:tcPr>
            <w:tcW w:w="1138" w:type="dxa"/>
            <w:vAlign w:val="top"/>
          </w:tcPr>
          <w:p>
            <w:pPr>
              <w:ind w:right="2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108.60</w:t>
            </w:r>
          </w:p>
        </w:tc>
        <w:tc>
          <w:tcPr>
            <w:tcW w:w="996"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12.19</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9"/>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7"/>
              <w:spacing w:before="186" w:line="172" w:lineRule="auto"/>
              <w:rPr>
                <w:sz w:val="16"/>
                <w:szCs w:val="16"/>
              </w:rPr>
            </w:pPr>
            <w:r>
              <w:rPr>
                <w:sz w:val="16"/>
                <w:szCs w:val="16"/>
                <w:color w:val="212529"/>
                <w:spacing w:val="3"/>
              </w:rPr>
              <w:t>128.41</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84"/>
              <w:spacing w:before="186" w:line="172" w:lineRule="auto"/>
              <w:rPr>
                <w:sz w:val="16"/>
                <w:szCs w:val="16"/>
              </w:rPr>
            </w:pPr>
            <w:r>
              <w:rPr>
                <w:sz w:val="16"/>
                <w:szCs w:val="16"/>
                <w:color w:val="212529"/>
                <w:spacing w:val="4"/>
              </w:rPr>
              <w:t>140.60</w:t>
            </w:r>
          </w:p>
        </w:tc>
        <w:tc>
          <w:tcPr>
            <w:tcW w:w="1138" w:type="dxa"/>
            <w:vAlign w:val="top"/>
          </w:tcPr>
          <w:p>
            <w:pPr>
              <w:pStyle w:val="TableText"/>
              <w:ind w:left="575"/>
              <w:spacing w:before="186" w:line="172" w:lineRule="auto"/>
              <w:rPr>
                <w:sz w:val="16"/>
                <w:szCs w:val="16"/>
              </w:rPr>
            </w:pPr>
            <w:r>
              <w:rPr>
                <w:sz w:val="16"/>
                <w:szCs w:val="16"/>
                <w:color w:val="212529"/>
                <w:spacing w:val="3"/>
              </w:rPr>
              <w:t>128.41</w:t>
            </w:r>
          </w:p>
        </w:tc>
        <w:tc>
          <w:tcPr>
            <w:tcW w:w="996" w:type="dxa"/>
            <w:vAlign w:val="top"/>
          </w:tcPr>
          <w:p>
            <w:pPr>
              <w:pStyle w:val="TableText"/>
              <w:ind w:left="521"/>
              <w:spacing w:before="186" w:line="212" w:lineRule="auto"/>
              <w:rPr>
                <w:sz w:val="13"/>
                <w:szCs w:val="13"/>
              </w:rPr>
            </w:pPr>
            <w:r>
              <w:rPr>
                <w:sz w:val="13"/>
                <w:szCs w:val="13"/>
                <w:color w:val="212529"/>
                <w:spacing w:val="8"/>
              </w:rPr>
              <w:t>12.</w:t>
            </w:r>
            <w:r>
              <w:rPr>
                <w:sz w:val="13"/>
                <w:szCs w:val="13"/>
                <w:color w:val="212529"/>
                <w:spacing w:val="24"/>
                <w:w w:val="102"/>
              </w:rPr>
              <w:t xml:space="preserve"> </w:t>
            </w:r>
            <w:r>
              <w:rPr>
                <w:sz w:val="13"/>
                <w:szCs w:val="13"/>
                <w:color w:val="212529"/>
                <w:spacing w:val="8"/>
              </w:rPr>
              <w:t>19</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93"/>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12.19</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7"/>
              <w:spacing w:before="188" w:line="184" w:lineRule="auto"/>
              <w:rPr>
                <w:sz w:val="15"/>
                <w:szCs w:val="15"/>
              </w:rPr>
            </w:pPr>
            <w:r>
              <w:rPr>
                <w:sz w:val="15"/>
                <w:szCs w:val="15"/>
                <w:color w:val="212529"/>
                <w:spacing w:val="2"/>
              </w:rPr>
              <w:t>140.</w:t>
            </w:r>
            <w:r>
              <w:rPr>
                <w:sz w:val="15"/>
                <w:szCs w:val="15"/>
                <w:color w:val="212529"/>
                <w:spacing w:val="2"/>
              </w:rPr>
              <w:t xml:space="preserve"> </w:t>
            </w:r>
            <w:r>
              <w:rPr>
                <w:sz w:val="15"/>
                <w:szCs w:val="15"/>
                <w:color w:val="212529"/>
                <w:spacing w:val="2"/>
              </w:rPr>
              <w:t>60</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84"/>
              <w:spacing w:before="188" w:line="172" w:lineRule="auto"/>
              <w:rPr>
                <w:sz w:val="16"/>
                <w:szCs w:val="16"/>
              </w:rPr>
            </w:pPr>
            <w:r>
              <w:rPr>
                <w:sz w:val="16"/>
                <w:szCs w:val="16"/>
                <w:color w:val="212529"/>
                <w:spacing w:val="4"/>
              </w:rPr>
              <w:t>140.60</w:t>
            </w:r>
          </w:p>
        </w:tc>
        <w:tc>
          <w:tcPr>
            <w:tcW w:w="1138" w:type="dxa"/>
            <w:vAlign w:val="top"/>
          </w:tcPr>
          <w:p>
            <w:pPr>
              <w:pStyle w:val="TableText"/>
              <w:ind w:left="575"/>
              <w:spacing w:before="188" w:line="172" w:lineRule="auto"/>
              <w:rPr>
                <w:sz w:val="16"/>
                <w:szCs w:val="16"/>
              </w:rPr>
            </w:pPr>
            <w:r>
              <w:rPr>
                <w:sz w:val="16"/>
                <w:szCs w:val="16"/>
                <w:color w:val="212529"/>
                <w:spacing w:val="3"/>
              </w:rPr>
              <w:t>128.41</w:t>
            </w:r>
          </w:p>
        </w:tc>
        <w:tc>
          <w:tcPr>
            <w:tcW w:w="996" w:type="dxa"/>
            <w:vAlign w:val="top"/>
          </w:tcPr>
          <w:p>
            <w:pPr>
              <w:pStyle w:val="TableText"/>
              <w:ind w:left="521"/>
              <w:spacing w:before="188" w:line="212" w:lineRule="auto"/>
              <w:rPr>
                <w:sz w:val="13"/>
                <w:szCs w:val="13"/>
              </w:rPr>
            </w:pPr>
            <w:r>
              <w:rPr>
                <w:sz w:val="13"/>
                <w:szCs w:val="13"/>
                <w:color w:val="212529"/>
                <w:spacing w:val="8"/>
              </w:rPr>
              <w:t>12.</w:t>
            </w:r>
            <w:r>
              <w:rPr>
                <w:sz w:val="13"/>
                <w:szCs w:val="13"/>
                <w:color w:val="212529"/>
                <w:spacing w:val="24"/>
                <w:w w:val="102"/>
              </w:rPr>
              <w:t xml:space="preserve"> </w:t>
            </w:r>
            <w:r>
              <w:rPr>
                <w:sz w:val="13"/>
                <w:szCs w:val="13"/>
                <w:color w:val="212529"/>
                <w:spacing w:val="8"/>
              </w:rPr>
              <w:t>19</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bottom w:val="single" w:color="FFFFFF" w:sz="6" w:space="0"/>
              <w:top w:val="single" w:color="FFFFFF" w:sz="6" w:space="0"/>
            </w:tcBorders>
          </w:tcPr>
          <w:p>
            <w:pPr>
              <w:ind w:left="112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单位名称：兴县蔚汾镇卫生院肖家洼分院</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top w:val="single" w:color="FFFFFF" w:sz="6" w:space="0"/>
            </w:tcBorders>
          </w:tcPr>
          <w:p>
            <w:pPr>
              <w:ind w:left="121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10" w:type="dxa"/>
            <w:vAlign w:val="top"/>
            <w:gridSpan w:val="6"/>
          </w:tcPr>
          <w:p>
            <w:pPr>
              <w:ind w:left="358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91" w:type="dxa"/>
            <w:vAlign w:val="top"/>
            <w:vMerge w:val="restart"/>
            <w:tcBorders>
              <w:bottom w:val="nil"/>
            </w:tcBorders>
          </w:tcPr>
          <w:p>
            <w:pPr>
              <w:pStyle w:val="TableText"/>
              <w:spacing w:line="273" w:lineRule="auto"/>
              <w:rPr/>
            </w:pPr>
            <w:r/>
          </w:p>
          <w:p>
            <w:pPr>
              <w:ind w:left="2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0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2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6"/>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1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9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53"/>
              <w:spacing w:before="149" w:line="212" w:lineRule="auto"/>
              <w:rPr>
                <w:sz w:val="13"/>
                <w:szCs w:val="13"/>
              </w:rPr>
            </w:pPr>
            <w:r>
              <w:rPr>
                <w:sz w:val="13"/>
                <w:szCs w:val="13"/>
                <w:color w:val="212529"/>
                <w:spacing w:val="9"/>
              </w:rPr>
              <w:t>128.</w:t>
            </w:r>
            <w:r>
              <w:rPr>
                <w:sz w:val="13"/>
                <w:szCs w:val="13"/>
                <w:color w:val="212529"/>
                <w:spacing w:val="20"/>
              </w:rPr>
              <w:t xml:space="preserve"> </w:t>
            </w:r>
            <w:r>
              <w:rPr>
                <w:sz w:val="13"/>
                <w:szCs w:val="13"/>
                <w:color w:val="212529"/>
                <w:spacing w:val="9"/>
              </w:rPr>
              <w:t>41</w:t>
            </w:r>
          </w:p>
        </w:tc>
        <w:tc>
          <w:tcPr>
            <w:tcW w:w="1259" w:type="dxa"/>
            <w:vAlign w:val="top"/>
          </w:tcPr>
          <w:p>
            <w:pPr>
              <w:pStyle w:val="TableText"/>
              <w:ind w:left="692"/>
              <w:spacing w:before="149" w:line="212" w:lineRule="auto"/>
              <w:rPr>
                <w:sz w:val="13"/>
                <w:szCs w:val="13"/>
              </w:rPr>
            </w:pPr>
            <w:r>
              <w:rPr>
                <w:sz w:val="13"/>
                <w:szCs w:val="13"/>
                <w:color w:val="212529"/>
                <w:spacing w:val="9"/>
              </w:rPr>
              <w:t>128.</w:t>
            </w:r>
            <w:r>
              <w:rPr>
                <w:sz w:val="13"/>
                <w:szCs w:val="13"/>
                <w:color w:val="212529"/>
                <w:spacing w:val="20"/>
              </w:rPr>
              <w:t xml:space="preserve"> </w:t>
            </w:r>
            <w:r>
              <w:rPr>
                <w:sz w:val="13"/>
                <w:szCs w:val="13"/>
                <w:color w:val="212529"/>
                <w:spacing w:val="9"/>
              </w:rPr>
              <w:t>41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ind w:left="717"/>
              <w:spacing w:before="149" w:line="212" w:lineRule="auto"/>
              <w:rPr>
                <w:sz w:val="13"/>
                <w:szCs w:val="13"/>
              </w:rPr>
            </w:pPr>
            <w:r>
              <w:rPr>
                <w:sz w:val="13"/>
                <w:szCs w:val="13"/>
                <w:color w:val="212529"/>
                <w:spacing w:val="11"/>
              </w:rPr>
              <w:t>12.</w:t>
            </w:r>
            <w:r>
              <w:rPr>
                <w:sz w:val="13"/>
                <w:szCs w:val="13"/>
                <w:color w:val="212529"/>
                <w:spacing w:val="9"/>
                <w:w w:val="102"/>
              </w:rPr>
              <w:t xml:space="preserve"> </w:t>
            </w:r>
            <w:r>
              <w:rPr>
                <w:sz w:val="13"/>
                <w:szCs w:val="13"/>
                <w:color w:val="212529"/>
                <w:spacing w:val="11"/>
              </w:rPr>
              <w:t>19</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4"/>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23"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259" w:type="dxa"/>
            <w:vAlign w:val="top"/>
          </w:tcPr>
          <w:p>
            <w:pPr>
              <w:ind w:right="28"/>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23"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259" w:type="dxa"/>
            <w:vAlign w:val="top"/>
          </w:tcPr>
          <w:p>
            <w:pPr>
              <w:ind w:right="28"/>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2"/>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3"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259" w:type="dxa"/>
            <w:vAlign w:val="top"/>
          </w:tcPr>
          <w:p>
            <w:pPr>
              <w:ind w:right="28"/>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11.09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108.60</w:t>
            </w:r>
          </w:p>
        </w:tc>
        <w:tc>
          <w:tcPr>
            <w:tcW w:w="1259" w:type="dxa"/>
            <w:vAlign w:val="top"/>
          </w:tcPr>
          <w:p>
            <w:pPr>
              <w:ind w:right="28"/>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108.60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12.19</w:t>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52" w:type="dxa"/>
            <w:vAlign w:val="top"/>
          </w:tcPr>
          <w:p>
            <w:pPr>
              <w:ind w:left="2"/>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23"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104.06</w:t>
            </w:r>
          </w:p>
        </w:tc>
        <w:tc>
          <w:tcPr>
            <w:tcW w:w="1259" w:type="dxa"/>
            <w:vAlign w:val="top"/>
          </w:tcPr>
          <w:p>
            <w:pPr>
              <w:ind w:right="2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104.06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52" w:type="dxa"/>
            <w:vAlign w:val="top"/>
          </w:tcPr>
          <w:p>
            <w:pPr>
              <w:ind w:left="11"/>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23" w:type="dxa"/>
            <w:vAlign w:val="top"/>
          </w:tcPr>
          <w:p>
            <w:pPr>
              <w:ind w:right="3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89.97</w:t>
            </w:r>
          </w:p>
        </w:tc>
        <w:tc>
          <w:tcPr>
            <w:tcW w:w="1259"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89.97</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52" w:type="dxa"/>
            <w:vAlign w:val="top"/>
          </w:tcPr>
          <w:p>
            <w:pPr>
              <w:ind w:left="2"/>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23"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14.09</w:t>
            </w:r>
          </w:p>
        </w:tc>
        <w:tc>
          <w:tcPr>
            <w:tcW w:w="1259" w:type="dxa"/>
            <w:vAlign w:val="top"/>
          </w:tcPr>
          <w:p>
            <w:pPr>
              <w:ind w:right="28"/>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14.09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52" w:type="dxa"/>
            <w:vAlign w:val="top"/>
          </w:tcPr>
          <w:p>
            <w:pPr>
              <w:ind w:left="8"/>
              <w:spacing w:before="135"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6.91</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52" w:type="dxa"/>
            <w:vAlign w:val="top"/>
          </w:tcPr>
          <w:p>
            <w:pPr>
              <w:ind w:left="2"/>
              <w:spacing w:before="136" w:line="218" w:lineRule="auto"/>
              <w:rPr>
                <w:rFonts w:ascii="SimSun" w:hAnsi="SimSun" w:eastAsia="SimSun" w:cs="SimSun"/>
                <w:sz w:val="18"/>
                <w:szCs w:val="18"/>
              </w:rPr>
            </w:pPr>
            <w:r>
              <w:rPr>
                <w:rFonts w:ascii="SimSun" w:hAnsi="SimSun" w:eastAsia="SimSun" w:cs="SimSun"/>
                <w:sz w:val="18"/>
                <w:szCs w:val="18"/>
                <w:color w:val="212529"/>
                <w:spacing w:val="-1"/>
              </w:rPr>
              <w:t>基本公共卫生服务</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6.91</w:t>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23" w:type="dxa"/>
            <w:vAlign w:val="top"/>
          </w:tcPr>
          <w:p>
            <w:pPr>
              <w:ind w:right="3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4.55</w:t>
            </w:r>
          </w:p>
        </w:tc>
        <w:tc>
          <w:tcPr>
            <w:tcW w:w="1259"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4.55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4.55</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4.55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8" w:line="162" w:lineRule="auto"/>
              <w:rPr>
                <w:sz w:val="15"/>
                <w:szCs w:val="15"/>
              </w:rPr>
            </w:pPr>
            <w:r>
              <w:rPr>
                <w:sz w:val="15"/>
                <w:szCs w:val="15"/>
                <w:color w:val="212529"/>
                <w:spacing w:val="1"/>
              </w:rPr>
              <w:t>140.60</w:t>
            </w:r>
          </w:p>
        </w:tc>
        <w:tc>
          <w:tcPr>
            <w:tcW w:w="1361" w:type="dxa"/>
            <w:vAlign w:val="top"/>
          </w:tcPr>
          <w:p>
            <w:pPr>
              <w:pStyle w:val="TableText"/>
              <w:ind w:left="861"/>
              <w:spacing w:before="99" w:line="186" w:lineRule="auto"/>
              <w:rPr>
                <w:sz w:val="13"/>
                <w:szCs w:val="13"/>
              </w:rPr>
            </w:pPr>
            <w:r>
              <w:rPr>
                <w:sz w:val="13"/>
                <w:szCs w:val="13"/>
                <w:color w:val="212529"/>
                <w:spacing w:val="2"/>
              </w:rPr>
              <w:t>112.</w:t>
            </w:r>
            <w:r>
              <w:rPr>
                <w:sz w:val="13"/>
                <w:szCs w:val="13"/>
                <w:color w:val="212529"/>
                <w:spacing w:val="17"/>
                <w:w w:val="102"/>
              </w:rPr>
              <w:t xml:space="preserve"> </w:t>
            </w:r>
            <w:r>
              <w:rPr>
                <w:sz w:val="13"/>
                <w:szCs w:val="13"/>
                <w:color w:val="212529"/>
                <w:spacing w:val="2"/>
              </w:rPr>
              <w:t>19</w:t>
            </w:r>
          </w:p>
        </w:tc>
        <w:tc>
          <w:tcPr>
            <w:tcW w:w="1280" w:type="dxa"/>
            <w:vAlign w:val="top"/>
          </w:tcPr>
          <w:p>
            <w:pPr>
              <w:pStyle w:val="TableText"/>
              <w:ind w:left="850"/>
              <w:spacing w:before="99" w:line="186" w:lineRule="auto"/>
              <w:rPr>
                <w:sz w:val="13"/>
                <w:szCs w:val="13"/>
              </w:rPr>
            </w:pPr>
            <w:r>
              <w:rPr>
                <w:sz w:val="13"/>
                <w:szCs w:val="13"/>
                <w:color w:val="212529"/>
                <w:spacing w:val="3"/>
              </w:rPr>
              <w:t>28.</w:t>
            </w:r>
            <w:r>
              <w:rPr>
                <w:sz w:val="13"/>
                <w:szCs w:val="13"/>
                <w:color w:val="212529"/>
                <w:spacing w:val="9"/>
              </w:rPr>
              <w:t xml:space="preserve"> </w:t>
            </w:r>
            <w:r>
              <w:rPr>
                <w:sz w:val="13"/>
                <w:szCs w:val="13"/>
                <w:color w:val="212529"/>
                <w:spacing w:val="3"/>
              </w:rPr>
              <w:t>41</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61" w:type="dxa"/>
            <w:vAlign w:val="top"/>
          </w:tcPr>
          <w:p>
            <w:pPr>
              <w:pStyle w:val="TableText"/>
              <w:ind w:left="942"/>
              <w:spacing w:before="99" w:line="162" w:lineRule="auto"/>
              <w:rPr>
                <w:sz w:val="15"/>
                <w:szCs w:val="15"/>
              </w:rPr>
            </w:pPr>
            <w:r>
              <w:rPr>
                <w:sz w:val="15"/>
                <w:szCs w:val="15"/>
                <w:color w:val="212529"/>
                <w:spacing w:val="1"/>
              </w:rPr>
              <w:t>11.09</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61" w:type="dxa"/>
            <w:vAlign w:val="top"/>
          </w:tcPr>
          <w:p>
            <w:pPr>
              <w:pStyle w:val="TableText"/>
              <w:ind w:left="942"/>
              <w:spacing w:before="99" w:line="162" w:lineRule="auto"/>
              <w:rPr>
                <w:sz w:val="15"/>
                <w:szCs w:val="15"/>
              </w:rPr>
            </w:pPr>
            <w:r>
              <w:rPr>
                <w:sz w:val="15"/>
                <w:szCs w:val="15"/>
                <w:color w:val="212529"/>
                <w:spacing w:val="1"/>
              </w:rPr>
              <w:t>11.09</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120.79</w:t>
            </w:r>
          </w:p>
        </w:tc>
        <w:tc>
          <w:tcPr>
            <w:tcW w:w="1361" w:type="dxa"/>
            <w:vAlign w:val="top"/>
          </w:tcPr>
          <w:p>
            <w:pPr>
              <w:pStyle w:val="TableText"/>
              <w:ind w:left="931"/>
              <w:spacing w:before="101" w:line="186" w:lineRule="auto"/>
              <w:rPr>
                <w:sz w:val="13"/>
                <w:szCs w:val="13"/>
              </w:rPr>
            </w:pPr>
            <w:r>
              <w:rPr>
                <w:sz w:val="13"/>
                <w:szCs w:val="13"/>
                <w:color w:val="212529"/>
                <w:spacing w:val="4"/>
              </w:rPr>
              <w:t>92.</w:t>
            </w:r>
            <w:r>
              <w:rPr>
                <w:sz w:val="13"/>
                <w:szCs w:val="13"/>
                <w:color w:val="212529"/>
                <w:spacing w:val="11"/>
                <w:w w:val="101"/>
              </w:rPr>
              <w:t xml:space="preserve"> </w:t>
            </w:r>
            <w:r>
              <w:rPr>
                <w:sz w:val="13"/>
                <w:szCs w:val="13"/>
                <w:color w:val="212529"/>
                <w:spacing w:val="4"/>
              </w:rPr>
              <w:t>38</w:t>
            </w:r>
          </w:p>
        </w:tc>
        <w:tc>
          <w:tcPr>
            <w:tcW w:w="1280" w:type="dxa"/>
            <w:vAlign w:val="top"/>
          </w:tcPr>
          <w:p>
            <w:pPr>
              <w:pStyle w:val="TableText"/>
              <w:ind w:left="850"/>
              <w:spacing w:before="101" w:line="187" w:lineRule="auto"/>
              <w:rPr>
                <w:sz w:val="13"/>
                <w:szCs w:val="13"/>
              </w:rPr>
            </w:pPr>
            <w:r>
              <w:rPr>
                <w:sz w:val="13"/>
                <w:szCs w:val="13"/>
                <w:color w:val="212529"/>
                <w:spacing w:val="3"/>
              </w:rPr>
              <w:t>28.</w:t>
            </w:r>
            <w:r>
              <w:rPr>
                <w:sz w:val="13"/>
                <w:szCs w:val="13"/>
                <w:color w:val="212529"/>
                <w:spacing w:val="9"/>
              </w:rPr>
              <w:t xml:space="preserve"> </w:t>
            </w:r>
            <w:r>
              <w:rPr>
                <w:sz w:val="13"/>
                <w:szCs w:val="13"/>
                <w:color w:val="212529"/>
                <w:spacing w:val="3"/>
              </w:rPr>
              <w:t>41</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109.34</w:t>
            </w:r>
          </w:p>
        </w:tc>
        <w:tc>
          <w:tcPr>
            <w:tcW w:w="1361" w:type="dxa"/>
            <w:vAlign w:val="top"/>
          </w:tcPr>
          <w:p>
            <w:pPr>
              <w:pStyle w:val="TableText"/>
              <w:ind w:left="931"/>
              <w:spacing w:before="102" w:line="172" w:lineRule="auto"/>
              <w:rPr>
                <w:sz w:val="14"/>
                <w:szCs w:val="14"/>
              </w:rPr>
            </w:pPr>
            <w:r>
              <w:rPr>
                <w:sz w:val="14"/>
                <w:szCs w:val="14"/>
                <w:color w:val="212529"/>
              </w:rPr>
              <w:t>87.</w:t>
            </w:r>
            <w:r>
              <w:rPr>
                <w:sz w:val="14"/>
                <w:szCs w:val="14"/>
                <w:color w:val="212529"/>
                <w:spacing w:val="7"/>
              </w:rPr>
              <w:t xml:space="preserve"> </w:t>
            </w:r>
            <w:r>
              <w:rPr>
                <w:sz w:val="14"/>
                <w:szCs w:val="14"/>
                <w:color w:val="212529"/>
              </w:rPr>
              <w:t>84</w:t>
            </w:r>
          </w:p>
        </w:tc>
        <w:tc>
          <w:tcPr>
            <w:tcW w:w="1280" w:type="dxa"/>
            <w:vAlign w:val="top"/>
          </w:tcPr>
          <w:p>
            <w:pPr>
              <w:pStyle w:val="TableText"/>
              <w:ind w:left="850"/>
              <w:spacing w:before="101" w:line="187" w:lineRule="auto"/>
              <w:rPr>
                <w:sz w:val="13"/>
                <w:szCs w:val="13"/>
              </w:rPr>
            </w:pPr>
            <w:r>
              <w:rPr>
                <w:sz w:val="13"/>
                <w:szCs w:val="13"/>
                <w:color w:val="212529"/>
                <w:spacing w:val="3"/>
              </w:rPr>
              <w:t>21.</w:t>
            </w:r>
            <w:r>
              <w:rPr>
                <w:sz w:val="13"/>
                <w:szCs w:val="13"/>
                <w:color w:val="212529"/>
                <w:spacing w:val="16"/>
                <w:w w:val="101"/>
              </w:rPr>
              <w:t xml:space="preserve"> </w:t>
            </w:r>
            <w:r>
              <w:rPr>
                <w:sz w:val="13"/>
                <w:szCs w:val="13"/>
                <w:color w:val="212529"/>
                <w:spacing w:val="3"/>
              </w:rPr>
              <w:t>50</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89.97</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87.84</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2.13</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19.37</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19.37</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337"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6.91</w:t>
            </w:r>
          </w:p>
        </w:tc>
        <w:tc>
          <w:tcPr>
            <w:tcW w:w="1361" w:type="dxa"/>
            <w:vAlign w:val="top"/>
          </w:tcPr>
          <w:p>
            <w:pPr>
              <w:pStyle w:val="TableText"/>
              <w:rPr/>
            </w:pPr>
            <w:r/>
          </w:p>
        </w:tc>
        <w:tc>
          <w:tcPr>
            <w:tcW w:w="1280" w:type="dxa"/>
            <w:vAlign w:val="top"/>
          </w:tcPr>
          <w:p>
            <w:pPr>
              <w:pStyle w:val="TableText"/>
              <w:ind w:left="930"/>
              <w:spacing w:before="102" w:line="187" w:lineRule="auto"/>
              <w:rPr>
                <w:sz w:val="13"/>
                <w:szCs w:val="13"/>
              </w:rPr>
            </w:pPr>
            <w:r>
              <w:rPr>
                <w:sz w:val="13"/>
                <w:szCs w:val="13"/>
                <w:color w:val="212529"/>
                <w:spacing w:val="3"/>
              </w:rPr>
              <w:t>6.</w:t>
            </w:r>
            <w:r>
              <w:rPr>
                <w:sz w:val="13"/>
                <w:szCs w:val="13"/>
                <w:color w:val="212529"/>
                <w:spacing w:val="3"/>
              </w:rPr>
              <w:t xml:space="preserve"> </w:t>
            </w:r>
            <w:r>
              <w:rPr>
                <w:sz w:val="13"/>
                <w:szCs w:val="13"/>
                <w:color w:val="212529"/>
                <w:spacing w:val="3"/>
              </w:rPr>
              <w:t>91</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6.91</w:t>
            </w:r>
          </w:p>
        </w:tc>
        <w:tc>
          <w:tcPr>
            <w:tcW w:w="1361" w:type="dxa"/>
            <w:vAlign w:val="top"/>
          </w:tcPr>
          <w:p>
            <w:pPr>
              <w:pStyle w:val="TableText"/>
              <w:rPr/>
            </w:pPr>
            <w:r/>
          </w:p>
        </w:tc>
        <w:tc>
          <w:tcPr>
            <w:tcW w:w="1280"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6.91</w:t>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361" w:type="dxa"/>
            <w:vAlign w:val="top"/>
          </w:tcPr>
          <w:p>
            <w:pPr>
              <w:pStyle w:val="TableText"/>
              <w:ind w:left="1011"/>
              <w:spacing w:before="104" w:line="172" w:lineRule="auto"/>
              <w:rPr>
                <w:sz w:val="14"/>
                <w:szCs w:val="14"/>
              </w:rPr>
            </w:pPr>
            <w:r>
              <w:rPr>
                <w:sz w:val="14"/>
                <w:szCs w:val="14"/>
                <w:color w:val="212529"/>
              </w:rPr>
              <w:t>4.</w:t>
            </w:r>
            <w:r>
              <w:rPr>
                <w:sz w:val="14"/>
                <w:szCs w:val="14"/>
                <w:color w:val="212529"/>
              </w:rPr>
              <w:t xml:space="preserve"> </w:t>
            </w:r>
            <w:r>
              <w:rPr>
                <w:sz w:val="14"/>
                <w:szCs w:val="14"/>
                <w:color w:val="212529"/>
              </w:rPr>
              <w:t>55</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280"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61" w:type="dxa"/>
            <w:vAlign w:val="top"/>
          </w:tcPr>
          <w:p>
            <w:pPr>
              <w:pStyle w:val="TableText"/>
              <w:ind w:left="1012"/>
              <w:spacing w:before="104" w:line="186" w:lineRule="auto"/>
              <w:rPr>
                <w:sz w:val="13"/>
                <w:szCs w:val="13"/>
              </w:rPr>
            </w:pPr>
            <w:r>
              <w:rPr>
                <w:sz w:val="13"/>
                <w:szCs w:val="13"/>
                <w:color w:val="212529"/>
                <w:spacing w:val="3"/>
              </w:rPr>
              <w:t>8.</w:t>
            </w:r>
            <w:r>
              <w:rPr>
                <w:sz w:val="13"/>
                <w:szCs w:val="13"/>
                <w:color w:val="212529"/>
                <w:spacing w:val="3"/>
              </w:rPr>
              <w:t xml:space="preserve"> </w:t>
            </w:r>
            <w:r>
              <w:rPr>
                <w:sz w:val="13"/>
                <w:szCs w:val="13"/>
                <w:color w:val="212529"/>
                <w:spacing w:val="3"/>
              </w:rPr>
              <w:t>71</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61" w:type="dxa"/>
            <w:vAlign w:val="top"/>
          </w:tcPr>
          <w:p>
            <w:pPr>
              <w:pStyle w:val="TableText"/>
              <w:ind w:left="1012"/>
              <w:spacing w:before="104" w:line="186" w:lineRule="auto"/>
              <w:rPr>
                <w:sz w:val="13"/>
                <w:szCs w:val="13"/>
              </w:rPr>
            </w:pPr>
            <w:r>
              <w:rPr>
                <w:sz w:val="13"/>
                <w:szCs w:val="13"/>
                <w:color w:val="212529"/>
                <w:spacing w:val="3"/>
              </w:rPr>
              <w:t>8.</w:t>
            </w:r>
            <w:r>
              <w:rPr>
                <w:sz w:val="13"/>
                <w:szCs w:val="13"/>
                <w:color w:val="212529"/>
                <w:spacing w:val="3"/>
              </w:rPr>
              <w:t xml:space="preserve"> </w:t>
            </w:r>
            <w:r>
              <w:rPr>
                <w:sz w:val="13"/>
                <w:szCs w:val="13"/>
                <w:color w:val="212529"/>
                <w:spacing w:val="3"/>
              </w:rPr>
              <w:t>71</w:t>
            </w:r>
          </w:p>
        </w:tc>
        <w:tc>
          <w:tcPr>
            <w:tcW w:w="1280"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280" w:type="dxa"/>
            <w:vAlign w:val="top"/>
          </w:tcPr>
          <w:p>
            <w:pPr>
              <w:pStyle w:val="TableText"/>
              <w:rPr/>
            </w:pPr>
            <w:r/>
          </w:p>
        </w:tc>
      </w:tr>
    </w:tbl>
    <w:p>
      <w:pPr>
        <w:pStyle w:val="BodyText"/>
        <w:rPr/>
      </w:pPr>
      <w:r/>
    </w:p>
    <w:p>
      <w:pPr>
        <w:sectPr>
          <w:headerReference w:type="default" r:id="rId9"/>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128.41</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120.79</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120.79</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128.</w:t>
            </w:r>
            <w:r>
              <w:rPr>
                <w:sz w:val="13"/>
                <w:szCs w:val="13"/>
                <w:color w:val="212529"/>
                <w:spacing w:val="10"/>
                <w:w w:val="101"/>
              </w:rPr>
              <w:t xml:space="preserve"> </w:t>
            </w:r>
            <w:r>
              <w:rPr>
                <w:sz w:val="13"/>
                <w:szCs w:val="13"/>
                <w:color w:val="212529"/>
                <w:spacing w:val="2"/>
              </w:rPr>
              <w:t>41</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140.</w:t>
            </w:r>
            <w:r>
              <w:rPr>
                <w:sz w:val="13"/>
                <w:szCs w:val="13"/>
                <w:color w:val="212529"/>
                <w:spacing w:val="18"/>
                <w:w w:val="101"/>
              </w:rPr>
              <w:t xml:space="preserve"> </w:t>
            </w:r>
            <w:r>
              <w:rPr>
                <w:sz w:val="13"/>
                <w:szCs w:val="13"/>
                <w:color w:val="212529"/>
                <w:spacing w:val="2"/>
              </w:rPr>
              <w:t>60</w:t>
            </w:r>
          </w:p>
        </w:tc>
        <w:tc>
          <w:tcPr>
            <w:tcW w:w="1069" w:type="dxa"/>
            <w:vAlign w:val="top"/>
          </w:tcPr>
          <w:p>
            <w:pPr>
              <w:pStyle w:val="TableText"/>
              <w:ind w:left="296"/>
              <w:spacing w:before="137" w:line="162" w:lineRule="auto"/>
              <w:rPr>
                <w:sz w:val="15"/>
                <w:szCs w:val="15"/>
              </w:rPr>
            </w:pPr>
            <w:r>
              <w:rPr>
                <w:sz w:val="15"/>
                <w:szCs w:val="15"/>
                <w:color w:val="212529"/>
                <w:spacing w:val="1"/>
              </w:rPr>
              <w:t>140.60</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140.</w:t>
            </w:r>
            <w:r>
              <w:rPr>
                <w:sz w:val="13"/>
                <w:szCs w:val="13"/>
                <w:color w:val="212529"/>
                <w:spacing w:val="18"/>
                <w:w w:val="101"/>
              </w:rPr>
              <w:t xml:space="preserve"> </w:t>
            </w:r>
            <w:r>
              <w:rPr>
                <w:sz w:val="13"/>
                <w:szCs w:val="13"/>
                <w:color w:val="212529"/>
                <w:spacing w:val="2"/>
              </w:rPr>
              <w:t>60</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140.</w:t>
            </w:r>
            <w:r>
              <w:rPr>
                <w:sz w:val="13"/>
                <w:szCs w:val="13"/>
                <w:color w:val="212529"/>
                <w:spacing w:val="18"/>
                <w:w w:val="101"/>
              </w:rPr>
              <w:t xml:space="preserve"> </w:t>
            </w:r>
            <w:r>
              <w:rPr>
                <w:sz w:val="13"/>
                <w:szCs w:val="13"/>
                <w:color w:val="212529"/>
                <w:spacing w:val="2"/>
              </w:rPr>
              <w:t>60</w:t>
            </w:r>
          </w:p>
        </w:tc>
        <w:tc>
          <w:tcPr>
            <w:tcW w:w="1069" w:type="dxa"/>
            <w:vAlign w:val="top"/>
          </w:tcPr>
          <w:p>
            <w:pPr>
              <w:pStyle w:val="TableText"/>
              <w:ind w:left="296"/>
              <w:spacing w:before="135" w:line="162" w:lineRule="auto"/>
              <w:rPr>
                <w:sz w:val="15"/>
                <w:szCs w:val="15"/>
              </w:rPr>
            </w:pPr>
            <w:r>
              <w:rPr>
                <w:sz w:val="15"/>
                <w:szCs w:val="15"/>
                <w:color w:val="212529"/>
                <w:spacing w:val="1"/>
              </w:rPr>
              <w:t>140.60</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128.</w:t>
            </w:r>
            <w:r>
              <w:rPr>
                <w:sz w:val="13"/>
                <w:szCs w:val="13"/>
                <w:color w:val="212529"/>
                <w:spacing w:val="10"/>
                <w:w w:val="101"/>
              </w:rPr>
              <w:t xml:space="preserve"> </w:t>
            </w:r>
            <w:r>
              <w:rPr>
                <w:sz w:val="13"/>
                <w:szCs w:val="13"/>
                <w:color w:val="212529"/>
                <w:spacing w:val="2"/>
              </w:rPr>
              <w:t>41</w:t>
            </w:r>
          </w:p>
        </w:tc>
        <w:tc>
          <w:tcPr>
            <w:tcW w:w="1415" w:type="dxa"/>
            <w:vAlign w:val="top"/>
          </w:tcPr>
          <w:p>
            <w:pPr>
              <w:pStyle w:val="TableText"/>
              <w:ind w:left="914"/>
              <w:spacing w:before="87" w:line="186" w:lineRule="auto"/>
              <w:rPr>
                <w:sz w:val="13"/>
                <w:szCs w:val="13"/>
              </w:rPr>
            </w:pPr>
            <w:r>
              <w:rPr>
                <w:sz w:val="13"/>
                <w:szCs w:val="13"/>
                <w:color w:val="212529"/>
                <w:spacing w:val="3"/>
              </w:rPr>
              <w:t>112.</w:t>
            </w:r>
            <w:r>
              <w:rPr>
                <w:sz w:val="13"/>
                <w:szCs w:val="13"/>
                <w:color w:val="212529"/>
                <w:spacing w:val="11"/>
                <w:w w:val="102"/>
              </w:rPr>
              <w:t xml:space="preserve"> </w:t>
            </w:r>
            <w:r>
              <w:rPr>
                <w:sz w:val="13"/>
                <w:szCs w:val="13"/>
                <w:color w:val="212529"/>
                <w:spacing w:val="3"/>
              </w:rPr>
              <w:t>19</w:t>
            </w:r>
          </w:p>
        </w:tc>
        <w:tc>
          <w:tcPr>
            <w:tcW w:w="1377" w:type="dxa"/>
            <w:vAlign w:val="top"/>
          </w:tcPr>
          <w:p>
            <w:pPr>
              <w:pStyle w:val="TableText"/>
              <w:ind w:left="957"/>
              <w:spacing w:before="87" w:line="186" w:lineRule="auto"/>
              <w:rPr>
                <w:sz w:val="13"/>
                <w:szCs w:val="13"/>
              </w:rPr>
            </w:pPr>
            <w:r>
              <w:rPr>
                <w:sz w:val="13"/>
                <w:szCs w:val="13"/>
                <w:color w:val="212529"/>
                <w:spacing w:val="1"/>
              </w:rPr>
              <w:t>16.</w:t>
            </w:r>
            <w:r>
              <w:rPr>
                <w:sz w:val="13"/>
                <w:szCs w:val="13"/>
                <w:color w:val="212529"/>
                <w:spacing w:val="15"/>
                <w:w w:val="101"/>
              </w:rPr>
              <w:t xml:space="preserve"> </w:t>
            </w:r>
            <w:r>
              <w:rPr>
                <w:sz w:val="13"/>
                <w:szCs w:val="13"/>
                <w:color w:val="212529"/>
                <w:spacing w:val="1"/>
              </w:rPr>
              <w:t>22</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108.60</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92.38</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16.22</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104.06</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87.84</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16.22</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89.97</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87.84</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2.13</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14.09</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14.09</w:t>
            </w:r>
          </w:p>
        </w:tc>
      </w:tr>
      <w:tr>
        <w:trPr>
          <w:trHeight w:val="292" w:hRule="atLeast"/>
        </w:trPr>
        <w:tc>
          <w:tcPr>
            <w:tcW w:w="1679"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377" w:type="dxa"/>
            <w:vAlign w:val="top"/>
          </w:tcPr>
          <w:p>
            <w:pPr>
              <w:pStyle w:val="TableText"/>
              <w:rPr/>
            </w:pPr>
            <w:r/>
          </w:p>
        </w:tc>
      </w:tr>
    </w:tbl>
    <w:p>
      <w:pPr>
        <w:pStyle w:val="BodyText"/>
        <w:rPr/>
      </w:pPr>
      <w:r/>
    </w:p>
    <w:p>
      <w:pPr>
        <w:sectPr>
          <w:headerReference w:type="default" r:id="rId9"/>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112.</w:t>
            </w:r>
            <w:r>
              <w:rPr>
                <w:sz w:val="13"/>
                <w:szCs w:val="13"/>
                <w:color w:val="212529"/>
                <w:spacing w:val="17"/>
                <w:w w:val="102"/>
              </w:rPr>
              <w:t xml:space="preserve"> </w:t>
            </w:r>
            <w:r>
              <w:rPr>
                <w:sz w:val="13"/>
                <w:szCs w:val="13"/>
                <w:color w:val="212529"/>
                <w:spacing w:val="2"/>
              </w:rPr>
              <w:t>19</w:t>
            </w:r>
          </w:p>
        </w:tc>
        <w:tc>
          <w:tcPr>
            <w:tcW w:w="1199" w:type="dxa"/>
            <w:vAlign w:val="top"/>
          </w:tcPr>
          <w:p>
            <w:pPr>
              <w:pStyle w:val="TableText"/>
              <w:ind w:left="700"/>
              <w:spacing w:before="86" w:line="162" w:lineRule="auto"/>
              <w:rPr>
                <w:sz w:val="15"/>
                <w:szCs w:val="15"/>
              </w:rPr>
            </w:pPr>
            <w:r>
              <w:rPr>
                <w:sz w:val="15"/>
                <w:szCs w:val="15"/>
                <w:color w:val="212529"/>
              </w:rPr>
              <w:t>106.88</w:t>
            </w:r>
          </w:p>
        </w:tc>
        <w:tc>
          <w:tcPr>
            <w:tcW w:w="1042" w:type="dxa"/>
            <w:vAlign w:val="top"/>
          </w:tcPr>
          <w:p>
            <w:pPr>
              <w:pStyle w:val="TableText"/>
              <w:ind w:left="696"/>
              <w:spacing w:before="87" w:line="186" w:lineRule="auto"/>
              <w:rPr>
                <w:sz w:val="13"/>
                <w:szCs w:val="13"/>
              </w:rPr>
            </w:pPr>
            <w:r>
              <w:rPr>
                <w:sz w:val="13"/>
                <w:szCs w:val="13"/>
                <w:color w:val="212529"/>
                <w:spacing w:val="1"/>
              </w:rPr>
              <w:t>5.</w:t>
            </w:r>
            <w:r>
              <w:rPr>
                <w:sz w:val="13"/>
                <w:szCs w:val="13"/>
                <w:color w:val="212529"/>
                <w:spacing w:val="9"/>
                <w:w w:val="101"/>
              </w:rPr>
              <w:t xml:space="preserve"> </w:t>
            </w:r>
            <w:r>
              <w:rPr>
                <w:sz w:val="13"/>
                <w:szCs w:val="13"/>
                <w:color w:val="212529"/>
                <w:spacing w:val="1"/>
              </w:rPr>
              <w:t>31</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106.88</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106.88</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41.60</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41.60</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6.78</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6.78</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26.15</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26.15</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11.09</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0.25</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0.25</w:t>
            </w:r>
          </w:p>
        </w:tc>
        <w:tc>
          <w:tcPr>
            <w:tcW w:w="1042" w:type="dxa"/>
            <w:vAlign w:val="top"/>
          </w:tcPr>
          <w:p>
            <w:pPr>
              <w:pStyle w:val="TableText"/>
              <w:rPr/>
            </w:pPr>
            <w:r/>
          </w:p>
        </w:tc>
      </w:tr>
      <w:tr>
        <w:trPr>
          <w:trHeight w:val="292"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8.71</w:t>
            </w:r>
          </w:p>
        </w:tc>
        <w:tc>
          <w:tcPr>
            <w:tcW w:w="1042" w:type="dxa"/>
            <w:vAlign w:val="top"/>
          </w:tcPr>
          <w:p>
            <w:pPr>
              <w:pStyle w:val="TableText"/>
              <w:rPr/>
            </w:pPr>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7.78</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7.78</w:t>
            </w:r>
          </w:p>
        </w:tc>
        <w:tc>
          <w:tcPr>
            <w:tcW w:w="1042" w:type="dxa"/>
            <w:vAlign w:val="top"/>
          </w:tcPr>
          <w:p>
            <w:pPr>
              <w:pStyle w:val="TableText"/>
              <w:rPr/>
            </w:pPr>
            <w:r/>
          </w:p>
        </w:tc>
      </w:tr>
      <w:tr>
        <w:trPr>
          <w:trHeight w:val="293" w:hRule="atLeast"/>
        </w:trPr>
        <w:tc>
          <w:tcPr>
            <w:tcW w:w="334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5.31</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5.31</w:t>
            </w:r>
          </w:p>
        </w:tc>
      </w:tr>
      <w:tr>
        <w:trPr>
          <w:trHeight w:val="293" w:hRule="atLeast"/>
        </w:trPr>
        <w:tc>
          <w:tcPr>
            <w:tcW w:w="3342"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r>
      <w:tr>
        <w:trPr>
          <w:trHeight w:val="292"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r>
      <w:tr>
        <w:trPr>
          <w:trHeight w:val="298"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2.43</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2.43</w:t>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6"/>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9"/>
          <w:footerReference w:type="default" r:id="rId23"/>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ind w:left="111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兴县蔚汾镇卫生院肖家洼分院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16.22</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16.22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1.27</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29" w:line="209"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1.10</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1.49</w:t>
            </w:r>
          </w:p>
        </w:tc>
        <w:tc>
          <w:tcPr>
            <w:tcW w:w="1080"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14"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080" w:type="dxa"/>
            <w:vAlign w:val="top"/>
          </w:tcPr>
          <w:p>
            <w:pPr>
              <w:ind w:right="19"/>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14"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展补助资金（村卫生室药品零差率）晋财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3.53</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0"/>
              </w:rPr>
              <w:t>副高职称补助</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2.13</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19"/>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80"/>
        <w:gridCol w:w="1264"/>
        <w:gridCol w:w="1382"/>
        <w:gridCol w:w="1328"/>
        <w:gridCol w:w="1204"/>
      </w:tblGrid>
      <w:tr>
        <w:trPr>
          <w:trHeight w:val="384" w:hRule="atLeast"/>
        </w:trPr>
        <w:tc>
          <w:tcPr>
            <w:tcW w:w="39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0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单位名称：兴县蔚汾镇卫生院肖家洼分院</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80" w:type="dxa"/>
            <w:vAlign w:val="top"/>
            <w:vMerge w:val="restart"/>
            <w:tcBorders>
              <w:bottom w:val="nil"/>
            </w:tcBorders>
          </w:tcPr>
          <w:p>
            <w:pPr>
              <w:ind w:left="1652"/>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14" w:type="dxa"/>
            <w:vAlign w:val="top"/>
            <w:gridSpan w:val="3"/>
          </w:tcPr>
          <w:p>
            <w:pPr>
              <w:ind w:left="138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8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82" w:type="dxa"/>
            <w:vAlign w:val="top"/>
          </w:tcPr>
          <w:p>
            <w:pPr>
              <w:ind w:left="19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51"/>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4"/>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80" w:type="dxa"/>
            <w:vAlign w:val="top"/>
          </w:tcPr>
          <w:p>
            <w:pPr>
              <w:ind w:left="1950"/>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6"/>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80"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1382"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1"/>
              </w:rPr>
              <w:t>兴县蔚汾镇卫生院肖家洼分院</w:t>
            </w:r>
          </w:p>
        </w:tc>
        <w:tc>
          <w:tcPr>
            <w:tcW w:w="126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1382"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12.19</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80" w:type="dxa"/>
            <w:vAlign w:val="top"/>
          </w:tcPr>
          <w:p>
            <w:pPr>
              <w:ind w:left="6" w:right="80" w:firstLine="170"/>
              <w:spacing w:before="31" w:line="208" w:lineRule="auto"/>
              <w:rPr>
                <w:rFonts w:ascii="SimSun" w:hAnsi="SimSun" w:eastAsia="SimSun" w:cs="SimSun"/>
                <w:sz w:val="15"/>
                <w:szCs w:val="15"/>
              </w:rPr>
            </w:pPr>
            <w:r>
              <w:rPr>
                <w:rFonts w:ascii="SimSun" w:hAnsi="SimSun" w:eastAsia="SimSun" w:cs="SimSun"/>
                <w:sz w:val="15"/>
                <w:szCs w:val="15"/>
                <w:color w:val="212529"/>
                <w:spacing w:val="8"/>
              </w:rPr>
              <w:t>（兴财社〔2024〕69号）</w:t>
            </w:r>
            <w:r>
              <w:rPr>
                <w:rFonts w:ascii="SimSun" w:hAnsi="SimSun" w:eastAsia="SimSun" w:cs="SimSun"/>
                <w:sz w:val="15"/>
                <w:szCs w:val="15"/>
                <w:color w:val="212529"/>
                <w:spacing w:val="-23"/>
              </w:rPr>
              <w:t xml:space="preserve"> </w:t>
            </w:r>
            <w:r>
              <w:rPr>
                <w:rFonts w:ascii="SimSun" w:hAnsi="SimSun" w:eastAsia="SimSun" w:cs="SimSun"/>
                <w:sz w:val="15"/>
                <w:szCs w:val="15"/>
                <w:color w:val="212529"/>
                <w:spacing w:val="8"/>
              </w:rPr>
              <w:t>中央财政基本公共卫生服务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补助晋财社（2023）322号</w:t>
            </w:r>
          </w:p>
        </w:tc>
        <w:tc>
          <w:tcPr>
            <w:tcW w:w="1264"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6.91</w:t>
            </w:r>
          </w:p>
        </w:tc>
        <w:tc>
          <w:tcPr>
            <w:tcW w:w="1382"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6.91</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80" w:type="dxa"/>
            <w:vAlign w:val="top"/>
          </w:tcPr>
          <w:p>
            <w:pPr>
              <w:ind w:left="3" w:right="80" w:firstLine="187"/>
              <w:spacing w:before="31" w:line="208" w:lineRule="auto"/>
              <w:rPr>
                <w:rFonts w:ascii="SimSun" w:hAnsi="SimSun" w:eastAsia="SimSun" w:cs="SimSun"/>
                <w:sz w:val="15"/>
                <w:szCs w:val="15"/>
              </w:rPr>
            </w:pPr>
            <w:r>
              <w:rPr>
                <w:rFonts w:ascii="SimSun" w:hAnsi="SimSun" w:eastAsia="SimSun" w:cs="SimSun"/>
                <w:sz w:val="15"/>
                <w:szCs w:val="15"/>
                <w:color w:val="212529"/>
                <w:spacing w:val="9"/>
              </w:rPr>
              <w:t>〔兴财社〔2024〕72号〕村卫生室基药中央（晋财社</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6"/>
              </w:rPr>
              <w:t>【2023】326号）</w:t>
            </w:r>
          </w:p>
        </w:tc>
        <w:tc>
          <w:tcPr>
            <w:tcW w:w="1264"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3.06</w:t>
            </w:r>
          </w:p>
        </w:tc>
        <w:tc>
          <w:tcPr>
            <w:tcW w:w="1382"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3.06</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80" w:type="dxa"/>
            <w:vAlign w:val="top"/>
          </w:tcPr>
          <w:p>
            <w:pPr>
              <w:ind w:left="3" w:right="242" w:firstLine="187"/>
              <w:spacing w:before="31" w:line="208" w:lineRule="auto"/>
              <w:rPr>
                <w:rFonts w:ascii="SimSun" w:hAnsi="SimSun" w:eastAsia="SimSun" w:cs="SimSun"/>
                <w:sz w:val="15"/>
                <w:szCs w:val="15"/>
              </w:rPr>
            </w:pPr>
            <w:r>
              <w:rPr>
                <w:rFonts w:ascii="SimSun" w:hAnsi="SimSun" w:eastAsia="SimSun" w:cs="SimSun"/>
                <w:sz w:val="15"/>
                <w:szCs w:val="15"/>
                <w:color w:val="212529"/>
                <w:spacing w:val="9"/>
              </w:rPr>
              <w:t>〔兴财社〔2024〕72号〕卫生院基药中央（晋财社 </w:t>
            </w:r>
            <w:r>
              <w:rPr>
                <w:rFonts w:ascii="SimSun" w:hAnsi="SimSun" w:eastAsia="SimSun" w:cs="SimSun"/>
                <w:sz w:val="15"/>
                <w:szCs w:val="15"/>
                <w:color w:val="212529"/>
                <w:spacing w:val="6"/>
              </w:rPr>
              <w:t>【2023】326号）</w:t>
            </w:r>
          </w:p>
        </w:tc>
        <w:tc>
          <w:tcPr>
            <w:tcW w:w="1264"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82"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80" w:type="dxa"/>
            <w:vAlign w:val="top"/>
          </w:tcPr>
          <w:p>
            <w:pPr>
              <w:ind w:left="7" w:right="161" w:firstLine="164"/>
              <w:spacing w:before="32" w:line="207" w:lineRule="auto"/>
              <w:rPr>
                <w:rFonts w:ascii="SimSun" w:hAnsi="SimSun" w:eastAsia="SimSun" w:cs="SimSun"/>
                <w:sz w:val="15"/>
                <w:szCs w:val="15"/>
              </w:rPr>
            </w:pPr>
            <w:r>
              <w:rPr>
                <w:rFonts w:ascii="SimSun" w:hAnsi="SimSun" w:eastAsia="SimSun" w:cs="SimSun"/>
                <w:sz w:val="15"/>
                <w:szCs w:val="15"/>
                <w:color w:val="212529"/>
                <w:spacing w:val="8"/>
              </w:rPr>
              <w:t>兴财社〔2024〕769号吕财社[2024]10号--2</w:t>
            </w:r>
            <w:r>
              <w:rPr>
                <w:rFonts w:ascii="SimSun" w:hAnsi="SimSun" w:eastAsia="SimSun" w:cs="SimSun"/>
                <w:sz w:val="15"/>
                <w:szCs w:val="15"/>
                <w:color w:val="212529"/>
                <w:spacing w:val="7"/>
              </w:rPr>
              <w:t>024年行</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政村卫生室运行经费市级配套资金</w:t>
            </w:r>
          </w:p>
        </w:tc>
        <w:tc>
          <w:tcPr>
            <w:tcW w:w="1264"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82"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80" w:type="dxa"/>
            <w:vAlign w:val="top"/>
          </w:tcPr>
          <w:p>
            <w:pPr>
              <w:ind w:left="11" w:right="80" w:firstLine="160"/>
              <w:spacing w:before="32" w:line="210" w:lineRule="auto"/>
              <w:rPr>
                <w:rFonts w:ascii="SimSun" w:hAnsi="SimSun" w:eastAsia="SimSun" w:cs="SimSun"/>
                <w:sz w:val="15"/>
                <w:szCs w:val="15"/>
              </w:rPr>
            </w:pPr>
            <w:r>
              <w:rPr>
                <w:rFonts w:ascii="SimSun" w:hAnsi="SimSun" w:eastAsia="SimSun" w:cs="SimSun"/>
                <w:sz w:val="15"/>
                <w:szCs w:val="15"/>
                <w:color w:val="212529"/>
                <w:spacing w:val="8"/>
              </w:rPr>
              <w:t>兴财社〔2024〕460号吕财社[2024]15号-2024年村卫</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1"/>
              </w:rPr>
              <w:t>生室实施基本药物制度市级配套资金</w:t>
            </w:r>
          </w:p>
        </w:tc>
        <w:tc>
          <w:tcPr>
            <w:tcW w:w="1264"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0.64</w:t>
            </w:r>
          </w:p>
        </w:tc>
        <w:tc>
          <w:tcPr>
            <w:tcW w:w="1382"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0.64</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9"/>
          <w:footerReference w:type="default" r:id="rId26"/>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12"/>
        </w:rPr>
        <w:t>2025年度兴县蔚汾镇卫生院</w:t>
      </w:r>
      <w:r>
        <w:rPr>
          <w:rFonts w:ascii="FangSong" w:hAnsi="FangSong" w:eastAsia="FangSong" w:cs="FangSong"/>
          <w:sz w:val="23"/>
          <w:szCs w:val="23"/>
          <w:spacing w:val="-44"/>
        </w:rPr>
        <w:t xml:space="preserve"> </w:t>
      </w:r>
      <w:r>
        <w:rPr>
          <w:rFonts w:ascii="FangSong" w:hAnsi="FangSong" w:eastAsia="FangSong" w:cs="FangSong"/>
          <w:sz w:val="23"/>
          <w:szCs w:val="23"/>
          <w:spacing w:val="12"/>
        </w:rPr>
        <w:t>肖家洼分院预算收入总计140.60万元</w:t>
      </w:r>
      <w:r>
        <w:rPr>
          <w:rFonts w:ascii="FangSong" w:hAnsi="FangSong" w:eastAsia="FangSong" w:cs="FangSong"/>
          <w:sz w:val="23"/>
          <w:szCs w:val="23"/>
          <w:spacing w:val="-62"/>
        </w:rPr>
        <w:t xml:space="preserve"> </w:t>
      </w:r>
      <w:r>
        <w:rPr>
          <w:rFonts w:ascii="FangSong" w:hAnsi="FangSong" w:eastAsia="FangSong" w:cs="FangSong"/>
          <w:sz w:val="23"/>
          <w:szCs w:val="23"/>
          <w:spacing w:val="12"/>
        </w:rPr>
        <w:t>，其中：</w:t>
      </w:r>
      <w:r>
        <w:rPr>
          <w:rFonts w:ascii="FangSong" w:hAnsi="FangSong" w:eastAsia="FangSong" w:cs="FangSong"/>
          <w:sz w:val="23"/>
          <w:szCs w:val="23"/>
          <w:spacing w:val="-57"/>
        </w:rPr>
        <w:t xml:space="preserve"> </w:t>
      </w:r>
      <w:r>
        <w:rPr>
          <w:rFonts w:ascii="FangSong" w:hAnsi="FangSong" w:eastAsia="FangSong" w:cs="FangSong"/>
          <w:sz w:val="23"/>
          <w:szCs w:val="23"/>
          <w:spacing w:val="12"/>
        </w:rPr>
        <w:t>本年收入</w:t>
      </w:r>
      <w:r>
        <w:rPr>
          <w:rFonts w:ascii="FangSong" w:hAnsi="FangSong" w:eastAsia="FangSong" w:cs="FangSong"/>
          <w:sz w:val="23"/>
          <w:szCs w:val="23"/>
        </w:rPr>
        <w:t xml:space="preserve"> </w:t>
      </w:r>
      <w:r>
        <w:rPr>
          <w:rFonts w:ascii="FangSong" w:hAnsi="FangSong" w:eastAsia="FangSong" w:cs="FangSong"/>
          <w:sz w:val="23"/>
          <w:szCs w:val="23"/>
          <w:spacing w:val="3"/>
        </w:rPr>
        <w:t>128.41万元，上年结转12.19万元，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比上年减少57.51万元，下降29.03%，主要原因是公卫资</w:t>
      </w:r>
      <w:r>
        <w:rPr>
          <w:rFonts w:ascii="FangSong" w:hAnsi="FangSong" w:eastAsia="FangSong" w:cs="FangSong"/>
          <w:sz w:val="23"/>
          <w:szCs w:val="23"/>
        </w:rPr>
        <w:t xml:space="preserve"> </w:t>
      </w:r>
      <w:r>
        <w:rPr>
          <w:rFonts w:ascii="FangSong" w:hAnsi="FangSong" w:eastAsia="FangSong" w:cs="FangSong"/>
          <w:sz w:val="23"/>
          <w:szCs w:val="23"/>
          <w:spacing w:val="11"/>
        </w:rPr>
        <w:t>金减少</w:t>
      </w:r>
      <w:r>
        <w:rPr>
          <w:rFonts w:ascii="FangSong" w:hAnsi="FangSong" w:eastAsia="FangSong" w:cs="FangSong"/>
          <w:sz w:val="23"/>
          <w:szCs w:val="23"/>
          <w:spacing w:val="-51"/>
        </w:rPr>
        <w:t xml:space="preserve"> </w:t>
      </w:r>
      <w:r>
        <w:rPr>
          <w:rFonts w:ascii="FangSong" w:hAnsi="FangSong" w:eastAsia="FangSong" w:cs="FangSong"/>
          <w:sz w:val="23"/>
          <w:szCs w:val="23"/>
          <w:spacing w:val="11"/>
        </w:rPr>
        <w:t>，基药补助资金减少</w:t>
      </w:r>
      <w:r>
        <w:rPr>
          <w:rFonts w:ascii="FangSong" w:hAnsi="FangSong" w:eastAsia="FangSong" w:cs="FangSong"/>
          <w:sz w:val="23"/>
          <w:szCs w:val="23"/>
          <w:spacing w:val="-64"/>
        </w:rPr>
        <w:t xml:space="preserve"> </w:t>
      </w:r>
      <w:r>
        <w:rPr>
          <w:rFonts w:ascii="FangSong" w:hAnsi="FangSong" w:eastAsia="FangSong" w:cs="FangSong"/>
          <w:sz w:val="23"/>
          <w:szCs w:val="23"/>
          <w:spacing w:val="11"/>
        </w:rPr>
        <w:t>；本年单位预算支出总计140.60万元</w:t>
      </w:r>
      <w:r>
        <w:rPr>
          <w:rFonts w:ascii="FangSong" w:hAnsi="FangSong" w:eastAsia="FangSong" w:cs="FangSong"/>
          <w:sz w:val="23"/>
          <w:szCs w:val="23"/>
          <w:spacing w:val="-65"/>
        </w:rPr>
        <w:t xml:space="preserve"> </w:t>
      </w:r>
      <w:r>
        <w:rPr>
          <w:rFonts w:ascii="FangSong" w:hAnsi="FangSong" w:eastAsia="FangSong" w:cs="FangSong"/>
          <w:sz w:val="23"/>
          <w:szCs w:val="23"/>
          <w:spacing w:val="11"/>
        </w:rPr>
        <w:t>，其中：</w:t>
      </w:r>
      <w:r>
        <w:rPr>
          <w:rFonts w:ascii="FangSong" w:hAnsi="FangSong" w:eastAsia="FangSong" w:cs="FangSong"/>
          <w:sz w:val="23"/>
          <w:szCs w:val="23"/>
          <w:spacing w:val="-60"/>
        </w:rPr>
        <w:t xml:space="preserve"> </w:t>
      </w:r>
      <w:r>
        <w:rPr>
          <w:rFonts w:ascii="FangSong" w:hAnsi="FangSong" w:eastAsia="FangSong" w:cs="FangSong"/>
          <w:sz w:val="23"/>
          <w:szCs w:val="23"/>
          <w:spacing w:val="11"/>
        </w:rPr>
        <w:t>本年预算安排</w:t>
      </w:r>
      <w:r>
        <w:rPr>
          <w:rFonts w:ascii="FangSong" w:hAnsi="FangSong" w:eastAsia="FangSong" w:cs="FangSong"/>
          <w:sz w:val="23"/>
          <w:szCs w:val="23"/>
        </w:rPr>
        <w:t xml:space="preserve"> </w:t>
      </w:r>
      <w:r>
        <w:rPr>
          <w:rFonts w:ascii="FangSong" w:hAnsi="FangSong" w:eastAsia="FangSong" w:cs="FangSong"/>
          <w:sz w:val="23"/>
          <w:szCs w:val="23"/>
          <w:spacing w:val="3"/>
        </w:rPr>
        <w:t>128.41万元，上年结转12.19万元，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比上年减少57.51万元，下降29.03%，主要原因是公卫资</w:t>
      </w:r>
      <w:r>
        <w:rPr>
          <w:rFonts w:ascii="FangSong" w:hAnsi="FangSong" w:eastAsia="FangSong" w:cs="FangSong"/>
          <w:sz w:val="23"/>
          <w:szCs w:val="23"/>
        </w:rPr>
        <w:t xml:space="preserve"> </w:t>
      </w:r>
      <w:r>
        <w:rPr>
          <w:rFonts w:ascii="FangSong" w:hAnsi="FangSong" w:eastAsia="FangSong" w:cs="FangSong"/>
          <w:sz w:val="23"/>
          <w:szCs w:val="23"/>
          <w:spacing w:val="-1"/>
        </w:rPr>
        <w:t>金减少，基药补助资金减少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7"/>
        <w:spacing w:before="187" w:line="325" w:lineRule="auto"/>
        <w:jc w:val="both"/>
        <w:rPr>
          <w:rFonts w:ascii="FangSong" w:hAnsi="FangSong" w:eastAsia="FangSong" w:cs="FangSong"/>
          <w:sz w:val="23"/>
          <w:szCs w:val="23"/>
        </w:rPr>
      </w:pPr>
      <w:r>
        <w:rPr>
          <w:rFonts w:ascii="FangSong" w:hAnsi="FangSong" w:eastAsia="FangSong" w:cs="FangSong"/>
          <w:sz w:val="23"/>
          <w:szCs w:val="23"/>
          <w:spacing w:val="5"/>
        </w:rPr>
        <w:t>2025年度兴县蔚汾镇卫生院肖家洼分院预算收入140.60万元，主要包括一般公共预算拨</w:t>
      </w:r>
      <w:r>
        <w:rPr>
          <w:rFonts w:ascii="FangSong" w:hAnsi="FangSong" w:eastAsia="FangSong" w:cs="FangSong"/>
          <w:sz w:val="23"/>
          <w:szCs w:val="23"/>
        </w:rPr>
        <w:t xml:space="preserve"> </w:t>
      </w:r>
      <w:r>
        <w:rPr>
          <w:rFonts w:ascii="FangSong" w:hAnsi="FangSong" w:eastAsia="FangSong" w:cs="FangSong"/>
          <w:sz w:val="23"/>
          <w:szCs w:val="23"/>
        </w:rPr>
        <w:t>款收入128.41万元，</w:t>
      </w:r>
      <w:r>
        <w:rPr>
          <w:rFonts w:ascii="FangSong" w:hAnsi="FangSong" w:eastAsia="FangSong" w:cs="FangSong"/>
          <w:sz w:val="23"/>
          <w:szCs w:val="23"/>
          <w:spacing w:val="-57"/>
        </w:rPr>
        <w:t xml:space="preserve"> </w:t>
      </w:r>
      <w:r>
        <w:rPr>
          <w:rFonts w:ascii="FangSong" w:hAnsi="FangSong" w:eastAsia="FangSong" w:cs="FangSong"/>
          <w:sz w:val="23"/>
          <w:szCs w:val="23"/>
        </w:rPr>
        <w:t>占91.33%；政府性基金预算拨款</w:t>
      </w:r>
      <w:r>
        <w:rPr>
          <w:rFonts w:ascii="FangSong" w:hAnsi="FangSong" w:eastAsia="FangSong" w:cs="FangSong"/>
          <w:sz w:val="23"/>
          <w:szCs w:val="23"/>
          <w:spacing w:val="-1"/>
        </w:rPr>
        <w:t>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占0%；国有资本经营预算拨</w:t>
      </w:r>
      <w:r>
        <w:rPr>
          <w:rFonts w:ascii="FangSong" w:hAnsi="FangSong" w:eastAsia="FangSong" w:cs="FangSong"/>
          <w:sz w:val="23"/>
          <w:szCs w:val="23"/>
        </w:rPr>
        <w:t xml:space="preserve"> </w:t>
      </w:r>
      <w:r>
        <w:rPr>
          <w:rFonts w:ascii="FangSong" w:hAnsi="FangSong" w:eastAsia="FangSong" w:cs="FangSong"/>
          <w:sz w:val="23"/>
          <w:szCs w:val="23"/>
          <w:spacing w:val="-2"/>
        </w:rPr>
        <w:t>款收入0万元，</w:t>
      </w:r>
      <w:r>
        <w:rPr>
          <w:rFonts w:ascii="FangSong" w:hAnsi="FangSong" w:eastAsia="FangSong" w:cs="FangSong"/>
          <w:sz w:val="23"/>
          <w:szCs w:val="23"/>
          <w:spacing w:val="-44"/>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占0%；上年结转</w:t>
      </w:r>
      <w:r>
        <w:rPr>
          <w:rFonts w:ascii="FangSong" w:hAnsi="FangSong" w:eastAsia="FangSong" w:cs="FangSong"/>
          <w:sz w:val="23"/>
          <w:szCs w:val="23"/>
        </w:rPr>
        <w:t xml:space="preserve"> </w:t>
      </w:r>
      <w:r>
        <w:rPr>
          <w:rFonts w:ascii="FangSong" w:hAnsi="FangSong" w:eastAsia="FangSong" w:cs="FangSong"/>
          <w:sz w:val="23"/>
          <w:szCs w:val="23"/>
          <w:spacing w:val="-5"/>
        </w:rPr>
        <w:t>12.19万元，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占8.67%。</w:t>
      </w:r>
    </w:p>
    <w:p>
      <w:pPr>
        <w:pStyle w:val="BodyText"/>
        <w:spacing w:line="353" w:lineRule="auto"/>
        <w:rPr/>
      </w:pPr>
      <w:r/>
    </w:p>
    <w:p>
      <w:pPr>
        <w:ind w:firstLine="3445"/>
        <w:spacing w:line="2816" w:lineRule="exact"/>
        <w:rPr/>
      </w:pPr>
      <w:r>
        <w:rPr>
          <w:position w:val="-56"/>
        </w:rPr>
        <w:drawing>
          <wp:inline distT="0" distB="0" distL="0" distR="0">
            <wp:extent cx="2688869" cy="1788107"/>
            <wp:effectExtent l="0" t="0" r="0" b="0"/>
            <wp:docPr id="4" name="IM 4"/>
            <wp:cNvGraphicFramePr/>
            <a:graphic>
              <a:graphicData uri="http://schemas.openxmlformats.org/drawingml/2006/picture">
                <pic:pic>
                  <pic:nvPicPr>
                    <pic:cNvPr id="4" name="IM 4"/>
                    <pic:cNvPicPr/>
                  </pic:nvPicPr>
                  <pic:blipFill>
                    <a:blip r:embed="rId29"/>
                    <a:stretch>
                      <a:fillRect/>
                    </a:stretch>
                  </pic:blipFill>
                  <pic:spPr>
                    <a:xfrm rot="0">
                      <a:off x="0" y="0"/>
                      <a:ext cx="2688869" cy="1788107"/>
                    </a:xfrm>
                    <a:prstGeom prst="rect">
                      <a:avLst/>
                    </a:prstGeom>
                  </pic:spPr>
                </pic:pic>
              </a:graphicData>
            </a:graphic>
          </wp:inline>
        </w:drawing>
      </w:r>
    </w:p>
    <w:p>
      <w:pPr>
        <w:pStyle w:val="BodyText"/>
        <w:spacing w:line="304" w:lineRule="auto"/>
        <w:rPr/>
      </w:pPr>
      <w:r/>
    </w:p>
    <w:p>
      <w:pPr>
        <w:pStyle w:val="BodyText"/>
        <w:spacing w:line="304" w:lineRule="auto"/>
        <w:rPr/>
      </w:pPr>
      <w:r/>
    </w:p>
    <w:p>
      <w:pPr>
        <w:ind w:left="1262"/>
        <w:spacing w:before="94"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67" w:right="1223" w:firstLine="453"/>
        <w:spacing w:before="174" w:line="324" w:lineRule="auto"/>
        <w:rPr>
          <w:rFonts w:ascii="FangSong" w:hAnsi="FangSong" w:eastAsia="FangSong" w:cs="FangSong"/>
          <w:sz w:val="23"/>
          <w:szCs w:val="23"/>
        </w:rPr>
      </w:pPr>
      <w:r>
        <w:rPr>
          <w:rFonts w:ascii="FangSong" w:hAnsi="FangSong" w:eastAsia="FangSong" w:cs="FangSong"/>
          <w:sz w:val="23"/>
          <w:szCs w:val="23"/>
          <w:spacing w:val="7"/>
        </w:rPr>
        <w:t>2025年度兴县蔚汾镇卫生院肖家洼分院支出预算140.6万元，其中：基本支出112.19万</w:t>
      </w:r>
      <w:r>
        <w:rPr>
          <w:rFonts w:ascii="FangSong" w:hAnsi="FangSong" w:eastAsia="FangSong" w:cs="FangSong"/>
          <w:sz w:val="23"/>
          <w:szCs w:val="23"/>
          <w:spacing w:val="14"/>
        </w:rPr>
        <w:t xml:space="preserve"> </w:t>
      </w:r>
      <w:r>
        <w:rPr>
          <w:rFonts w:ascii="FangSong" w:hAnsi="FangSong" w:eastAsia="FangSong" w:cs="FangSong"/>
          <w:sz w:val="23"/>
          <w:szCs w:val="23"/>
          <w:spacing w:val="-4"/>
        </w:rPr>
        <w:t>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占79.79%；项目支出28.41万元，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占20.21%。</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75" w:line="324" w:lineRule="auto"/>
        <w:rPr>
          <w:rFonts w:ascii="FangSong" w:hAnsi="FangSong" w:eastAsia="FangSong" w:cs="FangSong"/>
          <w:sz w:val="23"/>
          <w:szCs w:val="23"/>
        </w:rPr>
      </w:pPr>
      <w:r>
        <w:rPr>
          <w:rFonts w:ascii="FangSong" w:hAnsi="FangSong" w:eastAsia="FangSong" w:cs="FangSong"/>
          <w:sz w:val="23"/>
          <w:szCs w:val="23"/>
          <w:spacing w:val="5"/>
        </w:rPr>
        <w:t>2025年度兴县蔚汾镇卫生院肖家洼分院财政拨款收支总预算140.60万元。其中：一般公</w:t>
      </w:r>
      <w:r>
        <w:rPr>
          <w:rFonts w:ascii="FangSong" w:hAnsi="FangSong" w:eastAsia="FangSong" w:cs="FangSong"/>
          <w:sz w:val="23"/>
          <w:szCs w:val="23"/>
        </w:rPr>
        <w:t xml:space="preserve"> </w:t>
      </w:r>
      <w:r>
        <w:rPr>
          <w:rFonts w:ascii="FangSong" w:hAnsi="FangSong" w:eastAsia="FangSong" w:cs="FangSong"/>
          <w:sz w:val="23"/>
          <w:szCs w:val="23"/>
          <w:spacing w:val="4"/>
        </w:rPr>
        <w:t>共预算拨款140.60万元，政府性基金预算拨款0</w:t>
      </w:r>
      <w:r>
        <w:rPr>
          <w:rFonts w:ascii="FangSong" w:hAnsi="FangSong" w:eastAsia="FangSong" w:cs="FangSong"/>
          <w:sz w:val="23"/>
          <w:szCs w:val="23"/>
          <w:spacing w:val="3"/>
        </w:rPr>
        <w:t>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rPr>
        <w:t xml:space="preserve"> </w:t>
      </w:r>
      <w:r>
        <w:rPr>
          <w:rFonts w:ascii="FangSong" w:hAnsi="FangSong" w:eastAsia="FangSong" w:cs="FangSong"/>
          <w:sz w:val="23"/>
          <w:szCs w:val="23"/>
          <w:spacing w:val="4"/>
        </w:rPr>
        <w:t>当年拨款收入128.41万元，上年结转收入12.19万元。支出包括：社会保障和就业支出11.09</w:t>
      </w:r>
      <w:r>
        <w:rPr>
          <w:rFonts w:ascii="FangSong" w:hAnsi="FangSong" w:eastAsia="FangSong" w:cs="FangSong"/>
          <w:sz w:val="23"/>
          <w:szCs w:val="23"/>
          <w:spacing w:val="17"/>
        </w:rPr>
        <w:t xml:space="preserve"> </w:t>
      </w:r>
      <w:r>
        <w:rPr>
          <w:rFonts w:ascii="FangSong" w:hAnsi="FangSong" w:eastAsia="FangSong" w:cs="FangSong"/>
          <w:sz w:val="23"/>
          <w:szCs w:val="23"/>
        </w:rPr>
        <w:t>万元、卫生健康支出120.79万元、住房保障支出8.71万</w:t>
      </w:r>
      <w:r>
        <w:rPr>
          <w:rFonts w:ascii="FangSong" w:hAnsi="FangSong" w:eastAsia="FangSong" w:cs="FangSong"/>
          <w:sz w:val="23"/>
          <w:szCs w:val="23"/>
          <w:spacing w:val="-1"/>
        </w:rPr>
        <w:t>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8" w:right="1223" w:firstLine="462"/>
        <w:spacing w:before="125" w:line="325" w:lineRule="auto"/>
        <w:rPr>
          <w:rFonts w:ascii="FangSong" w:hAnsi="FangSong" w:eastAsia="FangSong" w:cs="FangSong"/>
          <w:sz w:val="23"/>
          <w:szCs w:val="23"/>
        </w:rPr>
      </w:pPr>
      <w:r>
        <w:rPr>
          <w:rFonts w:ascii="FangSong" w:hAnsi="FangSong" w:eastAsia="FangSong" w:cs="FangSong"/>
          <w:sz w:val="23"/>
          <w:szCs w:val="23"/>
          <w:spacing w:val="7"/>
        </w:rPr>
        <w:t>2025年度兴县蔚汾镇卫生院肖家洼分院一</w:t>
      </w:r>
      <w:r>
        <w:rPr>
          <w:rFonts w:ascii="FangSong" w:hAnsi="FangSong" w:eastAsia="FangSong" w:cs="FangSong"/>
          <w:sz w:val="23"/>
          <w:szCs w:val="23"/>
          <w:spacing w:val="6"/>
        </w:rPr>
        <w:t>般公共预算当年支出128.41万元,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60.76万元，下降32.12%。</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9" w:right="1223" w:firstLine="451"/>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2025年度兴县蔚汾镇卫生院肖家洼分院一般公共预算当年支出128.41万元,主要用于以下</w:t>
      </w:r>
      <w:r>
        <w:rPr>
          <w:rFonts w:ascii="FangSong" w:hAnsi="FangSong" w:eastAsia="FangSong" w:cs="FangSong"/>
          <w:sz w:val="23"/>
          <w:szCs w:val="23"/>
          <w:spacing w:val="11"/>
        </w:rPr>
        <w:t xml:space="preserve"> </w:t>
      </w:r>
      <w:r>
        <w:rPr>
          <w:rFonts w:ascii="FangSong" w:hAnsi="FangSong" w:eastAsia="FangSong" w:cs="FangSong"/>
          <w:sz w:val="23"/>
          <w:szCs w:val="23"/>
          <w:spacing w:val="2"/>
        </w:rPr>
        <w:t>方面：社会保障和就业支出11.09万元，</w:t>
      </w:r>
      <w:r>
        <w:rPr>
          <w:rFonts w:ascii="FangSong" w:hAnsi="FangSong" w:eastAsia="FangSong" w:cs="FangSong"/>
          <w:sz w:val="23"/>
          <w:szCs w:val="23"/>
          <w:spacing w:val="-52"/>
        </w:rPr>
        <w:t xml:space="preserve"> </w:t>
      </w:r>
      <w:r>
        <w:rPr>
          <w:rFonts w:ascii="FangSong" w:hAnsi="FangSong" w:eastAsia="FangSong" w:cs="FangSong"/>
          <w:sz w:val="23"/>
          <w:szCs w:val="23"/>
          <w:spacing w:val="2"/>
        </w:rPr>
        <w:t>占8.64%；卫生健</w:t>
      </w:r>
      <w:r>
        <w:rPr>
          <w:rFonts w:ascii="FangSong" w:hAnsi="FangSong" w:eastAsia="FangSong" w:cs="FangSong"/>
          <w:sz w:val="23"/>
          <w:szCs w:val="23"/>
          <w:spacing w:val="1"/>
        </w:rPr>
        <w:t>康支出108.60万元，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占84.57%；住</w:t>
      </w:r>
    </w:p>
    <w:p>
      <w:pPr>
        <w:spacing w:line="330"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8"/>
        <w:spacing w:before="75" w:line="221" w:lineRule="auto"/>
        <w:rPr>
          <w:rFonts w:ascii="FangSong" w:hAnsi="FangSong" w:eastAsia="FangSong" w:cs="FangSong"/>
          <w:sz w:val="23"/>
          <w:szCs w:val="23"/>
        </w:rPr>
      </w:pPr>
      <w:r>
        <w:rPr>
          <w:rFonts w:ascii="FangSong" w:hAnsi="FangSong" w:eastAsia="FangSong" w:cs="FangSong"/>
          <w:sz w:val="23"/>
          <w:szCs w:val="23"/>
          <w:spacing w:val="-4"/>
        </w:rPr>
        <w:t>房保障支出8.71万元，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占6.78%等。</w:t>
      </w:r>
    </w:p>
    <w:p>
      <w:pPr>
        <w:pStyle w:val="BodyText"/>
        <w:spacing w:line="270" w:lineRule="auto"/>
        <w:rPr/>
      </w:pPr>
      <w:r/>
    </w:p>
    <w:p>
      <w:pPr>
        <w:ind w:firstLine="4664"/>
        <w:spacing w:line="2464" w:lineRule="exact"/>
        <w:rPr/>
      </w:pPr>
      <w:r>
        <w:rPr>
          <w:position w:val="-49"/>
        </w:rPr>
        <w:drawing>
          <wp:inline distT="0" distB="0" distL="0" distR="0">
            <wp:extent cx="1927868" cy="1564258"/>
            <wp:effectExtent l="0" t="0" r="0" b="0"/>
            <wp:docPr id="6" name="IM 6"/>
            <wp:cNvGraphicFramePr/>
            <a:graphic>
              <a:graphicData uri="http://schemas.openxmlformats.org/drawingml/2006/picture">
                <pic:pic>
                  <pic:nvPicPr>
                    <pic:cNvPr id="6" name="IM 6"/>
                    <pic:cNvPicPr/>
                  </pic:nvPicPr>
                  <pic:blipFill>
                    <a:blip r:embed="rId32"/>
                    <a:stretch>
                      <a:fillRect/>
                    </a:stretch>
                  </pic:blipFill>
                  <pic:spPr>
                    <a:xfrm rot="0">
                      <a:off x="0" y="0"/>
                      <a:ext cx="1927868"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2025年度兴县蔚汾镇卫生院肖家洼分院一般公共预算安排基本支出112.19万元，其中：</w:t>
      </w:r>
    </w:p>
    <w:p>
      <w:pPr>
        <w:ind w:left="1263" w:right="1223" w:firstLine="464"/>
        <w:spacing w:before="123" w:line="324" w:lineRule="auto"/>
        <w:rPr>
          <w:rFonts w:ascii="FangSong" w:hAnsi="FangSong" w:eastAsia="FangSong" w:cs="FangSong"/>
          <w:sz w:val="23"/>
          <w:szCs w:val="23"/>
        </w:rPr>
      </w:pPr>
      <w:r>
        <w:rPr>
          <w:rFonts w:ascii="FangSong" w:hAnsi="FangSong" w:eastAsia="FangSong" w:cs="FangSong"/>
          <w:sz w:val="23"/>
          <w:szCs w:val="23"/>
          <w:spacing w:val="5"/>
        </w:rPr>
        <w:t>人员经费106.88万元，主要包括：其他工资福利支出、其他社会保障缴费、绩效工资、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基本工资、机关事业单位基本养老保险缴费、住房公积金、职工基本医疗保险缴费、津贴补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公用经费5.31万元，主要包括：福利费、工会经费、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58" w:right="1223" w:firstLine="462"/>
        <w:spacing w:before="176" w:line="322" w:lineRule="auto"/>
        <w:rPr>
          <w:rFonts w:ascii="FangSong" w:hAnsi="FangSong" w:eastAsia="FangSong" w:cs="FangSong"/>
          <w:sz w:val="23"/>
          <w:szCs w:val="23"/>
        </w:rPr>
      </w:pPr>
      <w:r>
        <w:rPr>
          <w:rFonts w:ascii="FangSong" w:hAnsi="FangSong" w:eastAsia="FangSong" w:cs="FangSong"/>
          <w:sz w:val="23"/>
          <w:szCs w:val="23"/>
          <w:spacing w:val="2"/>
        </w:rPr>
        <w:t>2025年兴县蔚汾镇卫生院肖家洼分院政府采购预算总额0万元。其中：政府采购货物预算</w:t>
      </w:r>
      <w:r>
        <w:rPr>
          <w:rFonts w:ascii="FangSong" w:hAnsi="FangSong" w:eastAsia="FangSong" w:cs="FangSong"/>
          <w:sz w:val="23"/>
          <w:szCs w:val="23"/>
          <w:spacing w:val="17"/>
        </w:rPr>
        <w:t xml:space="preserve"> </w:t>
      </w:r>
      <w:r>
        <w:rPr>
          <w:rFonts w:ascii="FangSong" w:hAnsi="FangSong" w:eastAsia="FangSong" w:cs="FangSong"/>
          <w:sz w:val="23"/>
          <w:szCs w:val="23"/>
        </w:rPr>
        <w:t>0万元、政府采购工程预算0万元、政府采购服务预算0万元。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2"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2025年编报单位整体绩效目标，涉及资金28.41万元。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4" w:line="323" w:lineRule="auto"/>
        <w:rPr>
          <w:rFonts w:ascii="FangSong" w:hAnsi="FangSong" w:eastAsia="FangSong" w:cs="FangSong"/>
          <w:sz w:val="23"/>
          <w:szCs w:val="23"/>
        </w:rPr>
      </w:pPr>
      <w:r>
        <w:rPr>
          <w:rFonts w:ascii="FangSong" w:hAnsi="FangSong" w:eastAsia="FangSong" w:cs="FangSong"/>
          <w:sz w:val="23"/>
          <w:szCs w:val="23"/>
          <w:spacing w:val="5"/>
        </w:rPr>
        <w:t>2025年兴县蔚汾镇卫生院肖家洼分院纳入绩效目标管理的二级项目7个，共计金额28.41</w:t>
      </w:r>
      <w:r>
        <w:rPr>
          <w:rFonts w:ascii="FangSong" w:hAnsi="FangSong" w:eastAsia="FangSong" w:cs="FangSong"/>
          <w:sz w:val="23"/>
          <w:szCs w:val="23"/>
        </w:rPr>
        <w:t xml:space="preserve"> </w:t>
      </w:r>
      <w:r>
        <w:rPr>
          <w:rFonts w:ascii="FangSong" w:hAnsi="FangSong" w:eastAsia="FangSong" w:cs="FangSong"/>
          <w:sz w:val="23"/>
          <w:szCs w:val="23"/>
          <w:spacing w:val="5"/>
        </w:rPr>
        <w:t>万元。其中：其他运转类项目0个，涉及金额0万元；特定目标类项目0个，涉及金额0万元。</w:t>
      </w:r>
      <w:r>
        <w:rPr>
          <w:rFonts w:ascii="FangSong" w:hAnsi="FangSong" w:eastAsia="FangSong" w:cs="FangSong"/>
          <w:sz w:val="23"/>
          <w:szCs w:val="23"/>
        </w:rPr>
        <w:t xml:space="preserve"> </w:t>
      </w:r>
      <w:r>
        <w:rPr>
          <w:rFonts w:ascii="FangSong" w:hAnsi="FangSong" w:eastAsia="FangSong" w:cs="FangSong"/>
          <w:sz w:val="23"/>
          <w:szCs w:val="23"/>
          <w:spacing w:val="3"/>
        </w:rPr>
        <w:t>公开项目绩效目标7个，涉及项目金额28.41万元，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w:t>
      </w:r>
      <w:r>
        <w:rPr>
          <w:rFonts w:ascii="FangSong" w:hAnsi="FangSong" w:eastAsia="FangSong" w:cs="FangSong"/>
          <w:sz w:val="23"/>
          <w:szCs w:val="23"/>
        </w:rPr>
        <w:t xml:space="preserve"> </w:t>
      </w:r>
      <w:r>
        <w:rPr>
          <w:rFonts w:ascii="FangSong" w:hAnsi="FangSong" w:eastAsia="FangSong" w:cs="FangSong"/>
          <w:sz w:val="23"/>
          <w:szCs w:val="23"/>
        </w:rPr>
        <w:t>中：其他运转类项目0个，涉及项目金额0万元；特定目标类项目0个，涉及项目金额0万元。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00"/>
        <w:spacing w:line="12423" w:lineRule="exact"/>
        <w:rPr/>
      </w:pPr>
      <w:r>
        <w:pict>
          <v:shape id="_x0000_s224"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26"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778247" cy="7888227"/>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4778247" cy="7888227"/>
                    </a:xfrm>
                    <a:prstGeom prst="rect">
                      <a:avLst/>
                    </a:prstGeom>
                  </pic:spPr>
                </pic:pic>
              </a:graphicData>
            </a:graphic>
          </wp:inline>
        </w:drawing>
      </w:r>
    </w:p>
    <w:p>
      <w:pPr>
        <w:spacing w:line="12423" w:lineRule="exact"/>
        <w:sectPr>
          <w:headerReference w:type="default" r:id="rId33"/>
          <w:footerReference w:type="default" r:id="rId3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00"/>
        <w:spacing w:line="12369" w:lineRule="exact"/>
        <w:rPr/>
      </w:pPr>
      <w:r>
        <w:pict>
          <v:shape id="_x0000_s22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78247" cy="7853900"/>
            <wp:effectExtent l="0" t="0" r="0" b="0"/>
            <wp:docPr id="10" name="IM 10"/>
            <wp:cNvGraphicFramePr/>
            <a:graphic>
              <a:graphicData uri="http://schemas.openxmlformats.org/drawingml/2006/picture">
                <pic:pic>
                  <pic:nvPicPr>
                    <pic:cNvPr id="10" name="IM 10"/>
                    <pic:cNvPicPr/>
                  </pic:nvPicPr>
                  <pic:blipFill>
                    <a:blip r:embed="rId37"/>
                    <a:stretch>
                      <a:fillRect/>
                    </a:stretch>
                  </pic:blipFill>
                  <pic:spPr>
                    <a:xfrm rot="0">
                      <a:off x="0" y="0"/>
                      <a:ext cx="4778247" cy="7853900"/>
                    </a:xfrm>
                    <a:prstGeom prst="rect">
                      <a:avLst/>
                    </a:prstGeom>
                  </pic:spPr>
                </pic:pic>
              </a:graphicData>
            </a:graphic>
          </wp:inline>
        </w:drawing>
      </w:r>
    </w:p>
    <w:p>
      <w:pPr>
        <w:spacing w:line="12369" w:lineRule="exact"/>
        <w:sectPr>
          <w:footerReference w:type="default" r:id="rId3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00"/>
        <w:spacing w:line="12369" w:lineRule="exact"/>
        <w:rPr/>
      </w:pPr>
      <w:r>
        <w:pict>
          <v:shape id="_x0000_s232"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34"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78247" cy="7853900"/>
            <wp:effectExtent l="0" t="0" r="0" b="0"/>
            <wp:docPr id="12" name="IM 12"/>
            <wp:cNvGraphicFramePr/>
            <a:graphic>
              <a:graphicData uri="http://schemas.openxmlformats.org/drawingml/2006/picture">
                <pic:pic>
                  <pic:nvPicPr>
                    <pic:cNvPr id="12" name="IM 12"/>
                    <pic:cNvPicPr/>
                  </pic:nvPicPr>
                  <pic:blipFill>
                    <a:blip r:embed="rId39"/>
                    <a:stretch>
                      <a:fillRect/>
                    </a:stretch>
                  </pic:blipFill>
                  <pic:spPr>
                    <a:xfrm rot="0">
                      <a:off x="0" y="0"/>
                      <a:ext cx="4778247" cy="7853900"/>
                    </a:xfrm>
                    <a:prstGeom prst="rect">
                      <a:avLst/>
                    </a:prstGeom>
                  </pic:spPr>
                </pic:pic>
              </a:graphicData>
            </a:graphic>
          </wp:inline>
        </w:drawing>
      </w:r>
    </w:p>
    <w:p>
      <w:pPr>
        <w:spacing w:line="12369" w:lineRule="exact"/>
        <w:sectPr>
          <w:footerReference w:type="default" r:id="rId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00"/>
        <w:spacing w:line="12369" w:lineRule="exact"/>
        <w:rPr/>
      </w:pPr>
      <w:r>
        <w:pict>
          <v:shape id="_x0000_s236"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8"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78247" cy="7853900"/>
            <wp:effectExtent l="0" t="0" r="0" b="0"/>
            <wp:docPr id="14" name="IM 14"/>
            <wp:cNvGraphicFramePr/>
            <a:graphic>
              <a:graphicData uri="http://schemas.openxmlformats.org/drawingml/2006/picture">
                <pic:pic>
                  <pic:nvPicPr>
                    <pic:cNvPr id="14" name="IM 14"/>
                    <pic:cNvPicPr/>
                  </pic:nvPicPr>
                  <pic:blipFill>
                    <a:blip r:embed="rId41"/>
                    <a:stretch>
                      <a:fillRect/>
                    </a:stretch>
                  </pic:blipFill>
                  <pic:spPr>
                    <a:xfrm rot="0">
                      <a:off x="0" y="0"/>
                      <a:ext cx="4778247" cy="7853900"/>
                    </a:xfrm>
                    <a:prstGeom prst="rect">
                      <a:avLst/>
                    </a:prstGeom>
                  </pic:spPr>
                </pic:pic>
              </a:graphicData>
            </a:graphic>
          </wp:inline>
        </w:drawing>
      </w:r>
    </w:p>
    <w:p>
      <w:pPr>
        <w:spacing w:line="12369" w:lineRule="exact"/>
        <w:sectPr>
          <w:footerReference w:type="default" r:id="rId4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00"/>
        <w:spacing w:line="12098" w:lineRule="exact"/>
        <w:rPr/>
      </w:pPr>
      <w:r>
        <w:pict>
          <v:shape id="_x0000_s240"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4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4778247" cy="7682268"/>
            <wp:effectExtent l="0" t="0" r="0" b="0"/>
            <wp:docPr id="16" name="IM 16"/>
            <wp:cNvGraphicFramePr/>
            <a:graphic>
              <a:graphicData uri="http://schemas.openxmlformats.org/drawingml/2006/picture">
                <pic:pic>
                  <pic:nvPicPr>
                    <pic:cNvPr id="16" name="IM 16"/>
                    <pic:cNvPicPr/>
                  </pic:nvPicPr>
                  <pic:blipFill>
                    <a:blip r:embed="rId43"/>
                    <a:stretch>
                      <a:fillRect/>
                    </a:stretch>
                  </pic:blipFill>
                  <pic:spPr>
                    <a:xfrm rot="0">
                      <a:off x="0" y="0"/>
                      <a:ext cx="4778247" cy="7682268"/>
                    </a:xfrm>
                    <a:prstGeom prst="rect">
                      <a:avLst/>
                    </a:prstGeom>
                  </pic:spPr>
                </pic:pic>
              </a:graphicData>
            </a:graphic>
          </wp:inline>
        </w:drawing>
      </w:r>
    </w:p>
    <w:p>
      <w:pPr>
        <w:spacing w:line="12098" w:lineRule="exact"/>
        <w:sectPr>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00"/>
        <w:spacing w:line="12390" w:lineRule="exact"/>
        <w:rPr/>
      </w:pPr>
      <w:r>
        <w:pict>
          <v:shape id="_x0000_s244"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46"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78247" cy="7867630"/>
            <wp:effectExtent l="0" t="0" r="0" b="0"/>
            <wp:docPr id="18" name="IM 18"/>
            <wp:cNvGraphicFramePr/>
            <a:graphic>
              <a:graphicData uri="http://schemas.openxmlformats.org/drawingml/2006/picture">
                <pic:pic>
                  <pic:nvPicPr>
                    <pic:cNvPr id="18" name="IM 18"/>
                    <pic:cNvPicPr/>
                  </pic:nvPicPr>
                  <pic:blipFill>
                    <a:blip r:embed="rId45"/>
                    <a:stretch>
                      <a:fillRect/>
                    </a:stretch>
                  </pic:blipFill>
                  <pic:spPr>
                    <a:xfrm rot="0">
                      <a:off x="0" y="0"/>
                      <a:ext cx="4778247" cy="7867630"/>
                    </a:xfrm>
                    <a:prstGeom prst="rect">
                      <a:avLst/>
                    </a:prstGeom>
                  </pic:spPr>
                </pic:pic>
              </a:graphicData>
            </a:graphic>
          </wp:inline>
        </w:drawing>
      </w:r>
    </w:p>
    <w:p>
      <w:pPr>
        <w:spacing w:line="12390"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00"/>
        <w:spacing w:line="12390" w:lineRule="exact"/>
        <w:rPr/>
      </w:pPr>
      <w:r>
        <w:pict>
          <v:shape id="_x0000_s24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5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78247" cy="7867630"/>
            <wp:effectExtent l="0" t="0" r="0" b="0"/>
            <wp:docPr id="20" name="IM 20"/>
            <wp:cNvGraphicFramePr/>
            <a:graphic>
              <a:graphicData uri="http://schemas.openxmlformats.org/drawingml/2006/picture">
                <pic:pic>
                  <pic:nvPicPr>
                    <pic:cNvPr id="20" name="IM 20"/>
                    <pic:cNvPicPr/>
                  </pic:nvPicPr>
                  <pic:blipFill>
                    <a:blip r:embed="rId47"/>
                    <a:stretch>
                      <a:fillRect/>
                    </a:stretch>
                  </pic:blipFill>
                  <pic:spPr>
                    <a:xfrm rot="0">
                      <a:off x="0" y="0"/>
                      <a:ext cx="4778247" cy="7867630"/>
                    </a:xfrm>
                    <a:prstGeom prst="rect">
                      <a:avLst/>
                    </a:prstGeom>
                  </pic:spPr>
                </pic:pic>
              </a:graphicData>
            </a:graphic>
          </wp:inline>
        </w:drawing>
      </w:r>
    </w:p>
    <w:p>
      <w:pPr>
        <w:spacing w:line="12390" w:lineRule="exact"/>
        <w:sectPr>
          <w:footerReference w:type="default" r:id="rId4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00"/>
        <w:spacing w:line="8314" w:lineRule="exact"/>
        <w:rPr/>
      </w:pPr>
      <w:r>
        <w:pict>
          <v:shape id="_x0000_s268"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4778247" cy="5279413"/>
            <wp:effectExtent l="0" t="0" r="0" b="0"/>
            <wp:docPr id="22" name="IM 22"/>
            <wp:cNvGraphicFramePr/>
            <a:graphic>
              <a:graphicData uri="http://schemas.openxmlformats.org/drawingml/2006/picture">
                <pic:pic>
                  <pic:nvPicPr>
                    <pic:cNvPr id="22" name="IM 22"/>
                    <pic:cNvPicPr/>
                  </pic:nvPicPr>
                  <pic:blipFill>
                    <a:blip r:embed="rId50"/>
                    <a:stretch>
                      <a:fillRect/>
                    </a:stretch>
                  </pic:blipFill>
                  <pic:spPr>
                    <a:xfrm rot="0">
                      <a:off x="0" y="0"/>
                      <a:ext cx="4778247" cy="5279413"/>
                    </a:xfrm>
                    <a:prstGeom prst="rect">
                      <a:avLst/>
                    </a:prstGeom>
                  </pic:spPr>
                </pic:pic>
              </a:graphicData>
            </a:graphic>
          </wp:inline>
        </w:drawing>
      </w:r>
    </w:p>
    <w:p>
      <w:pPr>
        <w:spacing w:line="8314" w:lineRule="exact"/>
        <w:sectPr>
          <w:headerReference w:type="default" r:id="rId48"/>
          <w:footerReference w:type="default" r:id="rId49"/>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4" w:right="1223" w:firstLine="460"/>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日，兴县蔚汾镇卫生院肖家洼分院共有公务用车编制0辆，实有0辆，</w:t>
      </w:r>
      <w:r>
        <w:rPr>
          <w:rFonts w:ascii="FangSong" w:hAnsi="FangSong" w:eastAsia="FangSong" w:cs="FangSong"/>
          <w:sz w:val="23"/>
          <w:szCs w:val="23"/>
        </w:rPr>
        <w:t xml:space="preserve"> </w:t>
      </w:r>
      <w:r>
        <w:rPr>
          <w:rFonts w:ascii="FangSong" w:hAnsi="FangSong" w:eastAsia="FangSong" w:cs="FangSong"/>
          <w:sz w:val="23"/>
          <w:szCs w:val="23"/>
          <w:spacing w:val="5"/>
        </w:rPr>
        <w:t>其中：领导用车0辆，机要通信用车0辆，应急保障用车0辆，执法执勤用车0辆，特种专业技</w:t>
      </w:r>
      <w:r>
        <w:rPr>
          <w:rFonts w:ascii="FangSong" w:hAnsi="FangSong" w:eastAsia="FangSong" w:cs="FangSong"/>
          <w:sz w:val="23"/>
          <w:szCs w:val="23"/>
        </w:rPr>
        <w:t xml:space="preserve"> </w:t>
      </w:r>
      <w:r>
        <w:rPr>
          <w:rFonts w:ascii="FangSong" w:hAnsi="FangSong" w:eastAsia="FangSong" w:cs="FangSong"/>
          <w:sz w:val="23"/>
          <w:szCs w:val="23"/>
        </w:rPr>
        <w:t>术用车0辆，事业单位业务用车0辆，其他公务用</w:t>
      </w:r>
      <w:r>
        <w:rPr>
          <w:rFonts w:ascii="FangSong" w:hAnsi="FangSong" w:eastAsia="FangSong" w:cs="FangSong"/>
          <w:sz w:val="23"/>
          <w:szCs w:val="23"/>
          <w:spacing w:val="-1"/>
        </w:rPr>
        <w:t>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截至2024年12月31日，兴县蔚汾镇卫生院肖家洼分院使用的办公用房建筑总面积250平方</w:t>
      </w:r>
      <w:r>
        <w:rPr>
          <w:rFonts w:ascii="FangSong" w:hAnsi="FangSong" w:eastAsia="FangSong" w:cs="FangSong"/>
          <w:sz w:val="23"/>
          <w:szCs w:val="23"/>
          <w:spacing w:val="7"/>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8" w:right="1223" w:firstLine="456"/>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日，兴县蔚汾镇卫生院肖家洼分院占有使用价值50万元（原值）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w:t>
      </w:r>
      <w:r>
        <w:rPr>
          <w:rFonts w:ascii="FangSong" w:hAnsi="FangSong" w:eastAsia="FangSong" w:cs="FangSong"/>
          <w:sz w:val="23"/>
          <w:szCs w:val="23"/>
        </w:rPr>
        <w:t xml:space="preserve"> </w:t>
      </w:r>
      <w:r>
        <w:rPr>
          <w:rFonts w:ascii="FangSong" w:hAnsi="FangSong" w:eastAsia="FangSong" w:cs="FangSong"/>
          <w:sz w:val="23"/>
          <w:szCs w:val="23"/>
          <w:spacing w:val="3"/>
        </w:rPr>
        <w:t>的通用设备0台（套</w:t>
      </w:r>
      <w:r>
        <w:rPr>
          <w:rFonts w:ascii="FangSong" w:hAnsi="FangSong" w:eastAsia="FangSong" w:cs="FangSong"/>
          <w:sz w:val="23"/>
          <w:szCs w:val="23"/>
          <w:spacing w:val="18"/>
        </w:rPr>
        <w:t>）；</w:t>
      </w:r>
      <w:r>
        <w:rPr>
          <w:rFonts w:ascii="FangSong" w:hAnsi="FangSong" w:eastAsia="FangSong" w:cs="FangSong"/>
          <w:sz w:val="23"/>
          <w:szCs w:val="23"/>
          <w:spacing w:val="3"/>
        </w:rPr>
        <w:t>兴县蔚汾镇卫生院肖家洼分院占有使用价值100万元（原值）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w:t>
      </w:r>
      <w:r>
        <w:rPr>
          <w:rFonts w:ascii="FangSong" w:hAnsi="FangSong" w:eastAsia="FangSong" w:cs="FangSong"/>
          <w:sz w:val="23"/>
          <w:szCs w:val="23"/>
        </w:rPr>
        <w:t xml:space="preserve"> </w:t>
      </w:r>
      <w:r>
        <w:rPr>
          <w:rFonts w:ascii="FangSong" w:hAnsi="FangSong" w:eastAsia="FangSong" w:cs="FangSong"/>
          <w:sz w:val="23"/>
          <w:szCs w:val="23"/>
          <w:spacing w:val="-2"/>
        </w:rPr>
        <w:t>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19"/>
          <w:footerReference w:type="default" r:id="rId5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78" style="position:absolute;margin-left:491.92pt;margin-top:44.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280"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84"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86"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54"/>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52"/>
          <w:footerReference w:type="default" r:id="rId53"/>
          <w:pgSz w:w="11900" w:h="16840"/>
          <w:pgMar w:top="642" w:right="0" w:bottom="340" w:left="0" w:header="326" w:footer="111" w:gutter="0"/>
        </w:sectPr>
        <w:rPr/>
      </w:pPr>
    </w:p>
    <w:p>
      <w:pPr>
        <w:pStyle w:val="BodyText"/>
        <w:spacing w:line="277" w:lineRule="auto"/>
        <w:rPr/>
      </w:pPr>
      <w:r>
        <w:pict>
          <v:shape id="_x0000_s288"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290" style="position:absolute;margin-left:491.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92"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94"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56"/>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1" w:gutter="0"/>
        </w:sectPr>
        <w:rPr/>
      </w:pPr>
    </w:p>
    <w:p>
      <w:pPr>
        <w:pStyle w:val="BodyText"/>
        <w:spacing w:line="277" w:lineRule="auto"/>
        <w:rPr/>
      </w:pPr>
      <w:r>
        <w:pict>
          <v:shape id="_x0000_s298"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0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02"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04"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pStyle w:val="BodyText"/>
        <w:spacing w:line="277" w:lineRule="auto"/>
        <w:rPr/>
      </w:pPr>
      <w:r>
        <w:pict>
          <v:shape id="_x0000_s308"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10"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12"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16"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pStyle w:val="BodyText"/>
        <w:spacing w:line="277" w:lineRule="auto"/>
        <w:rPr/>
      </w:pPr>
      <w:r>
        <w:pict>
          <v:shape id="_x0000_s318"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20" style="position:absolute;margin-left:491.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22"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24"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6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1"/>
          <w:pgSz w:w="11900" w:h="16840"/>
          <w:pgMar w:top="642" w:right="0" w:bottom="340" w:left="0" w:header="326" w:footer="111" w:gutter="0"/>
        </w:sectPr>
        <w:rPr/>
      </w:pPr>
    </w:p>
    <w:p>
      <w:pPr>
        <w:pStyle w:val="BodyText"/>
        <w:spacing w:line="277" w:lineRule="auto"/>
        <w:rPr/>
      </w:pPr>
      <w:r>
        <w:pict>
          <v:shape id="_x0000_s328"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330"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32"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34"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36"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64"/>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pStyle w:val="BodyText"/>
        <w:spacing w:line="277" w:lineRule="auto"/>
        <w:rPr/>
      </w:pPr>
      <w:r>
        <w:pict>
          <v:shape id="_x0000_s338"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340"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2"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44"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46"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66"/>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pStyle w:val="BodyText"/>
        <w:spacing w:line="277" w:lineRule="auto"/>
        <w:rPr/>
      </w:pPr>
      <w:r>
        <w:pict>
          <v:shape id="_x0000_s348"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350" style="position:absolute;margin-left:-13.08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52"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56"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6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9"/>
      <w:footerReference w:type="default" r:id="rId69"/>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2"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0" style="position:absolute;margin-left:86.92pt;margin-top:27.7633pt;mso-position-vertical-relative:text;mso-position-horizontal-relative:text;width:119.4pt;height:18.85pt;z-index:-251533312;rotation:330;"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兴县蔚汾镇卫生院肖家洼分院2025年单位预算公开报告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2" Type="http://schemas.openxmlformats.org/officeDocument/2006/relationships/fontTable" Target="fontTable.xml"/><Relationship Id="rId71" Type="http://schemas.openxmlformats.org/officeDocument/2006/relationships/styles" Target="styles.xml"/><Relationship Id="rId70" Type="http://schemas.openxmlformats.org/officeDocument/2006/relationships/settings" Target="settings.xml"/><Relationship Id="rId7" Type="http://schemas.openxmlformats.org/officeDocument/2006/relationships/header" Target="header5.xml"/><Relationship Id="rId69" Type="http://schemas.openxmlformats.org/officeDocument/2006/relationships/footer" Target="footer35.xml"/><Relationship Id="rId68" Type="http://schemas.openxmlformats.org/officeDocument/2006/relationships/image" Target="media/image19.png"/><Relationship Id="rId67" Type="http://schemas.openxmlformats.org/officeDocument/2006/relationships/footer" Target="footer34.xml"/><Relationship Id="rId66" Type="http://schemas.openxmlformats.org/officeDocument/2006/relationships/image" Target="media/image18.png"/><Relationship Id="rId65" Type="http://schemas.openxmlformats.org/officeDocument/2006/relationships/footer" Target="footer33.xml"/><Relationship Id="rId64" Type="http://schemas.openxmlformats.org/officeDocument/2006/relationships/image" Target="media/image17.png"/><Relationship Id="rId63" Type="http://schemas.openxmlformats.org/officeDocument/2006/relationships/footer" Target="footer32.xml"/><Relationship Id="rId62" Type="http://schemas.openxmlformats.org/officeDocument/2006/relationships/image" Target="media/image16.png"/><Relationship Id="rId61" Type="http://schemas.openxmlformats.org/officeDocument/2006/relationships/footer" Target="footer31.xml"/><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footer" Target="footer30.xml"/><Relationship Id="rId58" Type="http://schemas.openxmlformats.org/officeDocument/2006/relationships/image" Target="media/image14.png"/><Relationship Id="rId57" Type="http://schemas.openxmlformats.org/officeDocument/2006/relationships/footer" Target="footer29.xml"/><Relationship Id="rId56" Type="http://schemas.openxmlformats.org/officeDocument/2006/relationships/image" Target="media/image13.png"/><Relationship Id="rId55" Type="http://schemas.openxmlformats.org/officeDocument/2006/relationships/footer" Target="footer28.xml"/><Relationship Id="rId54" Type="http://schemas.openxmlformats.org/officeDocument/2006/relationships/image" Target="media/image12.png"/><Relationship Id="rId53" Type="http://schemas.openxmlformats.org/officeDocument/2006/relationships/footer" Target="footer27.xml"/><Relationship Id="rId52" Type="http://schemas.openxmlformats.org/officeDocument/2006/relationships/header" Target="header15.xml"/><Relationship Id="rId51" Type="http://schemas.openxmlformats.org/officeDocument/2006/relationships/footer" Target="footer26.xml"/><Relationship Id="rId50" Type="http://schemas.openxmlformats.org/officeDocument/2006/relationships/image" Target="media/image11.png"/><Relationship Id="rId5" Type="http://schemas.openxmlformats.org/officeDocument/2006/relationships/header" Target="header4.xml"/><Relationship Id="rId49" Type="http://schemas.openxmlformats.org/officeDocument/2006/relationships/footer" Target="footer25.xml"/><Relationship Id="rId48" Type="http://schemas.openxmlformats.org/officeDocument/2006/relationships/header" Target="header14.xml"/><Relationship Id="rId47" Type="http://schemas.openxmlformats.org/officeDocument/2006/relationships/image" Target="media/image10.png"/><Relationship Id="rId46" Type="http://schemas.openxmlformats.org/officeDocument/2006/relationships/footer" Target="footer24.xml"/><Relationship Id="rId45" Type="http://schemas.openxmlformats.org/officeDocument/2006/relationships/image" Target="media/image9.png"/><Relationship Id="rId44" Type="http://schemas.openxmlformats.org/officeDocument/2006/relationships/footer" Target="footer23.xml"/><Relationship Id="rId43" Type="http://schemas.openxmlformats.org/officeDocument/2006/relationships/image" Target="media/image8.png"/><Relationship Id="rId42" Type="http://schemas.openxmlformats.org/officeDocument/2006/relationships/footer" Target="footer22.xml"/><Relationship Id="rId41" Type="http://schemas.openxmlformats.org/officeDocument/2006/relationships/image" Target="media/image7.png"/><Relationship Id="rId40" Type="http://schemas.openxmlformats.org/officeDocument/2006/relationships/footer" Target="footer21.xml"/><Relationship Id="rId4" Type="http://schemas.openxmlformats.org/officeDocument/2006/relationships/header" Target="header3.xml"/><Relationship Id="rId39" Type="http://schemas.openxmlformats.org/officeDocument/2006/relationships/image" Target="media/image6.png"/><Relationship Id="rId38" Type="http://schemas.openxmlformats.org/officeDocument/2006/relationships/footer" Target="footer20.xml"/><Relationship Id="rId37" Type="http://schemas.openxmlformats.org/officeDocument/2006/relationships/image" Target="media/image5.png"/><Relationship Id="rId36" Type="http://schemas.openxmlformats.org/officeDocument/2006/relationships/footer" Target="footer19.xml"/><Relationship Id="rId35" Type="http://schemas.openxmlformats.org/officeDocument/2006/relationships/image" Target="media/image4.png"/><Relationship Id="rId34" Type="http://schemas.openxmlformats.org/officeDocument/2006/relationships/footer" Target="footer18.xml"/><Relationship Id="rId33" Type="http://schemas.openxmlformats.org/officeDocument/2006/relationships/header" Target="header13.xml"/><Relationship Id="rId32" Type="http://schemas.openxmlformats.org/officeDocument/2006/relationships/image" Target="media/image3.png"/><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image" Target="media/image1.png"/><Relationship Id="rId29" Type="http://schemas.openxmlformats.org/officeDocument/2006/relationships/image" Target="media/image2.png"/><Relationship Id="rId28" Type="http://schemas.openxmlformats.org/officeDocument/2006/relationships/footer" Target="footer16.xml"/><Relationship Id="rId27" Type="http://schemas.openxmlformats.org/officeDocument/2006/relationships/header" Target="header1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2025-09-25T16:11:41Z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2025-09-25T20:22:37</vt:filetime>
  </property>
</Properties>
</file>