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40" w:line="215" w:lineRule="auto"/>
        <w:rPr/>
      </w:pPr>
      <w:r>
        <w:rPr>
          <w:spacing w:val="4"/>
        </w:rPr>
        <w:t>兴</w:t>
      </w:r>
      <w:r>
        <w:rPr>
          <w:spacing w:val="-99"/>
        </w:rPr>
        <w:t xml:space="preserve"> </w:t>
      </w:r>
      <w:r>
        <w:rPr>
          <w:spacing w:val="4"/>
        </w:rPr>
        <w:t>县</w:t>
      </w:r>
      <w:r>
        <w:rPr>
          <w:spacing w:val="-101"/>
        </w:rPr>
        <w:t xml:space="preserve"> </w:t>
      </w:r>
      <w:r>
        <w:rPr>
          <w:spacing w:val="4"/>
        </w:rPr>
        <w:t>圪</w:t>
      </w:r>
      <w:r>
        <w:rPr>
          <w:spacing w:val="-100"/>
        </w:rPr>
        <w:t xml:space="preserve"> </w:t>
      </w:r>
      <w:r>
        <w:rPr>
          <w:spacing w:val="4"/>
        </w:rPr>
        <w:t>垯</w:t>
      </w:r>
      <w:r>
        <w:rPr>
          <w:spacing w:val="-88"/>
        </w:rPr>
        <w:t xml:space="preserve"> </w:t>
      </w:r>
      <w:r>
        <w:rPr>
          <w:spacing w:val="4"/>
        </w:rPr>
        <w:t>上</w:t>
      </w:r>
      <w:r>
        <w:rPr>
          <w:spacing w:val="-95"/>
        </w:rPr>
        <w:t xml:space="preserve"> </w:t>
      </w:r>
      <w:r>
        <w:rPr>
          <w:spacing w:val="4"/>
        </w:rPr>
        <w:t>乡卫</w:t>
      </w:r>
      <w:r>
        <w:rPr>
          <w:spacing w:val="-75"/>
        </w:rPr>
        <w:t xml:space="preserve"> </w:t>
      </w:r>
      <w:r>
        <w:rPr>
          <w:spacing w:val="4"/>
        </w:rPr>
        <w:t>生</w:t>
      </w:r>
      <w:r>
        <w:rPr>
          <w:spacing w:val="-77"/>
        </w:rPr>
        <w:t xml:space="preserve"> </w:t>
      </w:r>
      <w:r>
        <w:rPr>
          <w:spacing w:val="4"/>
        </w:rPr>
        <w:t>院</w:t>
      </w:r>
    </w:p>
    <w:p>
      <w:pPr>
        <w:spacing w:line="384" w:lineRule="auto"/>
        <w:rPr>
          <w:rFonts w:ascii="Arial"/>
          <w:sz w:val="21"/>
        </w:rPr>
      </w:pPr>
      <w:r/>
    </w:p>
    <w:p>
      <w:pPr>
        <w:pStyle w:val="BodyText"/>
        <w:ind w:left="3079"/>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2" w:lineRule="auto"/>
        <w:rPr>
          <w:rFonts w:ascii="Arial"/>
          <w:sz w:val="21"/>
        </w:rPr>
      </w:pPr>
      <w:r/>
    </w:p>
    <w:p>
      <w:pPr>
        <w:ind w:left="1528"/>
        <w:spacing w:before="101" w:line="224" w:lineRule="auto"/>
        <w:rPr>
          <w:rFonts w:ascii="FangSong" w:hAnsi="FangSong" w:eastAsia="FangSong" w:cs="FangSong"/>
          <w:sz w:val="31"/>
          <w:szCs w:val="31"/>
        </w:rPr>
      </w:pPr>
      <w:r>
        <w:rPr>
          <w:rFonts w:ascii="FangSong" w:hAnsi="FangSong" w:eastAsia="FangSong" w:cs="FangSong"/>
          <w:sz w:val="31"/>
          <w:szCs w:val="31"/>
          <w:spacing w:val="8"/>
        </w:rPr>
        <w:t>兴县圪垯上乡卫生院|机构设置及人员编制情况</w:t>
      </w:r>
    </w:p>
    <w:p>
      <w:pPr>
        <w:ind w:left="1524" w:right="1475" w:firstLine="3"/>
        <w:spacing w:before="195" w:line="330" w:lineRule="auto"/>
        <w:rPr>
          <w:rFonts w:ascii="FangSong" w:hAnsi="FangSong" w:eastAsia="FangSong" w:cs="FangSong"/>
          <w:sz w:val="31"/>
          <w:szCs w:val="31"/>
        </w:rPr>
      </w:pPr>
      <w:r>
        <w:rPr>
          <w:rFonts w:ascii="FangSong" w:hAnsi="FangSong" w:eastAsia="FangSong" w:cs="FangSong"/>
          <w:sz w:val="31"/>
          <w:szCs w:val="31"/>
          <w:spacing w:val="13"/>
        </w:rPr>
        <w:t>兴县圪垯上乡卫生院|是兴县医疗医疗集团下属的独立核算的二</w:t>
      </w:r>
      <w:r>
        <w:rPr>
          <w:rFonts w:ascii="FangSong" w:hAnsi="FangSong" w:eastAsia="FangSong" w:cs="FangSong"/>
          <w:sz w:val="31"/>
          <w:szCs w:val="31"/>
          <w:spacing w:val="6"/>
        </w:rPr>
        <w:t xml:space="preserve"> </w:t>
      </w:r>
      <w:r>
        <w:rPr>
          <w:rFonts w:ascii="FangSong" w:hAnsi="FangSong" w:eastAsia="FangSong" w:cs="FangSong"/>
          <w:sz w:val="31"/>
          <w:szCs w:val="31"/>
          <w:spacing w:val="4"/>
        </w:rPr>
        <w:t>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人员构成：设院长1名，工作人员8名。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部门名称：兴县圪垯上乡卫生院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4"/>
              <w:spacing w:before="129" w:line="238" w:lineRule="auto"/>
              <w:jc w:val="right"/>
              <w:rPr/>
            </w:pPr>
            <w:r>
              <w:rPr>
                <w:color w:val="212529"/>
                <w:spacing w:val="-3"/>
              </w:rPr>
              <w:t>191.75</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4"/>
              <w:spacing w:before="133" w:line="238" w:lineRule="auto"/>
              <w:jc w:val="right"/>
              <w:rPr/>
            </w:pPr>
            <w:r>
              <w:rPr>
                <w:color w:val="212529"/>
                <w:spacing w:val="-4"/>
              </w:rPr>
              <w:t>10.95</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5"/>
              <w:spacing w:before="136" w:line="238" w:lineRule="auto"/>
              <w:jc w:val="right"/>
              <w:rPr/>
            </w:pPr>
            <w:r>
              <w:rPr>
                <w:color w:val="212529"/>
                <w:spacing w:val="-2"/>
              </w:rPr>
              <w:t>5.98</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9.89</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6"/>
              <w:spacing w:before="137" w:line="238" w:lineRule="auto"/>
              <w:jc w:val="right"/>
              <w:rPr/>
            </w:pPr>
            <w:r>
              <w:rPr>
                <w:color w:val="212529"/>
                <w:spacing w:val="-3"/>
              </w:rPr>
              <w:t>186.45</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8"/>
              <w:spacing w:before="139" w:line="238" w:lineRule="auto"/>
              <w:jc w:val="right"/>
              <w:rPr/>
            </w:pPr>
            <w:r>
              <w:rPr>
                <w:color w:val="212529"/>
                <w:spacing w:val="-2"/>
              </w:rPr>
              <w:t>8.85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7"/>
              <w:spacing w:before="135" w:line="183" w:lineRule="auto"/>
              <w:rPr>
                <w:rFonts w:ascii="Arial" w:hAnsi="Arial" w:eastAsia="Arial" w:cs="Arial"/>
                <w:sz w:val="15"/>
                <w:szCs w:val="15"/>
              </w:rPr>
            </w:pPr>
            <w:r>
              <w:rPr>
                <w:rFonts w:ascii="Arial" w:hAnsi="Arial" w:eastAsia="Arial" w:cs="Arial"/>
                <w:sz w:val="15"/>
                <w:szCs w:val="15"/>
                <w:color w:val="212529"/>
                <w:spacing w:val="2"/>
              </w:rPr>
              <w:t>208.</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67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4"/>
              <w:spacing w:before="135" w:line="184" w:lineRule="auto"/>
              <w:rPr>
                <w:rFonts w:ascii="Arial" w:hAnsi="Arial" w:eastAsia="Arial" w:cs="Arial"/>
                <w:sz w:val="15"/>
                <w:szCs w:val="15"/>
              </w:rPr>
            </w:pPr>
            <w:r>
              <w:rPr>
                <w:rFonts w:ascii="Arial" w:hAnsi="Arial" w:eastAsia="Arial" w:cs="Arial"/>
                <w:sz w:val="15"/>
                <w:szCs w:val="15"/>
                <w:color w:val="212529"/>
                <w:spacing w:val="3"/>
              </w:rPr>
              <w:t>205.</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19</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0.02</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5"/>
              <w:spacing w:before="118" w:line="238" w:lineRule="auto"/>
              <w:jc w:val="right"/>
              <w:rPr/>
            </w:pPr>
            <w:r>
              <w:rPr>
                <w:color w:val="212529"/>
                <w:spacing w:val="-2"/>
              </w:rPr>
              <w:t>5.15</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8"/>
              <w:spacing w:before="118" w:line="238" w:lineRule="auto"/>
              <w:jc w:val="right"/>
              <w:rPr/>
            </w:pPr>
            <w:r>
              <w:rPr>
                <w:color w:val="212529"/>
                <w:spacing w:val="-2"/>
              </w:rPr>
              <w:t>8.62</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7"/>
              <w:spacing w:before="141" w:line="162" w:lineRule="auto"/>
              <w:rPr>
                <w:rFonts w:ascii="Arial" w:hAnsi="Arial" w:eastAsia="Arial" w:cs="Arial"/>
                <w:sz w:val="17"/>
                <w:szCs w:val="17"/>
              </w:rPr>
            </w:pPr>
            <w:r>
              <w:rPr>
                <w:rFonts w:ascii="Arial" w:hAnsi="Arial" w:eastAsia="Arial" w:cs="Arial"/>
                <w:sz w:val="17"/>
                <w:szCs w:val="17"/>
                <w:color w:val="212529"/>
                <w:spacing w:val="1"/>
              </w:rPr>
              <w:t>213.83</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4"/>
              <w:spacing w:before="141" w:line="184" w:lineRule="auto"/>
              <w:rPr>
                <w:rFonts w:ascii="Arial" w:hAnsi="Arial" w:eastAsia="Arial" w:cs="Arial"/>
                <w:sz w:val="15"/>
                <w:szCs w:val="15"/>
              </w:rPr>
            </w:pPr>
            <w:r>
              <w:rPr>
                <w:rFonts w:ascii="Arial" w:hAnsi="Arial" w:eastAsia="Arial" w:cs="Arial"/>
                <w:sz w:val="15"/>
                <w:szCs w:val="15"/>
                <w:color w:val="212529"/>
                <w:spacing w:val="2"/>
              </w:rPr>
              <w:t>213.</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83</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部门名称：兴县圪垯上乡卫生院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5"/>
                <w:position w:val="1"/>
              </w:rPr>
              <w:t>208.67</w:t>
            </w:r>
          </w:p>
        </w:tc>
        <w:tc>
          <w:tcPr>
            <w:tcW w:w="988" w:type="dxa"/>
            <w:vAlign w:val="top"/>
          </w:tcPr>
          <w:p>
            <w:pPr>
              <w:pStyle w:val="TableText"/>
              <w:ind w:right="27"/>
              <w:spacing w:before="94" w:line="281" w:lineRule="exact"/>
              <w:jc w:val="right"/>
              <w:rPr>
                <w:sz w:val="21"/>
                <w:szCs w:val="21"/>
              </w:rPr>
            </w:pPr>
            <w:r>
              <w:rPr>
                <w:sz w:val="21"/>
                <w:szCs w:val="21"/>
                <w:color w:val="212529"/>
                <w:spacing w:val="2"/>
                <w:position w:val="1"/>
              </w:rPr>
              <w:t>191.75</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spacing w:val="2"/>
                <w:position w:val="1"/>
              </w:rPr>
              <w:t>10.95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3"/>
                <w:position w:val="1"/>
              </w:rPr>
              <w:t>5.98</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5"/>
              <w:spacing w:before="115" w:line="238" w:lineRule="auto"/>
              <w:jc w:val="right"/>
              <w:rPr/>
            </w:pPr>
            <w:r>
              <w:rPr>
                <w:color w:val="212529"/>
                <w:spacing w:val="-2"/>
              </w:rPr>
              <w:t>9.89</w:t>
            </w:r>
          </w:p>
        </w:tc>
        <w:tc>
          <w:tcPr>
            <w:tcW w:w="988" w:type="dxa"/>
            <w:vAlign w:val="top"/>
          </w:tcPr>
          <w:p>
            <w:pPr>
              <w:pStyle w:val="TableText"/>
              <w:ind w:right="23"/>
              <w:spacing w:before="115" w:line="238" w:lineRule="auto"/>
              <w:jc w:val="right"/>
              <w:rPr/>
            </w:pPr>
            <w:r>
              <w:rPr>
                <w:color w:val="212529"/>
                <w:spacing w:val="-2"/>
              </w:rPr>
              <w:t>9.89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5"/>
              <w:spacing w:before="116" w:line="238" w:lineRule="auto"/>
              <w:jc w:val="right"/>
              <w:rPr/>
            </w:pPr>
            <w:r>
              <w:rPr>
                <w:color w:val="212529"/>
                <w:spacing w:val="-2"/>
              </w:rPr>
              <w:t>9.89</w:t>
            </w:r>
          </w:p>
        </w:tc>
        <w:tc>
          <w:tcPr>
            <w:tcW w:w="988" w:type="dxa"/>
            <w:vAlign w:val="top"/>
          </w:tcPr>
          <w:p>
            <w:pPr>
              <w:pStyle w:val="TableText"/>
              <w:ind w:right="23"/>
              <w:spacing w:before="116" w:line="238" w:lineRule="auto"/>
              <w:jc w:val="right"/>
              <w:rPr/>
            </w:pPr>
            <w:r>
              <w:rPr>
                <w:color w:val="212529"/>
                <w:spacing w:val="-2"/>
              </w:rPr>
              <w:t>9.89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6" w:line="239" w:lineRule="auto"/>
              <w:rPr/>
            </w:pPr>
            <w:r>
              <w:rPr>
                <w:color w:val="212529"/>
                <w:spacing w:val="-2"/>
              </w:rPr>
              <w:t>2080505</w:t>
            </w:r>
          </w:p>
        </w:tc>
        <w:tc>
          <w:tcPr>
            <w:tcW w:w="1512" w:type="dxa"/>
            <w:vAlign w:val="top"/>
          </w:tcPr>
          <w:p>
            <w:pPr>
              <w:pStyle w:val="TableText"/>
              <w:ind w:right="62"/>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5"/>
              <w:spacing w:before="117" w:line="238" w:lineRule="auto"/>
              <w:jc w:val="right"/>
              <w:rPr/>
            </w:pPr>
            <w:r>
              <w:rPr>
                <w:color w:val="212529"/>
                <w:spacing w:val="-2"/>
              </w:rPr>
              <w:t>9.89</w:t>
            </w:r>
          </w:p>
        </w:tc>
        <w:tc>
          <w:tcPr>
            <w:tcW w:w="988" w:type="dxa"/>
            <w:vAlign w:val="top"/>
          </w:tcPr>
          <w:p>
            <w:pPr>
              <w:pStyle w:val="TableText"/>
              <w:ind w:right="23"/>
              <w:spacing w:before="117" w:line="238" w:lineRule="auto"/>
              <w:jc w:val="right"/>
              <w:rPr/>
            </w:pPr>
            <w:r>
              <w:rPr>
                <w:color w:val="212529"/>
                <w:spacing w:val="-2"/>
              </w:rPr>
              <w:t>9.89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7" w:line="239" w:lineRule="auto"/>
              <w:rPr/>
            </w:pPr>
            <w:r>
              <w:rPr>
                <w:color w:val="212529"/>
                <w:spacing w:val="-3"/>
              </w:rPr>
              <w:t>210</w:t>
            </w:r>
          </w:p>
        </w:tc>
        <w:tc>
          <w:tcPr>
            <w:tcW w:w="1512" w:type="dxa"/>
            <w:vAlign w:val="top"/>
          </w:tcPr>
          <w:p>
            <w:pPr>
              <w:pStyle w:val="TableText"/>
              <w:ind w:left="2"/>
              <w:spacing w:before="117" w:line="219" w:lineRule="auto"/>
              <w:rPr/>
            </w:pPr>
            <w:r>
              <w:rPr>
                <w:color w:val="212529"/>
                <w:spacing w:val="-2"/>
              </w:rPr>
              <w:t>卫生健康支出</w:t>
            </w:r>
          </w:p>
        </w:tc>
        <w:tc>
          <w:tcPr>
            <w:tcW w:w="988" w:type="dxa"/>
            <w:vAlign w:val="top"/>
          </w:tcPr>
          <w:p>
            <w:pPr>
              <w:pStyle w:val="TableText"/>
              <w:ind w:right="24"/>
              <w:spacing w:before="118" w:line="238" w:lineRule="auto"/>
              <w:jc w:val="right"/>
              <w:rPr/>
            </w:pPr>
            <w:r>
              <w:rPr>
                <w:color w:val="212529"/>
                <w:spacing w:val="-3"/>
              </w:rPr>
              <w:t>189.93</w:t>
            </w:r>
          </w:p>
        </w:tc>
        <w:tc>
          <w:tcPr>
            <w:tcW w:w="988" w:type="dxa"/>
            <w:vAlign w:val="top"/>
          </w:tcPr>
          <w:p>
            <w:pPr>
              <w:pStyle w:val="TableText"/>
              <w:ind w:right="21"/>
              <w:spacing w:before="118" w:line="238" w:lineRule="auto"/>
              <w:jc w:val="right"/>
              <w:rPr/>
            </w:pPr>
            <w:r>
              <w:rPr>
                <w:color w:val="212529"/>
                <w:spacing w:val="-3"/>
              </w:rPr>
              <w:t>173.01</w:t>
            </w:r>
          </w:p>
        </w:tc>
        <w:tc>
          <w:tcPr>
            <w:tcW w:w="913" w:type="dxa"/>
            <w:vAlign w:val="top"/>
          </w:tcPr>
          <w:p>
            <w:pPr>
              <w:rPr>
                <w:rFonts w:ascii="Arial"/>
                <w:sz w:val="21"/>
              </w:rPr>
            </w:pPr>
            <w:r/>
          </w:p>
        </w:tc>
        <w:tc>
          <w:tcPr>
            <w:tcW w:w="914" w:type="dxa"/>
            <w:vAlign w:val="top"/>
          </w:tcPr>
          <w:p>
            <w:pPr>
              <w:pStyle w:val="TableText"/>
              <w:ind w:right="26"/>
              <w:spacing w:before="118" w:line="238" w:lineRule="auto"/>
              <w:jc w:val="right"/>
              <w:rPr/>
            </w:pPr>
            <w:r>
              <w:rPr>
                <w:color w:val="212529"/>
                <w:spacing w:val="-4"/>
              </w:rPr>
              <w:t>10.95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8" w:line="238" w:lineRule="auto"/>
              <w:jc w:val="right"/>
              <w:rPr/>
            </w:pPr>
            <w:r>
              <w:rPr>
                <w:color w:val="212529"/>
                <w:spacing w:val="-2"/>
              </w:rPr>
              <w:t>5.98</w:t>
            </w:r>
          </w:p>
        </w:tc>
      </w:tr>
      <w:tr>
        <w:trPr>
          <w:trHeight w:val="404" w:hRule="atLeast"/>
        </w:trPr>
        <w:tc>
          <w:tcPr>
            <w:tcW w:w="921" w:type="dxa"/>
            <w:vAlign w:val="top"/>
          </w:tcPr>
          <w:p>
            <w:pPr>
              <w:pStyle w:val="TableText"/>
              <w:ind w:left="9"/>
              <w:spacing w:before="118" w:line="239" w:lineRule="auto"/>
              <w:rPr/>
            </w:pPr>
            <w:r>
              <w:rPr>
                <w:color w:val="212529"/>
                <w:spacing w:val="-2"/>
              </w:rPr>
              <w:t>21003</w:t>
            </w:r>
          </w:p>
        </w:tc>
        <w:tc>
          <w:tcPr>
            <w:tcW w:w="1512" w:type="dxa"/>
            <w:vAlign w:val="top"/>
          </w:tcPr>
          <w:p>
            <w:pPr>
              <w:pStyle w:val="TableText"/>
              <w:spacing w:before="118" w:line="218" w:lineRule="auto"/>
              <w:rPr/>
            </w:pPr>
            <w:r>
              <w:rPr>
                <w:color w:val="212529"/>
                <w:spacing w:val="-1"/>
              </w:rPr>
              <w:t>基层医疗卫生机构</w:t>
            </w:r>
          </w:p>
        </w:tc>
        <w:tc>
          <w:tcPr>
            <w:tcW w:w="988" w:type="dxa"/>
            <w:vAlign w:val="top"/>
          </w:tcPr>
          <w:p>
            <w:pPr>
              <w:pStyle w:val="TableText"/>
              <w:ind w:right="24"/>
              <w:spacing w:before="119" w:line="238" w:lineRule="auto"/>
              <w:jc w:val="right"/>
              <w:rPr/>
            </w:pPr>
            <w:r>
              <w:rPr>
                <w:color w:val="212529"/>
                <w:spacing w:val="-3"/>
              </w:rPr>
              <w:t>148.30</w:t>
            </w:r>
          </w:p>
        </w:tc>
        <w:tc>
          <w:tcPr>
            <w:tcW w:w="988" w:type="dxa"/>
            <w:vAlign w:val="top"/>
          </w:tcPr>
          <w:p>
            <w:pPr>
              <w:pStyle w:val="TableText"/>
              <w:ind w:right="21"/>
              <w:spacing w:before="119" w:line="238" w:lineRule="auto"/>
              <w:jc w:val="right"/>
              <w:rPr/>
            </w:pPr>
            <w:r>
              <w:rPr>
                <w:color w:val="212529"/>
                <w:spacing w:val="-3"/>
              </w:rPr>
              <w:t>131.38</w:t>
            </w:r>
          </w:p>
        </w:tc>
        <w:tc>
          <w:tcPr>
            <w:tcW w:w="913" w:type="dxa"/>
            <w:vAlign w:val="top"/>
          </w:tcPr>
          <w:p>
            <w:pPr>
              <w:rPr>
                <w:rFonts w:ascii="Arial"/>
                <w:sz w:val="21"/>
              </w:rPr>
            </w:pPr>
            <w:r/>
          </w:p>
        </w:tc>
        <w:tc>
          <w:tcPr>
            <w:tcW w:w="914" w:type="dxa"/>
            <w:vAlign w:val="top"/>
          </w:tcPr>
          <w:p>
            <w:pPr>
              <w:pStyle w:val="TableText"/>
              <w:ind w:right="26"/>
              <w:spacing w:before="119" w:line="238" w:lineRule="auto"/>
              <w:jc w:val="right"/>
              <w:rPr/>
            </w:pPr>
            <w:r>
              <w:rPr>
                <w:color w:val="212529"/>
                <w:spacing w:val="-4"/>
              </w:rPr>
              <w:t>10.95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19" w:line="238" w:lineRule="auto"/>
              <w:jc w:val="right"/>
              <w:rPr/>
            </w:pPr>
            <w:r>
              <w:rPr>
                <w:color w:val="212529"/>
                <w:spacing w:val="-2"/>
              </w:rPr>
              <w:t>5.98</w:t>
            </w:r>
          </w:p>
        </w:tc>
      </w:tr>
      <w:tr>
        <w:trPr>
          <w:trHeight w:val="404" w:hRule="atLeast"/>
        </w:trPr>
        <w:tc>
          <w:tcPr>
            <w:tcW w:w="921" w:type="dxa"/>
            <w:vAlign w:val="top"/>
          </w:tcPr>
          <w:p>
            <w:pPr>
              <w:pStyle w:val="TableText"/>
              <w:ind w:left="9"/>
              <w:spacing w:before="119" w:line="239" w:lineRule="auto"/>
              <w:rPr/>
            </w:pPr>
            <w:r>
              <w:rPr>
                <w:color w:val="212529"/>
                <w:spacing w:val="-2"/>
              </w:rPr>
              <w:t>2100302</w:t>
            </w:r>
          </w:p>
        </w:tc>
        <w:tc>
          <w:tcPr>
            <w:tcW w:w="1512" w:type="dxa"/>
            <w:vAlign w:val="top"/>
          </w:tcPr>
          <w:p>
            <w:pPr>
              <w:pStyle w:val="TableText"/>
              <w:ind w:left="8"/>
              <w:spacing w:before="119" w:line="219" w:lineRule="auto"/>
              <w:rPr/>
            </w:pPr>
            <w:r>
              <w:rPr>
                <w:color w:val="212529"/>
                <w:spacing w:val="-3"/>
              </w:rPr>
              <w:t>乡镇卫生院</w:t>
            </w:r>
          </w:p>
        </w:tc>
        <w:tc>
          <w:tcPr>
            <w:tcW w:w="988" w:type="dxa"/>
            <w:vAlign w:val="top"/>
          </w:tcPr>
          <w:p>
            <w:pPr>
              <w:pStyle w:val="TableText"/>
              <w:ind w:right="24"/>
              <w:spacing w:before="120" w:line="238" w:lineRule="auto"/>
              <w:jc w:val="right"/>
              <w:rPr/>
            </w:pPr>
            <w:r>
              <w:rPr>
                <w:color w:val="212529"/>
                <w:spacing w:val="-3"/>
              </w:rPr>
              <w:t>126.81</w:t>
            </w:r>
          </w:p>
        </w:tc>
        <w:tc>
          <w:tcPr>
            <w:tcW w:w="988" w:type="dxa"/>
            <w:vAlign w:val="top"/>
          </w:tcPr>
          <w:p>
            <w:pPr>
              <w:pStyle w:val="TableText"/>
              <w:ind w:right="21"/>
              <w:spacing w:before="120" w:line="238" w:lineRule="auto"/>
              <w:jc w:val="right"/>
              <w:rPr/>
            </w:pPr>
            <w:r>
              <w:rPr>
                <w:color w:val="212529"/>
                <w:spacing w:val="-3"/>
              </w:rPr>
              <w:t>109.89</w:t>
            </w:r>
          </w:p>
        </w:tc>
        <w:tc>
          <w:tcPr>
            <w:tcW w:w="913" w:type="dxa"/>
            <w:vAlign w:val="top"/>
          </w:tcPr>
          <w:p>
            <w:pPr>
              <w:rPr>
                <w:rFonts w:ascii="Arial"/>
                <w:sz w:val="21"/>
              </w:rPr>
            </w:pPr>
            <w:r/>
          </w:p>
        </w:tc>
        <w:tc>
          <w:tcPr>
            <w:tcW w:w="914" w:type="dxa"/>
            <w:vAlign w:val="top"/>
          </w:tcPr>
          <w:p>
            <w:pPr>
              <w:pStyle w:val="TableText"/>
              <w:ind w:right="26"/>
              <w:spacing w:before="120" w:line="238" w:lineRule="auto"/>
              <w:jc w:val="right"/>
              <w:rPr/>
            </w:pPr>
            <w:r>
              <w:rPr>
                <w:color w:val="212529"/>
                <w:spacing w:val="-4"/>
              </w:rPr>
              <w:t>10.95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20" w:line="238" w:lineRule="auto"/>
              <w:jc w:val="right"/>
              <w:rPr/>
            </w:pPr>
            <w:r>
              <w:rPr>
                <w:color w:val="212529"/>
                <w:spacing w:val="-2"/>
              </w:rPr>
              <w:t>5.98</w:t>
            </w:r>
          </w:p>
        </w:tc>
      </w:tr>
      <w:tr>
        <w:trPr>
          <w:trHeight w:val="419" w:hRule="atLeast"/>
        </w:trPr>
        <w:tc>
          <w:tcPr>
            <w:tcW w:w="921" w:type="dxa"/>
            <w:vAlign w:val="top"/>
          </w:tcPr>
          <w:p>
            <w:pPr>
              <w:pStyle w:val="TableText"/>
              <w:ind w:left="9"/>
              <w:spacing w:before="120" w:line="239" w:lineRule="auto"/>
              <w:rPr/>
            </w:pPr>
            <w:r>
              <w:rPr>
                <w:color w:val="212529"/>
                <w:spacing w:val="-2"/>
              </w:rPr>
              <w:t>2100399</w:t>
            </w:r>
          </w:p>
        </w:tc>
        <w:tc>
          <w:tcPr>
            <w:tcW w:w="1512" w:type="dxa"/>
            <w:vAlign w:val="top"/>
          </w:tcPr>
          <w:p>
            <w:pPr>
              <w:pStyle w:val="TableText"/>
              <w:ind w:right="62"/>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5"/>
              <w:spacing w:before="121" w:line="238" w:lineRule="auto"/>
              <w:jc w:val="right"/>
              <w:rPr/>
            </w:pPr>
            <w:r>
              <w:rPr>
                <w:color w:val="212529"/>
                <w:spacing w:val="-2"/>
              </w:rPr>
              <w:t>21.49</w:t>
            </w:r>
          </w:p>
        </w:tc>
        <w:tc>
          <w:tcPr>
            <w:tcW w:w="988" w:type="dxa"/>
            <w:vAlign w:val="top"/>
          </w:tcPr>
          <w:p>
            <w:pPr>
              <w:pStyle w:val="TableText"/>
              <w:ind w:right="23"/>
              <w:spacing w:before="121" w:line="238" w:lineRule="auto"/>
              <w:jc w:val="right"/>
              <w:rPr/>
            </w:pPr>
            <w:r>
              <w:rPr>
                <w:color w:val="212529"/>
                <w:spacing w:val="-2"/>
              </w:rPr>
              <w:t>21.49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1" w:line="239" w:lineRule="auto"/>
              <w:rPr/>
            </w:pPr>
            <w:r>
              <w:rPr>
                <w:color w:val="212529"/>
                <w:spacing w:val="-2"/>
              </w:rPr>
              <w:t>21004</w:t>
            </w:r>
          </w:p>
        </w:tc>
        <w:tc>
          <w:tcPr>
            <w:tcW w:w="1512" w:type="dxa"/>
            <w:vAlign w:val="top"/>
          </w:tcPr>
          <w:p>
            <w:pPr>
              <w:pStyle w:val="TableText"/>
              <w:ind w:left="6"/>
              <w:spacing w:before="121" w:line="219" w:lineRule="auto"/>
              <w:rPr/>
            </w:pPr>
            <w:r>
              <w:rPr>
                <w:color w:val="212529"/>
                <w:spacing w:val="-3"/>
              </w:rPr>
              <w:t>公共卫生</w:t>
            </w:r>
          </w:p>
        </w:tc>
        <w:tc>
          <w:tcPr>
            <w:tcW w:w="988" w:type="dxa"/>
            <w:vAlign w:val="top"/>
          </w:tcPr>
          <w:p>
            <w:pPr>
              <w:pStyle w:val="TableText"/>
              <w:ind w:right="25"/>
              <w:spacing w:before="122" w:line="238" w:lineRule="auto"/>
              <w:jc w:val="right"/>
              <w:rPr/>
            </w:pPr>
            <w:r>
              <w:rPr>
                <w:color w:val="212529"/>
                <w:spacing w:val="-2"/>
              </w:rPr>
              <w:t>37.40</w:t>
            </w:r>
          </w:p>
        </w:tc>
        <w:tc>
          <w:tcPr>
            <w:tcW w:w="988" w:type="dxa"/>
            <w:vAlign w:val="top"/>
          </w:tcPr>
          <w:p>
            <w:pPr>
              <w:pStyle w:val="TableText"/>
              <w:ind w:right="22"/>
              <w:spacing w:before="122" w:line="238" w:lineRule="auto"/>
              <w:jc w:val="right"/>
              <w:rPr/>
            </w:pPr>
            <w:r>
              <w:rPr>
                <w:color w:val="212529"/>
                <w:spacing w:val="-2"/>
              </w:rPr>
              <w:t>37.40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2" w:line="239" w:lineRule="auto"/>
              <w:rPr/>
            </w:pPr>
            <w:r>
              <w:rPr>
                <w:color w:val="212529"/>
                <w:spacing w:val="-2"/>
              </w:rPr>
              <w:t>2100401</w:t>
            </w:r>
          </w:p>
        </w:tc>
        <w:tc>
          <w:tcPr>
            <w:tcW w:w="1512" w:type="dxa"/>
            <w:vAlign w:val="top"/>
          </w:tcPr>
          <w:p>
            <w:pPr>
              <w:pStyle w:val="TableText"/>
              <w:spacing w:before="122" w:line="218" w:lineRule="auto"/>
              <w:rPr/>
            </w:pPr>
            <w:r>
              <w:rPr>
                <w:color w:val="212529"/>
                <w:spacing w:val="-1"/>
              </w:rPr>
              <w:t>疾病预防控制机构</w:t>
            </w:r>
          </w:p>
        </w:tc>
        <w:tc>
          <w:tcPr>
            <w:tcW w:w="988" w:type="dxa"/>
            <w:vAlign w:val="top"/>
          </w:tcPr>
          <w:p>
            <w:pPr>
              <w:pStyle w:val="TableText"/>
              <w:ind w:right="25"/>
              <w:spacing w:before="123" w:line="238" w:lineRule="auto"/>
              <w:jc w:val="right"/>
              <w:rPr/>
            </w:pPr>
            <w:r>
              <w:rPr>
                <w:color w:val="212529"/>
                <w:spacing w:val="-2"/>
              </w:rPr>
              <w:t>0.06</w:t>
            </w:r>
          </w:p>
        </w:tc>
        <w:tc>
          <w:tcPr>
            <w:tcW w:w="988" w:type="dxa"/>
            <w:vAlign w:val="top"/>
          </w:tcPr>
          <w:p>
            <w:pPr>
              <w:pStyle w:val="TableText"/>
              <w:ind w:right="22"/>
              <w:spacing w:before="123" w:line="238" w:lineRule="auto"/>
              <w:jc w:val="right"/>
              <w:rPr/>
            </w:pPr>
            <w:r>
              <w:rPr>
                <w:color w:val="212529"/>
                <w:spacing w:val="-2"/>
              </w:rPr>
              <w:t>0.06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5"/>
              <w:spacing w:before="124" w:line="238" w:lineRule="auto"/>
              <w:jc w:val="right"/>
              <w:rPr/>
            </w:pPr>
            <w:r>
              <w:rPr>
                <w:color w:val="212529"/>
                <w:spacing w:val="-2"/>
              </w:rPr>
              <w:t>37.34</w:t>
            </w:r>
          </w:p>
        </w:tc>
        <w:tc>
          <w:tcPr>
            <w:tcW w:w="988" w:type="dxa"/>
            <w:vAlign w:val="top"/>
          </w:tcPr>
          <w:p>
            <w:pPr>
              <w:pStyle w:val="TableText"/>
              <w:ind w:right="22"/>
              <w:spacing w:before="124" w:line="238" w:lineRule="auto"/>
              <w:jc w:val="right"/>
              <w:rPr/>
            </w:pPr>
            <w:r>
              <w:rPr>
                <w:color w:val="212529"/>
                <w:spacing w:val="-2"/>
              </w:rPr>
              <w:t>37.34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5"/>
              <w:spacing w:before="124" w:line="238" w:lineRule="auto"/>
              <w:jc w:val="right"/>
              <w:rPr/>
            </w:pPr>
            <w:r>
              <w:rPr>
                <w:color w:val="212529"/>
                <w:spacing w:val="-2"/>
              </w:rPr>
              <w:t>4.23</w:t>
            </w:r>
          </w:p>
        </w:tc>
        <w:tc>
          <w:tcPr>
            <w:tcW w:w="988" w:type="dxa"/>
            <w:vAlign w:val="top"/>
          </w:tcPr>
          <w:p>
            <w:pPr>
              <w:pStyle w:val="TableText"/>
              <w:ind w:right="23"/>
              <w:spacing w:before="124" w:line="238" w:lineRule="auto"/>
              <w:jc w:val="right"/>
              <w:rPr/>
            </w:pPr>
            <w:r>
              <w:rPr>
                <w:color w:val="212529"/>
                <w:spacing w:val="-2"/>
              </w:rPr>
              <w:t>4.23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5"/>
              <w:spacing w:before="124" w:line="238" w:lineRule="auto"/>
              <w:jc w:val="right"/>
              <w:rPr/>
            </w:pPr>
            <w:r>
              <w:rPr>
                <w:color w:val="212529"/>
                <w:spacing w:val="-2"/>
              </w:rPr>
              <w:t>4.23</w:t>
            </w:r>
          </w:p>
        </w:tc>
        <w:tc>
          <w:tcPr>
            <w:tcW w:w="988" w:type="dxa"/>
            <w:vAlign w:val="top"/>
          </w:tcPr>
          <w:p>
            <w:pPr>
              <w:pStyle w:val="TableText"/>
              <w:ind w:right="23"/>
              <w:spacing w:before="124" w:line="238" w:lineRule="auto"/>
              <w:jc w:val="right"/>
              <w:rPr/>
            </w:pPr>
            <w:r>
              <w:rPr>
                <w:color w:val="212529"/>
                <w:spacing w:val="-2"/>
              </w:rPr>
              <w:t>4.23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5"/>
              <w:spacing w:before="124" w:line="238" w:lineRule="auto"/>
              <w:jc w:val="right"/>
              <w:rPr/>
            </w:pPr>
            <w:r>
              <w:rPr>
                <w:color w:val="212529"/>
                <w:spacing w:val="-2"/>
              </w:rPr>
              <w:t>8.85</w:t>
            </w:r>
          </w:p>
        </w:tc>
        <w:tc>
          <w:tcPr>
            <w:tcW w:w="988" w:type="dxa"/>
            <w:vAlign w:val="top"/>
          </w:tcPr>
          <w:p>
            <w:pPr>
              <w:pStyle w:val="TableText"/>
              <w:ind w:right="23"/>
              <w:spacing w:before="124" w:line="238" w:lineRule="auto"/>
              <w:jc w:val="right"/>
              <w:rPr/>
            </w:pPr>
            <w:r>
              <w:rPr>
                <w:color w:val="212529"/>
                <w:spacing w:val="-2"/>
              </w:rPr>
              <w:t>8.85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5"/>
              <w:spacing w:before="124" w:line="238" w:lineRule="auto"/>
              <w:jc w:val="right"/>
              <w:rPr/>
            </w:pPr>
            <w:r>
              <w:rPr>
                <w:color w:val="212529"/>
                <w:spacing w:val="-2"/>
              </w:rPr>
              <w:t>8.85</w:t>
            </w:r>
          </w:p>
        </w:tc>
        <w:tc>
          <w:tcPr>
            <w:tcW w:w="988" w:type="dxa"/>
            <w:vAlign w:val="top"/>
          </w:tcPr>
          <w:p>
            <w:pPr>
              <w:pStyle w:val="TableText"/>
              <w:ind w:right="23"/>
              <w:spacing w:before="124" w:line="238" w:lineRule="auto"/>
              <w:jc w:val="right"/>
              <w:rPr/>
            </w:pPr>
            <w:r>
              <w:rPr>
                <w:color w:val="212529"/>
                <w:spacing w:val="-2"/>
              </w:rPr>
              <w:t>8.85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5"/>
              <w:spacing w:before="124" w:line="238" w:lineRule="auto"/>
              <w:jc w:val="right"/>
              <w:rPr/>
            </w:pPr>
            <w:r>
              <w:rPr>
                <w:color w:val="212529"/>
                <w:spacing w:val="-2"/>
              </w:rPr>
              <w:t>8.85</w:t>
            </w:r>
          </w:p>
        </w:tc>
        <w:tc>
          <w:tcPr>
            <w:tcW w:w="988" w:type="dxa"/>
            <w:vAlign w:val="top"/>
          </w:tcPr>
          <w:p>
            <w:pPr>
              <w:pStyle w:val="TableText"/>
              <w:ind w:right="23"/>
              <w:spacing w:before="124" w:line="238" w:lineRule="auto"/>
              <w:jc w:val="right"/>
              <w:rPr/>
            </w:pPr>
            <w:r>
              <w:rPr>
                <w:color w:val="212529"/>
                <w:spacing w:val="-2"/>
              </w:rPr>
              <w:t>8.85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9"/>
          <w:footerReference w:type="default" r:id="rId10"/>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部门名称：兴县圪垯上乡卫生院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9"/>
              <w:spacing w:before="135" w:line="184" w:lineRule="auto"/>
              <w:rPr>
                <w:rFonts w:ascii="Arial" w:hAnsi="Arial" w:eastAsia="Arial" w:cs="Arial"/>
                <w:sz w:val="15"/>
                <w:szCs w:val="15"/>
              </w:rPr>
            </w:pPr>
            <w:r>
              <w:rPr>
                <w:rFonts w:ascii="Arial" w:hAnsi="Arial" w:eastAsia="Arial" w:cs="Arial"/>
                <w:sz w:val="15"/>
                <w:szCs w:val="15"/>
                <w:color w:val="212529"/>
                <w:spacing w:val="3"/>
              </w:rPr>
              <w:t>205.</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19</w:t>
            </w:r>
          </w:p>
        </w:tc>
        <w:tc>
          <w:tcPr>
            <w:tcW w:w="1108" w:type="dxa"/>
            <w:vAlign w:val="top"/>
          </w:tcPr>
          <w:p>
            <w:pPr>
              <w:ind w:left="547"/>
              <w:spacing w:before="135" w:line="184" w:lineRule="auto"/>
              <w:rPr>
                <w:rFonts w:ascii="Arial" w:hAnsi="Arial" w:eastAsia="Arial" w:cs="Arial"/>
                <w:sz w:val="15"/>
                <w:szCs w:val="15"/>
              </w:rPr>
            </w:pPr>
            <w:r>
              <w:rPr>
                <w:rFonts w:ascii="Arial" w:hAnsi="Arial" w:eastAsia="Arial" w:cs="Arial"/>
                <w:sz w:val="15"/>
                <w:szCs w:val="15"/>
                <w:color w:val="212529"/>
                <w:spacing w:val="2"/>
              </w:rPr>
              <w:t>113.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86</w:t>
            </w:r>
          </w:p>
        </w:tc>
        <w:tc>
          <w:tcPr>
            <w:tcW w:w="1123" w:type="dxa"/>
            <w:vAlign w:val="top"/>
          </w:tcPr>
          <w:p>
            <w:pPr>
              <w:ind w:left="631"/>
              <w:spacing w:before="135" w:line="184" w:lineRule="auto"/>
              <w:rPr>
                <w:rFonts w:ascii="Arial" w:hAnsi="Arial" w:eastAsia="Arial" w:cs="Arial"/>
                <w:sz w:val="15"/>
                <w:szCs w:val="15"/>
              </w:rPr>
            </w:pPr>
            <w:r>
              <w:rPr>
                <w:rFonts w:ascii="Arial" w:hAnsi="Arial" w:eastAsia="Arial" w:cs="Arial"/>
                <w:sz w:val="15"/>
                <w:szCs w:val="15"/>
                <w:color w:val="212529"/>
                <w:spacing w:val="3"/>
              </w:rPr>
              <w:t>91.</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9.89</w:t>
            </w:r>
          </w:p>
        </w:tc>
        <w:tc>
          <w:tcPr>
            <w:tcW w:w="1108" w:type="dxa"/>
            <w:vAlign w:val="top"/>
          </w:tcPr>
          <w:p>
            <w:pPr>
              <w:pStyle w:val="TableText"/>
              <w:ind w:right="23"/>
              <w:spacing w:before="115" w:line="238" w:lineRule="auto"/>
              <w:jc w:val="right"/>
              <w:rPr/>
            </w:pPr>
            <w:r>
              <w:rPr>
                <w:color w:val="212529"/>
                <w:spacing w:val="-2"/>
              </w:rPr>
              <w:t>9.89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9.89</w:t>
            </w:r>
          </w:p>
        </w:tc>
        <w:tc>
          <w:tcPr>
            <w:tcW w:w="1108" w:type="dxa"/>
            <w:vAlign w:val="top"/>
          </w:tcPr>
          <w:p>
            <w:pPr>
              <w:pStyle w:val="TableText"/>
              <w:ind w:right="23"/>
              <w:spacing w:before="116" w:line="238" w:lineRule="auto"/>
              <w:jc w:val="right"/>
              <w:rPr/>
            </w:pPr>
            <w:r>
              <w:rPr>
                <w:color w:val="212529"/>
                <w:spacing w:val="-2"/>
              </w:rPr>
              <w:t>9.89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7" w:line="238" w:lineRule="auto"/>
              <w:jc w:val="right"/>
              <w:rPr/>
            </w:pPr>
            <w:r>
              <w:rPr>
                <w:color w:val="212529"/>
                <w:spacing w:val="-2"/>
              </w:rPr>
              <w:t>9.89</w:t>
            </w:r>
          </w:p>
        </w:tc>
        <w:tc>
          <w:tcPr>
            <w:tcW w:w="1108" w:type="dxa"/>
            <w:vAlign w:val="top"/>
          </w:tcPr>
          <w:p>
            <w:pPr>
              <w:pStyle w:val="TableText"/>
              <w:ind w:right="23"/>
              <w:spacing w:before="117" w:line="238" w:lineRule="auto"/>
              <w:jc w:val="right"/>
              <w:rPr/>
            </w:pPr>
            <w:r>
              <w:rPr>
                <w:color w:val="212529"/>
                <w:spacing w:val="-2"/>
              </w:rPr>
              <w:t>9.89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29"/>
              <w:spacing w:before="118" w:line="238" w:lineRule="auto"/>
              <w:jc w:val="right"/>
              <w:rPr/>
            </w:pPr>
            <w:r>
              <w:rPr>
                <w:color w:val="212529"/>
                <w:spacing w:val="-3"/>
              </w:rPr>
              <w:t>186.45</w:t>
            </w:r>
          </w:p>
        </w:tc>
        <w:tc>
          <w:tcPr>
            <w:tcW w:w="1108" w:type="dxa"/>
            <w:vAlign w:val="top"/>
          </w:tcPr>
          <w:p>
            <w:pPr>
              <w:pStyle w:val="TableText"/>
              <w:ind w:right="24"/>
              <w:spacing w:before="118" w:line="238" w:lineRule="auto"/>
              <w:jc w:val="right"/>
              <w:rPr/>
            </w:pPr>
            <w:r>
              <w:rPr>
                <w:color w:val="212529"/>
                <w:spacing w:val="-2"/>
              </w:rPr>
              <w:t>95.12</w:t>
            </w:r>
          </w:p>
        </w:tc>
        <w:tc>
          <w:tcPr>
            <w:tcW w:w="1123" w:type="dxa"/>
            <w:vAlign w:val="top"/>
          </w:tcPr>
          <w:p>
            <w:pPr>
              <w:pStyle w:val="TableText"/>
              <w:ind w:right="32"/>
              <w:spacing w:before="118" w:line="238" w:lineRule="auto"/>
              <w:jc w:val="right"/>
              <w:rPr/>
            </w:pPr>
            <w:r>
              <w:rPr>
                <w:color w:val="212529"/>
                <w:spacing w:val="-2"/>
              </w:rPr>
              <w:t>91.33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29"/>
              <w:spacing w:before="119" w:line="238" w:lineRule="auto"/>
              <w:jc w:val="right"/>
              <w:rPr/>
            </w:pPr>
            <w:r>
              <w:rPr>
                <w:color w:val="212529"/>
                <w:spacing w:val="-3"/>
              </w:rPr>
              <w:t>144.82</w:t>
            </w:r>
          </w:p>
        </w:tc>
        <w:tc>
          <w:tcPr>
            <w:tcW w:w="1108" w:type="dxa"/>
            <w:vAlign w:val="top"/>
          </w:tcPr>
          <w:p>
            <w:pPr>
              <w:pStyle w:val="TableText"/>
              <w:ind w:right="24"/>
              <w:spacing w:before="119" w:line="238" w:lineRule="auto"/>
              <w:jc w:val="right"/>
              <w:rPr/>
            </w:pPr>
            <w:r>
              <w:rPr>
                <w:color w:val="212529"/>
                <w:spacing w:val="-2"/>
              </w:rPr>
              <w:t>90.89</w:t>
            </w:r>
          </w:p>
        </w:tc>
        <w:tc>
          <w:tcPr>
            <w:tcW w:w="1123" w:type="dxa"/>
            <w:vAlign w:val="top"/>
          </w:tcPr>
          <w:p>
            <w:pPr>
              <w:pStyle w:val="TableText"/>
              <w:ind w:right="31"/>
              <w:spacing w:before="119" w:line="238" w:lineRule="auto"/>
              <w:jc w:val="right"/>
              <w:rPr/>
            </w:pPr>
            <w:r>
              <w:rPr>
                <w:color w:val="212529"/>
                <w:spacing w:val="-2"/>
              </w:rPr>
              <w:t>53.92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29"/>
              <w:spacing w:before="120" w:line="238" w:lineRule="auto"/>
              <w:jc w:val="right"/>
              <w:rPr/>
            </w:pPr>
            <w:r>
              <w:rPr>
                <w:color w:val="212529"/>
                <w:spacing w:val="-3"/>
              </w:rPr>
              <w:t>123.33</w:t>
            </w:r>
          </w:p>
        </w:tc>
        <w:tc>
          <w:tcPr>
            <w:tcW w:w="1108" w:type="dxa"/>
            <w:vAlign w:val="top"/>
          </w:tcPr>
          <w:p>
            <w:pPr>
              <w:pStyle w:val="TableText"/>
              <w:ind w:right="24"/>
              <w:spacing w:before="120" w:line="238" w:lineRule="auto"/>
              <w:jc w:val="right"/>
              <w:rPr/>
            </w:pPr>
            <w:r>
              <w:rPr>
                <w:color w:val="212529"/>
                <w:spacing w:val="-2"/>
              </w:rPr>
              <w:t>90.89</w:t>
            </w:r>
          </w:p>
        </w:tc>
        <w:tc>
          <w:tcPr>
            <w:tcW w:w="1123" w:type="dxa"/>
            <w:vAlign w:val="top"/>
          </w:tcPr>
          <w:p>
            <w:pPr>
              <w:pStyle w:val="TableText"/>
              <w:ind w:right="31"/>
              <w:spacing w:before="120" w:line="238" w:lineRule="auto"/>
              <w:jc w:val="right"/>
              <w:rPr/>
            </w:pPr>
            <w:r>
              <w:rPr>
                <w:color w:val="212529"/>
                <w:spacing w:val="-2"/>
              </w:rPr>
              <w:t>32.43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1" w:line="238" w:lineRule="auto"/>
              <w:jc w:val="right"/>
              <w:rPr/>
            </w:pPr>
            <w:r>
              <w:rPr>
                <w:color w:val="212529"/>
                <w:spacing w:val="-2"/>
              </w:rPr>
              <w:t>21.49</w:t>
            </w:r>
          </w:p>
        </w:tc>
        <w:tc>
          <w:tcPr>
            <w:tcW w:w="1108" w:type="dxa"/>
            <w:vAlign w:val="top"/>
          </w:tcPr>
          <w:p>
            <w:pPr>
              <w:rPr>
                <w:rFonts w:ascii="Arial"/>
                <w:sz w:val="21"/>
              </w:rPr>
            </w:pPr>
            <w:r/>
          </w:p>
        </w:tc>
        <w:tc>
          <w:tcPr>
            <w:tcW w:w="1123" w:type="dxa"/>
            <w:vAlign w:val="top"/>
          </w:tcPr>
          <w:p>
            <w:pPr>
              <w:pStyle w:val="TableText"/>
              <w:ind w:right="32"/>
              <w:spacing w:before="121" w:line="238" w:lineRule="auto"/>
              <w:jc w:val="right"/>
              <w:rPr/>
            </w:pPr>
            <w:r>
              <w:rPr>
                <w:color w:val="212529"/>
                <w:spacing w:val="-2"/>
              </w:rPr>
              <w:t>21.49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0"/>
              <w:spacing w:before="122" w:line="238" w:lineRule="auto"/>
              <w:jc w:val="right"/>
              <w:rPr/>
            </w:pPr>
            <w:r>
              <w:rPr>
                <w:color w:val="212529"/>
                <w:spacing w:val="-2"/>
              </w:rPr>
              <w:t>37.40</w:t>
            </w:r>
          </w:p>
        </w:tc>
        <w:tc>
          <w:tcPr>
            <w:tcW w:w="1108" w:type="dxa"/>
            <w:vAlign w:val="top"/>
          </w:tcPr>
          <w:p>
            <w:pPr>
              <w:rPr>
                <w:rFonts w:ascii="Arial"/>
                <w:sz w:val="21"/>
              </w:rPr>
            </w:pPr>
            <w:r/>
          </w:p>
        </w:tc>
        <w:tc>
          <w:tcPr>
            <w:tcW w:w="1123" w:type="dxa"/>
            <w:vAlign w:val="top"/>
          </w:tcPr>
          <w:p>
            <w:pPr>
              <w:pStyle w:val="TableText"/>
              <w:ind w:right="31"/>
              <w:spacing w:before="122" w:line="238" w:lineRule="auto"/>
              <w:jc w:val="right"/>
              <w:rPr/>
            </w:pPr>
            <w:r>
              <w:rPr>
                <w:color w:val="212529"/>
                <w:spacing w:val="-2"/>
              </w:rPr>
              <w:t>37.40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0.06</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0.06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37.34</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37.34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4.23</w:t>
            </w:r>
          </w:p>
        </w:tc>
        <w:tc>
          <w:tcPr>
            <w:tcW w:w="1108" w:type="dxa"/>
            <w:vAlign w:val="top"/>
          </w:tcPr>
          <w:p>
            <w:pPr>
              <w:pStyle w:val="TableText"/>
              <w:ind w:right="24"/>
              <w:spacing w:before="124" w:line="238" w:lineRule="auto"/>
              <w:jc w:val="right"/>
              <w:rPr/>
            </w:pPr>
            <w:r>
              <w:rPr>
                <w:color w:val="212529"/>
                <w:spacing w:val="-2"/>
              </w:rPr>
              <w:t>4.23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4.23</w:t>
            </w:r>
          </w:p>
        </w:tc>
        <w:tc>
          <w:tcPr>
            <w:tcW w:w="1108" w:type="dxa"/>
            <w:vAlign w:val="top"/>
          </w:tcPr>
          <w:p>
            <w:pPr>
              <w:pStyle w:val="TableText"/>
              <w:ind w:right="24"/>
              <w:spacing w:before="124" w:line="238" w:lineRule="auto"/>
              <w:jc w:val="right"/>
              <w:rPr/>
            </w:pPr>
            <w:r>
              <w:rPr>
                <w:color w:val="212529"/>
                <w:spacing w:val="-2"/>
              </w:rPr>
              <w:t>4.23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8.85</w:t>
            </w:r>
          </w:p>
        </w:tc>
        <w:tc>
          <w:tcPr>
            <w:tcW w:w="1108" w:type="dxa"/>
            <w:vAlign w:val="top"/>
          </w:tcPr>
          <w:p>
            <w:pPr>
              <w:pStyle w:val="TableText"/>
              <w:ind w:right="23"/>
              <w:spacing w:before="124" w:line="238" w:lineRule="auto"/>
              <w:jc w:val="right"/>
              <w:rPr/>
            </w:pPr>
            <w:r>
              <w:rPr>
                <w:color w:val="212529"/>
                <w:spacing w:val="-2"/>
              </w:rPr>
              <w:t>8.85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8.85</w:t>
            </w:r>
          </w:p>
        </w:tc>
        <w:tc>
          <w:tcPr>
            <w:tcW w:w="1108" w:type="dxa"/>
            <w:vAlign w:val="top"/>
          </w:tcPr>
          <w:p>
            <w:pPr>
              <w:pStyle w:val="TableText"/>
              <w:ind w:right="23"/>
              <w:spacing w:before="124" w:line="238" w:lineRule="auto"/>
              <w:jc w:val="right"/>
              <w:rPr/>
            </w:pPr>
            <w:r>
              <w:rPr>
                <w:color w:val="212529"/>
                <w:spacing w:val="-2"/>
              </w:rPr>
              <w:t>8.85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8.85</w:t>
            </w:r>
          </w:p>
        </w:tc>
        <w:tc>
          <w:tcPr>
            <w:tcW w:w="1108" w:type="dxa"/>
            <w:vAlign w:val="top"/>
          </w:tcPr>
          <w:p>
            <w:pPr>
              <w:pStyle w:val="TableText"/>
              <w:ind w:right="23"/>
              <w:spacing w:before="124" w:line="238" w:lineRule="auto"/>
              <w:jc w:val="right"/>
              <w:rPr/>
            </w:pPr>
            <w:r>
              <w:rPr>
                <w:color w:val="212529"/>
                <w:spacing w:val="-2"/>
              </w:rPr>
              <w:t>8.85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headerReference w:type="default" r:id="rId11"/>
          <w:footerReference w:type="default" r:id="rId12"/>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部门名称：兴县圪垯上乡卫生院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28"/>
              <w:spacing w:before="174" w:line="238" w:lineRule="auto"/>
              <w:jc w:val="right"/>
              <w:rPr/>
            </w:pPr>
            <w:r>
              <w:rPr>
                <w:color w:val="212529"/>
                <w:spacing w:val="-3"/>
              </w:rPr>
              <w:t>191.75</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9.89</w:t>
            </w:r>
          </w:p>
        </w:tc>
        <w:tc>
          <w:tcPr>
            <w:tcW w:w="1003" w:type="dxa"/>
            <w:vAlign w:val="top"/>
          </w:tcPr>
          <w:p>
            <w:pPr>
              <w:pStyle w:val="TableText"/>
              <w:ind w:right="20"/>
              <w:spacing w:before="181" w:line="238" w:lineRule="auto"/>
              <w:jc w:val="right"/>
              <w:rPr/>
            </w:pPr>
            <w:r>
              <w:rPr>
                <w:color w:val="212529"/>
                <w:spacing w:val="-2"/>
              </w:rPr>
              <w:t>9.89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173.01</w:t>
            </w:r>
          </w:p>
        </w:tc>
        <w:tc>
          <w:tcPr>
            <w:tcW w:w="1003" w:type="dxa"/>
            <w:vAlign w:val="top"/>
          </w:tcPr>
          <w:p>
            <w:pPr>
              <w:pStyle w:val="TableText"/>
              <w:ind w:right="19"/>
              <w:spacing w:before="182" w:line="238" w:lineRule="auto"/>
              <w:jc w:val="right"/>
              <w:rPr/>
            </w:pPr>
            <w:r>
              <w:rPr>
                <w:color w:val="212529"/>
                <w:spacing w:val="-3"/>
              </w:rPr>
              <w:t>173.01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8.85</w:t>
            </w:r>
          </w:p>
        </w:tc>
        <w:tc>
          <w:tcPr>
            <w:tcW w:w="1003" w:type="dxa"/>
            <w:vAlign w:val="top"/>
          </w:tcPr>
          <w:p>
            <w:pPr>
              <w:pStyle w:val="TableText"/>
              <w:ind w:right="20"/>
              <w:spacing w:before="184" w:line="238" w:lineRule="auto"/>
              <w:jc w:val="right"/>
              <w:rPr/>
            </w:pPr>
            <w:r>
              <w:rPr>
                <w:color w:val="212529"/>
                <w:spacing w:val="-2"/>
              </w:rPr>
              <w:t>8.85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31"/>
              <w:spacing w:before="181" w:line="212" w:lineRule="auto"/>
              <w:rPr>
                <w:rFonts w:ascii="Arial" w:hAnsi="Arial" w:eastAsia="Arial" w:cs="Arial"/>
                <w:sz w:val="13"/>
                <w:szCs w:val="13"/>
              </w:rPr>
            </w:pPr>
            <w:r>
              <w:rPr>
                <w:rFonts w:ascii="Arial" w:hAnsi="Arial" w:eastAsia="Arial" w:cs="Arial"/>
                <w:sz w:val="13"/>
                <w:szCs w:val="13"/>
                <w:color w:val="212529"/>
                <w:spacing w:val="11"/>
              </w:rPr>
              <w:t>191.</w:t>
            </w:r>
            <w:r>
              <w:rPr>
                <w:rFonts w:ascii="Arial" w:hAnsi="Arial" w:eastAsia="Arial" w:cs="Arial"/>
                <w:sz w:val="13"/>
                <w:szCs w:val="13"/>
                <w:color w:val="212529"/>
                <w:spacing w:val="15"/>
                <w:w w:val="101"/>
              </w:rPr>
              <w:t xml:space="preserve"> </w:t>
            </w:r>
            <w:r>
              <w:rPr>
                <w:rFonts w:ascii="Arial" w:hAnsi="Arial" w:eastAsia="Arial" w:cs="Arial"/>
                <w:sz w:val="13"/>
                <w:szCs w:val="13"/>
                <w:color w:val="212529"/>
                <w:spacing w:val="11"/>
              </w:rPr>
              <w:t>75</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52"/>
              <w:spacing w:before="181" w:line="184" w:lineRule="auto"/>
              <w:rPr>
                <w:rFonts w:ascii="Arial" w:hAnsi="Arial" w:eastAsia="Arial" w:cs="Arial"/>
                <w:sz w:val="15"/>
                <w:szCs w:val="15"/>
              </w:rPr>
            </w:pPr>
            <w:r>
              <w:rPr>
                <w:rFonts w:ascii="Arial" w:hAnsi="Arial" w:eastAsia="Arial" w:cs="Arial"/>
                <w:sz w:val="15"/>
                <w:szCs w:val="15"/>
                <w:color w:val="212529"/>
                <w:spacing w:val="2"/>
              </w:rPr>
              <w:t>191.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75</w:t>
            </w:r>
          </w:p>
        </w:tc>
        <w:tc>
          <w:tcPr>
            <w:tcW w:w="1003" w:type="dxa"/>
            <w:vAlign w:val="top"/>
          </w:tcPr>
          <w:p>
            <w:pPr>
              <w:ind w:left="445"/>
              <w:spacing w:before="181" w:line="212" w:lineRule="auto"/>
              <w:rPr>
                <w:rFonts w:ascii="Arial" w:hAnsi="Arial" w:eastAsia="Arial" w:cs="Arial"/>
                <w:sz w:val="13"/>
                <w:szCs w:val="13"/>
              </w:rPr>
            </w:pPr>
            <w:r>
              <w:rPr>
                <w:rFonts w:ascii="Arial" w:hAnsi="Arial" w:eastAsia="Arial" w:cs="Arial"/>
                <w:sz w:val="13"/>
                <w:szCs w:val="13"/>
                <w:color w:val="212529"/>
                <w:spacing w:val="11"/>
              </w:rPr>
              <w:t>191.</w:t>
            </w:r>
            <w:r>
              <w:rPr>
                <w:rFonts w:ascii="Arial" w:hAnsi="Arial" w:eastAsia="Arial" w:cs="Arial"/>
                <w:sz w:val="13"/>
                <w:szCs w:val="13"/>
                <w:color w:val="212529"/>
                <w:spacing w:val="15"/>
                <w:w w:val="101"/>
              </w:rPr>
              <w:t xml:space="preserve"> </w:t>
            </w:r>
            <w:r>
              <w:rPr>
                <w:rFonts w:ascii="Arial" w:hAnsi="Arial" w:eastAsia="Arial" w:cs="Arial"/>
                <w:sz w:val="13"/>
                <w:szCs w:val="13"/>
                <w:color w:val="212529"/>
                <w:spacing w:val="11"/>
              </w:rPr>
              <w:t>75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31"/>
              <w:spacing w:before="186" w:line="212" w:lineRule="auto"/>
              <w:rPr>
                <w:rFonts w:ascii="Arial" w:hAnsi="Arial" w:eastAsia="Arial" w:cs="Arial"/>
                <w:sz w:val="13"/>
                <w:szCs w:val="13"/>
              </w:rPr>
            </w:pPr>
            <w:r>
              <w:rPr>
                <w:rFonts w:ascii="Arial" w:hAnsi="Arial" w:eastAsia="Arial" w:cs="Arial"/>
                <w:sz w:val="13"/>
                <w:szCs w:val="13"/>
                <w:color w:val="212529"/>
                <w:spacing w:val="11"/>
              </w:rPr>
              <w:t>191.</w:t>
            </w:r>
            <w:r>
              <w:rPr>
                <w:rFonts w:ascii="Arial" w:hAnsi="Arial" w:eastAsia="Arial" w:cs="Arial"/>
                <w:sz w:val="13"/>
                <w:szCs w:val="13"/>
                <w:color w:val="212529"/>
                <w:spacing w:val="15"/>
                <w:w w:val="101"/>
              </w:rPr>
              <w:t xml:space="preserve"> </w:t>
            </w:r>
            <w:r>
              <w:rPr>
                <w:rFonts w:ascii="Arial" w:hAnsi="Arial" w:eastAsia="Arial" w:cs="Arial"/>
                <w:sz w:val="13"/>
                <w:szCs w:val="13"/>
                <w:color w:val="212529"/>
                <w:spacing w:val="11"/>
              </w:rPr>
              <w:t>75</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191.75</w:t>
            </w:r>
          </w:p>
        </w:tc>
        <w:tc>
          <w:tcPr>
            <w:tcW w:w="1003"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191.75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部门名称：兴县圪垯上乡卫生院</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453" w:type="dxa"/>
            <w:vAlign w:val="top"/>
            <w:tcBorders>
              <w:top w:val="single" w:color="FFFFFF" w:sz="6" w:space="0"/>
              <w:left w:val="single" w:color="FFFFFF" w:sz="2" w:space="0"/>
              <w:right w:val="single" w:color="FFFFFF" w:sz="2" w:space="0"/>
            </w:tcBorders>
          </w:tcPr>
          <w:p>
            <w:pPr>
              <w:rPr>
                <w:rFonts w:ascii="Arial"/>
                <w:sz w:val="21"/>
              </w:rPr>
            </w:pPr>
            <w:r/>
          </w:p>
        </w:tc>
        <w:tc>
          <w:tcPr>
            <w:tcW w:w="1400" w:type="dxa"/>
            <w:vAlign w:val="top"/>
            <w:tcBorders>
              <w:top w:val="single" w:color="FFFFFF" w:sz="6" w:space="0"/>
              <w:left w:val="single" w:color="FFFFFF" w:sz="2" w:space="0"/>
              <w:right w:val="single" w:color="FFFFFF" w:sz="2" w:space="0"/>
            </w:tcBorders>
          </w:tcPr>
          <w:p>
            <w:pPr>
              <w:pStyle w:val="TableText"/>
              <w:ind w:left="10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3" w:type="dxa"/>
            <w:vAlign w:val="top"/>
          </w:tcPr>
          <w:p>
            <w:pPr>
              <w:ind w:left="27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00" w:type="dxa"/>
            <w:vAlign w:val="top"/>
          </w:tcPr>
          <w:p>
            <w:pPr>
              <w:ind w:left="24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3" w:type="dxa"/>
            <w:vAlign w:val="top"/>
          </w:tcPr>
          <w:p>
            <w:pPr>
              <w:ind w:left="659"/>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00" w:type="dxa"/>
            <w:vAlign w:val="top"/>
          </w:tcPr>
          <w:p>
            <w:pPr>
              <w:ind w:left="63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2"/>
                <w:position w:val="1"/>
              </w:rPr>
              <w:t>191.75</w:t>
            </w:r>
          </w:p>
        </w:tc>
        <w:tc>
          <w:tcPr>
            <w:tcW w:w="1453" w:type="dxa"/>
            <w:vAlign w:val="top"/>
          </w:tcPr>
          <w:p>
            <w:pPr>
              <w:pStyle w:val="TableText"/>
              <w:ind w:right="31"/>
              <w:spacing w:before="79" w:line="281" w:lineRule="exact"/>
              <w:jc w:val="right"/>
              <w:rPr>
                <w:sz w:val="21"/>
                <w:szCs w:val="21"/>
              </w:rPr>
            </w:pPr>
            <w:r>
              <w:rPr>
                <w:sz w:val="21"/>
                <w:szCs w:val="21"/>
                <w:color w:val="212529"/>
                <w:spacing w:val="2"/>
                <w:position w:val="1"/>
              </w:rPr>
              <w:t>100.43</w:t>
            </w:r>
          </w:p>
        </w:tc>
        <w:tc>
          <w:tcPr>
            <w:tcW w:w="1400" w:type="dxa"/>
            <w:vAlign w:val="top"/>
          </w:tcPr>
          <w:p>
            <w:pPr>
              <w:pStyle w:val="TableText"/>
              <w:ind w:right="32"/>
              <w:spacing w:before="79" w:line="281" w:lineRule="exact"/>
              <w:jc w:val="right"/>
              <w:rPr>
                <w:sz w:val="21"/>
                <w:szCs w:val="21"/>
              </w:rPr>
            </w:pPr>
            <w:r>
              <w:rPr>
                <w:sz w:val="21"/>
                <w:szCs w:val="21"/>
                <w:color w:val="212529"/>
                <w:spacing w:val="5"/>
                <w:position w:val="1"/>
              </w:rPr>
              <w:t>91.33</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0" w:line="281" w:lineRule="exact"/>
              <w:jc w:val="right"/>
              <w:rPr>
                <w:sz w:val="21"/>
                <w:szCs w:val="21"/>
              </w:rPr>
            </w:pPr>
            <w:r>
              <w:rPr>
                <w:sz w:val="21"/>
                <w:szCs w:val="21"/>
                <w:color w:val="212529"/>
                <w:spacing w:val="4"/>
                <w:position w:val="1"/>
              </w:rPr>
              <w:t>9.89</w:t>
            </w:r>
          </w:p>
        </w:tc>
        <w:tc>
          <w:tcPr>
            <w:tcW w:w="1453" w:type="dxa"/>
            <w:vAlign w:val="top"/>
          </w:tcPr>
          <w:p>
            <w:pPr>
              <w:pStyle w:val="TableText"/>
              <w:ind w:right="31"/>
              <w:spacing w:before="80" w:line="281" w:lineRule="exact"/>
              <w:jc w:val="right"/>
              <w:rPr>
                <w:sz w:val="21"/>
                <w:szCs w:val="21"/>
              </w:rPr>
            </w:pPr>
            <w:r>
              <w:rPr>
                <w:sz w:val="21"/>
                <w:szCs w:val="21"/>
                <w:color w:val="212529"/>
                <w:spacing w:val="4"/>
                <w:position w:val="1"/>
              </w:rPr>
              <w:t>9.89</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36"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1" w:line="281" w:lineRule="exact"/>
              <w:jc w:val="right"/>
              <w:rPr>
                <w:sz w:val="21"/>
                <w:szCs w:val="21"/>
              </w:rPr>
            </w:pPr>
            <w:r>
              <w:rPr>
                <w:sz w:val="21"/>
                <w:szCs w:val="21"/>
                <w:color w:val="212529"/>
                <w:spacing w:val="4"/>
                <w:position w:val="1"/>
              </w:rPr>
              <w:t>9.89</w:t>
            </w:r>
          </w:p>
        </w:tc>
        <w:tc>
          <w:tcPr>
            <w:tcW w:w="1453" w:type="dxa"/>
            <w:vAlign w:val="top"/>
          </w:tcPr>
          <w:p>
            <w:pPr>
              <w:pStyle w:val="TableText"/>
              <w:ind w:right="31"/>
              <w:spacing w:before="81" w:line="281" w:lineRule="exact"/>
              <w:jc w:val="right"/>
              <w:rPr>
                <w:sz w:val="21"/>
                <w:szCs w:val="21"/>
              </w:rPr>
            </w:pPr>
            <w:r>
              <w:rPr>
                <w:sz w:val="21"/>
                <w:szCs w:val="21"/>
                <w:color w:val="212529"/>
                <w:spacing w:val="4"/>
                <w:position w:val="1"/>
              </w:rPr>
              <w:t>9.89</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3" w:line="209"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2"/>
              <w:spacing w:before="157" w:line="281" w:lineRule="exact"/>
              <w:jc w:val="right"/>
              <w:rPr>
                <w:sz w:val="21"/>
                <w:szCs w:val="21"/>
              </w:rPr>
            </w:pPr>
            <w:r>
              <w:rPr>
                <w:sz w:val="21"/>
                <w:szCs w:val="21"/>
                <w:color w:val="212529"/>
                <w:spacing w:val="4"/>
                <w:position w:val="1"/>
              </w:rPr>
              <w:t>9.89</w:t>
            </w:r>
          </w:p>
        </w:tc>
        <w:tc>
          <w:tcPr>
            <w:tcW w:w="1453" w:type="dxa"/>
            <w:vAlign w:val="top"/>
          </w:tcPr>
          <w:p>
            <w:pPr>
              <w:pStyle w:val="TableText"/>
              <w:ind w:right="31"/>
              <w:spacing w:before="157" w:line="281" w:lineRule="exact"/>
              <w:jc w:val="right"/>
              <w:rPr>
                <w:sz w:val="21"/>
                <w:szCs w:val="21"/>
              </w:rPr>
            </w:pPr>
            <w:r>
              <w:rPr>
                <w:sz w:val="21"/>
                <w:szCs w:val="21"/>
                <w:color w:val="212529"/>
                <w:spacing w:val="4"/>
                <w:position w:val="1"/>
              </w:rPr>
              <w:t>9.89</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36" w:type="dxa"/>
            <w:vAlign w:val="top"/>
          </w:tcPr>
          <w:p>
            <w:pPr>
              <w:pStyle w:val="TableText"/>
              <w:ind w:left="10"/>
              <w:spacing w:before="84"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3" w:line="281" w:lineRule="exact"/>
              <w:jc w:val="right"/>
              <w:rPr>
                <w:sz w:val="21"/>
                <w:szCs w:val="21"/>
              </w:rPr>
            </w:pPr>
            <w:r>
              <w:rPr>
                <w:sz w:val="21"/>
                <w:szCs w:val="21"/>
                <w:color w:val="212529"/>
                <w:spacing w:val="2"/>
                <w:position w:val="1"/>
              </w:rPr>
              <w:t>173.01</w:t>
            </w:r>
          </w:p>
        </w:tc>
        <w:tc>
          <w:tcPr>
            <w:tcW w:w="1453" w:type="dxa"/>
            <w:vAlign w:val="top"/>
          </w:tcPr>
          <w:p>
            <w:pPr>
              <w:pStyle w:val="TableText"/>
              <w:ind w:right="31"/>
              <w:spacing w:before="83" w:line="281" w:lineRule="exact"/>
              <w:jc w:val="right"/>
              <w:rPr>
                <w:sz w:val="21"/>
                <w:szCs w:val="21"/>
              </w:rPr>
            </w:pPr>
            <w:r>
              <w:rPr>
                <w:sz w:val="21"/>
                <w:szCs w:val="21"/>
                <w:color w:val="212529"/>
                <w:spacing w:val="5"/>
                <w:position w:val="1"/>
              </w:rPr>
              <w:t>81.68</w:t>
            </w:r>
          </w:p>
        </w:tc>
        <w:tc>
          <w:tcPr>
            <w:tcW w:w="1400" w:type="dxa"/>
            <w:vAlign w:val="top"/>
          </w:tcPr>
          <w:p>
            <w:pPr>
              <w:pStyle w:val="TableText"/>
              <w:ind w:right="32"/>
              <w:spacing w:before="83" w:line="281" w:lineRule="exact"/>
              <w:jc w:val="right"/>
              <w:rPr>
                <w:sz w:val="21"/>
                <w:szCs w:val="21"/>
              </w:rPr>
            </w:pPr>
            <w:r>
              <w:rPr>
                <w:sz w:val="21"/>
                <w:szCs w:val="21"/>
                <w:color w:val="212529"/>
                <w:spacing w:val="5"/>
                <w:position w:val="1"/>
              </w:rPr>
              <w:t>91.33</w:t>
            </w:r>
          </w:p>
        </w:tc>
      </w:tr>
      <w:tr>
        <w:trPr>
          <w:trHeight w:val="374" w:hRule="atLeast"/>
        </w:trPr>
        <w:tc>
          <w:tcPr>
            <w:tcW w:w="178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36" w:type="dxa"/>
            <w:vAlign w:val="top"/>
          </w:tcPr>
          <w:p>
            <w:pPr>
              <w:pStyle w:val="TableText"/>
              <w:ind w:left="8"/>
              <w:spacing w:before="84" w:line="227" w:lineRule="auto"/>
              <w:rPr>
                <w:sz w:val="21"/>
                <w:szCs w:val="21"/>
              </w:rPr>
            </w:pPr>
            <w:r>
              <w:rPr>
                <w:sz w:val="21"/>
                <w:szCs w:val="21"/>
                <w:color w:val="212529"/>
                <w:spacing w:val="13"/>
              </w:rPr>
              <w:t>基层医疗卫生机构</w:t>
            </w:r>
          </w:p>
        </w:tc>
        <w:tc>
          <w:tcPr>
            <w:tcW w:w="1572" w:type="dxa"/>
            <w:vAlign w:val="top"/>
          </w:tcPr>
          <w:p>
            <w:pPr>
              <w:pStyle w:val="TableText"/>
              <w:ind w:right="32"/>
              <w:spacing w:before="84" w:line="280" w:lineRule="exact"/>
              <w:jc w:val="right"/>
              <w:rPr>
                <w:sz w:val="21"/>
                <w:szCs w:val="21"/>
              </w:rPr>
            </w:pPr>
            <w:r>
              <w:rPr>
                <w:sz w:val="21"/>
                <w:szCs w:val="21"/>
                <w:color w:val="212529"/>
                <w:spacing w:val="2"/>
                <w:position w:val="1"/>
              </w:rPr>
              <w:t>131.38</w:t>
            </w:r>
          </w:p>
        </w:tc>
        <w:tc>
          <w:tcPr>
            <w:tcW w:w="1453" w:type="dxa"/>
            <w:vAlign w:val="top"/>
          </w:tcPr>
          <w:p>
            <w:pPr>
              <w:pStyle w:val="TableText"/>
              <w:ind w:right="31"/>
              <w:spacing w:before="84" w:line="280" w:lineRule="exact"/>
              <w:jc w:val="right"/>
              <w:rPr>
                <w:sz w:val="21"/>
                <w:szCs w:val="21"/>
              </w:rPr>
            </w:pPr>
            <w:r>
              <w:rPr>
                <w:sz w:val="21"/>
                <w:szCs w:val="21"/>
                <w:color w:val="212529"/>
                <w:spacing w:val="4"/>
                <w:position w:val="1"/>
              </w:rPr>
              <w:t>77.46</w:t>
            </w:r>
          </w:p>
        </w:tc>
        <w:tc>
          <w:tcPr>
            <w:tcW w:w="1400" w:type="dxa"/>
            <w:vAlign w:val="top"/>
          </w:tcPr>
          <w:p>
            <w:pPr>
              <w:pStyle w:val="TableText"/>
              <w:ind w:right="32"/>
              <w:spacing w:before="84" w:line="280" w:lineRule="exact"/>
              <w:jc w:val="right"/>
              <w:rPr>
                <w:sz w:val="21"/>
                <w:szCs w:val="21"/>
              </w:rPr>
            </w:pPr>
            <w:r>
              <w:rPr>
                <w:sz w:val="21"/>
                <w:szCs w:val="21"/>
                <w:color w:val="212529"/>
                <w:spacing w:val="4"/>
                <w:position w:val="1"/>
              </w:rPr>
              <w:t>53.92</w:t>
            </w:r>
          </w:p>
        </w:tc>
      </w:tr>
      <w:tr>
        <w:trPr>
          <w:trHeight w:val="374" w:hRule="atLeast"/>
        </w:trPr>
        <w:tc>
          <w:tcPr>
            <w:tcW w:w="178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36" w:type="dxa"/>
            <w:vAlign w:val="top"/>
          </w:tcPr>
          <w:p>
            <w:pPr>
              <w:pStyle w:val="TableText"/>
              <w:ind w:left="18"/>
              <w:spacing w:before="86" w:line="227" w:lineRule="auto"/>
              <w:rPr>
                <w:sz w:val="21"/>
                <w:szCs w:val="21"/>
              </w:rPr>
            </w:pPr>
            <w:r>
              <w:rPr>
                <w:sz w:val="21"/>
                <w:szCs w:val="21"/>
                <w:color w:val="212529"/>
                <w:spacing w:val="10"/>
              </w:rPr>
              <w:t>乡镇卫生院</w:t>
            </w:r>
          </w:p>
        </w:tc>
        <w:tc>
          <w:tcPr>
            <w:tcW w:w="1572" w:type="dxa"/>
            <w:vAlign w:val="top"/>
          </w:tcPr>
          <w:p>
            <w:pPr>
              <w:pStyle w:val="TableText"/>
              <w:ind w:right="32"/>
              <w:spacing w:before="85" w:line="279" w:lineRule="exact"/>
              <w:jc w:val="right"/>
              <w:rPr>
                <w:sz w:val="21"/>
                <w:szCs w:val="21"/>
              </w:rPr>
            </w:pPr>
            <w:r>
              <w:rPr>
                <w:sz w:val="21"/>
                <w:szCs w:val="21"/>
                <w:color w:val="212529"/>
                <w:spacing w:val="2"/>
                <w:position w:val="1"/>
              </w:rPr>
              <w:t>109.89</w:t>
            </w:r>
          </w:p>
        </w:tc>
        <w:tc>
          <w:tcPr>
            <w:tcW w:w="1453" w:type="dxa"/>
            <w:vAlign w:val="top"/>
          </w:tcPr>
          <w:p>
            <w:pPr>
              <w:pStyle w:val="TableText"/>
              <w:ind w:right="31"/>
              <w:spacing w:before="85" w:line="279" w:lineRule="exact"/>
              <w:jc w:val="right"/>
              <w:rPr>
                <w:sz w:val="21"/>
                <w:szCs w:val="21"/>
              </w:rPr>
            </w:pPr>
            <w:r>
              <w:rPr>
                <w:sz w:val="21"/>
                <w:szCs w:val="21"/>
                <w:color w:val="212529"/>
                <w:spacing w:val="4"/>
                <w:position w:val="1"/>
              </w:rPr>
              <w:t>77.46</w:t>
            </w:r>
          </w:p>
        </w:tc>
        <w:tc>
          <w:tcPr>
            <w:tcW w:w="1400" w:type="dxa"/>
            <w:vAlign w:val="top"/>
          </w:tcPr>
          <w:p>
            <w:pPr>
              <w:pStyle w:val="TableText"/>
              <w:ind w:right="32"/>
              <w:spacing w:before="85" w:line="279" w:lineRule="exact"/>
              <w:jc w:val="right"/>
              <w:rPr>
                <w:sz w:val="21"/>
                <w:szCs w:val="21"/>
              </w:rPr>
            </w:pPr>
            <w:r>
              <w:rPr>
                <w:sz w:val="21"/>
                <w:szCs w:val="21"/>
                <w:color w:val="212529"/>
                <w:spacing w:val="4"/>
                <w:position w:val="1"/>
              </w:rPr>
              <w:t>32.43</w:t>
            </w:r>
          </w:p>
        </w:tc>
      </w:tr>
      <w:tr>
        <w:trPr>
          <w:trHeight w:val="509" w:hRule="atLeast"/>
        </w:trPr>
        <w:tc>
          <w:tcPr>
            <w:tcW w:w="178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36" w:type="dxa"/>
            <w:vAlign w:val="top"/>
          </w:tcPr>
          <w:p>
            <w:pPr>
              <w:pStyle w:val="TableText"/>
              <w:ind w:left="9" w:right="75" w:hanging="1"/>
              <w:spacing w:before="28" w:line="207" w:lineRule="auto"/>
              <w:rPr>
                <w:sz w:val="21"/>
                <w:szCs w:val="21"/>
              </w:rPr>
            </w:pPr>
            <w:r>
              <w:rPr>
                <w:sz w:val="21"/>
                <w:szCs w:val="21"/>
                <w:color w:val="212529"/>
                <w:spacing w:val="13"/>
              </w:rPr>
              <w:t>其他基层医疗卫生机构</w:t>
            </w:r>
            <w:r>
              <w:rPr>
                <w:sz w:val="21"/>
                <w:szCs w:val="21"/>
                <w:color w:val="212529"/>
                <w:spacing w:val="6"/>
              </w:rPr>
              <w:t xml:space="preserve"> </w:t>
            </w:r>
            <w:r>
              <w:rPr>
                <w:sz w:val="21"/>
                <w:szCs w:val="21"/>
                <w:color w:val="212529"/>
                <w:spacing w:val="7"/>
              </w:rPr>
              <w:t>支出</w:t>
            </w:r>
          </w:p>
        </w:tc>
        <w:tc>
          <w:tcPr>
            <w:tcW w:w="1572" w:type="dxa"/>
            <w:vAlign w:val="top"/>
          </w:tcPr>
          <w:p>
            <w:pPr>
              <w:pStyle w:val="TableText"/>
              <w:ind w:right="32"/>
              <w:spacing w:before="161" w:line="281" w:lineRule="exact"/>
              <w:jc w:val="right"/>
              <w:rPr>
                <w:sz w:val="21"/>
                <w:szCs w:val="21"/>
              </w:rPr>
            </w:pPr>
            <w:r>
              <w:rPr>
                <w:sz w:val="21"/>
                <w:szCs w:val="21"/>
                <w:color w:val="212529"/>
                <w:spacing w:val="4"/>
                <w:position w:val="1"/>
              </w:rPr>
              <w:t>21.49</w:t>
            </w:r>
          </w:p>
        </w:tc>
        <w:tc>
          <w:tcPr>
            <w:tcW w:w="1453" w:type="dxa"/>
            <w:vAlign w:val="top"/>
          </w:tcPr>
          <w:p>
            <w:pPr>
              <w:rPr>
                <w:rFonts w:ascii="Arial"/>
                <w:sz w:val="21"/>
              </w:rPr>
            </w:pPr>
            <w:r/>
          </w:p>
        </w:tc>
        <w:tc>
          <w:tcPr>
            <w:tcW w:w="1400" w:type="dxa"/>
            <w:vAlign w:val="top"/>
          </w:tcPr>
          <w:p>
            <w:pPr>
              <w:pStyle w:val="TableText"/>
              <w:ind w:right="32"/>
              <w:spacing w:before="161" w:line="281" w:lineRule="exact"/>
              <w:jc w:val="right"/>
              <w:rPr>
                <w:sz w:val="21"/>
                <w:szCs w:val="21"/>
              </w:rPr>
            </w:pPr>
            <w:r>
              <w:rPr>
                <w:sz w:val="21"/>
                <w:szCs w:val="21"/>
                <w:color w:val="212529"/>
                <w:spacing w:val="4"/>
                <w:position w:val="1"/>
              </w:rPr>
              <w:t>21.49</w:t>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36" w:type="dxa"/>
            <w:vAlign w:val="top"/>
          </w:tcPr>
          <w:p>
            <w:pPr>
              <w:pStyle w:val="TableText"/>
              <w:ind w:left="15"/>
              <w:spacing w:before="88" w:line="227" w:lineRule="auto"/>
              <w:rPr>
                <w:sz w:val="21"/>
                <w:szCs w:val="21"/>
              </w:rPr>
            </w:pPr>
            <w:r>
              <w:rPr>
                <w:sz w:val="21"/>
                <w:szCs w:val="21"/>
                <w:color w:val="212529"/>
                <w:spacing w:val="9"/>
              </w:rPr>
              <w:t>公共卫生</w:t>
            </w:r>
          </w:p>
        </w:tc>
        <w:tc>
          <w:tcPr>
            <w:tcW w:w="1572" w:type="dxa"/>
            <w:vAlign w:val="top"/>
          </w:tcPr>
          <w:p>
            <w:pPr>
              <w:pStyle w:val="TableText"/>
              <w:ind w:right="32"/>
              <w:spacing w:before="87" w:line="277" w:lineRule="exact"/>
              <w:jc w:val="right"/>
              <w:rPr>
                <w:sz w:val="21"/>
                <w:szCs w:val="21"/>
              </w:rPr>
            </w:pPr>
            <w:r>
              <w:rPr>
                <w:sz w:val="21"/>
                <w:szCs w:val="21"/>
                <w:color w:val="212529"/>
                <w:spacing w:val="4"/>
                <w:position w:val="1"/>
              </w:rPr>
              <w:t>37.40</w:t>
            </w:r>
          </w:p>
        </w:tc>
        <w:tc>
          <w:tcPr>
            <w:tcW w:w="1453" w:type="dxa"/>
            <w:vAlign w:val="top"/>
          </w:tcPr>
          <w:p>
            <w:pPr>
              <w:rPr>
                <w:rFonts w:ascii="Arial"/>
                <w:sz w:val="21"/>
              </w:rPr>
            </w:pPr>
            <w:r/>
          </w:p>
        </w:tc>
        <w:tc>
          <w:tcPr>
            <w:tcW w:w="1400" w:type="dxa"/>
            <w:vAlign w:val="top"/>
          </w:tcPr>
          <w:p>
            <w:pPr>
              <w:pStyle w:val="TableText"/>
              <w:ind w:right="32"/>
              <w:spacing w:before="87" w:line="277" w:lineRule="exact"/>
              <w:jc w:val="right"/>
              <w:rPr>
                <w:sz w:val="21"/>
                <w:szCs w:val="21"/>
              </w:rPr>
            </w:pPr>
            <w:r>
              <w:rPr>
                <w:sz w:val="21"/>
                <w:szCs w:val="21"/>
                <w:color w:val="212529"/>
                <w:spacing w:val="4"/>
                <w:position w:val="1"/>
              </w:rPr>
              <w:t>37.40</w:t>
            </w:r>
          </w:p>
        </w:tc>
      </w:tr>
      <w:tr>
        <w:trPr>
          <w:trHeight w:val="374" w:hRule="atLeast"/>
        </w:trPr>
        <w:tc>
          <w:tcPr>
            <w:tcW w:w="1789" w:type="dxa"/>
            <w:vAlign w:val="top"/>
          </w:tcPr>
          <w:p>
            <w:pPr>
              <w:pStyle w:val="TableText"/>
              <w:ind w:left="11"/>
              <w:spacing w:before="88" w:line="242" w:lineRule="auto"/>
              <w:rPr>
                <w:sz w:val="21"/>
                <w:szCs w:val="21"/>
              </w:rPr>
            </w:pPr>
            <w:r>
              <w:rPr>
                <w:sz w:val="21"/>
                <w:szCs w:val="21"/>
                <w:color w:val="212529"/>
                <w:spacing w:val="5"/>
              </w:rPr>
              <w:t>2100401</w:t>
            </w:r>
          </w:p>
        </w:tc>
        <w:tc>
          <w:tcPr>
            <w:tcW w:w="2336" w:type="dxa"/>
            <w:vAlign w:val="top"/>
          </w:tcPr>
          <w:p>
            <w:pPr>
              <w:pStyle w:val="TableText"/>
              <w:ind w:left="8"/>
              <w:spacing w:before="88" w:line="227" w:lineRule="auto"/>
              <w:rPr>
                <w:sz w:val="21"/>
                <w:szCs w:val="21"/>
              </w:rPr>
            </w:pPr>
            <w:r>
              <w:rPr>
                <w:sz w:val="21"/>
                <w:szCs w:val="21"/>
                <w:color w:val="212529"/>
                <w:spacing w:val="13"/>
              </w:rPr>
              <w:t>疾病预防控制机构</w:t>
            </w:r>
          </w:p>
        </w:tc>
        <w:tc>
          <w:tcPr>
            <w:tcW w:w="1572" w:type="dxa"/>
            <w:vAlign w:val="top"/>
          </w:tcPr>
          <w:p>
            <w:pPr>
              <w:pStyle w:val="TableText"/>
              <w:ind w:right="32"/>
              <w:spacing w:before="88" w:line="242" w:lineRule="auto"/>
              <w:jc w:val="right"/>
              <w:rPr>
                <w:sz w:val="21"/>
                <w:szCs w:val="21"/>
              </w:rPr>
            </w:pPr>
            <w:r>
              <w:rPr>
                <w:sz w:val="21"/>
                <w:szCs w:val="21"/>
                <w:color w:val="212529"/>
                <w:spacing w:val="4"/>
              </w:rPr>
              <w:t>0.06</w:t>
            </w:r>
          </w:p>
        </w:tc>
        <w:tc>
          <w:tcPr>
            <w:tcW w:w="1453" w:type="dxa"/>
            <w:vAlign w:val="top"/>
          </w:tcPr>
          <w:p>
            <w:pPr>
              <w:rPr>
                <w:rFonts w:ascii="Arial"/>
                <w:sz w:val="21"/>
              </w:rPr>
            </w:pPr>
            <w:r/>
          </w:p>
        </w:tc>
        <w:tc>
          <w:tcPr>
            <w:tcW w:w="1400" w:type="dxa"/>
            <w:vAlign w:val="top"/>
          </w:tcPr>
          <w:p>
            <w:pPr>
              <w:pStyle w:val="TableText"/>
              <w:ind w:right="32"/>
              <w:spacing w:before="88" w:line="242" w:lineRule="auto"/>
              <w:jc w:val="right"/>
              <w:rPr>
                <w:sz w:val="21"/>
                <w:szCs w:val="21"/>
              </w:rPr>
            </w:pPr>
            <w:r>
              <w:rPr>
                <w:sz w:val="21"/>
                <w:szCs w:val="21"/>
                <w:color w:val="212529"/>
                <w:spacing w:val="4"/>
              </w:rPr>
              <w:t>0.06</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2100408</w:t>
            </w:r>
          </w:p>
        </w:tc>
        <w:tc>
          <w:tcPr>
            <w:tcW w:w="2336" w:type="dxa"/>
            <w:vAlign w:val="top"/>
          </w:tcPr>
          <w:p>
            <w:pPr>
              <w:pStyle w:val="TableText"/>
              <w:ind w:left="8"/>
              <w:spacing w:before="89" w:line="227" w:lineRule="auto"/>
              <w:rPr>
                <w:sz w:val="21"/>
                <w:szCs w:val="21"/>
              </w:rPr>
            </w:pPr>
            <w:r>
              <w:rPr>
                <w:sz w:val="21"/>
                <w:szCs w:val="21"/>
                <w:color w:val="212529"/>
                <w:spacing w:val="13"/>
              </w:rPr>
              <w:t>基本公共卫生服务</w:t>
            </w:r>
          </w:p>
        </w:tc>
        <w:tc>
          <w:tcPr>
            <w:tcW w:w="1572" w:type="dxa"/>
            <w:vAlign w:val="top"/>
          </w:tcPr>
          <w:p>
            <w:pPr>
              <w:pStyle w:val="TableText"/>
              <w:ind w:right="32"/>
              <w:spacing w:before="89" w:line="242" w:lineRule="auto"/>
              <w:jc w:val="right"/>
              <w:rPr>
                <w:sz w:val="21"/>
                <w:szCs w:val="21"/>
              </w:rPr>
            </w:pPr>
            <w:r>
              <w:rPr>
                <w:sz w:val="21"/>
                <w:szCs w:val="21"/>
                <w:color w:val="212529"/>
                <w:spacing w:val="4"/>
              </w:rPr>
              <w:t>37.34</w:t>
            </w:r>
          </w:p>
        </w:tc>
        <w:tc>
          <w:tcPr>
            <w:tcW w:w="1453" w:type="dxa"/>
            <w:vAlign w:val="top"/>
          </w:tcPr>
          <w:p>
            <w:pPr>
              <w:rPr>
                <w:rFonts w:ascii="Arial"/>
                <w:sz w:val="21"/>
              </w:rPr>
            </w:pPr>
            <w:r/>
          </w:p>
        </w:tc>
        <w:tc>
          <w:tcPr>
            <w:tcW w:w="1400" w:type="dxa"/>
            <w:vAlign w:val="top"/>
          </w:tcPr>
          <w:p>
            <w:pPr>
              <w:pStyle w:val="TableText"/>
              <w:ind w:right="32"/>
              <w:spacing w:before="89" w:line="242" w:lineRule="auto"/>
              <w:jc w:val="right"/>
              <w:rPr>
                <w:sz w:val="21"/>
                <w:szCs w:val="21"/>
              </w:rPr>
            </w:pPr>
            <w:r>
              <w:rPr>
                <w:sz w:val="21"/>
                <w:szCs w:val="21"/>
                <w:color w:val="212529"/>
                <w:spacing w:val="4"/>
              </w:rPr>
              <w:t>37.34</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21011</w:t>
            </w:r>
          </w:p>
        </w:tc>
        <w:tc>
          <w:tcPr>
            <w:tcW w:w="2336"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4"/>
              </w:rPr>
              <w:t>4.23</w:t>
            </w:r>
          </w:p>
        </w:tc>
        <w:tc>
          <w:tcPr>
            <w:tcW w:w="1453" w:type="dxa"/>
            <w:vAlign w:val="top"/>
          </w:tcPr>
          <w:p>
            <w:pPr>
              <w:pStyle w:val="TableText"/>
              <w:ind w:right="31"/>
              <w:spacing w:before="89" w:line="242" w:lineRule="auto"/>
              <w:jc w:val="right"/>
              <w:rPr>
                <w:sz w:val="21"/>
                <w:szCs w:val="21"/>
              </w:rPr>
            </w:pPr>
            <w:r>
              <w:rPr>
                <w:sz w:val="21"/>
                <w:szCs w:val="21"/>
                <w:color w:val="212529"/>
                <w:spacing w:val="4"/>
              </w:rPr>
              <w:t>4.23</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2101102</w:t>
            </w:r>
          </w:p>
        </w:tc>
        <w:tc>
          <w:tcPr>
            <w:tcW w:w="2336" w:type="dxa"/>
            <w:vAlign w:val="top"/>
          </w:tcPr>
          <w:p>
            <w:pPr>
              <w:pStyle w:val="TableText"/>
              <w:ind w:left="10"/>
              <w:spacing w:before="89"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4"/>
              </w:rPr>
              <w:t>4.23</w:t>
            </w:r>
          </w:p>
        </w:tc>
        <w:tc>
          <w:tcPr>
            <w:tcW w:w="1453" w:type="dxa"/>
            <w:vAlign w:val="top"/>
          </w:tcPr>
          <w:p>
            <w:pPr>
              <w:pStyle w:val="TableText"/>
              <w:ind w:right="31"/>
              <w:spacing w:before="89" w:line="242" w:lineRule="auto"/>
              <w:jc w:val="right"/>
              <w:rPr>
                <w:sz w:val="21"/>
                <w:szCs w:val="21"/>
              </w:rPr>
            </w:pPr>
            <w:r>
              <w:rPr>
                <w:sz w:val="21"/>
                <w:szCs w:val="21"/>
                <w:color w:val="212529"/>
                <w:spacing w:val="4"/>
              </w:rPr>
              <w:t>4.23</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9" w:line="242" w:lineRule="auto"/>
              <w:jc w:val="right"/>
              <w:rPr>
                <w:sz w:val="21"/>
                <w:szCs w:val="21"/>
              </w:rPr>
            </w:pPr>
            <w:r>
              <w:rPr>
                <w:sz w:val="21"/>
                <w:szCs w:val="21"/>
                <w:color w:val="212529"/>
                <w:spacing w:val="4"/>
              </w:rPr>
              <w:t>8.85</w:t>
            </w:r>
          </w:p>
        </w:tc>
        <w:tc>
          <w:tcPr>
            <w:tcW w:w="1453" w:type="dxa"/>
            <w:vAlign w:val="top"/>
          </w:tcPr>
          <w:p>
            <w:pPr>
              <w:pStyle w:val="TableText"/>
              <w:ind w:right="31"/>
              <w:spacing w:before="89" w:line="242" w:lineRule="auto"/>
              <w:jc w:val="right"/>
              <w:rPr>
                <w:sz w:val="21"/>
                <w:szCs w:val="21"/>
              </w:rPr>
            </w:pPr>
            <w:r>
              <w:rPr>
                <w:sz w:val="21"/>
                <w:szCs w:val="21"/>
                <w:color w:val="212529"/>
                <w:spacing w:val="4"/>
              </w:rPr>
              <w:t>8.85</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9" w:line="242" w:lineRule="auto"/>
              <w:jc w:val="right"/>
              <w:rPr>
                <w:sz w:val="21"/>
                <w:szCs w:val="21"/>
              </w:rPr>
            </w:pPr>
            <w:r>
              <w:rPr>
                <w:sz w:val="21"/>
                <w:szCs w:val="21"/>
                <w:color w:val="212529"/>
                <w:spacing w:val="4"/>
              </w:rPr>
              <w:t>8.85</w:t>
            </w:r>
          </w:p>
        </w:tc>
        <w:tc>
          <w:tcPr>
            <w:tcW w:w="1453" w:type="dxa"/>
            <w:vAlign w:val="top"/>
          </w:tcPr>
          <w:p>
            <w:pPr>
              <w:pStyle w:val="TableText"/>
              <w:ind w:right="31"/>
              <w:spacing w:before="89" w:line="242" w:lineRule="auto"/>
              <w:jc w:val="right"/>
              <w:rPr>
                <w:sz w:val="21"/>
                <w:szCs w:val="21"/>
              </w:rPr>
            </w:pPr>
            <w:r>
              <w:rPr>
                <w:sz w:val="21"/>
                <w:szCs w:val="21"/>
                <w:color w:val="212529"/>
                <w:spacing w:val="4"/>
              </w:rPr>
              <w:t>8.85</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89" w:line="242" w:lineRule="auto"/>
              <w:jc w:val="right"/>
              <w:rPr>
                <w:sz w:val="21"/>
                <w:szCs w:val="21"/>
              </w:rPr>
            </w:pPr>
            <w:r>
              <w:rPr>
                <w:sz w:val="21"/>
                <w:szCs w:val="21"/>
                <w:color w:val="212529"/>
                <w:spacing w:val="4"/>
              </w:rPr>
              <w:t>8.85</w:t>
            </w:r>
          </w:p>
        </w:tc>
        <w:tc>
          <w:tcPr>
            <w:tcW w:w="1453" w:type="dxa"/>
            <w:vAlign w:val="top"/>
          </w:tcPr>
          <w:p>
            <w:pPr>
              <w:pStyle w:val="TableText"/>
              <w:ind w:right="31"/>
              <w:spacing w:before="89" w:line="242" w:lineRule="auto"/>
              <w:jc w:val="right"/>
              <w:rPr>
                <w:sz w:val="21"/>
                <w:szCs w:val="21"/>
              </w:rPr>
            </w:pPr>
            <w:r>
              <w:rPr>
                <w:sz w:val="21"/>
                <w:szCs w:val="21"/>
                <w:color w:val="212529"/>
                <w:spacing w:val="4"/>
              </w:rPr>
              <w:t>8.85</w:t>
            </w:r>
          </w:p>
        </w:tc>
        <w:tc>
          <w:tcPr>
            <w:tcW w:w="140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9"/>
          <w:footerReference w:type="default" r:id="rId17"/>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部门名称：兴县圪垯上乡卫生院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95.42</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5.01</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37.91</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3"/>
              <w:spacing w:before="175" w:line="238" w:lineRule="auto"/>
              <w:jc w:val="right"/>
              <w:rPr/>
            </w:pPr>
            <w:r>
              <w:rPr>
                <w:color w:val="212529"/>
                <w:spacing w:val="-4"/>
              </w:rPr>
              <w:t>10.39</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5"/>
              <w:spacing w:before="178" w:line="238" w:lineRule="auto"/>
              <w:jc w:val="right"/>
              <w:rPr/>
            </w:pPr>
            <w:r>
              <w:rPr>
                <w:color w:val="212529"/>
                <w:spacing w:val="-2"/>
              </w:rPr>
              <w:t>23.95</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9.89</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rPr>
                <w:rFonts w:ascii="Arial"/>
                <w:sz w:val="21"/>
              </w:rPr>
            </w:pPr>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4.20</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22"/>
              <w:spacing w:before="181" w:line="238" w:lineRule="auto"/>
              <w:jc w:val="right"/>
              <w:rPr/>
            </w:pPr>
            <w:r>
              <w:rPr>
                <w:color w:val="212529"/>
                <w:spacing w:val="-2"/>
              </w:rPr>
              <w:t>4.50</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0.22</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5"/>
              <w:spacing w:before="184" w:line="238" w:lineRule="auto"/>
              <w:jc w:val="right"/>
              <w:rPr/>
            </w:pPr>
            <w:r>
              <w:rPr>
                <w:color w:val="212529"/>
                <w:spacing w:val="-2"/>
              </w:rPr>
              <w:t>8.85</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rPr>
          <w:rFonts w:ascii="Arial"/>
          <w:sz w:val="21"/>
        </w:rPr>
      </w:pPr>
      <w:r/>
    </w:p>
    <w:p>
      <w:pPr>
        <w:sectPr>
          <w:headerReference w:type="default" r:id="rId18"/>
          <w:footerReference w:type="default" r:id="rId19"/>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rPr>
                <w:rFonts w:ascii="Arial"/>
                <w:sz w:val="21"/>
              </w:rPr>
            </w:pPr>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rPr>
                <w:rFonts w:ascii="Arial"/>
                <w:sz w:val="21"/>
              </w:rPr>
            </w:pPr>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rPr>
                <w:rFonts w:ascii="Arial"/>
                <w:sz w:val="21"/>
              </w:rPr>
            </w:pPr>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0.51</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95.42</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5.01</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20"/>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部门名称：兴县圪垯上乡卫生院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5"/>
          <w:footerReference w:type="default" r:id="rId21"/>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部门名称：兴县圪垯上乡卫生院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7"/>
          <w:footerReference w:type="default" r:id="rId22"/>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5" w:right="114" w:hanging="11"/>
              <w:spacing w:before="66" w:line="218" w:lineRule="auto"/>
              <w:rPr/>
            </w:pPr>
            <w:r>
              <w:rPr>
                <w:color w:val="212529"/>
                <w:spacing w:val="-1"/>
              </w:rPr>
              <w:t>部门名称：兴县圪垯上乡卫生</w:t>
            </w:r>
            <w:r>
              <w:rPr>
                <w:color w:val="212529"/>
                <w:spacing w:val="2"/>
              </w:rPr>
              <w:t xml:space="preserve"> </w:t>
            </w:r>
            <w:r>
              <w:rPr>
                <w:color w:val="212529"/>
              </w:rPr>
              <w:t>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76"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8"/>
          <w:footerReference w:type="default" r:id="rId23"/>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80" w:line="234" w:lineRule="auto"/>
              <w:rPr>
                <w:sz w:val="12"/>
                <w:szCs w:val="12"/>
              </w:rPr>
            </w:pPr>
            <w:r>
              <w:rPr>
                <w:sz w:val="12"/>
                <w:szCs w:val="12"/>
                <w:color w:val="212529"/>
                <w:spacing w:val="9"/>
              </w:rPr>
              <w:t>单位名称：兴县圪垯上乡卫生院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7"/>
          <w:footerReference w:type="default" r:id="rId24"/>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4" w:right="1223" w:firstLine="455"/>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2024年度收入总计213.83万元，支出总计213.83万元。与上年相比，收入总计减少14.99</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万元，下降6.55%，支出总计减少14.99万元，下降6.55%。主要原因是公共卫生资金减少，基</w:t>
      </w:r>
      <w:r>
        <w:rPr>
          <w:rFonts w:ascii="FangSong" w:hAnsi="FangSong" w:eastAsia="FangSong" w:cs="FangSong"/>
          <w:sz w:val="23"/>
          <w:szCs w:val="23"/>
        </w:rPr>
        <w:t xml:space="preserve"> </w:t>
      </w:r>
      <w:r>
        <w:rPr>
          <w:rFonts w:ascii="FangSong" w:hAnsi="FangSong" w:eastAsia="FangSong" w:cs="FangSong"/>
          <w:sz w:val="23"/>
          <w:szCs w:val="23"/>
          <w:spacing w:val="-2"/>
        </w:rPr>
        <w:t>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2024年度收入合计208.67万元，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财政拨款收入191.75万元，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占比91.89%；</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事业收入10.95万元，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占比5.25%；</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其他收入5.98万元，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占比2.86%。</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2024年度支出合计205.19万元，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基本支出113.86万元，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占比55.49%；</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项目支出91.33万元，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占比44.51%。</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6" w:right="1223" w:firstLine="444"/>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2024年度财政拨款收入总计191.75万元，支出总计191</w:t>
      </w:r>
      <w:r>
        <w:rPr>
          <w:rFonts w:ascii="FangSong" w:hAnsi="FangSong" w:eastAsia="FangSong" w:cs="FangSong"/>
          <w:sz w:val="23"/>
          <w:szCs w:val="23"/>
          <w:spacing w:val="4"/>
        </w:rPr>
        <w:t>.75万元。与上年相比，财政拨款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收入总计减少5.51万元，下降2.79%；财政拨款支出总计减少5.51万元，下降2.79%。主要原</w:t>
      </w:r>
      <w:r>
        <w:rPr>
          <w:rFonts w:ascii="FangSong" w:hAnsi="FangSong" w:eastAsia="FangSong" w:cs="FangSong"/>
          <w:sz w:val="23"/>
          <w:szCs w:val="23"/>
          <w:spacing w:val="2"/>
        </w:rPr>
        <w:t xml:space="preserve"> </w:t>
      </w:r>
      <w:r>
        <w:rPr>
          <w:rFonts w:ascii="FangSong" w:hAnsi="FangSong" w:eastAsia="FangSong" w:cs="FangSong"/>
          <w:sz w:val="23"/>
          <w:szCs w:val="23"/>
          <w:spacing w:val="-1"/>
        </w:rPr>
        <w:t>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2024年一般公共预算财政拨款决算支出191.75万元，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占本年支出合计的93.45%。与上年</w:t>
      </w:r>
      <w:r>
        <w:rPr>
          <w:rFonts w:ascii="FangSong" w:hAnsi="FangSong" w:eastAsia="FangSong" w:cs="FangSong"/>
          <w:sz w:val="23"/>
          <w:szCs w:val="23"/>
        </w:rPr>
        <w:t xml:space="preserve"> </w:t>
      </w:r>
      <w:r>
        <w:rPr>
          <w:rFonts w:ascii="FangSong" w:hAnsi="FangSong" w:eastAsia="FangSong" w:cs="FangSong"/>
          <w:sz w:val="23"/>
          <w:szCs w:val="23"/>
          <w:spacing w:val="7"/>
        </w:rPr>
        <w:t>相比，一般公共预算财政拨款支出减少5.51万元，下降2.79%。主要原因是公共卫生资金减</w:t>
      </w:r>
      <w:r>
        <w:rPr>
          <w:rFonts w:ascii="FangSong" w:hAnsi="FangSong" w:eastAsia="FangSong" w:cs="FangSong"/>
          <w:sz w:val="23"/>
          <w:szCs w:val="23"/>
          <w:spacing w:val="18"/>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2024年度一般公共预算财政拨款支出191.75万元，主要用于以下方面：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社会保障和就业支出(类)9.89万元，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5.16%；</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卫生健康支出(类)173.01万元，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占比90.23%；</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住房保障支出(类)8.85万元，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占比4.62%。</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2024年度一般公共预算财政拨款支出年初预算181.63万元</w:t>
      </w:r>
      <w:r>
        <w:rPr>
          <w:rFonts w:ascii="FangSong" w:hAnsi="FangSong" w:eastAsia="FangSong" w:cs="FangSong"/>
          <w:sz w:val="23"/>
          <w:szCs w:val="23"/>
          <w:spacing w:val="4"/>
        </w:rPr>
        <w:t>，支出决算191.75万元，完成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年初预算的105.57%。其中：</w:t>
      </w:r>
    </w:p>
    <w:p>
      <w:pPr>
        <w:ind w:left="1263" w:right="1223" w:firstLine="461"/>
        <w:spacing w:before="1" w:line="325" w:lineRule="auto"/>
        <w:jc w:val="both"/>
        <w:rPr>
          <w:rFonts w:ascii="FangSong" w:hAnsi="FangSong" w:eastAsia="FangSong" w:cs="FangSong"/>
          <w:sz w:val="23"/>
          <w:szCs w:val="23"/>
        </w:rPr>
      </w:pPr>
      <w:r>
        <w:rPr>
          <w:rFonts w:ascii="FangSong" w:hAnsi="FangSong" w:eastAsia="FangSong" w:cs="FangSong"/>
          <w:sz w:val="23"/>
          <w:szCs w:val="23"/>
          <w:spacing w:val="2"/>
        </w:rPr>
        <w:t>社会保障和就业支出年初预算10.95万元，支出决算9.89万元，完成年初预算的90.32%，</w:t>
      </w:r>
      <w:r>
        <w:rPr>
          <w:rFonts w:ascii="FangSong" w:hAnsi="FangSong" w:eastAsia="FangSong" w:cs="FangSong"/>
          <w:sz w:val="23"/>
          <w:szCs w:val="23"/>
          <w:spacing w:val="3"/>
        </w:rPr>
        <w:t xml:space="preserve"> </w:t>
      </w:r>
      <w:r>
        <w:rPr>
          <w:rFonts w:ascii="FangSong" w:hAnsi="FangSong" w:eastAsia="FangSong" w:cs="FangSong"/>
          <w:sz w:val="23"/>
          <w:szCs w:val="23"/>
          <w:spacing w:val="2"/>
        </w:rPr>
        <w:t>用于缴纳在职人员，退休人员养老金等社保。较上年决算减少1.08万元，下降9.85%，主要原</w:t>
      </w:r>
      <w:r>
        <w:rPr>
          <w:rFonts w:ascii="FangSong" w:hAnsi="FangSong" w:eastAsia="FangSong" w:cs="FangSong"/>
          <w:sz w:val="23"/>
          <w:szCs w:val="23"/>
          <w:spacing w:val="6"/>
        </w:rPr>
        <w:t xml:space="preserve"> </w:t>
      </w:r>
      <w:r>
        <w:rPr>
          <w:rFonts w:ascii="FangSong" w:hAnsi="FangSong" w:eastAsia="FangSong" w:cs="FangSong"/>
          <w:sz w:val="23"/>
          <w:szCs w:val="23"/>
          <w:spacing w:val="-1"/>
        </w:rPr>
        <w:t>因是上年度补缴退休人员职业年金纪实款。</w:t>
      </w:r>
    </w:p>
    <w:p>
      <w:pPr>
        <w:spacing w:line="325"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卫生健康支出年初预算159.48万元，支出决算173.01万元，完成年初预算的108.</w:t>
      </w:r>
      <w:r>
        <w:rPr>
          <w:rFonts w:ascii="FangSong" w:hAnsi="FangSong" w:eastAsia="FangSong" w:cs="FangSong"/>
          <w:sz w:val="23"/>
          <w:szCs w:val="23"/>
          <w:spacing w:val="1"/>
        </w:rPr>
        <w:t>48%，用</w:t>
      </w:r>
      <w:r>
        <w:rPr>
          <w:rFonts w:ascii="FangSong" w:hAnsi="FangSong" w:eastAsia="FangSong" w:cs="FangSong"/>
          <w:sz w:val="23"/>
          <w:szCs w:val="23"/>
        </w:rPr>
        <w:t xml:space="preserve"> </w:t>
      </w:r>
      <w:r>
        <w:rPr>
          <w:rFonts w:ascii="FangSong" w:hAnsi="FangSong" w:eastAsia="FangSong" w:cs="FangSong"/>
          <w:sz w:val="23"/>
          <w:szCs w:val="23"/>
          <w:spacing w:val="2"/>
        </w:rPr>
        <w:t>于公共卫生支出、基本药物补助支出。较上年决算减少4.29万元，下降2.42%，主要原因是公</w:t>
      </w:r>
      <w:r>
        <w:rPr>
          <w:rFonts w:ascii="FangSong" w:hAnsi="FangSong" w:eastAsia="FangSong" w:cs="FangSong"/>
          <w:sz w:val="23"/>
          <w:szCs w:val="23"/>
          <w:spacing w:val="2"/>
        </w:rPr>
        <w:t xml:space="preserve"> </w:t>
      </w:r>
      <w:r>
        <w:rPr>
          <w:rFonts w:ascii="FangSong" w:hAnsi="FangSong" w:eastAsia="FangSong" w:cs="FangSong"/>
          <w:sz w:val="23"/>
          <w:szCs w:val="23"/>
          <w:spacing w:val="-1"/>
        </w:rPr>
        <w:t>共卫生资金减少，基本药物补助资金减少。</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住房保障支出年初预算11.20万元，支出决算8.85万元，完成年初预算的79.02%，用于缴</w:t>
      </w:r>
      <w:r>
        <w:rPr>
          <w:rFonts w:ascii="FangSong" w:hAnsi="FangSong" w:eastAsia="FangSong" w:cs="FangSong"/>
          <w:sz w:val="23"/>
          <w:szCs w:val="23"/>
          <w:spacing w:val="3"/>
        </w:rPr>
        <w:t xml:space="preserve"> </w:t>
      </w:r>
      <w:r>
        <w:rPr>
          <w:rFonts w:ascii="FangSong" w:hAnsi="FangSong" w:eastAsia="FangSong" w:cs="FangSong"/>
          <w:sz w:val="23"/>
          <w:szCs w:val="23"/>
          <w:spacing w:val="2"/>
        </w:rPr>
        <w:t>纳在职人员住房公积金。较上年决算减少0.14万元，下降1.56%，主要原因是本年度住房公积</w:t>
      </w:r>
      <w:r>
        <w:rPr>
          <w:rFonts w:ascii="FangSong" w:hAnsi="FangSong" w:eastAsia="FangSong" w:cs="FangSong"/>
          <w:sz w:val="23"/>
          <w:szCs w:val="23"/>
          <w:spacing w:val="6"/>
        </w:rPr>
        <w:t xml:space="preserve"> </w:t>
      </w:r>
      <w:r>
        <w:rPr>
          <w:rFonts w:ascii="FangSong" w:hAnsi="FangSong" w:eastAsia="FangSong" w:cs="FangSong"/>
          <w:sz w:val="23"/>
          <w:szCs w:val="23"/>
          <w:spacing w:val="-3"/>
        </w:rPr>
        <w:t>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2024年度财政拨款基本支出100.43万元，其中：</w:t>
      </w:r>
    </w:p>
    <w:p>
      <w:pPr>
        <w:ind w:left="1496" w:right="4771"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人员经费95.42万元，主要包括</w:t>
      </w:r>
      <w:r>
        <w:rPr>
          <w:rFonts w:ascii="FangSong" w:hAnsi="FangSong" w:eastAsia="FangSong" w:cs="FangSong"/>
          <w:sz w:val="23"/>
          <w:szCs w:val="23"/>
        </w:rPr>
        <w:t xml:space="preserve">  </w:t>
      </w:r>
      <w:r>
        <w:rPr>
          <w:rFonts w:ascii="FangSong" w:hAnsi="FangSong" w:eastAsia="FangSong" w:cs="FangSong"/>
          <w:sz w:val="23"/>
          <w:szCs w:val="23"/>
        </w:rPr>
        <w:t>基本工资</w:t>
      </w:r>
      <w:r>
        <w:rPr>
          <w:rFonts w:ascii="FangSong" w:hAnsi="FangSong" w:eastAsia="FangSong" w:cs="FangSong"/>
          <w:sz w:val="23"/>
          <w:szCs w:val="23"/>
        </w:rPr>
        <w:t xml:space="preserve"> </w:t>
      </w:r>
      <w:r>
        <w:rPr>
          <w:rFonts w:ascii="FangSong" w:hAnsi="FangSong" w:eastAsia="FangSong" w:cs="FangSong"/>
          <w:sz w:val="23"/>
          <w:szCs w:val="23"/>
        </w:rPr>
        <w:t>3</w:t>
      </w:r>
      <w:r>
        <w:rPr>
          <w:rFonts w:ascii="FangSong" w:hAnsi="FangSong" w:eastAsia="FangSong" w:cs="FangSong"/>
          <w:sz w:val="23"/>
          <w:szCs w:val="23"/>
          <w:spacing w:val="-1"/>
        </w:rPr>
        <w:t>7.91万元</w:t>
      </w:r>
      <w:r>
        <w:rPr>
          <w:rFonts w:ascii="FangSong" w:hAnsi="FangSong" w:eastAsia="FangSong" w:cs="FangSong"/>
          <w:sz w:val="23"/>
          <w:szCs w:val="23"/>
        </w:rPr>
        <w:t xml:space="preserve"> </w:t>
      </w:r>
      <w:r>
        <w:rPr>
          <w:rFonts w:ascii="FangSong" w:hAnsi="FangSong" w:eastAsia="FangSong" w:cs="FangSong"/>
          <w:sz w:val="23"/>
          <w:szCs w:val="23"/>
          <w:spacing w:val="-4"/>
        </w:rPr>
        <w:t>津贴补贴</w:t>
      </w:r>
      <w:r>
        <w:rPr>
          <w:rFonts w:ascii="FangSong" w:hAnsi="FangSong" w:eastAsia="FangSong" w:cs="FangSong"/>
          <w:sz w:val="23"/>
          <w:szCs w:val="23"/>
          <w:spacing w:val="31"/>
        </w:rPr>
        <w:t xml:space="preserve"> </w:t>
      </w:r>
      <w:r>
        <w:rPr>
          <w:rFonts w:ascii="FangSong" w:hAnsi="FangSong" w:eastAsia="FangSong" w:cs="FangSong"/>
          <w:sz w:val="23"/>
          <w:szCs w:val="23"/>
          <w:spacing w:val="-4"/>
        </w:rPr>
        <w:t>10.39万元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23.95万元</w:t>
      </w:r>
    </w:p>
    <w:p>
      <w:pPr>
        <w:ind w:left="1493" w:right="6154"/>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9.90万元</w:t>
      </w:r>
      <w:r>
        <w:rPr>
          <w:rFonts w:ascii="FangSong" w:hAnsi="FangSong" w:eastAsia="FangSong" w:cs="FangSong"/>
          <w:sz w:val="23"/>
          <w:szCs w:val="23"/>
          <w:spacing w:val="15"/>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4.20万元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0.22万元</w:t>
      </w:r>
      <w:r>
        <w:rPr>
          <w:rFonts w:ascii="FangSong" w:hAnsi="FangSong" w:eastAsia="FangSong" w:cs="FangSong"/>
          <w:sz w:val="23"/>
          <w:szCs w:val="23"/>
          <w:spacing w:val="4"/>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8.85万元；</w:t>
      </w:r>
    </w:p>
    <w:p>
      <w:pPr>
        <w:ind w:left="1500" w:right="5463" w:firstLine="229"/>
        <w:spacing w:before="2" w:line="322" w:lineRule="auto"/>
        <w:rPr>
          <w:rFonts w:ascii="FangSong" w:hAnsi="FangSong" w:eastAsia="FangSong" w:cs="FangSong"/>
          <w:sz w:val="23"/>
          <w:szCs w:val="23"/>
        </w:rPr>
      </w:pPr>
      <w:r>
        <w:rPr>
          <w:rFonts w:ascii="FangSong" w:hAnsi="FangSong" w:eastAsia="FangSong" w:cs="FangSong"/>
          <w:sz w:val="23"/>
          <w:szCs w:val="23"/>
          <w:spacing w:val="-1"/>
        </w:rPr>
        <w:t>公用经费5.01万元，主要包括取暖费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4.50万元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工会经费0.51万元。</w:t>
      </w:r>
    </w:p>
    <w:p>
      <w:pPr>
        <w:ind w:left="1716"/>
        <w:spacing w:before="3" w:line="229"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27" w:line="325"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1"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6"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spacing w:line="271"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1268" w:right="1223" w:firstLine="454"/>
        <w:spacing w:before="7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36"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33"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35" w:line="323"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 xml:space="preserve"> </w:t>
      </w:r>
      <w:r>
        <w:rPr>
          <w:rFonts w:ascii="FangSong" w:hAnsi="FangSong" w:eastAsia="FangSong" w:cs="FangSong"/>
          <w:sz w:val="23"/>
          <w:szCs w:val="23"/>
          <w:spacing w:val="6"/>
        </w:rPr>
        <w:t>车0辆，其他用车主要是本单位无其他用车。单价100万元（含）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4"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资金58.72万元：7个项目自评等级为“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7"/>
          <w:footerReference w:type="default" r:id="rId29"/>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18" style="position:absolute;margin-left:638.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880" w:lineRule="exact"/>
        <w:rPr/>
      </w:pPr>
      <w:r>
        <w:pict>
          <v:shape id="_x0000_s222" style="position:absolute;margin-left:638.92pt;margin-top:470.073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24" style="position:absolute;margin-left:86.92pt;margin-top:228.073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26" style="position:absolute;margin-left:280.957pt;margin-top:347.362pt;mso-position-vertical-relative:text;mso-position-horizontal-relative:text;width:609.35pt;height:22.25pt;z-index:251666432;rotation:330;" fillcolor="#404040" filled="true" stroked="false" type="#_x0000_t136">
            <v:fill opacity="0.400000"/>
            <v:textpath style="font-family:&quot;SimSun&quot;;font-size:20;v-text-kern:t;mso-text-shadow:auto" string="仅供内部审核                                     仅供内部审核"/>
          </v:shape>
        </w:pict>
      </w:r>
      <w:r>
        <w:pict>
          <v:shape id="_x0000_s228" style="position:absolute;margin-left:-45.0434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867525" cy="5638800"/>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6867525" cy="5638800"/>
                    </a:xfrm>
                    <a:prstGeom prst="rect">
                      <a:avLst/>
                    </a:prstGeom>
                  </pic:spPr>
                </pic:pic>
              </a:graphicData>
            </a:graphic>
          </wp:inline>
        </w:drawing>
      </w:r>
    </w:p>
    <w:p>
      <w:pPr>
        <w:spacing w:line="8880" w:lineRule="exact"/>
        <w:sectPr>
          <w:headerReference w:type="default" r:id="rId31"/>
          <w:footerReference w:type="default" r:id="rId32"/>
          <w:pgSz w:w="16840" w:h="11900"/>
          <w:pgMar w:top="642" w:right="0" w:bottom="340" w:left="0" w:header="326" w:footer="111" w:gutter="0"/>
        </w:sectPr>
        <w:rPr/>
      </w:pPr>
    </w:p>
    <w:p>
      <w:pPr>
        <w:spacing w:line="267" w:lineRule="auto"/>
        <w:rPr>
          <w:rFonts w:ascii="Arial"/>
          <w:sz w:val="21"/>
        </w:rPr>
      </w:pPr>
      <w:r>
        <w:pict>
          <v:shape id="_x0000_s230" style="position:absolute;margin-left:312.92pt;margin-top:45.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ict>
          <v:shape id="_x0000_s232"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940" w:lineRule="exact"/>
        <w:rPr/>
      </w:pPr>
      <w:r>
        <w:pict>
          <v:shape id="_x0000_s234" style="position:absolute;margin-left:638.92pt;margin-top:470.073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36" style="position:absolute;margin-left:-45.0434pt;margin-top:347.362pt;mso-position-vertical-relative:text;mso-position-horizontal-relative:text;width:609.35pt;height:22.25pt;z-index:251673600;rotation:330;" fillcolor="#404040" filled="true" stroked="false" type="#_x0000_t136">
            <v:fill opacity="0.400000"/>
            <v:textpath style="font-family:&quot;SimSun&quot;;font-size:20;v-text-kern:t;mso-text-shadow:auto" string="仅供内部审核                                     仅供内部审核"/>
          </v:shape>
        </w:pict>
      </w:r>
      <w:r>
        <w:pict>
          <v:shape id="_x0000_s238" style="position:absolute;margin-left:86.92pt;margin-top:228.073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40" style="position:absolute;margin-left:280.957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rPr>
          <w:position w:val="-178"/>
        </w:rPr>
        <w:drawing>
          <wp:inline distT="0" distB="0" distL="0" distR="0">
            <wp:extent cx="6867525" cy="5676900"/>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867525" cy="5676900"/>
                    </a:xfrm>
                    <a:prstGeom prst="rect">
                      <a:avLst/>
                    </a:prstGeom>
                  </pic:spPr>
                </pic:pic>
              </a:graphicData>
            </a:graphic>
          </wp:inline>
        </w:drawing>
      </w:r>
    </w:p>
    <w:p>
      <w:pPr>
        <w:spacing w:line="8940" w:lineRule="exact"/>
        <w:sectPr>
          <w:footerReference w:type="default" r:id="rId34"/>
          <w:pgSz w:w="16840" w:h="11900"/>
          <w:pgMar w:top="642" w:right="0" w:bottom="340" w:left="0" w:header="326" w:footer="111" w:gutter="0"/>
        </w:sectPr>
        <w:rPr/>
      </w:pPr>
    </w:p>
    <w:p>
      <w:pPr>
        <w:spacing w:line="267" w:lineRule="auto"/>
        <w:rPr>
          <w:rFonts w:ascii="Arial"/>
          <w:sz w:val="21"/>
        </w:rPr>
      </w:pPr>
      <w:r>
        <w:pict>
          <v:shape id="_x0000_s242" style="position:absolute;margin-left:638.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12.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880" w:lineRule="exact"/>
        <w:rPr/>
      </w:pPr>
      <w:r>
        <w:pict>
          <v:shape id="_x0000_s246" style="position:absolute;margin-left:638.92pt;margin-top:470.073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48" style="position:absolute;margin-left:280.957pt;margin-top:347.362pt;mso-position-vertical-relative:text;mso-position-horizontal-relative:text;width:609.35pt;height:22.25pt;z-index:251677696;rotation:330;" fillcolor="#404040" filled="true" stroked="false" type="#_x0000_t136">
            <v:fill opacity="0.400000"/>
            <v:textpath style="font-family:&quot;SimSun&quot;;font-size:20;v-text-kern:t;mso-text-shadow:auto" string="仅供内部审核                                     仅供内部审核"/>
          </v:shape>
        </w:pict>
      </w:r>
      <w:r>
        <w:pict>
          <v:shape id="_x0000_s250" style="position:absolute;margin-left:-45.0434pt;margin-top:347.362pt;mso-position-vertical-relative:text;mso-position-horizontal-relative:text;width:609.35pt;height:22.25pt;z-index:251678720;rotation:330;" fillcolor="#404040" filled="true" stroked="false" type="#_x0000_t136">
            <v:fill opacity="0.400000"/>
            <v:textpath style="font-family:&quot;SimSun&quot;;font-size:20;v-text-kern:t;mso-text-shadow:auto" string="仅供内部审核                                     仅供内部审核"/>
          </v:shape>
        </w:pict>
      </w:r>
      <w:r>
        <w:pict>
          <v:shape id="_x0000_s252"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867525" cy="5638800"/>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867525" cy="5638800"/>
                    </a:xfrm>
                    <a:prstGeom prst="rect">
                      <a:avLst/>
                    </a:prstGeom>
                  </pic:spPr>
                </pic:pic>
              </a:graphicData>
            </a:graphic>
          </wp:inline>
        </w:drawing>
      </w:r>
    </w:p>
    <w:p>
      <w:pPr>
        <w:spacing w:line="8880" w:lineRule="exact"/>
        <w:sectPr>
          <w:footerReference w:type="default" r:id="rId36"/>
          <w:pgSz w:w="16840" w:h="11900"/>
          <w:pgMar w:top="642" w:right="0" w:bottom="340" w:left="0" w:header="326" w:footer="110" w:gutter="0"/>
        </w:sectPr>
        <w:rPr/>
      </w:pPr>
    </w:p>
    <w:p>
      <w:pPr>
        <w:spacing w:line="267" w:lineRule="auto"/>
        <w:rPr>
          <w:rFonts w:ascii="Arial"/>
          <w:sz w:val="21"/>
        </w:rPr>
      </w:pPr>
      <w:r>
        <w:pict>
          <v:shape id="_x0000_s262" style="position:absolute;margin-left:312.92pt;margin-top:45.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638.92pt;margin-top:45.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700" w:lineRule="exact"/>
        <w:rPr/>
      </w:pPr>
      <w:r>
        <w:pict>
          <v:shape id="_x0000_s266" style="position:absolute;margin-left:86.92pt;margin-top:228.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68" style="position:absolute;margin-left:-45.0434pt;margin-top:347.362pt;mso-position-vertical-relative:text;mso-position-horizontal-relative:text;width:609.35pt;height:22.25pt;z-index:251685888;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6867525" cy="5524500"/>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6867525" cy="5524500"/>
                    </a:xfrm>
                    <a:prstGeom prst="rect">
                      <a:avLst/>
                    </a:prstGeom>
                  </pic:spPr>
                </pic:pic>
              </a:graphicData>
            </a:graphic>
          </wp:inline>
        </w:drawing>
      </w:r>
    </w:p>
    <w:p>
      <w:pPr>
        <w:spacing w:line="8700" w:lineRule="exact"/>
        <w:sectPr>
          <w:headerReference w:type="default" r:id="rId38"/>
          <w:footerReference w:type="default" r:id="rId39"/>
          <w:pgSz w:w="16840" w:h="11900"/>
          <w:pgMar w:top="642" w:right="0" w:bottom="340" w:left="0" w:header="326" w:footer="110" w:gutter="0"/>
        </w:sectPr>
        <w:rPr/>
      </w:pPr>
    </w:p>
    <w:p>
      <w:pPr>
        <w:spacing w:line="267" w:lineRule="auto"/>
        <w:rPr>
          <w:rFonts w:ascii="Arial"/>
          <w:sz w:val="21"/>
        </w:rPr>
      </w:pPr>
      <w:r>
        <w:pict>
          <v:shape id="_x0000_s270" style="position:absolute;margin-left:638.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312.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835" w:lineRule="exact"/>
        <w:rPr/>
      </w:pPr>
      <w:r>
        <w:pict>
          <v:shape id="_x0000_s274"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pict>
          <v:shape id="_x0000_s276"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176"/>
        </w:rPr>
        <w:drawing>
          <wp:inline distT="0" distB="0" distL="0" distR="0">
            <wp:extent cx="6867525" cy="5610225"/>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6867525" cy="5610225"/>
                    </a:xfrm>
                    <a:prstGeom prst="rect">
                      <a:avLst/>
                    </a:prstGeom>
                  </pic:spPr>
                </pic:pic>
              </a:graphicData>
            </a:graphic>
          </wp:inline>
        </w:drawing>
      </w:r>
    </w:p>
    <w:p>
      <w:pPr>
        <w:spacing w:line="8835" w:lineRule="exact"/>
        <w:sectPr>
          <w:footerReference w:type="default" r:id="rId41"/>
          <w:pgSz w:w="16840" w:h="11900"/>
          <w:pgMar w:top="642" w:right="0" w:bottom="340" w:left="0" w:header="326" w:footer="111" w:gutter="0"/>
        </w:sectPr>
        <w:rPr/>
      </w:pPr>
    </w:p>
    <w:p>
      <w:pPr>
        <w:spacing w:line="267" w:lineRule="auto"/>
        <w:rPr>
          <w:rFonts w:ascii="Arial"/>
          <w:sz w:val="21"/>
        </w:rPr>
      </w:pPr>
      <w:r>
        <w:pict>
          <v:shape id="_x0000_s278" style="position:absolute;margin-left:312.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638.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745" w:lineRule="exact"/>
        <w:rPr/>
      </w:pPr>
      <w:r>
        <w:pict>
          <v:shape id="_x0000_s282" style="position:absolute;margin-left:-45.0434pt;margin-top:347.362pt;mso-position-vertical-relative:text;mso-position-horizontal-relative:text;width:609.35pt;height:22.25pt;z-index:251697152;rotation:330;" fillcolor="#404040" filled="true" stroked="false" type="#_x0000_t136">
            <v:fill opacity="0.400000"/>
            <v:textpath style="font-family:&quot;SimSun&quot;;font-size:20;v-text-kern:t;mso-text-shadow:auto" string="仅供内部审核                                     仅供内部审核"/>
          </v:shape>
        </w:pict>
      </w:r>
      <w:r>
        <w:pict>
          <v:shape id="_x0000_s284" style="position:absolute;margin-left:86.92pt;margin-top:228.07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867525" cy="5553075"/>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6867525" cy="5553075"/>
                    </a:xfrm>
                    <a:prstGeom prst="rect">
                      <a:avLst/>
                    </a:prstGeom>
                  </pic:spPr>
                </pic:pic>
              </a:graphicData>
            </a:graphic>
          </wp:inline>
        </w:drawing>
      </w:r>
    </w:p>
    <w:p>
      <w:pPr>
        <w:spacing w:line="8745" w:lineRule="exact"/>
        <w:sectPr>
          <w:footerReference w:type="default" r:id="rId43"/>
          <w:pgSz w:w="16840" w:h="11900"/>
          <w:pgMar w:top="642" w:right="0" w:bottom="340" w:left="0" w:header="326" w:footer="110" w:gutter="0"/>
        </w:sectPr>
        <w:rPr/>
      </w:pPr>
    </w:p>
    <w:p>
      <w:pPr>
        <w:spacing w:line="267" w:lineRule="auto"/>
        <w:rPr>
          <w:rFonts w:ascii="Arial"/>
          <w:sz w:val="21"/>
        </w:rPr>
      </w:pPr>
      <w:r>
        <w:pict>
          <v:shape id="_x0000_s286" style="position:absolute;margin-left:312.92pt;margin-top:45.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638.92pt;margin-top:45.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745" w:lineRule="exact"/>
        <w:rPr/>
      </w:pPr>
      <w:r>
        <w:pict>
          <v:shape id="_x0000_s290" style="position:absolute;margin-left:-45.0434pt;margin-top:347.362pt;mso-position-vertical-relative:text;mso-position-horizontal-relative:text;width:609.35pt;height:22.25pt;z-index:251702272;rotation:330;" fillcolor="#404040" filled="true" stroked="false" type="#_x0000_t136">
            <v:fill opacity="0.400000"/>
            <v:textpath style="font-family:&quot;SimSun&quot;;font-size:20;v-text-kern:t;mso-text-shadow:auto" string="仅供内部审核                                     仅供内部审核"/>
          </v:shape>
        </w:pict>
      </w:r>
      <w:r>
        <w:pict>
          <v:shape id="_x0000_s292" style="position:absolute;margin-left:86.92pt;margin-top:228.073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867525" cy="5553075"/>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6867525" cy="5553075"/>
                    </a:xfrm>
                    <a:prstGeom prst="rect">
                      <a:avLst/>
                    </a:prstGeom>
                  </pic:spPr>
                </pic:pic>
              </a:graphicData>
            </a:graphic>
          </wp:inline>
        </w:drawing>
      </w:r>
    </w:p>
    <w:p>
      <w:pPr>
        <w:spacing w:line="8745" w:lineRule="exact"/>
        <w:sectPr>
          <w:footerReference w:type="default" r:id="rId45"/>
          <w:pgSz w:w="16840" w:h="11900"/>
          <w:pgMar w:top="642" w:right="0" w:bottom="340" w:left="0" w:header="326" w:footer="111" w:gutter="0"/>
        </w:sectPr>
        <w:rPr/>
      </w:pPr>
    </w:p>
    <w:p>
      <w:pPr>
        <w:spacing w:line="267" w:lineRule="auto"/>
        <w:rPr>
          <w:rFonts w:ascii="Arial"/>
          <w:sz w:val="21"/>
        </w:rPr>
      </w:pPr>
      <w:r>
        <w:pict>
          <v:shape id="_x0000_s294" style="position:absolute;margin-left:312.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638.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745" w:lineRule="exact"/>
        <w:rPr/>
      </w:pPr>
      <w:r>
        <w:pict>
          <v:shape id="_x0000_s298" style="position:absolute;margin-left:86.92pt;margin-top:228.073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00" style="position:absolute;margin-left:-45.0434pt;margin-top:347.362pt;mso-position-vertical-relative:text;mso-position-horizontal-relative:text;width:609.35pt;height:22.25pt;z-index:251710464;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6867525" cy="5553075"/>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6867525" cy="5553075"/>
                    </a:xfrm>
                    <a:prstGeom prst="rect">
                      <a:avLst/>
                    </a:prstGeom>
                  </pic:spPr>
                </pic:pic>
              </a:graphicData>
            </a:graphic>
          </wp:inline>
        </w:drawing>
      </w:r>
    </w:p>
    <w:p>
      <w:pPr>
        <w:spacing w:line="8745" w:lineRule="exact"/>
        <w:sectPr>
          <w:footerReference w:type="default" r:id="rId47"/>
          <w:pgSz w:w="16840" w:h="11900"/>
          <w:pgMar w:top="642" w:right="0" w:bottom="340" w:left="0" w:header="326" w:footer="111" w:gutter="0"/>
        </w:sectPr>
        <w:rPr/>
      </w:pPr>
    </w:p>
    <w:p>
      <w:pPr>
        <w:spacing w:line="267" w:lineRule="auto"/>
        <w:rPr>
          <w:rFonts w:ascii="Arial"/>
          <w:sz w:val="21"/>
        </w:rPr>
      </w:pPr>
      <w:r>
        <w:pict>
          <v:shape id="_x0000_s302" style="position:absolute;margin-left:638.92pt;margin-top:45.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312.92pt;margin-top:45.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790" w:lineRule="exact"/>
        <w:rPr/>
      </w:pPr>
      <w:r>
        <w:pict>
          <v:shape id="_x0000_s306" style="position:absolute;margin-left:-45.0434pt;margin-top:347.362pt;mso-position-vertical-relative:text;mso-position-horizontal-relative:text;width:609.35pt;height:22.25pt;z-index:251713536;rotation:330;" fillcolor="#404040" filled="true" stroked="false" type="#_x0000_t136">
            <v:fill opacity="0.400000"/>
            <v:textpath style="font-family:&quot;SimSun&quot;;font-size:20;v-text-kern:t;mso-text-shadow:auto" string="仅供内部审核                                     仅供内部审核"/>
          </v:shape>
        </w:pict>
      </w:r>
      <w:r>
        <w:pict>
          <v:shape id="_x0000_s308" style="position:absolute;margin-left:86.92pt;margin-top:228.07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175"/>
        </w:rPr>
        <w:drawing>
          <wp:inline distT="0" distB="0" distL="0" distR="0">
            <wp:extent cx="6867525" cy="5581650"/>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6867525" cy="5581650"/>
                    </a:xfrm>
                    <a:prstGeom prst="rect">
                      <a:avLst/>
                    </a:prstGeom>
                  </pic:spPr>
                </pic:pic>
              </a:graphicData>
            </a:graphic>
          </wp:inline>
        </w:drawing>
      </w:r>
    </w:p>
    <w:p>
      <w:pPr>
        <w:spacing w:line="8790" w:lineRule="exact"/>
        <w:sectPr>
          <w:footerReference w:type="default" r:id="rId49"/>
          <w:pgSz w:w="16840" w:h="11900"/>
          <w:pgMar w:top="642" w:right="0" w:bottom="340" w:left="0" w:header="326" w:footer="111" w:gutter="0"/>
        </w:sectPr>
        <w:rPr/>
      </w:pPr>
    </w:p>
    <w:p>
      <w:pPr>
        <w:spacing w:line="267" w:lineRule="auto"/>
        <w:rPr>
          <w:rFonts w:ascii="Arial"/>
          <w:sz w:val="21"/>
        </w:rPr>
      </w:pPr>
      <w:r>
        <w:pict>
          <v:shape id="_x0000_s310" style="position:absolute;margin-left:312.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638.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8760" w:lineRule="exact"/>
        <w:rPr/>
      </w:pPr>
      <w:r>
        <w:pict>
          <v:shape id="_x0000_s314" style="position:absolute;margin-left:-45.0434pt;margin-top:347.362pt;mso-position-vertical-relative:text;mso-position-horizontal-relative:text;width:609.35pt;height:22.25pt;z-index:251721728;rotation:330;" fillcolor="#404040" filled="true" stroked="false" type="#_x0000_t136">
            <v:fill opacity="0.400000"/>
            <v:textpath style="font-family:&quot;SimSun&quot;;font-size:20;v-text-kern:t;mso-text-shadow:auto" string="仅供内部审核                                     仅供内部审核"/>
          </v:shape>
        </w:pict>
      </w:r>
      <w:r>
        <w:pict>
          <v:shape id="_x0000_s316" style="position:absolute;margin-left:86.92pt;margin-top:228.07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175"/>
        </w:rPr>
        <w:drawing>
          <wp:inline distT="0" distB="0" distL="0" distR="0">
            <wp:extent cx="6867525" cy="5562600"/>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6867525" cy="5562600"/>
                    </a:xfrm>
                    <a:prstGeom prst="rect">
                      <a:avLst/>
                    </a:prstGeom>
                  </pic:spPr>
                </pic:pic>
              </a:graphicData>
            </a:graphic>
          </wp:inline>
        </w:drawing>
      </w:r>
    </w:p>
    <w:p>
      <w:pPr>
        <w:spacing w:line="8760" w:lineRule="exact"/>
        <w:sectPr>
          <w:footerReference w:type="default" r:id="rId51"/>
          <w:pgSz w:w="16840" w:h="11900"/>
          <w:pgMar w:top="642" w:right="0" w:bottom="340" w:left="0" w:header="326" w:footer="111" w:gutter="0"/>
        </w:sectPr>
        <w:rPr/>
      </w:pPr>
    </w:p>
    <w:p>
      <w:pPr>
        <w:spacing w:line="267" w:lineRule="auto"/>
        <w:rPr>
          <w:rFonts w:ascii="Arial"/>
          <w:sz w:val="21"/>
        </w:rPr>
      </w:pPr>
      <w:r>
        <w:pict>
          <v:shape id="_x0000_s318" style="position:absolute;margin-left:312.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638.92pt;margin-top:45.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15"/>
        <w:spacing w:line="5565" w:lineRule="exact"/>
        <w:rPr/>
      </w:pPr>
      <w:r>
        <w:pict>
          <v:shape id="_x0000_s322" style="position:absolute;margin-left:86.92pt;margin-top:228.07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24" style="position:absolute;margin-left:-45.0434pt;margin-top:347.362pt;mso-position-vertical-relative:text;mso-position-horizontal-relative:text;width:609.35pt;height:22.25pt;z-index:251727872;rotation:330;" fillcolor="#404040" filled="true" stroked="false" type="#_x0000_t136">
            <v:fill opacity="0.400000"/>
            <v:textpath style="font-family:&quot;SimSun&quot;;font-size:20;v-text-kern:t;mso-text-shadow:auto" string="仅供内部审核                                     仅供内部审核"/>
          </v:shape>
        </w:pict>
      </w:r>
      <w:r>
        <w:rPr>
          <w:position w:val="-111"/>
        </w:rPr>
        <w:drawing>
          <wp:inline distT="0" distB="0" distL="0" distR="0">
            <wp:extent cx="6867525" cy="3533775"/>
            <wp:effectExtent l="0" t="0" r="0" b="0"/>
            <wp:docPr id="22" name="IM 22"/>
            <wp:cNvGraphicFramePr/>
            <a:graphic>
              <a:graphicData uri="http://schemas.openxmlformats.org/drawingml/2006/picture">
                <pic:pic>
                  <pic:nvPicPr>
                    <pic:cNvPr id="22" name="IM 22"/>
                    <pic:cNvPicPr/>
                  </pic:nvPicPr>
                  <pic:blipFill>
                    <a:blip r:embed="rId54"/>
                    <a:stretch>
                      <a:fillRect/>
                    </a:stretch>
                  </pic:blipFill>
                  <pic:spPr>
                    <a:xfrm rot="0">
                      <a:off x="0" y="0"/>
                      <a:ext cx="6867525" cy="3533775"/>
                    </a:xfrm>
                    <a:prstGeom prst="rect">
                      <a:avLst/>
                    </a:prstGeom>
                  </pic:spPr>
                </pic:pic>
              </a:graphicData>
            </a:graphic>
          </wp:inline>
        </w:drawing>
      </w:r>
    </w:p>
    <w:sectPr>
      <w:footerReference w:type="default" r:id="rId53"/>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0" style="position:absolute;margin-left:-13.08pt;margin-top:28.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312.92pt;margin-top:45.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287.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5.0434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280.957pt;margin-top:406.395pt;mso-position-vertical-relative:page;mso-position-horizontal-relative:page;width:609.35pt;height:22.25pt;z-index:-2515752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2" style="position:absolute;margin-left:638.92pt;margin-top:529.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782pt;height:1pt;z-index:-251573248;" o:allowincell="f" filled="false" strokecolor="#646464" strokeweight="1.00pt" coordsize="15640,20" coordorigin="0,0" path="m0,10l15640,10e">
          <v:stroke joinstyle="miter" miterlimit="10"/>
        </v:shape>
      </w:pict>
    </w:r>
    <w:r>
      <w:rPr>
        <w:sz w:val="16"/>
        <w:szCs w:val="16"/>
        <w:spacing w:val="-2"/>
        <w:position w:val="1"/>
      </w:rPr>
      <w:t>兴县圪垯上乡卫生院2024年单位决算公开报告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6"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4" style="position:absolute;margin-left:-13.08pt;margin-top:28.7633pt;mso-position-vertical-relative:text;mso-position-horizontal-relative:text;width:119.4pt;height:18.85pt;z-index:-251549696;rotation:330;" fillcolor="#404040" filled="true" stroked="false" type="#_x0000_t136">
          <v:fill opacity="0.400000"/>
          <v:textpath style="font-family:&quot;SimSun&quot;;font-size:20;v-text-kern:t;mso-text-shadow:auto" string="仅供内部审核"/>
        </v:shape>
      </w:pict>
    </w:r>
    <w:r>
      <w:pict>
        <v:shape id="_x0000_s216" style="position:absolute;margin-left:30pt;margin-top:29.5pt;mso-position-vertical-relative:page;mso-position-horizontal-relative:page;width:782pt;height:1pt;z-index:-251550720;" o:allowincell="f" filled="false" strokecolor="#646464" strokeweight="1.00pt" coordsize="15640,20" coordorigin="0,0" path="m0,10l15640,10e">
          <v:stroke joinstyle="miter" miterlimit="10"/>
        </v:shape>
      </w:pict>
    </w:r>
    <w:r>
      <w:rPr>
        <w:sz w:val="16"/>
        <w:szCs w:val="16"/>
        <w:spacing w:val="-2"/>
        <w:position w:val="1"/>
      </w:rPr>
      <w:t>兴县圪垯上乡卫生院2024年单位决算公开报告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54" style="position:absolute;margin-left:-13.08pt;margin-top:28.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56" style="position:absolute;margin-left:280.957pt;margin-top:406.395pt;mso-position-vertical-relative:page;mso-position-horizontal-relative:page;width:609.35pt;height:22.25pt;z-index:-2515476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58" style="position:absolute;margin-left:638.92pt;margin-top:529.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rPr>
        <w:sz w:val="16"/>
        <w:szCs w:val="16"/>
        <w:spacing w:val="-2"/>
        <w:position w:val="1"/>
      </w:rPr>
      <w:t>兴县圪垯上乡卫生院2024年单位决算公开报告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sz w:val="16"/>
        <w:szCs w:val="16"/>
        <w:spacing w:val="-2"/>
        <w:position w:val="1"/>
      </w:rPr>
      <w:t>兴县圪垯上乡卫生院2024年单位决算公开报告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styles" Target="styles.xml"/><Relationship Id="rId55" Type="http://schemas.openxmlformats.org/officeDocument/2006/relationships/settings" Target="settings.xml"/><Relationship Id="rId54" Type="http://schemas.openxmlformats.org/officeDocument/2006/relationships/image" Target="media/image11.png"/><Relationship Id="rId53" Type="http://schemas.openxmlformats.org/officeDocument/2006/relationships/footer" Target="footer29.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8.png"/><Relationship Id="rId47" Type="http://schemas.openxmlformats.org/officeDocument/2006/relationships/footer" Target="footer26.xml"/><Relationship Id="rId46" Type="http://schemas.openxmlformats.org/officeDocument/2006/relationships/image" Target="media/image7.png"/><Relationship Id="rId45" Type="http://schemas.openxmlformats.org/officeDocument/2006/relationships/footer" Target="footer25.xml"/><Relationship Id="rId44" Type="http://schemas.openxmlformats.org/officeDocument/2006/relationships/image" Target="media/image6.png"/><Relationship Id="rId43" Type="http://schemas.openxmlformats.org/officeDocument/2006/relationships/footer" Target="footer24.xml"/><Relationship Id="rId42" Type="http://schemas.openxmlformats.org/officeDocument/2006/relationships/image" Target="media/image5.png"/><Relationship Id="rId41" Type="http://schemas.openxmlformats.org/officeDocument/2006/relationships/footer" Target="footer23.xml"/><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header" Target="header14.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2025-09-25T17:48:35Z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2025-09-25T20:12:50</vt:filetime>
  </property>
</Properties>
</file>