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3002"/>
        <w:spacing w:before="140" w:line="218" w:lineRule="auto"/>
        <w:rPr/>
      </w:pPr>
      <w:r>
        <w:rPr>
          <w:spacing w:val="-21"/>
        </w:rPr>
        <w:t>兴</w:t>
      </w:r>
      <w:r>
        <w:rPr>
          <w:spacing w:val="-100"/>
        </w:rPr>
        <w:t xml:space="preserve"> </w:t>
      </w:r>
      <w:r>
        <w:rPr>
          <w:spacing w:val="-21"/>
        </w:rPr>
        <w:t>县</w:t>
      </w:r>
      <w:r>
        <w:rPr>
          <w:spacing w:val="-78"/>
        </w:rPr>
        <w:t xml:space="preserve"> </w:t>
      </w:r>
      <w:r>
        <w:rPr>
          <w:spacing w:val="-21"/>
        </w:rPr>
        <w:t>罗</w:t>
      </w:r>
      <w:r>
        <w:rPr>
          <w:spacing w:val="-91"/>
        </w:rPr>
        <w:t xml:space="preserve"> </w:t>
      </w:r>
      <w:r>
        <w:rPr>
          <w:spacing w:val="-21"/>
        </w:rPr>
        <w:t>峪 口</w:t>
      </w:r>
      <w:r>
        <w:rPr>
          <w:spacing w:val="-104"/>
        </w:rPr>
        <w:t xml:space="preserve"> </w:t>
      </w:r>
      <w:r>
        <w:rPr>
          <w:spacing w:val="-21"/>
        </w:rPr>
        <w:t>镇</w:t>
      </w:r>
      <w:r>
        <w:rPr>
          <w:spacing w:val="-64"/>
        </w:rPr>
        <w:t xml:space="preserve"> </w:t>
      </w:r>
      <w:r>
        <w:rPr>
          <w:spacing w:val="-21"/>
        </w:rPr>
        <w:t>中</w:t>
      </w:r>
      <w:r>
        <w:rPr>
          <w:spacing w:val="-80"/>
        </w:rPr>
        <w:t xml:space="preserve"> </w:t>
      </w:r>
      <w:r>
        <w:rPr>
          <w:spacing w:val="-21"/>
        </w:rPr>
        <w:t>心</w:t>
      </w:r>
      <w:r>
        <w:rPr>
          <w:spacing w:val="-103"/>
        </w:rPr>
        <w:t xml:space="preserve"> </w:t>
      </w:r>
      <w:r>
        <w:rPr>
          <w:spacing w:val="-21"/>
        </w:rPr>
        <w:t>卫</w:t>
      </w:r>
      <w:r>
        <w:rPr>
          <w:spacing w:val="-75"/>
        </w:rPr>
        <w:t xml:space="preserve"> </w:t>
      </w:r>
      <w:r>
        <w:rPr>
          <w:spacing w:val="-21"/>
        </w:rPr>
        <w:t>生</w:t>
      </w:r>
      <w:r>
        <w:rPr>
          <w:spacing w:val="-77"/>
        </w:rPr>
        <w:t xml:space="preserve"> </w:t>
      </w:r>
      <w:r>
        <w:rPr>
          <w:spacing w:val="-21"/>
        </w:rPr>
        <w:t>院</w:t>
      </w:r>
    </w:p>
    <w:p>
      <w:pPr>
        <w:spacing w:line="378" w:lineRule="auto"/>
        <w:rPr>
          <w:rFonts w:ascii="Arial"/>
          <w:sz w:val="21"/>
        </w:rPr>
      </w:pPr>
      <w:r/>
    </w:p>
    <w:p>
      <w:pPr>
        <w:pStyle w:val="BodyText"/>
        <w:ind w:left="3079"/>
        <w:spacing w:before="140"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5</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headerReference w:type="default" r:id="rId1"/>
          <w:pgSz w:w="11900" w:h="16840"/>
          <w:pgMar w:top="400" w:right="0" w:bottom="0" w:left="0" w:header="0" w:footer="0" w:gutter="0"/>
        </w:sectPr>
        <w:rPr/>
      </w:pPr>
    </w:p>
    <w:p>
      <w:pPr>
        <w:spacing w:line="475" w:lineRule="auto"/>
        <w:rPr>
          <w:rFonts w:ascii="Arial"/>
          <w:sz w:val="21"/>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spacing w:line="438"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2"/>
        </w:rPr>
        <w:t>作医疗制度，推行分级诊疗和乡村一体化管</w:t>
      </w:r>
      <w:r>
        <w:rPr>
          <w:rFonts w:ascii="FangSong" w:hAnsi="FangSong" w:eastAsia="FangSong" w:cs="FangSong"/>
          <w:sz w:val="24"/>
          <w:szCs w:val="24"/>
          <w:spacing w:val="-2"/>
        </w:rPr>
        <w:t xml:space="preserve"> </w:t>
      </w:r>
      <w:r>
        <w:rPr>
          <w:rFonts w:ascii="FangSong" w:hAnsi="FangSong" w:eastAsia="FangSong" w:cs="FangSong"/>
          <w:sz w:val="24"/>
          <w:szCs w:val="24"/>
          <w:spacing w:val="-2"/>
        </w:rPr>
        <w:t>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5" w:hanging="3"/>
        <w:spacing w:before="117" w:line="301" w:lineRule="auto"/>
        <w:rPr>
          <w:rFonts w:ascii="FangSong" w:hAnsi="FangSong" w:eastAsia="FangSong" w:cs="FangSong"/>
          <w:sz w:val="24"/>
          <w:szCs w:val="24"/>
        </w:rPr>
      </w:pPr>
      <w:r>
        <w:rPr>
          <w:rFonts w:ascii="FangSong" w:hAnsi="FangSong" w:eastAsia="FangSong" w:cs="FangSong"/>
          <w:sz w:val="24"/>
          <w:szCs w:val="24"/>
          <w:spacing w:val="-1"/>
        </w:rPr>
        <w:t>人员构成：设院长1名，工作人员10名。</w:t>
      </w:r>
      <w:r>
        <w:rPr>
          <w:rFonts w:ascii="FangSong" w:hAnsi="FangSong" w:eastAsia="FangSong" w:cs="FangSong"/>
          <w:sz w:val="24"/>
          <w:szCs w:val="24"/>
          <w:spacing w:val="62"/>
        </w:rPr>
        <w:t xml:space="preserve"> </w:t>
      </w:r>
      <w:r>
        <w:rPr>
          <w:rFonts w:ascii="FangSong" w:hAnsi="FangSong" w:eastAsia="FangSong" w:cs="FangSong"/>
          <w:sz w:val="24"/>
          <w:szCs w:val="24"/>
          <w:spacing w:val="-1"/>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spacing w:line="303" w:lineRule="auto"/>
        <w:rPr>
          <w:rFonts w:ascii="Arial"/>
          <w:sz w:val="21"/>
        </w:rPr>
      </w:pPr>
      <w:r/>
    </w:p>
    <w:p>
      <w:pPr>
        <w:spacing w:line="303" w:lineRule="auto"/>
        <w:rPr>
          <w:rFonts w:ascii="Arial"/>
          <w:sz w:val="21"/>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单位名称：兴县罗峪口镇中心卫生院</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0"/>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3"/>
              </w:rPr>
              <w:t>194.30</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9"/>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153" w:type="dxa"/>
            <w:vAlign w:val="top"/>
          </w:tcPr>
          <w:p>
            <w:pPr>
              <w:ind w:right="25"/>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0"/>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171.18</w:t>
            </w:r>
          </w:p>
        </w:tc>
        <w:tc>
          <w:tcPr>
            <w:tcW w:w="115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3"/>
              </w:rPr>
              <w:t>171.18</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rPr>
          <w:rFonts w:ascii="Arial"/>
          <w:sz w:val="21"/>
        </w:rPr>
      </w:pPr>
      <w:r/>
    </w:p>
    <w:p>
      <w:pPr>
        <w:sectPr>
          <w:headerReference w:type="default" r:id="rId7"/>
          <w:footerReference w:type="default" r:id="rId8"/>
          <w:pgSz w:w="11900" w:h="16840"/>
          <w:pgMar w:top="642" w:right="0" w:bottom="340" w:left="0" w:header="326" w:footer="110" w:gutter="0"/>
        </w:sectPr>
        <w:rPr>
          <w:rFonts w:ascii="Arial" w:hAnsi="Arial" w:eastAsia="Arial" w:cs="Arial"/>
          <w:sz w:val="21"/>
          <w:szCs w:val="21"/>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69"/>
              <w:spacing w:before="186" w:line="212" w:lineRule="auto"/>
              <w:rPr>
                <w:sz w:val="13"/>
                <w:szCs w:val="13"/>
              </w:rPr>
            </w:pPr>
            <w:r>
              <w:rPr>
                <w:sz w:val="13"/>
                <w:szCs w:val="13"/>
                <w:color w:val="212529"/>
                <w:spacing w:val="11"/>
              </w:rPr>
              <w:t>194.</w:t>
            </w:r>
            <w:r>
              <w:rPr>
                <w:sz w:val="13"/>
                <w:szCs w:val="13"/>
                <w:color w:val="212529"/>
                <w:spacing w:val="17"/>
              </w:rPr>
              <w:t xml:space="preserve"> </w:t>
            </w:r>
            <w:r>
              <w:rPr>
                <w:sz w:val="13"/>
                <w:szCs w:val="13"/>
                <w:color w:val="212529"/>
                <w:spacing w:val="11"/>
              </w:rPr>
              <w:t>30</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94"/>
              <w:spacing w:before="186" w:line="172" w:lineRule="auto"/>
              <w:rPr>
                <w:sz w:val="16"/>
                <w:szCs w:val="16"/>
              </w:rPr>
            </w:pPr>
            <w:r>
              <w:rPr>
                <w:sz w:val="16"/>
                <w:szCs w:val="16"/>
                <w:color w:val="212529"/>
                <w:spacing w:val="4"/>
              </w:rPr>
              <w:t>194.30</w:t>
            </w:r>
          </w:p>
        </w:tc>
        <w:tc>
          <w:tcPr>
            <w:tcW w:w="1153" w:type="dxa"/>
            <w:vAlign w:val="top"/>
          </w:tcPr>
          <w:p>
            <w:pPr>
              <w:pStyle w:val="TableText"/>
              <w:ind w:left="588"/>
              <w:spacing w:before="186" w:line="172" w:lineRule="auto"/>
              <w:rPr>
                <w:sz w:val="16"/>
                <w:szCs w:val="16"/>
              </w:rPr>
            </w:pPr>
            <w:r>
              <w:rPr>
                <w:sz w:val="16"/>
                <w:szCs w:val="16"/>
                <w:color w:val="212529"/>
                <w:spacing w:val="4"/>
              </w:rPr>
              <w:t>194.30</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69"/>
              <w:spacing w:before="188" w:line="212" w:lineRule="auto"/>
              <w:rPr>
                <w:sz w:val="13"/>
                <w:szCs w:val="13"/>
              </w:rPr>
            </w:pPr>
            <w:r>
              <w:rPr>
                <w:sz w:val="13"/>
                <w:szCs w:val="13"/>
                <w:color w:val="212529"/>
                <w:spacing w:val="11"/>
              </w:rPr>
              <w:t>194.</w:t>
            </w:r>
            <w:r>
              <w:rPr>
                <w:sz w:val="13"/>
                <w:szCs w:val="13"/>
                <w:color w:val="212529"/>
                <w:spacing w:val="17"/>
              </w:rPr>
              <w:t xml:space="preserve"> </w:t>
            </w:r>
            <w:r>
              <w:rPr>
                <w:sz w:val="13"/>
                <w:szCs w:val="13"/>
                <w:color w:val="212529"/>
                <w:spacing w:val="11"/>
              </w:rPr>
              <w:t>30</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94"/>
              <w:spacing w:before="188" w:line="172" w:lineRule="auto"/>
              <w:rPr>
                <w:sz w:val="16"/>
                <w:szCs w:val="16"/>
              </w:rPr>
            </w:pPr>
            <w:r>
              <w:rPr>
                <w:sz w:val="16"/>
                <w:szCs w:val="16"/>
                <w:color w:val="212529"/>
                <w:spacing w:val="4"/>
              </w:rPr>
              <w:t>194.30</w:t>
            </w:r>
          </w:p>
        </w:tc>
        <w:tc>
          <w:tcPr>
            <w:tcW w:w="1153" w:type="dxa"/>
            <w:vAlign w:val="top"/>
          </w:tcPr>
          <w:p>
            <w:pPr>
              <w:pStyle w:val="TableText"/>
              <w:ind w:left="588"/>
              <w:spacing w:before="188" w:line="172" w:lineRule="auto"/>
              <w:rPr>
                <w:sz w:val="16"/>
                <w:szCs w:val="16"/>
              </w:rPr>
            </w:pPr>
            <w:r>
              <w:rPr>
                <w:sz w:val="16"/>
                <w:szCs w:val="16"/>
                <w:color w:val="212529"/>
                <w:spacing w:val="4"/>
              </w:rPr>
              <w:t>194.30</w:t>
            </w:r>
          </w:p>
        </w:tc>
        <w:tc>
          <w:tcPr>
            <w:tcW w:w="831" w:type="dxa"/>
            <w:vAlign w:val="top"/>
          </w:tcPr>
          <w:p>
            <w:pPr>
              <w:pStyle w:val="TableText"/>
              <w:rPr/>
            </w:pPr>
            <w:r/>
          </w:p>
        </w:tc>
      </w:tr>
    </w:tbl>
    <w:p>
      <w:pPr>
        <w:rPr>
          <w:rFonts w:ascii="Arial"/>
          <w:sz w:val="21"/>
        </w:rPr>
      </w:pPr>
      <w:r/>
    </w:p>
    <w:p>
      <w:pPr>
        <w:sectPr>
          <w:headerReference w:type="default" r:id="rId9"/>
          <w:footerReference w:type="default" r:id="rId10"/>
          <w:pgSz w:w="11900" w:h="16840"/>
          <w:pgMar w:top="642" w:right="0" w:bottom="340" w:left="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单位名称：兴县罗峪口镇中心卫生院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77"/>
              <w:spacing w:before="149" w:line="212" w:lineRule="auto"/>
              <w:rPr>
                <w:sz w:val="13"/>
                <w:szCs w:val="13"/>
              </w:rPr>
            </w:pPr>
            <w:r>
              <w:rPr>
                <w:sz w:val="13"/>
                <w:szCs w:val="13"/>
                <w:color w:val="212529"/>
                <w:spacing w:val="11"/>
              </w:rPr>
              <w:t>194.</w:t>
            </w:r>
            <w:r>
              <w:rPr>
                <w:sz w:val="13"/>
                <w:szCs w:val="13"/>
                <w:color w:val="212529"/>
                <w:spacing w:val="17"/>
              </w:rPr>
              <w:t xml:space="preserve"> </w:t>
            </w:r>
            <w:r>
              <w:rPr>
                <w:sz w:val="13"/>
                <w:szCs w:val="13"/>
                <w:color w:val="212529"/>
                <w:spacing w:val="11"/>
              </w:rPr>
              <w:t>30</w:t>
            </w:r>
          </w:p>
        </w:tc>
        <w:tc>
          <w:tcPr>
            <w:tcW w:w="1274" w:type="dxa"/>
            <w:vAlign w:val="top"/>
          </w:tcPr>
          <w:p>
            <w:pPr>
              <w:pStyle w:val="TableText"/>
              <w:ind w:left="714"/>
              <w:spacing w:before="149" w:line="172" w:lineRule="auto"/>
              <w:rPr>
                <w:sz w:val="16"/>
                <w:szCs w:val="16"/>
              </w:rPr>
            </w:pPr>
            <w:r>
              <w:rPr>
                <w:sz w:val="16"/>
                <w:szCs w:val="16"/>
                <w:color w:val="212529"/>
                <w:spacing w:val="4"/>
              </w:rPr>
              <w:t>194.30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2"/>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274" w:type="dxa"/>
            <w:vAlign w:val="top"/>
          </w:tcPr>
          <w:p>
            <w:pPr>
              <w:ind w:right="21"/>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4"/>
              </w:rPr>
              <w:t>12.37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4"/>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0.67</w:t>
            </w:r>
          </w:p>
        </w:tc>
        <w:tc>
          <w:tcPr>
            <w:tcW w:w="1274"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2"/>
              </w:rPr>
              <w:t>0.67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11.70</w:t>
            </w:r>
          </w:p>
        </w:tc>
        <w:tc>
          <w:tcPr>
            <w:tcW w:w="1274" w:type="dxa"/>
            <w:vAlign w:val="top"/>
          </w:tcPr>
          <w:p>
            <w:pPr>
              <w:ind w:right="21"/>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4"/>
              </w:rPr>
              <w:t>11.70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171.18</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3"/>
              </w:rPr>
              <w:t>171.18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基层医疗卫生机构</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166.38</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3"/>
              </w:rPr>
              <w:t>166.38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97" w:type="dxa"/>
            <w:vAlign w:val="top"/>
          </w:tcPr>
          <w:p>
            <w:pPr>
              <w:ind w:left="12"/>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right="22"/>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156.56</w:t>
            </w:r>
          </w:p>
        </w:tc>
        <w:tc>
          <w:tcPr>
            <w:tcW w:w="1274" w:type="dxa"/>
            <w:vAlign w:val="top"/>
          </w:tcPr>
          <w:p>
            <w:pPr>
              <w:ind w:right="21"/>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3"/>
              </w:rPr>
              <w:t>156.56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9.82</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9.82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7"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4.81</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4.81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4.75</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4.75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0.05</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10.75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907"/>
              <w:spacing w:before="99" w:line="186" w:lineRule="auto"/>
              <w:rPr>
                <w:sz w:val="13"/>
                <w:szCs w:val="13"/>
              </w:rPr>
            </w:pPr>
            <w:r>
              <w:rPr>
                <w:sz w:val="13"/>
                <w:szCs w:val="13"/>
                <w:color w:val="212529"/>
                <w:spacing w:val="2"/>
              </w:rPr>
              <w:t>194.</w:t>
            </w:r>
            <w:r>
              <w:rPr>
                <w:sz w:val="13"/>
                <w:szCs w:val="13"/>
                <w:color w:val="212529"/>
                <w:spacing w:val="18"/>
                <w:w w:val="101"/>
              </w:rPr>
              <w:t xml:space="preserve"> </w:t>
            </w:r>
            <w:r>
              <w:rPr>
                <w:sz w:val="13"/>
                <w:szCs w:val="13"/>
                <w:color w:val="212529"/>
                <w:spacing w:val="2"/>
              </w:rPr>
              <w:t>30</w:t>
            </w:r>
          </w:p>
        </w:tc>
        <w:tc>
          <w:tcPr>
            <w:tcW w:w="1361" w:type="dxa"/>
            <w:vAlign w:val="top"/>
          </w:tcPr>
          <w:p>
            <w:pPr>
              <w:pStyle w:val="TableText"/>
              <w:ind w:left="861"/>
              <w:spacing w:before="98" w:line="162" w:lineRule="auto"/>
              <w:rPr>
                <w:sz w:val="15"/>
                <w:szCs w:val="15"/>
              </w:rPr>
            </w:pPr>
            <w:r>
              <w:rPr>
                <w:sz w:val="15"/>
                <w:szCs w:val="15"/>
                <w:color w:val="212529"/>
                <w:spacing w:val="1"/>
              </w:rPr>
              <w:t>142.96</w:t>
            </w:r>
          </w:p>
        </w:tc>
        <w:tc>
          <w:tcPr>
            <w:tcW w:w="1280" w:type="dxa"/>
            <w:vAlign w:val="top"/>
          </w:tcPr>
          <w:p>
            <w:pPr>
              <w:pStyle w:val="TableText"/>
              <w:ind w:left="851"/>
              <w:spacing w:before="99" w:line="186" w:lineRule="auto"/>
              <w:rPr>
                <w:sz w:val="13"/>
                <w:szCs w:val="13"/>
              </w:rPr>
            </w:pPr>
            <w:r>
              <w:rPr>
                <w:sz w:val="13"/>
                <w:szCs w:val="13"/>
                <w:color w:val="212529"/>
                <w:spacing w:val="3"/>
              </w:rPr>
              <w:t>51.</w:t>
            </w:r>
            <w:r>
              <w:rPr>
                <w:sz w:val="13"/>
                <w:szCs w:val="13"/>
                <w:color w:val="212529"/>
                <w:spacing w:val="17"/>
                <w:w w:val="102"/>
              </w:rPr>
              <w:t xml:space="preserve"> </w:t>
            </w:r>
            <w:r>
              <w:rPr>
                <w:sz w:val="13"/>
                <w:szCs w:val="13"/>
                <w:color w:val="212529"/>
                <w:spacing w:val="3"/>
              </w:rPr>
              <w:t>34</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361" w:type="dxa"/>
            <w:vAlign w:val="top"/>
          </w:tcPr>
          <w:p>
            <w:pPr>
              <w:pStyle w:val="TableText"/>
              <w:ind w:left="942"/>
              <w:spacing w:before="99" w:line="187" w:lineRule="auto"/>
              <w:rPr>
                <w:sz w:val="13"/>
                <w:szCs w:val="13"/>
              </w:rPr>
            </w:pPr>
            <w:r>
              <w:rPr>
                <w:sz w:val="13"/>
                <w:szCs w:val="13"/>
                <w:color w:val="212529"/>
                <w:spacing w:val="1"/>
              </w:rPr>
              <w:t>12.</w:t>
            </w:r>
            <w:r>
              <w:rPr>
                <w:sz w:val="13"/>
                <w:szCs w:val="13"/>
                <w:color w:val="212529"/>
                <w:spacing w:val="15"/>
                <w:w w:val="101"/>
              </w:rPr>
              <w:t xml:space="preserve"> </w:t>
            </w:r>
            <w:r>
              <w:rPr>
                <w:sz w:val="13"/>
                <w:szCs w:val="13"/>
                <w:color w:val="212529"/>
                <w:spacing w:val="1"/>
              </w:rPr>
              <w:t>37</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361" w:type="dxa"/>
            <w:vAlign w:val="top"/>
          </w:tcPr>
          <w:p>
            <w:pPr>
              <w:pStyle w:val="TableText"/>
              <w:ind w:left="942"/>
              <w:spacing w:before="99" w:line="186" w:lineRule="auto"/>
              <w:rPr>
                <w:sz w:val="13"/>
                <w:szCs w:val="13"/>
              </w:rPr>
            </w:pPr>
            <w:r>
              <w:rPr>
                <w:sz w:val="13"/>
                <w:szCs w:val="13"/>
                <w:color w:val="212529"/>
                <w:spacing w:val="1"/>
              </w:rPr>
              <w:t>12.</w:t>
            </w:r>
            <w:r>
              <w:rPr>
                <w:sz w:val="13"/>
                <w:szCs w:val="13"/>
                <w:color w:val="212529"/>
                <w:spacing w:val="15"/>
                <w:w w:val="101"/>
              </w:rPr>
              <w:t xml:space="preserve"> </w:t>
            </w:r>
            <w:r>
              <w:rPr>
                <w:sz w:val="13"/>
                <w:szCs w:val="13"/>
                <w:color w:val="212529"/>
                <w:spacing w:val="1"/>
              </w:rPr>
              <w:t>37</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0.67</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0.67</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11.70</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11.70</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171.18</w:t>
            </w:r>
          </w:p>
        </w:tc>
        <w:tc>
          <w:tcPr>
            <w:tcW w:w="1361" w:type="dxa"/>
            <w:vAlign w:val="top"/>
          </w:tcPr>
          <w:p>
            <w:pPr>
              <w:pStyle w:val="TableText"/>
              <w:ind w:left="861"/>
              <w:spacing w:before="101" w:line="162" w:lineRule="auto"/>
              <w:rPr>
                <w:sz w:val="15"/>
                <w:szCs w:val="15"/>
              </w:rPr>
            </w:pPr>
            <w:r>
              <w:rPr>
                <w:sz w:val="15"/>
                <w:szCs w:val="15"/>
                <w:color w:val="212529"/>
                <w:spacing w:val="1"/>
              </w:rPr>
              <w:t>119.84</w:t>
            </w:r>
          </w:p>
        </w:tc>
        <w:tc>
          <w:tcPr>
            <w:tcW w:w="1280" w:type="dxa"/>
            <w:vAlign w:val="top"/>
          </w:tcPr>
          <w:p>
            <w:pPr>
              <w:pStyle w:val="TableText"/>
              <w:ind w:left="851"/>
              <w:spacing w:before="101" w:line="187" w:lineRule="auto"/>
              <w:rPr>
                <w:sz w:val="13"/>
                <w:szCs w:val="13"/>
              </w:rPr>
            </w:pPr>
            <w:r>
              <w:rPr>
                <w:sz w:val="13"/>
                <w:szCs w:val="13"/>
                <w:color w:val="212529"/>
                <w:spacing w:val="3"/>
              </w:rPr>
              <w:t>51.</w:t>
            </w:r>
            <w:r>
              <w:rPr>
                <w:sz w:val="13"/>
                <w:szCs w:val="13"/>
                <w:color w:val="212529"/>
                <w:spacing w:val="17"/>
                <w:w w:val="102"/>
              </w:rPr>
              <w:t xml:space="preserve"> </w:t>
            </w:r>
            <w:r>
              <w:rPr>
                <w:sz w:val="13"/>
                <w:szCs w:val="13"/>
                <w:color w:val="212529"/>
                <w:spacing w:val="3"/>
              </w:rPr>
              <w:t>34</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166.38</w:t>
            </w:r>
          </w:p>
        </w:tc>
        <w:tc>
          <w:tcPr>
            <w:tcW w:w="1361" w:type="dxa"/>
            <w:vAlign w:val="top"/>
          </w:tcPr>
          <w:p>
            <w:pPr>
              <w:pStyle w:val="TableText"/>
              <w:ind w:left="861"/>
              <w:spacing w:before="101" w:line="162" w:lineRule="auto"/>
              <w:rPr>
                <w:sz w:val="15"/>
                <w:szCs w:val="15"/>
              </w:rPr>
            </w:pPr>
            <w:r>
              <w:rPr>
                <w:sz w:val="15"/>
                <w:szCs w:val="15"/>
                <w:color w:val="212529"/>
              </w:rPr>
              <w:t>115.03</w:t>
            </w:r>
          </w:p>
        </w:tc>
        <w:tc>
          <w:tcPr>
            <w:tcW w:w="1280" w:type="dxa"/>
            <w:vAlign w:val="top"/>
          </w:tcPr>
          <w:p>
            <w:pPr>
              <w:pStyle w:val="TableText"/>
              <w:ind w:left="851"/>
              <w:spacing w:before="102" w:line="186" w:lineRule="auto"/>
              <w:rPr>
                <w:sz w:val="13"/>
                <w:szCs w:val="13"/>
              </w:rPr>
            </w:pPr>
            <w:r>
              <w:rPr>
                <w:sz w:val="13"/>
                <w:szCs w:val="13"/>
                <w:color w:val="212529"/>
                <w:spacing w:val="3"/>
              </w:rPr>
              <w:t>51.</w:t>
            </w:r>
            <w:r>
              <w:rPr>
                <w:sz w:val="13"/>
                <w:szCs w:val="13"/>
                <w:color w:val="212529"/>
                <w:spacing w:val="17"/>
                <w:w w:val="102"/>
              </w:rPr>
              <w:t xml:space="preserve"> </w:t>
            </w:r>
            <w:r>
              <w:rPr>
                <w:sz w:val="13"/>
                <w:szCs w:val="13"/>
                <w:color w:val="212529"/>
                <w:spacing w:val="3"/>
              </w:rPr>
              <w:t>34</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156.56</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115.03</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41.53</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9.82</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9.82</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4.81</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337"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361" w:type="dxa"/>
            <w:vAlign w:val="top"/>
          </w:tcPr>
          <w:p>
            <w:pPr>
              <w:ind w:right="22"/>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280" w:type="dxa"/>
            <w:vAlign w:val="top"/>
          </w:tcPr>
          <w:p>
            <w:pPr>
              <w:pStyle w:val="TableText"/>
              <w:rPr/>
            </w:pPr>
            <w:r/>
          </w:p>
        </w:tc>
      </w:tr>
      <w:tr>
        <w:trPr>
          <w:trHeight w:val="314" w:hRule="atLeast"/>
        </w:trPr>
        <w:tc>
          <w:tcPr>
            <w:tcW w:w="1776"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361" w:type="dxa"/>
            <w:vAlign w:val="top"/>
          </w:tcPr>
          <w:p>
            <w:pPr>
              <w:pStyle w:val="TableText"/>
              <w:ind w:left="942"/>
              <w:spacing w:before="104" w:line="186" w:lineRule="auto"/>
              <w:rPr>
                <w:sz w:val="13"/>
                <w:szCs w:val="13"/>
              </w:rPr>
            </w:pPr>
            <w:r>
              <w:rPr>
                <w:sz w:val="13"/>
                <w:szCs w:val="13"/>
                <w:color w:val="212529"/>
                <w:spacing w:val="1"/>
              </w:rPr>
              <w:t>10.</w:t>
            </w:r>
            <w:r>
              <w:rPr>
                <w:sz w:val="13"/>
                <w:szCs w:val="13"/>
                <w:color w:val="212529"/>
                <w:spacing w:val="14"/>
                <w:w w:val="102"/>
              </w:rPr>
              <w:t xml:space="preserve"> </w:t>
            </w:r>
            <w:r>
              <w:rPr>
                <w:sz w:val="13"/>
                <w:szCs w:val="13"/>
                <w:color w:val="212529"/>
                <w:spacing w:val="1"/>
              </w:rPr>
              <w:t>75</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361" w:type="dxa"/>
            <w:vAlign w:val="top"/>
          </w:tcPr>
          <w:p>
            <w:pPr>
              <w:pStyle w:val="TableText"/>
              <w:ind w:left="942"/>
              <w:spacing w:before="104" w:line="186" w:lineRule="auto"/>
              <w:rPr>
                <w:sz w:val="13"/>
                <w:szCs w:val="13"/>
              </w:rPr>
            </w:pPr>
            <w:r>
              <w:rPr>
                <w:sz w:val="13"/>
                <w:szCs w:val="13"/>
                <w:color w:val="212529"/>
                <w:spacing w:val="1"/>
              </w:rPr>
              <w:t>10.</w:t>
            </w:r>
            <w:r>
              <w:rPr>
                <w:sz w:val="13"/>
                <w:szCs w:val="13"/>
                <w:color w:val="212529"/>
                <w:spacing w:val="14"/>
                <w:w w:val="102"/>
              </w:rPr>
              <w:t xml:space="preserve"> </w:t>
            </w:r>
            <w:r>
              <w:rPr>
                <w:sz w:val="13"/>
                <w:szCs w:val="13"/>
                <w:color w:val="212529"/>
                <w:spacing w:val="1"/>
              </w:rPr>
              <w:t>75</w:t>
            </w:r>
          </w:p>
        </w:tc>
        <w:tc>
          <w:tcPr>
            <w:tcW w:w="1280" w:type="dxa"/>
            <w:vAlign w:val="top"/>
          </w:tcPr>
          <w:p>
            <w:pPr>
              <w:pStyle w:val="TableText"/>
              <w:rPr/>
            </w:pPr>
            <w:r/>
          </w:p>
        </w:tc>
      </w:tr>
      <w:tr>
        <w:trPr>
          <w:trHeight w:val="319" w:hRule="atLeast"/>
        </w:trPr>
        <w:tc>
          <w:tcPr>
            <w:tcW w:w="1776"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361" w:type="dxa"/>
            <w:vAlign w:val="top"/>
          </w:tcPr>
          <w:p>
            <w:pPr>
              <w:ind w:right="22"/>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280" w:type="dxa"/>
            <w:vAlign w:val="top"/>
          </w:tcPr>
          <w:p>
            <w:pPr>
              <w:pStyle w:val="TableText"/>
              <w:rPr/>
            </w:pPr>
            <w:r/>
          </w:p>
        </w:tc>
      </w:tr>
    </w:tbl>
    <w:p>
      <w:pPr>
        <w:rPr>
          <w:rFonts w:ascii="Arial"/>
          <w:sz w:val="21"/>
        </w:rPr>
      </w:pPr>
      <w:r/>
    </w:p>
    <w:p>
      <w:pPr>
        <w:sectPr>
          <w:headerReference w:type="default" r:id="rId13"/>
          <w:footerReference w:type="default" r:id="rId1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194.30</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.37</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171.18</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171.18</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83"/>
              <w:spacing w:before="137" w:line="187" w:lineRule="auto"/>
              <w:rPr>
                <w:sz w:val="13"/>
                <w:szCs w:val="13"/>
              </w:rPr>
            </w:pPr>
            <w:r>
              <w:rPr>
                <w:sz w:val="13"/>
                <w:szCs w:val="13"/>
                <w:color w:val="212529"/>
                <w:spacing w:val="2"/>
              </w:rPr>
              <w:t>194.</w:t>
            </w:r>
            <w:r>
              <w:rPr>
                <w:sz w:val="13"/>
                <w:szCs w:val="13"/>
                <w:color w:val="212529"/>
                <w:spacing w:val="18"/>
                <w:w w:val="101"/>
              </w:rPr>
              <w:t xml:space="preserve"> </w:t>
            </w:r>
            <w:r>
              <w:rPr>
                <w:sz w:val="13"/>
                <w:szCs w:val="13"/>
                <w:color w:val="212529"/>
                <w:spacing w:val="2"/>
              </w:rPr>
              <w:t>30</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81"/>
              <w:spacing w:before="137" w:line="187" w:lineRule="auto"/>
              <w:rPr>
                <w:sz w:val="13"/>
                <w:szCs w:val="13"/>
              </w:rPr>
            </w:pPr>
            <w:r>
              <w:rPr>
                <w:sz w:val="13"/>
                <w:szCs w:val="13"/>
                <w:color w:val="212529"/>
                <w:spacing w:val="2"/>
              </w:rPr>
              <w:t>194.</w:t>
            </w:r>
            <w:r>
              <w:rPr>
                <w:sz w:val="13"/>
                <w:szCs w:val="13"/>
                <w:color w:val="212529"/>
                <w:spacing w:val="18"/>
                <w:w w:val="101"/>
              </w:rPr>
              <w:t xml:space="preserve"> </w:t>
            </w:r>
            <w:r>
              <w:rPr>
                <w:sz w:val="13"/>
                <w:szCs w:val="13"/>
                <w:color w:val="212529"/>
                <w:spacing w:val="2"/>
              </w:rPr>
              <w:t>30</w:t>
            </w:r>
          </w:p>
        </w:tc>
        <w:tc>
          <w:tcPr>
            <w:tcW w:w="1069" w:type="dxa"/>
            <w:vAlign w:val="top"/>
          </w:tcPr>
          <w:p>
            <w:pPr>
              <w:pStyle w:val="TableText"/>
              <w:ind w:left="296"/>
              <w:spacing w:before="137" w:line="162" w:lineRule="auto"/>
              <w:rPr>
                <w:sz w:val="15"/>
                <w:szCs w:val="15"/>
              </w:rPr>
            </w:pPr>
            <w:r>
              <w:rPr>
                <w:sz w:val="15"/>
                <w:szCs w:val="15"/>
                <w:color w:val="212529"/>
                <w:spacing w:val="1"/>
              </w:rPr>
              <w:t>194.30</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83"/>
              <w:spacing w:before="135" w:line="187" w:lineRule="auto"/>
              <w:rPr>
                <w:sz w:val="13"/>
                <w:szCs w:val="13"/>
              </w:rPr>
            </w:pPr>
            <w:r>
              <w:rPr>
                <w:sz w:val="13"/>
                <w:szCs w:val="13"/>
                <w:color w:val="212529"/>
                <w:spacing w:val="2"/>
              </w:rPr>
              <w:t>194.</w:t>
            </w:r>
            <w:r>
              <w:rPr>
                <w:sz w:val="13"/>
                <w:szCs w:val="13"/>
                <w:color w:val="212529"/>
                <w:spacing w:val="18"/>
                <w:w w:val="101"/>
              </w:rPr>
              <w:t xml:space="preserve"> </w:t>
            </w:r>
            <w:r>
              <w:rPr>
                <w:sz w:val="13"/>
                <w:szCs w:val="13"/>
                <w:color w:val="212529"/>
                <w:spacing w:val="2"/>
              </w:rPr>
              <w:t>30</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81"/>
              <w:spacing w:before="135" w:line="187" w:lineRule="auto"/>
              <w:rPr>
                <w:sz w:val="13"/>
                <w:szCs w:val="13"/>
              </w:rPr>
            </w:pPr>
            <w:r>
              <w:rPr>
                <w:sz w:val="13"/>
                <w:szCs w:val="13"/>
                <w:color w:val="212529"/>
                <w:spacing w:val="2"/>
              </w:rPr>
              <w:t>194.</w:t>
            </w:r>
            <w:r>
              <w:rPr>
                <w:sz w:val="13"/>
                <w:szCs w:val="13"/>
                <w:color w:val="212529"/>
                <w:spacing w:val="18"/>
                <w:w w:val="101"/>
              </w:rPr>
              <w:t xml:space="preserve"> </w:t>
            </w:r>
            <w:r>
              <w:rPr>
                <w:sz w:val="13"/>
                <w:szCs w:val="13"/>
                <w:color w:val="212529"/>
                <w:spacing w:val="2"/>
              </w:rPr>
              <w:t>30</w:t>
            </w:r>
          </w:p>
        </w:tc>
        <w:tc>
          <w:tcPr>
            <w:tcW w:w="1069" w:type="dxa"/>
            <w:vAlign w:val="top"/>
          </w:tcPr>
          <w:p>
            <w:pPr>
              <w:pStyle w:val="TableText"/>
              <w:ind w:left="296"/>
              <w:spacing w:before="135" w:line="162" w:lineRule="auto"/>
              <w:rPr>
                <w:sz w:val="15"/>
                <w:szCs w:val="15"/>
              </w:rPr>
            </w:pPr>
            <w:r>
              <w:rPr>
                <w:sz w:val="15"/>
                <w:szCs w:val="15"/>
                <w:color w:val="212529"/>
                <w:spacing w:val="1"/>
              </w:rPr>
              <w:t>194.30</w:t>
            </w:r>
          </w:p>
        </w:tc>
        <w:tc>
          <w:tcPr>
            <w:tcW w:w="940" w:type="dxa"/>
            <w:vAlign w:val="top"/>
          </w:tcPr>
          <w:p>
            <w:pPr>
              <w:pStyle w:val="TableText"/>
              <w:rPr/>
            </w:pPr>
            <w:r/>
          </w:p>
        </w:tc>
        <w:tc>
          <w:tcPr>
            <w:tcW w:w="1074"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44"/>
              <w:spacing w:before="87" w:line="186" w:lineRule="auto"/>
              <w:rPr>
                <w:sz w:val="13"/>
                <w:szCs w:val="13"/>
              </w:rPr>
            </w:pPr>
            <w:r>
              <w:rPr>
                <w:sz w:val="13"/>
                <w:szCs w:val="13"/>
                <w:color w:val="212529"/>
                <w:spacing w:val="2"/>
              </w:rPr>
              <w:t>194.</w:t>
            </w:r>
            <w:r>
              <w:rPr>
                <w:sz w:val="13"/>
                <w:szCs w:val="13"/>
                <w:color w:val="212529"/>
                <w:spacing w:val="18"/>
                <w:w w:val="101"/>
              </w:rPr>
              <w:t xml:space="preserve"> </w:t>
            </w:r>
            <w:r>
              <w:rPr>
                <w:sz w:val="13"/>
                <w:szCs w:val="13"/>
                <w:color w:val="212529"/>
                <w:spacing w:val="2"/>
              </w:rPr>
              <w:t>30</w:t>
            </w:r>
          </w:p>
        </w:tc>
        <w:tc>
          <w:tcPr>
            <w:tcW w:w="1415" w:type="dxa"/>
            <w:vAlign w:val="top"/>
          </w:tcPr>
          <w:p>
            <w:pPr>
              <w:pStyle w:val="TableText"/>
              <w:ind w:left="914"/>
              <w:spacing w:before="87" w:line="186" w:lineRule="auto"/>
              <w:rPr>
                <w:sz w:val="13"/>
                <w:szCs w:val="13"/>
              </w:rPr>
            </w:pPr>
            <w:r>
              <w:rPr>
                <w:sz w:val="13"/>
                <w:szCs w:val="13"/>
                <w:color w:val="212529"/>
                <w:spacing w:val="3"/>
              </w:rPr>
              <w:t>142.</w:t>
            </w:r>
            <w:r>
              <w:rPr>
                <w:sz w:val="13"/>
                <w:szCs w:val="13"/>
                <w:color w:val="212529"/>
                <w:spacing w:val="12"/>
                <w:w w:val="101"/>
              </w:rPr>
              <w:t xml:space="preserve"> </w:t>
            </w:r>
            <w:r>
              <w:rPr>
                <w:sz w:val="13"/>
                <w:szCs w:val="13"/>
                <w:color w:val="212529"/>
                <w:spacing w:val="3"/>
              </w:rPr>
              <w:t>96</w:t>
            </w:r>
          </w:p>
        </w:tc>
        <w:tc>
          <w:tcPr>
            <w:tcW w:w="1377" w:type="dxa"/>
            <w:vAlign w:val="top"/>
          </w:tcPr>
          <w:p>
            <w:pPr>
              <w:pStyle w:val="TableText"/>
              <w:ind w:left="948"/>
              <w:spacing w:before="87" w:line="186" w:lineRule="auto"/>
              <w:rPr>
                <w:sz w:val="13"/>
                <w:szCs w:val="13"/>
              </w:rPr>
            </w:pPr>
            <w:r>
              <w:rPr>
                <w:sz w:val="13"/>
                <w:szCs w:val="13"/>
                <w:color w:val="212529"/>
                <w:spacing w:val="3"/>
              </w:rPr>
              <w:t>51.</w:t>
            </w:r>
            <w:r>
              <w:rPr>
                <w:sz w:val="13"/>
                <w:szCs w:val="13"/>
                <w:color w:val="212529"/>
                <w:spacing w:val="17"/>
                <w:w w:val="102"/>
              </w:rPr>
              <w:t xml:space="preserve"> </w:t>
            </w:r>
            <w:r>
              <w:rPr>
                <w:sz w:val="13"/>
                <w:szCs w:val="13"/>
                <w:color w:val="212529"/>
                <w:spacing w:val="3"/>
              </w:rPr>
              <w:t>34</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12.37</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0.67</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0.67</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11.70</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11.70</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171.18</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119.84</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51.34</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166.38</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115.03</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51.34</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156.56</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115.03</w:t>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41.53</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9.82</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9.82</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4.81</w:t>
            </w:r>
          </w:p>
        </w:tc>
        <w:tc>
          <w:tcPr>
            <w:tcW w:w="1415" w:type="dxa"/>
            <w:vAlign w:val="top"/>
          </w:tcPr>
          <w:p>
            <w:pPr>
              <w:ind w:left="1063"/>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4.</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.05</w:t>
            </w:r>
          </w:p>
        </w:tc>
        <w:tc>
          <w:tcPr>
            <w:tcW w:w="1377" w:type="dxa"/>
            <w:vAlign w:val="top"/>
          </w:tcPr>
          <w:p>
            <w:pPr>
              <w:pStyle w:val="TableText"/>
              <w:rPr/>
            </w:pPr>
            <w:r/>
          </w:p>
        </w:tc>
      </w:tr>
      <w:tr>
        <w:trPr>
          <w:trHeight w:val="292" w:hRule="atLeast"/>
        </w:trPr>
        <w:tc>
          <w:tcPr>
            <w:tcW w:w="1679"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377" w:type="dxa"/>
            <w:vAlign w:val="top"/>
          </w:tcPr>
          <w:p>
            <w:pPr>
              <w:pStyle w:val="TableText"/>
              <w:rPr/>
            </w:pPr>
            <w:r/>
          </w:p>
        </w:tc>
      </w:tr>
      <w:tr>
        <w:trPr>
          <w:trHeight w:val="298" w:hRule="atLeast"/>
        </w:trPr>
        <w:tc>
          <w:tcPr>
            <w:tcW w:w="1679"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377" w:type="dxa"/>
            <w:vAlign w:val="top"/>
          </w:tcPr>
          <w:p>
            <w:pPr>
              <w:pStyle w:val="TableText"/>
              <w:rPr/>
            </w:pPr>
            <w:r/>
          </w:p>
        </w:tc>
      </w:tr>
    </w:tbl>
    <w:p>
      <w:pPr>
        <w:rPr>
          <w:rFonts w:ascii="Arial"/>
          <w:sz w:val="21"/>
        </w:rPr>
      </w:pPr>
      <w:r/>
    </w:p>
    <w:p>
      <w:pPr>
        <w:sectPr>
          <w:headerReference w:type="default" r:id="rId19"/>
          <w:footerReference w:type="default" r:id="rId2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91"/>
              <w:spacing w:before="87" w:line="186" w:lineRule="auto"/>
              <w:rPr>
                <w:sz w:val="13"/>
                <w:szCs w:val="13"/>
              </w:rPr>
            </w:pPr>
            <w:r>
              <w:rPr>
                <w:sz w:val="13"/>
                <w:szCs w:val="13"/>
                <w:color w:val="212529"/>
                <w:spacing w:val="3"/>
              </w:rPr>
              <w:t>142.</w:t>
            </w:r>
            <w:r>
              <w:rPr>
                <w:sz w:val="13"/>
                <w:szCs w:val="13"/>
                <w:color w:val="212529"/>
                <w:spacing w:val="12"/>
                <w:w w:val="101"/>
              </w:rPr>
              <w:t xml:space="preserve"> </w:t>
            </w:r>
            <w:r>
              <w:rPr>
                <w:sz w:val="13"/>
                <w:szCs w:val="13"/>
                <w:color w:val="212529"/>
                <w:spacing w:val="3"/>
              </w:rPr>
              <w:t>96</w:t>
            </w:r>
          </w:p>
        </w:tc>
        <w:tc>
          <w:tcPr>
            <w:tcW w:w="1188" w:type="dxa"/>
            <w:vAlign w:val="top"/>
          </w:tcPr>
          <w:p>
            <w:pPr>
              <w:pStyle w:val="TableText"/>
              <w:ind w:right="15"/>
              <w:spacing w:before="87" w:line="186" w:lineRule="auto"/>
              <w:jc w:val="right"/>
              <w:rPr>
                <w:sz w:val="13"/>
                <w:szCs w:val="13"/>
              </w:rPr>
            </w:pPr>
            <w:r>
              <w:rPr>
                <w:sz w:val="13"/>
                <w:szCs w:val="13"/>
                <w:color w:val="212529"/>
                <w:spacing w:val="4"/>
              </w:rPr>
              <w:t>131.</w:t>
            </w:r>
            <w:r>
              <w:rPr>
                <w:sz w:val="13"/>
                <w:szCs w:val="13"/>
                <w:color w:val="212529"/>
                <w:spacing w:val="9"/>
              </w:rPr>
              <w:t xml:space="preserve"> </w:t>
            </w:r>
            <w:r>
              <w:rPr>
                <w:sz w:val="13"/>
                <w:szCs w:val="13"/>
                <w:color w:val="212529"/>
                <w:spacing w:val="4"/>
              </w:rPr>
              <w:t>44</w:t>
            </w:r>
          </w:p>
        </w:tc>
        <w:tc>
          <w:tcPr>
            <w:tcW w:w="1118" w:type="dxa"/>
            <w:vAlign w:val="top"/>
          </w:tcPr>
          <w:p>
            <w:pPr>
              <w:pStyle w:val="TableText"/>
              <w:ind w:left="699"/>
              <w:spacing w:before="87" w:line="186" w:lineRule="auto"/>
              <w:rPr>
                <w:sz w:val="13"/>
                <w:szCs w:val="13"/>
              </w:rPr>
            </w:pPr>
            <w:r>
              <w:rPr>
                <w:sz w:val="13"/>
                <w:szCs w:val="13"/>
                <w:color w:val="212529"/>
                <w:spacing w:val="1"/>
              </w:rPr>
              <w:t>11.</w:t>
            </w:r>
            <w:r>
              <w:rPr>
                <w:sz w:val="13"/>
                <w:szCs w:val="13"/>
                <w:color w:val="212529"/>
                <w:spacing w:val="15"/>
                <w:w w:val="101"/>
              </w:rPr>
              <w:t xml:space="preserve"> </w:t>
            </w:r>
            <w:r>
              <w:rPr>
                <w:sz w:val="13"/>
                <w:szCs w:val="13"/>
                <w:color w:val="212529"/>
                <w:spacing w:val="1"/>
              </w:rPr>
              <w:t>52</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130.77</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130.77</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42.11</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42.11</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20.81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20.81</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29.33</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29.33</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11.70</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11.70</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4.75</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0.28</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10.75</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11.04</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11.52</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5"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53"/>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1.</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1.46</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2.56</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2.56</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0.66</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0.66</w:t>
            </w:r>
          </w:p>
        </w:tc>
        <w:tc>
          <w:tcPr>
            <w:tcW w:w="1118" w:type="dxa"/>
            <w:vAlign w:val="top"/>
          </w:tcPr>
          <w:p>
            <w:pPr>
              <w:pStyle w:val="TableText"/>
              <w:rPr/>
            </w:pPr>
            <w:r/>
          </w:p>
        </w:tc>
      </w:tr>
      <w:tr>
        <w:trPr>
          <w:trHeight w:val="298"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0.66</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0.66</w:t>
            </w:r>
          </w:p>
        </w:tc>
        <w:tc>
          <w:tcPr>
            <w:tcW w:w="1118" w:type="dxa"/>
            <w:vAlign w:val="top"/>
          </w:tcPr>
          <w:p>
            <w:pPr>
              <w:pStyle w:val="TableText"/>
              <w:rPr/>
            </w:pPr>
            <w:r/>
          </w:p>
        </w:tc>
      </w:tr>
    </w:tbl>
    <w:p>
      <w:pPr>
        <w:rPr>
          <w:rFonts w:ascii="Arial"/>
          <w:sz w:val="21"/>
        </w:rPr>
      </w:pPr>
      <w:r/>
    </w:p>
    <w:p>
      <w:pPr>
        <w:sectPr>
          <w:headerReference w:type="default" r:id="rId21"/>
          <w:footerReference w:type="default" r:id="rId22"/>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3"/>
          <w:footerReference w:type="default" r:id="rId24"/>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rPr>
          <w:rFonts w:ascii="Arial"/>
          <w:sz w:val="21"/>
        </w:rPr>
      </w:pPr>
      <w:r/>
    </w:p>
    <w:p>
      <w:pPr>
        <w:sectPr>
          <w:headerReference w:type="default" r:id="rId25"/>
          <w:footerReference w:type="default" r:id="rId26"/>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29"/>
          <w:footerReference w:type="default" r:id="rId30"/>
          <w:pgSz w:w="11900" w:h="16840"/>
          <w:pgMar w:top="642" w:right="0" w:bottom="340" w:left="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兴县罗峪口镇中心卫生院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51.34</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51.34</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37.89</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37.89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3.63</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9" w:right="91" w:firstLine="161"/>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2025年中央财政基本药物制度（村卫生</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7"/>
              </w:rPr>
              <w:t>室）晋财社[2024 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2.02</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2.02</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1" w:hRule="atLeast"/>
        </w:trPr>
        <w:tc>
          <w:tcPr>
            <w:tcW w:w="3018" w:type="dxa"/>
            <w:vAlign w:val="top"/>
          </w:tcPr>
          <w:p>
            <w:pPr>
              <w:ind w:left="658"/>
              <w:spacing w:before="19" w:line="226" w:lineRule="auto"/>
              <w:rPr>
                <w:rFonts w:ascii="SimSun" w:hAnsi="SimSun" w:eastAsia="SimSun" w:cs="SimSun"/>
                <w:sz w:val="15"/>
                <w:szCs w:val="15"/>
              </w:rPr>
            </w:pPr>
            <w:r>
              <w:rPr>
                <w:rFonts w:ascii="SimSun" w:hAnsi="SimSun" w:eastAsia="SimSun" w:cs="SimSun"/>
                <w:sz w:val="15"/>
                <w:szCs w:val="15"/>
                <w:color w:val="212529"/>
                <w:spacing w:val="11"/>
              </w:rPr>
              <w:t>省级财政医疗卫生机构改革与发</w:t>
            </w:r>
          </w:p>
          <w:p>
            <w:pPr>
              <w:ind w:left="492" w:right="91" w:firstLine="164"/>
              <w:spacing w:before="1" w:line="207" w:lineRule="auto"/>
              <w:rPr>
                <w:rFonts w:ascii="SimSun" w:hAnsi="SimSun" w:eastAsia="SimSun" w:cs="SimSun"/>
                <w:sz w:val="15"/>
                <w:szCs w:val="15"/>
              </w:rPr>
            </w:pPr>
            <w:r>
              <w:rPr>
                <w:rFonts w:ascii="SimSun" w:hAnsi="SimSun" w:eastAsia="SimSun" w:cs="SimSun"/>
                <w:sz w:val="15"/>
                <w:szCs w:val="15"/>
                <w:color w:val="212529"/>
                <w:spacing w:val="11"/>
              </w:rPr>
              <w:t>金（村卫生室运行维护费）晋财</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5"/>
              </w:rPr>
              <w:t>4]209号</w:t>
            </w:r>
          </w:p>
        </w:tc>
        <w:tc>
          <w:tcPr>
            <w:tcW w:w="1069" w:type="dxa"/>
            <w:vAlign w:val="top"/>
          </w:tcPr>
          <w:p>
            <w:pPr>
              <w:ind w:right="18"/>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1080" w:type="dxa"/>
            <w:vAlign w:val="top"/>
          </w:tcPr>
          <w:p>
            <w:pPr>
              <w:ind w:right="19"/>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84" w:hRule="atLeast"/>
        </w:trPr>
        <w:tc>
          <w:tcPr>
            <w:tcW w:w="3018" w:type="dxa"/>
            <w:vAlign w:val="top"/>
          </w:tcPr>
          <w:p>
            <w:pPr>
              <w:ind w:left="11" w:right="172" w:firstLine="181"/>
              <w:spacing w:before="32" w:line="210"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1.10</w:t>
            </w:r>
          </w:p>
        </w:tc>
        <w:tc>
          <w:tcPr>
            <w:tcW w:w="1080" w:type="dxa"/>
            <w:vAlign w:val="top"/>
          </w:tcPr>
          <w:p>
            <w:pPr>
              <w:ind w:right="19"/>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1.10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rPr>
          <w:rFonts w:ascii="Arial"/>
          <w:sz w:val="21"/>
        </w:rPr>
      </w:pPr>
      <w:r/>
    </w:p>
    <w:p>
      <w:pPr>
        <w:sectPr>
          <w:headerReference w:type="default" r:id="rId31"/>
          <w:footerReference w:type="default" r:id="rId32"/>
          <w:pgSz w:w="11900" w:h="16840"/>
          <w:pgMar w:top="642" w:right="0" w:bottom="340" w:left="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单位名称：兴县罗峪口镇中心卫生院</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33"/>
          <w:footerReference w:type="default" r:id="rId34"/>
          <w:pgSz w:w="11900" w:h="16840"/>
          <w:pgMar w:top="642" w:right="0" w:bottom="340" w:left="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7"/>
        <w:spacing w:before="188"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2025年度兴县罗峪口镇中心卫生院预算收入总计194.30万</w:t>
      </w:r>
      <w:r>
        <w:rPr>
          <w:rFonts w:ascii="FangSong" w:hAnsi="FangSong" w:eastAsia="FangSong" w:cs="FangSong"/>
          <w:sz w:val="23"/>
          <w:szCs w:val="23"/>
          <w:spacing w:val="4"/>
        </w:rPr>
        <w:t>元，其中：本年收入194.30万</w:t>
      </w:r>
      <w:r>
        <w:rPr>
          <w:rFonts w:ascii="FangSong" w:hAnsi="FangSong" w:eastAsia="FangSong" w:cs="FangSong"/>
          <w:sz w:val="23"/>
          <w:szCs w:val="23"/>
        </w:rPr>
        <w:t xml:space="preserve"> </w:t>
      </w:r>
      <w:r>
        <w:rPr>
          <w:rFonts w:ascii="FangSong" w:hAnsi="FangSong" w:eastAsia="FangSong" w:cs="FangSong"/>
          <w:sz w:val="23"/>
          <w:szCs w:val="23"/>
          <w:spacing w:val="4"/>
        </w:rPr>
        <w:t>元，上年结转0万元，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比上年增加0.42万元，增长0.22%</w:t>
      </w:r>
      <w:r>
        <w:rPr>
          <w:rFonts w:ascii="FangSong" w:hAnsi="FangSong" w:eastAsia="FangSong" w:cs="FangSong"/>
          <w:sz w:val="23"/>
          <w:szCs w:val="23"/>
          <w:spacing w:val="3"/>
        </w:rPr>
        <w:t>，主要原因是公卫资金增加，基药补</w:t>
      </w:r>
      <w:r>
        <w:rPr>
          <w:rFonts w:ascii="FangSong" w:hAnsi="FangSong" w:eastAsia="FangSong" w:cs="FangSong"/>
          <w:sz w:val="23"/>
          <w:szCs w:val="23"/>
        </w:rPr>
        <w:t xml:space="preserve"> </w:t>
      </w:r>
      <w:r>
        <w:rPr>
          <w:rFonts w:ascii="FangSong" w:hAnsi="FangSong" w:eastAsia="FangSong" w:cs="FangSong"/>
          <w:sz w:val="23"/>
          <w:szCs w:val="23"/>
          <w:spacing w:val="5"/>
        </w:rPr>
        <w:t>助资金增加；本年单位预算支出总计194.30万元，其中：</w:t>
      </w:r>
      <w:r>
        <w:rPr>
          <w:rFonts w:ascii="FangSong" w:hAnsi="FangSong" w:eastAsia="FangSong" w:cs="FangSong"/>
          <w:sz w:val="23"/>
          <w:szCs w:val="23"/>
          <w:spacing w:val="4"/>
        </w:rPr>
        <w:t>本年预算安排194.30万元，上年结</w:t>
      </w:r>
      <w:r>
        <w:rPr>
          <w:rFonts w:ascii="FangSong" w:hAnsi="FangSong" w:eastAsia="FangSong" w:cs="FangSong"/>
          <w:sz w:val="23"/>
          <w:szCs w:val="23"/>
        </w:rPr>
        <w:t xml:space="preserve"> </w:t>
      </w:r>
      <w:r>
        <w:rPr>
          <w:rFonts w:ascii="FangSong" w:hAnsi="FangSong" w:eastAsia="FangSong" w:cs="FangSong"/>
          <w:sz w:val="23"/>
          <w:szCs w:val="23"/>
        </w:rPr>
        <w:t>转0万元，比上年增加0.42万元，增长0.22%，主要原因是公卫资金增加，基药补助资金增加</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3" w:right="1223" w:firstLine="456"/>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2025年度兴县罗峪口镇中心卫生院预算收入194.30万元，主要包括一般公共预算拨款收</w:t>
      </w:r>
      <w:r>
        <w:rPr>
          <w:rFonts w:ascii="FangSong" w:hAnsi="FangSong" w:eastAsia="FangSong" w:cs="FangSong"/>
          <w:sz w:val="23"/>
          <w:szCs w:val="23"/>
        </w:rPr>
        <w:t xml:space="preserve"> </w:t>
      </w:r>
      <w:r>
        <w:rPr>
          <w:rFonts w:ascii="FangSong" w:hAnsi="FangSong" w:eastAsia="FangSong" w:cs="FangSong"/>
          <w:sz w:val="23"/>
          <w:szCs w:val="23"/>
          <w:spacing w:val="1"/>
        </w:rPr>
        <w:t>入194.30万元，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w:t>
      </w:r>
      <w:r>
        <w:rPr>
          <w:rFonts w:ascii="FangSong" w:hAnsi="FangSong" w:eastAsia="FangSong" w:cs="FangSong"/>
          <w:sz w:val="23"/>
          <w:szCs w:val="23"/>
        </w:rPr>
        <w:t>资本经营预算拨款</w:t>
      </w:r>
      <w:r>
        <w:rPr>
          <w:rFonts w:ascii="FangSong" w:hAnsi="FangSong" w:eastAsia="FangSong" w:cs="FangSong"/>
          <w:sz w:val="23"/>
          <w:szCs w:val="23"/>
        </w:rPr>
        <w:t xml:space="preserve"> </w:t>
      </w:r>
      <w:r>
        <w:rPr>
          <w:rFonts w:ascii="FangSong" w:hAnsi="FangSong" w:eastAsia="FangSong" w:cs="FangSong"/>
          <w:sz w:val="23"/>
          <w:szCs w:val="23"/>
          <w:spacing w:val="1"/>
        </w:rPr>
        <w:t>收入</w:t>
      </w:r>
      <w:r>
        <w:rPr>
          <w:rFonts w:ascii="FangSong" w:hAnsi="FangSong" w:eastAsia="FangSong" w:cs="FangSong"/>
          <w:sz w:val="23"/>
          <w:szCs w:val="23"/>
          <w:spacing w:val="1"/>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占0%；财政专户管理资金收入0万元，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rPr>
        <w:t>单位资金0万元，</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rPr>
        <w:t xml:space="preserve">    </w:t>
      </w:r>
      <w:r>
        <w:rPr>
          <w:rFonts w:ascii="FangSong" w:hAnsi="FangSong" w:eastAsia="FangSong" w:cs="FangSong"/>
          <w:sz w:val="23"/>
          <w:szCs w:val="23"/>
        </w:rPr>
        <w:t>结转0</w:t>
      </w:r>
    </w:p>
    <w:p>
      <w:pPr>
        <w:ind w:left="1741"/>
        <w:spacing w:before="1" w:line="223" w:lineRule="auto"/>
        <w:rPr>
          <w:rFonts w:ascii="FangSong" w:hAnsi="FangSong" w:eastAsia="FangSong" w:cs="FangSong"/>
          <w:sz w:val="23"/>
          <w:szCs w:val="23"/>
        </w:rPr>
      </w:pPr>
      <w:r>
        <w:rPr>
          <w:rFonts w:ascii="FangSong" w:hAnsi="FangSong" w:eastAsia="FangSong" w:cs="FangSong"/>
          <w:sz w:val="23"/>
          <w:szCs w:val="23"/>
          <w:spacing w:val="-27"/>
        </w:rPr>
        <w:t>,</w:t>
      </w:r>
      <w:r>
        <w:rPr>
          <w:rFonts w:ascii="FangSong" w:hAnsi="FangSong" w:eastAsia="FangSong" w:cs="FangSong"/>
          <w:sz w:val="23"/>
          <w:szCs w:val="23"/>
          <w:spacing w:val="104"/>
        </w:rPr>
        <w:t xml:space="preserve"> </w:t>
      </w:r>
      <w:r>
        <w:rPr>
          <w:rFonts w:ascii="FangSong" w:hAnsi="FangSong" w:eastAsia="FangSong" w:cs="FangSong"/>
          <w:sz w:val="23"/>
          <w:szCs w:val="23"/>
          <w:spacing w:val="-27"/>
        </w:rPr>
        <w:t>占0%。</w:t>
      </w:r>
    </w:p>
    <w:p>
      <w:pPr>
        <w:spacing w:line="247" w:lineRule="auto"/>
        <w:rPr>
          <w:rFonts w:ascii="Arial"/>
          <w:sz w:val="21"/>
        </w:rPr>
      </w:pPr>
      <w:r/>
    </w:p>
    <w:p>
      <w:pPr>
        <w:spacing w:line="248" w:lineRule="auto"/>
        <w:rPr>
          <w:rFonts w:ascii="Arial"/>
          <w:sz w:val="21"/>
        </w:rPr>
      </w:pPr>
      <w:r/>
    </w:p>
    <w:p>
      <w:pPr>
        <w:ind w:firstLine="3685"/>
        <w:spacing w:line="2856" w:lineRule="exact"/>
        <w:rPr/>
      </w:pPr>
      <w:r>
        <w:rPr>
          <w:position w:val="-57"/>
        </w:rPr>
        <w:drawing>
          <wp:inline distT="0" distB="0" distL="0" distR="0">
            <wp:extent cx="2333735"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333735" cy="1813292"/>
                    </a:xfrm>
                    <a:prstGeom prst="rect">
                      <a:avLst/>
                    </a:prstGeom>
                  </pic:spPr>
                </pic:pic>
              </a:graphicData>
            </a:graphic>
          </wp:inline>
        </w:drawing>
      </w:r>
    </w:p>
    <w:p>
      <w:pPr>
        <w:spacing w:line="284" w:lineRule="auto"/>
        <w:rPr>
          <w:rFonts w:ascii="Arial"/>
          <w:sz w:val="21"/>
        </w:rPr>
      </w:pPr>
      <w:r/>
    </w:p>
    <w:p>
      <w:pPr>
        <w:spacing w:line="284" w:lineRule="auto"/>
        <w:rPr>
          <w:rFonts w:ascii="Arial"/>
          <w:sz w:val="21"/>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2"/>
        </w:rPr>
        <w:t>2025年度兴县罗</w:t>
      </w:r>
      <w:r>
        <w:rPr>
          <w:rFonts w:ascii="FangSong" w:hAnsi="FangSong" w:eastAsia="FangSong" w:cs="FangSong"/>
          <w:sz w:val="23"/>
          <w:szCs w:val="23"/>
          <w:spacing w:val="2"/>
        </w:rPr>
        <w:t xml:space="preserve">      </w:t>
      </w:r>
      <w:r>
        <w:rPr>
          <w:rFonts w:ascii="FangSong" w:hAnsi="FangSong" w:eastAsia="FangSong" w:cs="FangSong"/>
          <w:sz w:val="23"/>
          <w:szCs w:val="23"/>
          <w:spacing w:val="2"/>
        </w:rPr>
        <w:t>中心卫生院支出预算194.3万元，其中：基本支出142.96万</w:t>
      </w:r>
      <w:r>
        <w:rPr>
          <w:rFonts w:ascii="FangSong" w:hAnsi="FangSong" w:eastAsia="FangSong" w:cs="FangSong"/>
          <w:sz w:val="23"/>
          <w:szCs w:val="23"/>
          <w:spacing w:val="1"/>
        </w:rPr>
        <w:t>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w:t>
      </w:r>
    </w:p>
    <w:p>
      <w:pPr>
        <w:ind w:left="1262"/>
        <w:spacing w:before="123" w:line="223" w:lineRule="auto"/>
        <w:rPr>
          <w:rFonts w:ascii="FangSong" w:hAnsi="FangSong" w:eastAsia="FangSong" w:cs="FangSong"/>
          <w:sz w:val="23"/>
          <w:szCs w:val="23"/>
        </w:rPr>
      </w:pPr>
      <w:r>
        <w:rPr>
          <w:rFonts w:ascii="FangSong" w:hAnsi="FangSong" w:eastAsia="FangSong" w:cs="FangSong"/>
          <w:sz w:val="23"/>
          <w:szCs w:val="23"/>
          <w:spacing w:val="-3"/>
        </w:rPr>
        <w:t>73.58%；项目</w:t>
      </w:r>
      <w:r>
        <w:rPr>
          <w:rFonts w:ascii="FangSong" w:hAnsi="FangSong" w:eastAsia="FangSong" w:cs="FangSong"/>
          <w:sz w:val="23"/>
          <w:szCs w:val="23"/>
          <w:spacing w:val="-3"/>
        </w:rPr>
        <w:t xml:space="preserve">      </w:t>
      </w:r>
      <w:r>
        <w:rPr>
          <w:rFonts w:ascii="FangSong" w:hAnsi="FangSong" w:eastAsia="FangSong" w:cs="FangSong"/>
          <w:sz w:val="23"/>
          <w:szCs w:val="23"/>
          <w:spacing w:val="-3"/>
        </w:rPr>
        <w:t>.</w:t>
      </w:r>
      <w:r>
        <w:rPr>
          <w:rFonts w:ascii="FangSong" w:hAnsi="FangSong" w:eastAsia="FangSong" w:cs="FangSong"/>
          <w:sz w:val="23"/>
          <w:szCs w:val="23"/>
          <w:spacing w:val="24"/>
        </w:rPr>
        <w:t xml:space="preserve"> </w:t>
      </w:r>
      <w:r>
        <w:rPr>
          <w:rFonts w:ascii="FangSong" w:hAnsi="FangSong" w:eastAsia="FangSong" w:cs="FangSong"/>
          <w:sz w:val="23"/>
          <w:szCs w:val="23"/>
          <w:spacing w:val="-3"/>
        </w:rPr>
        <w:t>4万元，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占26.42%。</w:t>
      </w:r>
    </w:p>
    <w:p>
      <w:pPr>
        <w:ind w:left="1271"/>
        <w:spacing w:before="129"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2025年度兴县罗峪口镇中心卫生院财政拨款收支总预算194.30万元。其中：一般公共预</w:t>
      </w:r>
      <w:r>
        <w:rPr>
          <w:rFonts w:ascii="FangSong" w:hAnsi="FangSong" w:eastAsia="FangSong" w:cs="FangSong"/>
          <w:sz w:val="23"/>
          <w:szCs w:val="23"/>
        </w:rPr>
        <w:t xml:space="preserve"> </w:t>
      </w:r>
      <w:r>
        <w:rPr>
          <w:rFonts w:ascii="FangSong" w:hAnsi="FangSong" w:eastAsia="FangSong" w:cs="FangSong"/>
          <w:sz w:val="23"/>
          <w:szCs w:val="23"/>
          <w:spacing w:val="3"/>
        </w:rPr>
        <w:t>算拨款194.30万元，政府性基金预算拨款0万元，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w:t>
      </w:r>
      <w:r>
        <w:rPr>
          <w:rFonts w:ascii="FangSong" w:hAnsi="FangSong" w:eastAsia="FangSong" w:cs="FangSong"/>
          <w:sz w:val="23"/>
          <w:szCs w:val="23"/>
        </w:rPr>
        <w:t xml:space="preserve"> </w:t>
      </w:r>
      <w:r>
        <w:rPr>
          <w:rFonts w:ascii="FangSong" w:hAnsi="FangSong" w:eastAsia="FangSong" w:cs="FangSong"/>
          <w:sz w:val="23"/>
          <w:szCs w:val="23"/>
          <w:spacing w:val="5"/>
        </w:rPr>
        <w:t>拨款收入194.30万元，上年结转收入0万元。支出包括</w:t>
      </w:r>
      <w:r>
        <w:rPr>
          <w:rFonts w:ascii="FangSong" w:hAnsi="FangSong" w:eastAsia="FangSong" w:cs="FangSong"/>
          <w:sz w:val="23"/>
          <w:szCs w:val="23"/>
          <w:spacing w:val="4"/>
        </w:rPr>
        <w:t>：社会保障和就业支出12.37万元、卫</w:t>
      </w:r>
      <w:r>
        <w:rPr>
          <w:rFonts w:ascii="FangSong" w:hAnsi="FangSong" w:eastAsia="FangSong" w:cs="FangSong"/>
          <w:sz w:val="23"/>
          <w:szCs w:val="23"/>
        </w:rPr>
        <w:t xml:space="preserve"> </w:t>
      </w:r>
      <w:r>
        <w:rPr>
          <w:rFonts w:ascii="FangSong" w:hAnsi="FangSong" w:eastAsia="FangSong" w:cs="FangSong"/>
          <w:sz w:val="23"/>
          <w:szCs w:val="23"/>
        </w:rPr>
        <w:t>生健康支出171.18万元、住房保障支出10.75万</w:t>
      </w:r>
      <w:r>
        <w:rPr>
          <w:rFonts w:ascii="FangSong" w:hAnsi="FangSong" w:eastAsia="FangSong" w:cs="FangSong"/>
          <w:sz w:val="23"/>
          <w:szCs w:val="23"/>
          <w:spacing w:val="-1"/>
        </w:rPr>
        <w:t>元等。</w:t>
      </w:r>
    </w:p>
    <w:p>
      <w:pPr>
        <w:ind w:left="1264"/>
        <w:spacing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8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4" w:line="322" w:lineRule="auto"/>
        <w:rPr>
          <w:rFonts w:ascii="FangSong" w:hAnsi="FangSong" w:eastAsia="FangSong" w:cs="FangSong"/>
          <w:sz w:val="23"/>
          <w:szCs w:val="23"/>
        </w:rPr>
      </w:pPr>
      <w:r>
        <w:rPr>
          <w:rFonts w:ascii="FangSong" w:hAnsi="FangSong" w:eastAsia="FangSong" w:cs="FangSong"/>
          <w:sz w:val="23"/>
          <w:szCs w:val="23"/>
          <w:spacing w:val="2"/>
        </w:rPr>
        <w:t>2025年度兴县罗峪口镇中心卫生院一般公共预算当年支出194.30万元,比上年增加0.94万</w:t>
      </w:r>
      <w:r>
        <w:rPr>
          <w:rFonts w:ascii="FangSong" w:hAnsi="FangSong" w:eastAsia="FangSong" w:cs="FangSong"/>
          <w:sz w:val="23"/>
          <w:szCs w:val="23"/>
          <w:spacing w:val="7"/>
        </w:rPr>
        <w:t xml:space="preserve"> </w:t>
      </w:r>
      <w:r>
        <w:rPr>
          <w:rFonts w:ascii="FangSong" w:hAnsi="FangSong" w:eastAsia="FangSong" w:cs="FangSong"/>
          <w:sz w:val="23"/>
          <w:szCs w:val="23"/>
          <w:spacing w:val="-2"/>
        </w:rPr>
        <w:t>元，增长0.49%。</w:t>
      </w:r>
    </w:p>
    <w:p>
      <w:pPr>
        <w:ind w:left="1725"/>
        <w:spacing w:before="8"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2200"/>
        <w:spacing w:before="123" w:line="222" w:lineRule="auto"/>
        <w:rPr>
          <w:rFonts w:ascii="FangSong" w:hAnsi="FangSong" w:eastAsia="FangSong" w:cs="FangSong"/>
          <w:sz w:val="23"/>
          <w:szCs w:val="23"/>
        </w:rPr>
      </w:pPr>
      <w:r>
        <w:rPr>
          <w:rFonts w:ascii="FangSong" w:hAnsi="FangSong" w:eastAsia="FangSong" w:cs="FangSong"/>
          <w:sz w:val="23"/>
          <w:szCs w:val="23"/>
          <w:spacing w:val="7"/>
        </w:rPr>
        <w:t>年度兴县罗峪口镇中心卫生院一般公共预算当年支出194.30万元,主要</w:t>
      </w:r>
      <w:r>
        <w:rPr>
          <w:rFonts w:ascii="FangSong" w:hAnsi="FangSong" w:eastAsia="FangSong" w:cs="FangSong"/>
          <w:sz w:val="23"/>
          <w:szCs w:val="23"/>
          <w:spacing w:val="7"/>
        </w:rPr>
        <w:t xml:space="preserve">      </w:t>
      </w:r>
      <w:r>
        <w:rPr>
          <w:rFonts w:ascii="FangSong" w:hAnsi="FangSong" w:eastAsia="FangSong" w:cs="FangSong"/>
          <w:sz w:val="23"/>
          <w:szCs w:val="23"/>
          <w:spacing w:val="7"/>
        </w:rPr>
        <w:t>下方</w:t>
      </w:r>
    </w:p>
    <w:p>
      <w:pPr>
        <w:ind w:left="1518"/>
        <w:spacing w:before="124" w:line="221" w:lineRule="auto"/>
        <w:rPr>
          <w:rFonts w:ascii="FangSong" w:hAnsi="FangSong" w:eastAsia="FangSong" w:cs="FangSong"/>
          <w:sz w:val="23"/>
          <w:szCs w:val="23"/>
        </w:rPr>
      </w:pPr>
      <w:r>
        <w:rPr>
          <w:rFonts w:ascii="FangSong" w:hAnsi="FangSong" w:eastAsia="FangSong" w:cs="FangSong"/>
          <w:sz w:val="23"/>
          <w:szCs w:val="23"/>
          <w:spacing w:val="3"/>
        </w:rPr>
        <w:t>：社会保障和就业支出12.37万元，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占6</w:t>
      </w:r>
      <w:r>
        <w:rPr>
          <w:rFonts w:ascii="FangSong" w:hAnsi="FangSong" w:eastAsia="FangSong" w:cs="FangSong"/>
          <w:sz w:val="23"/>
          <w:szCs w:val="23"/>
          <w:spacing w:val="2"/>
        </w:rPr>
        <w:t>.37%；卫生健康支出171.18万</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.10%；住房</w:t>
      </w:r>
    </w:p>
    <w:p>
      <w:pPr>
        <w:ind w:left="1264"/>
        <w:spacing w:before="135" w:line="221" w:lineRule="auto"/>
        <w:rPr>
          <w:rFonts w:ascii="FangSong" w:hAnsi="FangSong" w:eastAsia="FangSong" w:cs="FangSong"/>
          <w:sz w:val="23"/>
          <w:szCs w:val="23"/>
        </w:rPr>
      </w:pPr>
      <w:r>
        <w:rPr>
          <w:rFonts w:ascii="FangSong" w:hAnsi="FangSong" w:eastAsia="FangSong" w:cs="FangSong"/>
          <w:sz w:val="23"/>
          <w:szCs w:val="23"/>
          <w:spacing w:val="-4"/>
        </w:rPr>
        <w:t>保障支出10.75万元，</w:t>
      </w:r>
      <w:r>
        <w:rPr>
          <w:rFonts w:ascii="FangSong" w:hAnsi="FangSong" w:eastAsia="FangSong" w:cs="FangSong"/>
          <w:sz w:val="23"/>
          <w:szCs w:val="23"/>
          <w:spacing w:val="-44"/>
        </w:rPr>
        <w:t xml:space="preserve"> </w:t>
      </w:r>
      <w:r>
        <w:rPr>
          <w:rFonts w:ascii="FangSong" w:hAnsi="FangSong" w:eastAsia="FangSong" w:cs="FangSong"/>
          <w:sz w:val="23"/>
          <w:szCs w:val="23"/>
          <w:spacing w:val="-4"/>
        </w:rPr>
        <w:t>占5.53%等。</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firstLine="4704"/>
        <w:spacing w:line="2463" w:lineRule="exact"/>
        <w:rPr/>
      </w:pPr>
      <w:r>
        <w:rPr>
          <w:position w:val="-49"/>
        </w:rPr>
        <w:drawing>
          <wp:inline distT="0" distB="0" distL="0" distR="0">
            <wp:extent cx="1864451"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864451" cy="1564258"/>
                    </a:xfrm>
                    <a:prstGeom prst="rect">
                      <a:avLst/>
                    </a:prstGeom>
                  </pic:spPr>
                </pic:pic>
              </a:graphicData>
            </a:graphic>
          </wp:inline>
        </w:drawing>
      </w:r>
    </w:p>
    <w:p>
      <w:pPr>
        <w:spacing w:line="265" w:lineRule="auto"/>
        <w:rPr>
          <w:rFonts w:ascii="Arial"/>
          <w:sz w:val="21"/>
        </w:rPr>
      </w:pPr>
      <w:r/>
    </w:p>
    <w:p>
      <w:pPr>
        <w:spacing w:line="265" w:lineRule="auto"/>
        <w:rPr>
          <w:rFonts w:ascii="Arial"/>
          <w:sz w:val="21"/>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rPr>
        <w:t>2025年度兴县罗峪口镇中心卫生院一般公共预算安排基本支出142.96万元，其中：</w:t>
      </w:r>
    </w:p>
    <w:p>
      <w:pPr>
        <w:ind w:left="1979"/>
        <w:spacing w:before="134" w:line="221" w:lineRule="auto"/>
        <w:rPr>
          <w:rFonts w:ascii="FangSong" w:hAnsi="FangSong" w:eastAsia="FangSong" w:cs="FangSong"/>
          <w:sz w:val="23"/>
          <w:szCs w:val="23"/>
        </w:rPr>
      </w:pPr>
      <w:r>
        <w:rPr>
          <w:rFonts w:ascii="FangSong" w:hAnsi="FangSong" w:eastAsia="FangSong" w:cs="FangSong"/>
          <w:sz w:val="23"/>
          <w:szCs w:val="23"/>
          <w:spacing w:val="4"/>
        </w:rPr>
        <w:t>员经费131.44万元，主要包括：其他工资福利支出、其他社会保障缴费、</w:t>
      </w:r>
      <w:r>
        <w:rPr>
          <w:rFonts w:ascii="FangSong" w:hAnsi="FangSong" w:eastAsia="FangSong" w:cs="FangSong"/>
          <w:sz w:val="23"/>
          <w:szCs w:val="23"/>
          <w:spacing w:val="4"/>
        </w:rPr>
        <w:t xml:space="preserve">      </w:t>
      </w:r>
      <w:r>
        <w:rPr>
          <w:rFonts w:ascii="FangSong" w:hAnsi="FangSong" w:eastAsia="FangSong" w:cs="FangSong"/>
          <w:sz w:val="23"/>
          <w:szCs w:val="23"/>
          <w:spacing w:val="4"/>
        </w:rPr>
        <w:t>资、</w:t>
      </w:r>
    </w:p>
    <w:p>
      <w:pPr>
        <w:ind w:left="1753"/>
        <w:spacing w:before="124" w:line="221" w:lineRule="auto"/>
        <w:rPr>
          <w:rFonts w:ascii="FangSong" w:hAnsi="FangSong" w:eastAsia="FangSong" w:cs="FangSong"/>
          <w:sz w:val="23"/>
          <w:szCs w:val="23"/>
        </w:rPr>
      </w:pPr>
      <w:r>
        <w:rPr>
          <w:rFonts w:ascii="FangSong" w:hAnsi="FangSong" w:eastAsia="FangSong" w:cs="FangSong"/>
          <w:sz w:val="23"/>
          <w:szCs w:val="23"/>
          <w:spacing w:val="10"/>
        </w:rPr>
        <w:t>工资、住房公积金、机关事业单位基本养老保险缴费、退休费、职</w:t>
      </w:r>
      <w:r>
        <w:rPr>
          <w:rFonts w:ascii="FangSong" w:hAnsi="FangSong" w:eastAsia="FangSong" w:cs="FangSong"/>
          <w:sz w:val="23"/>
          <w:szCs w:val="23"/>
          <w:spacing w:val="10"/>
        </w:rPr>
        <w:t xml:space="preserve">        </w:t>
      </w:r>
      <w:r>
        <w:rPr>
          <w:rFonts w:ascii="FangSong" w:hAnsi="FangSong" w:eastAsia="FangSong" w:cs="FangSong"/>
          <w:sz w:val="23"/>
          <w:szCs w:val="23"/>
          <w:spacing w:val="10"/>
        </w:rPr>
        <w:t>疗保险缴</w:t>
      </w:r>
    </w:p>
    <w:p>
      <w:pPr>
        <w:ind w:left="1271"/>
        <w:spacing w:before="125" w:line="222" w:lineRule="auto"/>
        <w:rPr>
          <w:rFonts w:ascii="FangSong" w:hAnsi="FangSong" w:eastAsia="FangSong" w:cs="FangSong"/>
          <w:sz w:val="23"/>
          <w:szCs w:val="23"/>
        </w:rPr>
      </w:pPr>
      <w:r>
        <w:rPr>
          <w:rFonts w:ascii="FangSong" w:hAnsi="FangSong" w:eastAsia="FangSong" w:cs="FangSong"/>
          <w:sz w:val="23"/>
          <w:szCs w:val="23"/>
          <w:spacing w:val="-3"/>
        </w:rPr>
        <w:t>费、津贴补贴等；</w:t>
      </w:r>
    </w:p>
    <w:p>
      <w:pPr>
        <w:ind w:left="1729"/>
        <w:spacing w:before="134" w:line="223" w:lineRule="auto"/>
        <w:rPr>
          <w:rFonts w:ascii="FangSong" w:hAnsi="FangSong" w:eastAsia="FangSong" w:cs="FangSong"/>
          <w:sz w:val="23"/>
          <w:szCs w:val="23"/>
        </w:rPr>
      </w:pPr>
      <w:r>
        <w:rPr>
          <w:rFonts w:ascii="FangSong" w:hAnsi="FangSong" w:eastAsia="FangSong" w:cs="FangSong"/>
          <w:sz w:val="23"/>
          <w:szCs w:val="23"/>
        </w:rPr>
        <w:t>公用经费11.52万元，主要包括：福利费、工会经费、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30" w:line="231"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223" w:firstLine="453"/>
        <w:spacing w:before="189" w:line="319" w:lineRule="auto"/>
        <w:rPr>
          <w:rFonts w:ascii="FangSong" w:hAnsi="FangSong" w:eastAsia="FangSong" w:cs="FangSong"/>
          <w:sz w:val="23"/>
          <w:szCs w:val="23"/>
        </w:rPr>
      </w:pPr>
      <w:r>
        <w:rPr>
          <w:rFonts w:ascii="FangSong" w:hAnsi="FangSong" w:eastAsia="FangSong" w:cs="FangSong"/>
          <w:sz w:val="23"/>
          <w:szCs w:val="23"/>
          <w:spacing w:val="5"/>
        </w:rPr>
        <w:t>2025年兴县罗峪口镇中心卫生院政府采购预算总额0万元。其中：政府采购货物预算0万</w:t>
      </w:r>
      <w:r>
        <w:rPr>
          <w:rFonts w:ascii="FangSong" w:hAnsi="FangSong" w:eastAsia="FangSong" w:cs="FangSong"/>
          <w:sz w:val="23"/>
          <w:szCs w:val="23"/>
          <w:spacing w:val="9"/>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85" w:line="223" w:lineRule="auto"/>
        <w:rPr>
          <w:rFonts w:ascii="FangSong" w:hAnsi="FangSong" w:eastAsia="FangSong" w:cs="FangSong"/>
          <w:sz w:val="23"/>
          <w:szCs w:val="23"/>
        </w:rPr>
      </w:pPr>
      <w:r>
        <w:rPr>
          <w:rFonts w:ascii="FangSong" w:hAnsi="FangSong" w:eastAsia="FangSong" w:cs="FangSong"/>
          <w:sz w:val="23"/>
          <w:szCs w:val="23"/>
          <w:spacing w:val="-4"/>
        </w:rPr>
        <w:t>1、整体绩效目</w:t>
      </w:r>
    </w:p>
    <w:p>
      <w:pPr>
        <w:ind w:left="1259"/>
        <w:spacing w:before="123" w:line="221" w:lineRule="auto"/>
        <w:rPr>
          <w:rFonts w:ascii="FangSong" w:hAnsi="FangSong" w:eastAsia="FangSong" w:cs="FangSong"/>
          <w:sz w:val="23"/>
          <w:szCs w:val="23"/>
        </w:rPr>
      </w:pPr>
      <w:r>
        <w:rPr>
          <w:rFonts w:ascii="FangSong" w:hAnsi="FangSong" w:eastAsia="FangSong" w:cs="FangSong"/>
          <w:sz w:val="23"/>
          <w:szCs w:val="23"/>
        </w:rPr>
        <w:t>2025年编报单</w:t>
      </w:r>
      <w:r>
        <w:rPr>
          <w:rFonts w:ascii="FangSong" w:hAnsi="FangSong" w:eastAsia="FangSong" w:cs="FangSong"/>
          <w:sz w:val="23"/>
          <w:szCs w:val="23"/>
        </w:rPr>
        <w:t xml:space="preserve">        </w:t>
      </w:r>
      <w:r>
        <w:rPr>
          <w:rFonts w:ascii="FangSong" w:hAnsi="FangSong" w:eastAsia="FangSong" w:cs="FangSong"/>
          <w:sz w:val="23"/>
          <w:szCs w:val="23"/>
        </w:rPr>
        <w:t>效目标，涉及资金51.34万元。</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7"/>
        </w:rPr>
        <w:t>2、</w:t>
      </w:r>
      <w:r>
        <w:rPr>
          <w:rFonts w:ascii="FangSong" w:hAnsi="FangSong" w:eastAsia="FangSong" w:cs="FangSong"/>
          <w:sz w:val="23"/>
          <w:szCs w:val="23"/>
          <w:spacing w:val="7"/>
        </w:rPr>
        <w:t xml:space="preserve">        </w:t>
      </w:r>
      <w:r>
        <w:rPr>
          <w:rFonts w:ascii="FangSong" w:hAnsi="FangSong" w:eastAsia="FangSong" w:cs="FangSong"/>
          <w:sz w:val="23"/>
          <w:szCs w:val="23"/>
          <w:spacing w:val="-17"/>
        </w:rPr>
        <w:t>目标</w:t>
      </w:r>
    </w:p>
    <w:p>
      <w:pPr>
        <w:ind w:left="1263" w:right="1223" w:firstLine="456"/>
        <w:spacing w:before="135" w:line="323" w:lineRule="auto"/>
        <w:rPr>
          <w:rFonts w:ascii="FangSong" w:hAnsi="FangSong" w:eastAsia="FangSong" w:cs="FangSong"/>
          <w:sz w:val="23"/>
          <w:szCs w:val="23"/>
        </w:rPr>
      </w:pPr>
      <w:r>
        <w:rPr>
          <w:rFonts w:ascii="FangSong" w:hAnsi="FangSong" w:eastAsia="FangSong" w:cs="FangSong"/>
          <w:sz w:val="23"/>
          <w:szCs w:val="23"/>
          <w:spacing w:val="11"/>
        </w:rPr>
        <w:t>20</w:t>
      </w:r>
      <w:r>
        <w:rPr>
          <w:rFonts w:ascii="FangSong" w:hAnsi="FangSong" w:eastAsia="FangSong" w:cs="FangSong"/>
          <w:sz w:val="23"/>
          <w:szCs w:val="23"/>
          <w:spacing w:val="11"/>
        </w:rPr>
        <w:t xml:space="preserve">  </w:t>
      </w:r>
      <w:r>
        <w:rPr>
          <w:rFonts w:ascii="FangSong" w:hAnsi="FangSong" w:eastAsia="FangSong" w:cs="FangSong"/>
          <w:sz w:val="23"/>
          <w:szCs w:val="23"/>
          <w:spacing w:val="11"/>
        </w:rPr>
        <w:t>年兴县罗峪口镇中心卫生院纳入绩效目标管理</w:t>
      </w:r>
      <w:r>
        <w:rPr>
          <w:rFonts w:ascii="FangSong" w:hAnsi="FangSong" w:eastAsia="FangSong" w:cs="FangSong"/>
          <w:sz w:val="23"/>
          <w:szCs w:val="23"/>
          <w:spacing w:val="10"/>
        </w:rPr>
        <w:t>的二级项目6个，共计金额51.34万</w:t>
      </w:r>
      <w:r>
        <w:rPr>
          <w:rFonts w:ascii="FangSong" w:hAnsi="FangSong" w:eastAsia="FangSong" w:cs="FangSong"/>
          <w:sz w:val="23"/>
          <w:szCs w:val="23"/>
        </w:rPr>
        <w:t xml:space="preserve"> </w:t>
      </w:r>
      <w:r>
        <w:rPr>
          <w:rFonts w:ascii="FangSong" w:hAnsi="FangSong" w:eastAsia="FangSong" w:cs="FangSong"/>
          <w:sz w:val="23"/>
          <w:szCs w:val="23"/>
          <w:spacing w:val="5"/>
        </w:rPr>
        <w:t>元。其中：其他运转类项目0个，涉及金额0万元；特定目标类项目0个，涉及金额0万元。公</w:t>
      </w:r>
      <w:r>
        <w:rPr>
          <w:rFonts w:ascii="FangSong" w:hAnsi="FangSong" w:eastAsia="FangSong" w:cs="FangSong"/>
          <w:sz w:val="23"/>
          <w:szCs w:val="23"/>
          <w:spacing w:val="1"/>
        </w:rPr>
        <w:t xml:space="preserve"> </w:t>
      </w:r>
      <w:r>
        <w:rPr>
          <w:rFonts w:ascii="FangSong" w:hAnsi="FangSong" w:eastAsia="FangSong" w:cs="FangSong"/>
          <w:sz w:val="23"/>
          <w:szCs w:val="23"/>
          <w:spacing w:val="4"/>
        </w:rPr>
        <w:t>开项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目绩效目标6个，涉及项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目金额51.34万元，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占部门（单位）项</w:t>
      </w:r>
      <w:r>
        <w:rPr>
          <w:rFonts w:ascii="FangSong" w:hAnsi="FangSong" w:eastAsia="FangSong" w:cs="FangSong"/>
          <w:sz w:val="23"/>
          <w:szCs w:val="23"/>
          <w:spacing w:val="-47"/>
        </w:rPr>
        <w:t xml:space="preserve"> </w:t>
      </w:r>
      <w:r>
        <w:rPr>
          <w:rFonts w:ascii="FangSong" w:hAnsi="FangSong" w:eastAsia="FangSong" w:cs="FangSong"/>
          <w:sz w:val="23"/>
          <w:szCs w:val="23"/>
          <w:spacing w:val="4"/>
        </w:rPr>
        <w:t>目支出总额的</w:t>
      </w:r>
      <w:r>
        <w:rPr>
          <w:rFonts w:ascii="FangSong" w:hAnsi="FangSong" w:eastAsia="FangSong" w:cs="FangSong"/>
          <w:sz w:val="23"/>
          <w:szCs w:val="23"/>
          <w:spacing w:val="3"/>
        </w:rPr>
        <w:t>100%。其</w:t>
      </w:r>
      <w:r>
        <w:rPr>
          <w:rFonts w:ascii="FangSong" w:hAnsi="FangSong" w:eastAsia="FangSong" w:cs="FangSong"/>
          <w:sz w:val="23"/>
          <w:szCs w:val="23"/>
        </w:rPr>
        <w:t xml:space="preserve"> </w:t>
      </w:r>
      <w:r>
        <w:rPr>
          <w:rFonts w:ascii="FangSong" w:hAnsi="FangSong" w:eastAsia="FangSong" w:cs="FangSong"/>
          <w:sz w:val="23"/>
          <w:szCs w:val="23"/>
        </w:rPr>
        <w:t>中：其他运转类项目0个，涉及项目金额0万元；特定目标类项目0个，涉及项目金额0万元。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8"/>
          <w:footerReference w:type="default" r:id="rId39"/>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440" style="position:absolute;margin-left:491.92pt;margin-top:44.1055pt;mso-position-vertical-relative:page;mso-position-horizontal-relative:page;width:119.4pt;height:18.85pt;z-index:25166028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2282" w:lineRule="exact"/>
        <w:rPr/>
      </w:pPr>
      <w:r>
        <w:pict>
          <v:shape id="_x0000_s442" style="position:absolute;margin-left:-13.08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44" style="position:absolute;margin-left:491.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46"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448"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80319" cy="7798977"/>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080319" cy="7798977"/>
                    </a:xfrm>
                    <a:prstGeom prst="rect">
                      <a:avLst/>
                    </a:prstGeom>
                  </pic:spPr>
                </pic:pic>
              </a:graphicData>
            </a:graphic>
          </wp:inline>
        </w:drawing>
      </w:r>
    </w:p>
    <w:p>
      <w:pPr>
        <w:spacing w:line="12282" w:lineRule="exact"/>
        <w:sectPr>
          <w:headerReference w:type="default" r:id="rId41"/>
          <w:footerReference w:type="default" r:id="rId42"/>
          <w:pgSz w:w="11900" w:h="16840"/>
          <w:pgMar w:top="642" w:right="0" w:bottom="340" w:left="0" w:header="326" w:footer="111" w:gutter="0"/>
        </w:sectPr>
        <w:rPr/>
      </w:pPr>
    </w:p>
    <w:p>
      <w:pPr>
        <w:spacing w:line="277" w:lineRule="auto"/>
        <w:rPr>
          <w:rFonts w:ascii="Arial"/>
          <w:sz w:val="21"/>
        </w:rPr>
      </w:pPr>
      <w:r>
        <w:pict>
          <v:shape id="_x0000_s450" style="position:absolute;margin-left:491.92pt;margin-top:44.1055pt;mso-position-vertical-relative:page;mso-position-horizontal-relative:page;width:119.4pt;height:18.85pt;z-index:25166540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2217" w:lineRule="exact"/>
        <w:rPr/>
      </w:pPr>
      <w:r>
        <w:pict>
          <v:shape id="_x0000_s452" style="position:absolute;margin-left:-13.08pt;margin-top:228.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454"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58"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5080319" cy="7757785"/>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5080319" cy="7757785"/>
                    </a:xfrm>
                    <a:prstGeom prst="rect">
                      <a:avLst/>
                    </a:prstGeom>
                  </pic:spPr>
                </pic:pic>
              </a:graphicData>
            </a:graphic>
          </wp:inline>
        </w:drawing>
      </w:r>
    </w:p>
    <w:p>
      <w:pPr>
        <w:spacing w:line="12217" w:lineRule="exact"/>
        <w:sectPr>
          <w:footerReference w:type="default" r:id="rId44"/>
          <w:pgSz w:w="11900" w:h="16840"/>
          <w:pgMar w:top="642" w:right="0" w:bottom="340" w:left="0" w:header="326" w:footer="111" w:gutter="0"/>
        </w:sectPr>
        <w:rPr/>
      </w:pPr>
    </w:p>
    <w:p>
      <w:pPr>
        <w:spacing w:line="277" w:lineRule="auto"/>
        <w:rPr>
          <w:rFonts w:ascii="Arial"/>
          <w:sz w:val="21"/>
        </w:rPr>
      </w:pPr>
      <w:r>
        <w:pict>
          <v:shape id="_x0000_s460"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2001" w:lineRule="exact"/>
        <w:rPr/>
      </w:pPr>
      <w:r>
        <w:pict>
          <v:shape id="_x0000_s462" style="position:absolute;margin-left:391.92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6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66" style="position:absolute;margin-left:-13.08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468" style="position:absolute;margin-left:491.92pt;margin-top:472.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rPr>
          <w:position w:val="-240"/>
        </w:rPr>
        <w:drawing>
          <wp:inline distT="0" distB="0" distL="0" distR="0">
            <wp:extent cx="5080319" cy="7620480"/>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5080319" cy="7620480"/>
                    </a:xfrm>
                    <a:prstGeom prst="rect">
                      <a:avLst/>
                    </a:prstGeom>
                  </pic:spPr>
                </pic:pic>
              </a:graphicData>
            </a:graphic>
          </wp:inline>
        </w:drawing>
      </w:r>
    </w:p>
    <w:p>
      <w:pPr>
        <w:spacing w:line="12001" w:lineRule="exact"/>
        <w:sectPr>
          <w:footerReference w:type="default" r:id="rId46"/>
          <w:pgSz w:w="11900" w:h="16840"/>
          <w:pgMar w:top="642" w:right="0" w:bottom="340" w:left="0" w:header="326" w:footer="111" w:gutter="0"/>
        </w:sectPr>
        <w:rPr/>
      </w:pPr>
    </w:p>
    <w:p>
      <w:pPr>
        <w:spacing w:line="277" w:lineRule="auto"/>
        <w:rPr>
          <w:rFonts w:ascii="Arial"/>
          <w:sz w:val="21"/>
        </w:rPr>
      </w:pPr>
      <w:r>
        <w:pict>
          <v:shape id="_x0000_s470" style="position:absolute;margin-left:491.92pt;margin-top:44.1055pt;mso-position-vertical-relative:page;mso-position-horizontal-relative:page;width:119.4pt;height:18.85pt;z-index:25167462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2282" w:lineRule="exact"/>
        <w:rPr/>
      </w:pPr>
      <w:r>
        <w:pict>
          <v:shape id="_x0000_s472"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74"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476" style="position:absolute;margin-left:391.92pt;margin-top:228.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78"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80319" cy="7798977"/>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080319" cy="7798977"/>
                    </a:xfrm>
                    <a:prstGeom prst="rect">
                      <a:avLst/>
                    </a:prstGeom>
                  </pic:spPr>
                </pic:pic>
              </a:graphicData>
            </a:graphic>
          </wp:inline>
        </w:drawing>
      </w:r>
    </w:p>
    <w:p>
      <w:pPr>
        <w:spacing w:line="12282" w:lineRule="exact"/>
        <w:sectPr>
          <w:footerReference w:type="default" r:id="rId48"/>
          <w:pgSz w:w="11900" w:h="16840"/>
          <w:pgMar w:top="642" w:right="0" w:bottom="340" w:left="0" w:header="326" w:footer="110" w:gutter="0"/>
        </w:sectPr>
        <w:rPr/>
      </w:pPr>
    </w:p>
    <w:p>
      <w:pPr>
        <w:spacing w:line="277" w:lineRule="auto"/>
        <w:rPr>
          <w:rFonts w:ascii="Arial"/>
          <w:sz w:val="21"/>
        </w:rPr>
      </w:pPr>
      <w:r>
        <w:pict>
          <v:shape id="_x0000_s480"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2261" w:lineRule="exact"/>
        <w:rPr/>
      </w:pPr>
      <w:r>
        <w:pict>
          <v:shape id="_x0000_s482"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484" style="position:absolute;margin-left:-13.08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486" style="position:absolute;margin-left:491.92pt;margin-top:472.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488"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80319" cy="7785246"/>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5080319" cy="7785246"/>
                    </a:xfrm>
                    <a:prstGeom prst="rect">
                      <a:avLst/>
                    </a:prstGeom>
                  </pic:spPr>
                </pic:pic>
              </a:graphicData>
            </a:graphic>
          </wp:inline>
        </w:drawing>
      </w:r>
    </w:p>
    <w:p>
      <w:pPr>
        <w:spacing w:line="12261" w:lineRule="exact"/>
        <w:sectPr>
          <w:footerReference w:type="default" r:id="rId50"/>
          <w:pgSz w:w="11900" w:h="16840"/>
          <w:pgMar w:top="642" w:right="0" w:bottom="340" w:left="0" w:header="326" w:footer="110" w:gutter="0"/>
        </w:sectPr>
        <w:rPr/>
      </w:pPr>
    </w:p>
    <w:p>
      <w:pPr>
        <w:spacing w:line="277" w:lineRule="auto"/>
        <w:rPr>
          <w:rFonts w:ascii="Arial"/>
          <w:sz w:val="21"/>
        </w:rPr>
      </w:pPr>
      <w:r>
        <w:pict>
          <v:shape id="_x0000_s490" style="position:absolute;margin-left:491.92pt;margin-top:44.1055pt;mso-position-vertical-relative:page;mso-position-horizontal-relative:page;width:119.4pt;height:18.85pt;z-index:25168691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1969" w:lineRule="exact"/>
        <w:rPr/>
      </w:pPr>
      <w:r>
        <w:pict>
          <v:shape id="_x0000_s492" style="position:absolute;margin-left:391.92pt;margin-top:228.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494" style="position:absolute;margin-left:491.92pt;margin-top:472.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496" style="position:absolute;margin-left:-13.08pt;margin-top:228.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498"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39"/>
        </w:rPr>
        <w:drawing>
          <wp:inline distT="0" distB="0" distL="0" distR="0">
            <wp:extent cx="5080319" cy="7599884"/>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5080319" cy="7599884"/>
                    </a:xfrm>
                    <a:prstGeom prst="rect">
                      <a:avLst/>
                    </a:prstGeom>
                  </pic:spPr>
                </pic:pic>
              </a:graphicData>
            </a:graphic>
          </wp:inline>
        </w:drawing>
      </w:r>
    </w:p>
    <w:p>
      <w:pPr>
        <w:spacing w:line="11969" w:lineRule="exact"/>
        <w:sectPr>
          <w:footerReference w:type="default" r:id="rId52"/>
          <w:pgSz w:w="11900" w:h="16840"/>
          <w:pgMar w:top="642" w:right="0" w:bottom="340" w:left="0" w:header="326" w:footer="111" w:gutter="0"/>
        </w:sectPr>
        <w:rPr/>
      </w:pPr>
    </w:p>
    <w:p>
      <w:pPr>
        <w:spacing w:line="277" w:lineRule="auto"/>
        <w:rPr>
          <w:rFonts w:ascii="Arial"/>
          <w:sz w:val="21"/>
        </w:rPr>
      </w:pPr>
      <w:r>
        <w:pict>
          <v:shape id="_x0000_s500"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12282" w:lineRule="exact"/>
        <w:rPr/>
      </w:pPr>
      <w:r>
        <w:pict>
          <v:shape id="_x0000_s502"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04"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06" style="position:absolute;margin-left:491.92pt;margin-top:472.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08"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245"/>
        </w:rPr>
        <w:drawing>
          <wp:inline distT="0" distB="0" distL="0" distR="0">
            <wp:extent cx="5080319" cy="7798977"/>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5080319" cy="7798977"/>
                    </a:xfrm>
                    <a:prstGeom prst="rect">
                      <a:avLst/>
                    </a:prstGeom>
                  </pic:spPr>
                </pic:pic>
              </a:graphicData>
            </a:graphic>
          </wp:inline>
        </w:drawing>
      </w:r>
    </w:p>
    <w:p>
      <w:pPr>
        <w:spacing w:line="12282" w:lineRule="exact"/>
        <w:sectPr>
          <w:footerReference w:type="default" r:id="rId54"/>
          <w:pgSz w:w="11900" w:h="16840"/>
          <w:pgMar w:top="642" w:right="0" w:bottom="340" w:left="0" w:header="326" w:footer="110" w:gutter="0"/>
        </w:sectPr>
        <w:rPr/>
      </w:pPr>
    </w:p>
    <w:p>
      <w:pPr>
        <w:spacing w:line="277" w:lineRule="auto"/>
        <w:rPr>
          <w:rFonts w:ascii="Arial"/>
          <w:sz w:val="21"/>
        </w:rPr>
      </w:pPr>
      <w:r>
        <w:pict>
          <v:shape id="_x0000_s526" style="position:absolute;margin-left:491.92pt;margin-top:44.1055pt;mso-position-vertical-relative:page;mso-position-horizontal-relative:page;width:119.4pt;height:18.85pt;z-index:25169408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962"/>
        <w:spacing w:line="3417" w:lineRule="exact"/>
        <w:rPr/>
      </w:pPr>
      <w:r>
        <w:rPr>
          <w:position w:val="-68"/>
        </w:rPr>
        <w:drawing>
          <wp:inline distT="0" distB="0" distL="0" distR="0">
            <wp:extent cx="5080319" cy="2169433"/>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5080319" cy="2169433"/>
                    </a:xfrm>
                    <a:prstGeom prst="rect">
                      <a:avLst/>
                    </a:prstGeom>
                  </pic:spPr>
                </pic:pic>
              </a:graphicData>
            </a:graphic>
          </wp:inline>
        </w:drawing>
      </w:r>
    </w:p>
    <w:p>
      <w:pPr>
        <w:spacing w:line="3417" w:lineRule="exact"/>
        <w:sectPr>
          <w:headerReference w:type="default" r:id="rId56"/>
          <w:footerReference w:type="default" r:id="rId57"/>
          <w:pgSz w:w="11900" w:h="16840"/>
          <w:pgMar w:top="642" w:right="0" w:bottom="340" w:left="0" w:header="326" w:footer="111" w:gutter="0"/>
        </w:sectPr>
        <w:rPr/>
      </w:pPr>
    </w:p>
    <w:p>
      <w:pPr>
        <w:spacing w:line="271" w:lineRule="auto"/>
        <w:rPr>
          <w:rFonts w:ascii="Arial"/>
          <w:sz w:val="21"/>
        </w:rPr>
      </w:pPr>
      <w:r/>
    </w:p>
    <w:p>
      <w:pPr>
        <w:spacing w:line="271" w:lineRule="auto"/>
        <w:rPr>
          <w:rFonts w:ascii="Arial"/>
          <w:sz w:val="21"/>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9"/>
        </w:rPr>
        <w:t>截至2024年12月31</w:t>
      </w:r>
      <w:r>
        <w:rPr>
          <w:rFonts w:ascii="FangSong" w:hAnsi="FangSong" w:eastAsia="FangSong" w:cs="FangSong"/>
          <w:sz w:val="23"/>
          <w:szCs w:val="23"/>
          <w:spacing w:val="-39"/>
        </w:rPr>
        <w:t xml:space="preserve"> </w:t>
      </w:r>
      <w:r>
        <w:rPr>
          <w:rFonts w:ascii="FangSong" w:hAnsi="FangSong" w:eastAsia="FangSong" w:cs="FangSong"/>
          <w:sz w:val="23"/>
          <w:szCs w:val="23"/>
          <w:spacing w:val="9"/>
        </w:rPr>
        <w:t>日，兴县罗峪口镇中心卫生院共有公</w:t>
      </w:r>
      <w:r>
        <w:rPr>
          <w:rFonts w:ascii="FangSong" w:hAnsi="FangSong" w:eastAsia="FangSong" w:cs="FangSong"/>
          <w:sz w:val="23"/>
          <w:szCs w:val="23"/>
          <w:spacing w:val="8"/>
        </w:rPr>
        <w:t>务用车编制0辆，实有0辆，其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rPr>
        <w:t>截至2024年12月31日，兴县罗峪口镇中心卫生院使用的办公用房建筑总面积560平方米。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58" w:right="1223" w:firstLine="466"/>
        <w:spacing w:before="134" w:line="323" w:lineRule="auto"/>
        <w:jc w:val="both"/>
        <w:rPr>
          <w:rFonts w:ascii="FangSong" w:hAnsi="FangSong" w:eastAsia="FangSong" w:cs="FangSong"/>
          <w:sz w:val="23"/>
          <w:szCs w:val="23"/>
        </w:rPr>
      </w:pPr>
      <w:r>
        <w:rPr>
          <w:rFonts w:ascii="FangSong" w:hAnsi="FangSong" w:eastAsia="FangSong" w:cs="FangSong"/>
          <w:sz w:val="23"/>
          <w:szCs w:val="23"/>
          <w:spacing w:val="1"/>
        </w:rPr>
        <w:t>截至0年0月0</w:t>
      </w:r>
      <w:r>
        <w:rPr>
          <w:rFonts w:ascii="FangSong" w:hAnsi="FangSong" w:eastAsia="FangSong" w:cs="FangSong"/>
          <w:sz w:val="23"/>
          <w:szCs w:val="23"/>
          <w:spacing w:val="-49"/>
        </w:rPr>
        <w:t xml:space="preserve"> </w:t>
      </w:r>
      <w:r>
        <w:rPr>
          <w:rFonts w:ascii="FangSong" w:hAnsi="FangSong" w:eastAsia="FangSong" w:cs="FangSong"/>
          <w:sz w:val="23"/>
          <w:szCs w:val="23"/>
          <w:spacing w:val="1"/>
        </w:rPr>
        <w:t>日，兴县罗峪口镇中心卫生院占有使用价值50万</w:t>
      </w:r>
      <w:r>
        <w:rPr>
          <w:rFonts w:ascii="FangSong" w:hAnsi="FangSong" w:eastAsia="FangSong" w:cs="FangSong"/>
          <w:sz w:val="23"/>
          <w:szCs w:val="23"/>
        </w:rPr>
        <w:t>元（原值）以上的通用设备</w:t>
      </w:r>
      <w:r>
        <w:rPr>
          <w:rFonts w:ascii="FangSong" w:hAnsi="FangSong" w:eastAsia="FangSong" w:cs="FangSong"/>
          <w:sz w:val="23"/>
          <w:szCs w:val="23"/>
        </w:rPr>
        <w:t xml:space="preserve"> </w:t>
      </w:r>
      <w:r>
        <w:rPr>
          <w:rFonts w:ascii="FangSong" w:hAnsi="FangSong" w:eastAsia="FangSong" w:cs="FangSong"/>
          <w:sz w:val="23"/>
          <w:szCs w:val="23"/>
          <w:spacing w:val="9"/>
        </w:rPr>
        <w:t>0台（套</w:t>
      </w:r>
      <w:r>
        <w:rPr>
          <w:rFonts w:ascii="FangSong" w:hAnsi="FangSong" w:eastAsia="FangSong" w:cs="FangSong"/>
          <w:sz w:val="23"/>
          <w:szCs w:val="23"/>
          <w:spacing w:val="5"/>
        </w:rPr>
        <w:t>）</w:t>
      </w:r>
      <w:r>
        <w:rPr>
          <w:rFonts w:ascii="FangSong" w:hAnsi="FangSong" w:eastAsia="FangSong" w:cs="FangSong"/>
          <w:sz w:val="23"/>
          <w:szCs w:val="23"/>
          <w:spacing w:val="-54"/>
        </w:rPr>
        <w:t xml:space="preserve"> </w:t>
      </w:r>
      <w:r>
        <w:rPr>
          <w:rFonts w:ascii="FangSong" w:hAnsi="FangSong" w:eastAsia="FangSong" w:cs="FangSong"/>
          <w:sz w:val="23"/>
          <w:szCs w:val="23"/>
          <w:spacing w:val="5"/>
        </w:rPr>
        <w:t>；</w:t>
      </w:r>
      <w:r>
        <w:rPr>
          <w:rFonts w:ascii="FangSong" w:hAnsi="FangSong" w:eastAsia="FangSong" w:cs="FangSong"/>
          <w:sz w:val="23"/>
          <w:szCs w:val="23"/>
          <w:spacing w:val="9"/>
        </w:rPr>
        <w:t>兴县罗峪</w:t>
      </w:r>
      <w:r>
        <w:rPr>
          <w:rFonts w:ascii="FangSong" w:hAnsi="FangSong" w:eastAsia="FangSong" w:cs="FangSong"/>
          <w:sz w:val="23"/>
          <w:szCs w:val="23"/>
          <w:spacing w:val="-44"/>
        </w:rPr>
        <w:t xml:space="preserve"> </w:t>
      </w:r>
      <w:r>
        <w:rPr>
          <w:rFonts w:ascii="FangSong" w:hAnsi="FangSong" w:eastAsia="FangSong" w:cs="FangSong"/>
          <w:sz w:val="23"/>
          <w:szCs w:val="23"/>
          <w:spacing w:val="9"/>
        </w:rPr>
        <w:t>口镇中心卫生院占有使用价值100万元（原值）</w:t>
      </w:r>
      <w:r>
        <w:rPr>
          <w:rFonts w:ascii="FangSong" w:hAnsi="FangSong" w:eastAsia="FangSong" w:cs="FangSong"/>
          <w:sz w:val="23"/>
          <w:szCs w:val="23"/>
          <w:spacing w:val="-47"/>
        </w:rPr>
        <w:t xml:space="preserve"> </w:t>
      </w:r>
      <w:r>
        <w:rPr>
          <w:rFonts w:ascii="FangSong" w:hAnsi="FangSong" w:eastAsia="FangSong" w:cs="FangSong"/>
          <w:sz w:val="23"/>
          <w:szCs w:val="23"/>
          <w:spacing w:val="9"/>
        </w:rPr>
        <w:t>以上的通用设备0台</w:t>
      </w:r>
      <w:r>
        <w:rPr>
          <w:rFonts w:ascii="FangSong" w:hAnsi="FangSong" w:eastAsia="FangSong" w:cs="FangSong"/>
          <w:sz w:val="23"/>
          <w:szCs w:val="23"/>
        </w:rPr>
        <w:t xml:space="preserve"> </w:t>
      </w:r>
      <w:r>
        <w:rPr>
          <w:rFonts w:ascii="FangSong" w:hAnsi="FangSong" w:eastAsia="FangSong" w:cs="FangSong"/>
          <w:sz w:val="23"/>
          <w:szCs w:val="23"/>
          <w:spacing w:val="-3"/>
        </w:rPr>
        <w:t>（套）。</w:t>
      </w:r>
    </w:p>
    <w:p>
      <w:pPr>
        <w:ind w:left="12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843"/>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59"/>
          <w:pgSz w:w="11900" w:h="16840"/>
          <w:pgMar w:top="642" w:right="0" w:bottom="340" w:left="0" w:header="326" w:footer="111" w:gutter="0"/>
        </w:sectPr>
        <w:rPr>
          <w:rFonts w:ascii="FangSong" w:hAnsi="FangSong" w:eastAsia="FangSong" w:cs="FangSong"/>
          <w:sz w:val="23"/>
          <w:szCs w:val="23"/>
        </w:rPr>
      </w:pPr>
    </w:p>
    <w:p>
      <w:pPr>
        <w:spacing w:line="277" w:lineRule="auto"/>
        <w:rPr>
          <w:rFonts w:ascii="Arial"/>
          <w:sz w:val="21"/>
        </w:rPr>
      </w:pPr>
      <w:r>
        <w:pict>
          <v:shape id="_x0000_s528"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35"/>
        <w:spacing w:line="13461" w:lineRule="exact"/>
        <w:rPr/>
      </w:pPr>
      <w:r>
        <w:pict>
          <v:shape id="_x0000_s530" style="position:absolute;margin-left:491.92pt;margin-top:472.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32" style="position:absolute;margin-left:-13.08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534"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36" style="position:absolute;margin-left:86.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41"/>
          <w:footerReference w:type="default" r:id="rId60"/>
          <w:pgSz w:w="11900" w:h="16840"/>
          <w:pgMar w:top="642" w:right="0" w:bottom="340" w:left="0" w:header="326" w:footer="111" w:gutter="0"/>
        </w:sectPr>
        <w:rPr/>
      </w:pPr>
    </w:p>
    <w:p>
      <w:pPr>
        <w:spacing w:line="277" w:lineRule="auto"/>
        <w:rPr>
          <w:rFonts w:ascii="Arial"/>
          <w:sz w:val="21"/>
        </w:rPr>
      </w:pPr>
      <w:r>
        <w:pict>
          <v:shape id="_x0000_s538" style="position:absolute;margin-left:491.92pt;margin-top:44.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78"/>
        <w:spacing w:line="13461" w:lineRule="exact"/>
        <w:rPr/>
      </w:pPr>
      <w:r>
        <w:pict>
          <v:shape id="_x0000_s540" style="position:absolute;margin-left:491.92pt;margin-top:472.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42" style="position:absolute;margin-left:-13.08pt;margin-top:228.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44" style="position:absolute;margin-left:86.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546"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2"/>
          <w:pgSz w:w="11900" w:h="16840"/>
          <w:pgMar w:top="642" w:right="0" w:bottom="340" w:left="0" w:header="326" w:footer="111" w:gutter="0"/>
        </w:sectPr>
        <w:rPr/>
      </w:pPr>
    </w:p>
    <w:p>
      <w:pPr>
        <w:spacing w:line="277" w:lineRule="auto"/>
        <w:rPr>
          <w:rFonts w:ascii="Arial"/>
          <w:sz w:val="21"/>
        </w:rPr>
      </w:pPr>
      <w:r>
        <w:pict>
          <v:shape id="_x0000_s548" style="position:absolute;margin-left:491.92pt;margin-top:44.1055pt;mso-position-vertical-relative:page;mso-position-horizontal-relative:page;width:119.4pt;height:18.85pt;z-index:25171763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50"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52"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554" style="position:absolute;margin-left:86.92pt;margin-top:472.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556" style="position:absolute;margin-left:-13.08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4"/>
          <w:pgSz w:w="11900" w:h="16840"/>
          <w:pgMar w:top="642" w:right="0" w:bottom="340" w:left="0" w:header="326" w:footer="111" w:gutter="0"/>
        </w:sectPr>
        <w:rPr/>
      </w:pPr>
    </w:p>
    <w:p>
      <w:pPr>
        <w:spacing w:line="277" w:lineRule="auto"/>
        <w:rPr>
          <w:rFonts w:ascii="Arial"/>
          <w:sz w:val="21"/>
        </w:rPr>
      </w:pPr>
      <w:r>
        <w:pict>
          <v:shape id="_x0000_s558"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60" style="position:absolute;margin-left:391.92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62"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564" style="position:absolute;margin-left:-13.08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566"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6"/>
          <w:pgSz w:w="11900" w:h="16840"/>
          <w:pgMar w:top="642" w:right="0" w:bottom="340" w:left="0" w:header="326" w:footer="111" w:gutter="0"/>
        </w:sectPr>
        <w:rPr/>
      </w:pPr>
    </w:p>
    <w:p>
      <w:pPr>
        <w:spacing w:line="277" w:lineRule="auto"/>
        <w:rPr>
          <w:rFonts w:ascii="Arial"/>
          <w:sz w:val="21"/>
        </w:rPr>
      </w:pPr>
      <w:r>
        <w:pict>
          <v:shape id="_x0000_s568" style="position:absolute;margin-left:491.92pt;margin-top:44.1055pt;mso-position-vertical-relative:page;mso-position-horizontal-relative:page;width:119.4pt;height:18.85pt;z-index:25172889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45"/>
        <w:spacing w:line="13461" w:lineRule="exact"/>
        <w:rPr/>
      </w:pPr>
      <w:r>
        <w:pict>
          <v:shape id="_x0000_s570" style="position:absolute;margin-left:-13.08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572" style="position:absolute;margin-left:86.92pt;margin-top:472.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574" style="position:absolute;margin-left:491.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576" style="position:absolute;margin-left:391.92pt;margin-top:228.067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69"/>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8"/>
          <w:pgSz w:w="11900" w:h="16840"/>
          <w:pgMar w:top="642" w:right="0" w:bottom="340" w:left="0" w:header="326" w:footer="111" w:gutter="0"/>
        </w:sectPr>
        <w:rPr/>
      </w:pPr>
    </w:p>
    <w:p>
      <w:pPr>
        <w:spacing w:line="277" w:lineRule="auto"/>
        <w:rPr>
          <w:rFonts w:ascii="Arial"/>
          <w:sz w:val="21"/>
        </w:rPr>
      </w:pPr>
      <w:r>
        <w:pict>
          <v:shape id="_x0000_s578" style="position:absolute;margin-left:491.92pt;margin-top:44.1055pt;mso-position-vertical-relative:page;mso-position-horizontal-relative:page;width:119.4pt;height:18.85pt;z-index:251734016;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580" style="position:absolute;margin-left:86.92pt;margin-top:472.067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582" style="position:absolute;margin-left:491.92pt;margin-top:472.067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584" style="position:absolute;margin-left:391.92pt;margin-top:228.067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pict>
          <v:shape id="_x0000_s586" style="position:absolute;margin-left:-13.08pt;margin-top:228.067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1"/>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0"/>
          <w:pgSz w:w="11900" w:h="16840"/>
          <w:pgMar w:top="642" w:right="0" w:bottom="340" w:left="0" w:header="326" w:footer="111" w:gutter="0"/>
        </w:sectPr>
        <w:rPr/>
      </w:pPr>
    </w:p>
    <w:p>
      <w:pPr>
        <w:spacing w:line="277" w:lineRule="auto"/>
        <w:rPr>
          <w:rFonts w:ascii="Arial"/>
          <w:sz w:val="21"/>
        </w:rPr>
      </w:pPr>
      <w:r>
        <w:pict>
          <v:shape id="_x0000_s588" style="position:absolute;margin-left:491.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89"/>
        <w:spacing w:line="13461" w:lineRule="exact"/>
        <w:rPr/>
      </w:pPr>
      <w:r>
        <w:pict>
          <v:shape id="_x0000_s590" style="position:absolute;margin-left:491.92pt;margin-top:472.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592" style="position:absolute;margin-left:391.92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594" style="position:absolute;margin-left:86.92pt;margin-top:472.067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596" style="position:absolute;margin-left:-13.08pt;margin-top:228.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6" name="IM 36"/>
            <wp:cNvGraphicFramePr/>
            <a:graphic>
              <a:graphicData uri="http://schemas.openxmlformats.org/drawingml/2006/picture">
                <pic:pic>
                  <pic:nvPicPr>
                    <pic:cNvPr id="36" name="IM 36"/>
                    <pic:cNvPicPr/>
                  </pic:nvPicPr>
                  <pic:blipFill>
                    <a:blip r:embed="rId73"/>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2"/>
          <w:pgSz w:w="11900" w:h="16840"/>
          <w:pgMar w:top="642" w:right="0" w:bottom="340" w:left="0" w:header="326" w:footer="111" w:gutter="0"/>
        </w:sectPr>
        <w:rPr/>
      </w:pPr>
    </w:p>
    <w:p>
      <w:pPr>
        <w:spacing w:line="277" w:lineRule="auto"/>
        <w:rPr>
          <w:rFonts w:ascii="Arial"/>
          <w:sz w:val="21"/>
        </w:rPr>
      </w:pPr>
      <w:r>
        <w:pict>
          <v:shape id="_x0000_s598" style="position:absolute;margin-left:491.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spacing w:line="278" w:lineRule="auto"/>
        <w:rPr>
          <w:rFonts w:ascii="Arial"/>
          <w:sz w:val="21"/>
        </w:rPr>
      </w:pPr>
      <w:r/>
    </w:p>
    <w:p>
      <w:pPr>
        <w:ind w:firstLine="1367"/>
        <w:spacing w:line="13461" w:lineRule="exact"/>
        <w:rPr/>
      </w:pPr>
      <w:r>
        <w:pict>
          <v:shape id="_x0000_s600" style="position:absolute;margin-left:-13.08pt;margin-top:228.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602" style="position:absolute;margin-left:391.92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604" style="position:absolute;margin-left:86.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606" style="position:absolute;margin-left:491.92pt;margin-top:472.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 name="IM 38"/>
            <wp:cNvGraphicFramePr/>
            <a:graphic>
              <a:graphicData uri="http://schemas.openxmlformats.org/drawingml/2006/picture">
                <pic:pic>
                  <pic:nvPicPr>
                    <pic:cNvPr id="38" name="IM 38"/>
                    <pic:cNvPicPr/>
                  </pic:nvPicPr>
                  <pic:blipFill>
                    <a:blip r:embed="rId75"/>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4"/>
          <w:pgSz w:w="11900" w:h="16840"/>
          <w:pgMar w:top="642" w:right="0" w:bottom="340" w:left="0" w:header="326" w:footer="111" w:gutter="0"/>
        </w:sectPr>
        <w:rPr/>
      </w:pPr>
    </w:p>
    <w:p>
      <w:pPr>
        <w:spacing w:line="269" w:lineRule="auto"/>
        <w:rPr>
          <w:rFonts w:ascii="Arial"/>
          <w:sz w:val="21"/>
        </w:rPr>
      </w:pPr>
      <w:r/>
    </w:p>
    <w:p>
      <w:pPr>
        <w:spacing w:line="270" w:lineRule="auto"/>
        <w:rPr>
          <w:rFonts w:ascii="Arial"/>
          <w:sz w:val="21"/>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6"/>
      <w:footerReference w:type="default" r:id="rId77"/>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8" w:id="44"/>
    <w:bookmarkEnd w:id="44"/>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bookmarkStart w:name="bookmark49" w:id="49"/>
    <w:bookmarkEnd w:id="49"/>
    <w:r>
      <w:rPr>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82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8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80"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3792;"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23.35pt;height:7.9pt;z-index:-251566080;" o:allowincell="f" fillcolor="#212529" filled="true" stroked="false" type="#_x0000_t136">
          <v:textpath style="font-family:&quot;SimSun&quot;;font-size:7.5;v-text-kern:t;mso-text-shadow:auto" string="100399"/>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49.083pt;margin-top:282.508pt;mso-position-vertical-relative:page;mso-position-horizontal-relative:page;width:7.7pt;height:7.9pt;z-index:-251563008;" o:allowincell="f" fillcolor="#212529" filled="true" stroked="false" type="#_x0000_t136">
          <v:textpath style="font-family:&quot;SimSun&quot;;font-size:7.5;v-text-kern:t;mso-text-shadow:auto" string="81"/>
        </v:shape>
      </w:pict>
    </w:r>
    <w:r>
      <w:pict>
        <v:shape id="PowerPlusWaterMarkObject194" style="position:absolute;margin-left:440.911pt;margin-top:297.644pt;mso-position-vertical-relative:page;mso-position-horizontal-relative:page;width:15.85pt;height:7.9pt;z-index:-251561984;" o:allowincell="f" fillcolor="#212529" filled="true" stroked="false" type="#_x0000_t136">
          <v:textpath style="font-family:&quot;SimSun&quot;;font-size:7.5;v-text-kern:t;mso-text-shadow:auto" string="4 75"/>
        </v:shape>
      </w:pict>
    </w:r>
    <w:r>
      <w:pict>
        <v:shape id="PowerPlusWaterMarkObject196" style="position:absolute;margin-left:441.006pt;margin-top:312.78pt;mso-position-vertical-relative:page;mso-position-horizontal-relative:page;width:3.6pt;height:7.9pt;z-index:-251560960;" o:allowincell="f" fillcolor="#212529" filled="true" stroked="false" type="#_x0000_t136">
          <v:textpath style="font-family:&quot;SimSun&quot;;font-size:7.5;v-text-kern:t;mso-text-shadow:auto" string="0"/>
        </v:shape>
      </w:pict>
    </w:r>
    <w:r>
      <w:pict>
        <v:shape id="PowerPlusWaterMarkObject198"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10" style="position:absolute;margin-left:86.02pt;margin-top:267.372pt;mso-position-vertical-relative:page;mso-position-horizontal-relative:page;width:15.7pt;height:7.9pt;z-index:-251550720;" o:allowincell="f" fillcolor="#212529" filled="true" stroked="false" type="#_x0000_t136">
          <v:textpath style="font-family:&quot;SimSun&quot;;font-size:7.5;v-text-kern:t;mso-text-shadow:auto" string="住房"/>
        </v:shape>
      </w:pict>
    </w:r>
    <w:r>
      <w:pict>
        <v:shape id="PowerPlusWaterMarkObject212" style="position:absolute;margin-left:86.92pt;margin-top:27.7633pt;mso-position-vertical-relative:text;mso-position-horizontal-relative:text;width:119.4pt;height:18.85pt;z-index:-25153843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86.557pt;margin-top:71.2915pt;mso-position-vertical-relative:page;mso-position-horizontal-relative:page;width:35.45pt;height:6.5pt;z-index:-251539456;" o:allowincell="f" fillcolor="#212529" filled="true" stroked="false" type="#_x0000_t136">
          <v:textpath style="font-family:&quot;SimSun&quot;;font-size:6;v-text-kern:t;mso-text-shadow:auto" string="预算公开表6"/>
        </v:shape>
      </w:pict>
    </w:r>
    <w:r>
      <w:pict>
        <v:shape id="PowerPlusWaterMarkObject222" style="position:absolute;margin-left:447.011pt;margin-top:282.508pt;mso-position-vertical-relative:page;mso-position-horizontal-relative:page;width:19.3pt;height:7.9pt;z-index:-251548672;" o:allowincell="f" fillcolor="#212529" filled="true" stroked="false" type="#_x0000_t136">
          <v:textpath style="font-family:&quot;SimSun&quot;;font-size:7.5;v-text-kern:t;mso-text-shadow:auto" string="11 04"/>
        </v:shape>
      </w:pict>
    </w:r>
    <w:r>
      <w:pict>
        <v:shape id="PowerPlusWaterMarkObject224" style="position:absolute;margin-left:399.19pt;margin-top:312.78pt;mso-position-vertical-relative:page;mso-position-horizontal-relative:page;width:7.55pt;height:7.9pt;z-index:-251547648;" o:allowincell="f" fillcolor="#212529" filled="true" stroked="false" type="#_x0000_t136">
          <v:textpath style="font-family:&quot;SimSun&quot;;font-size:7.5;v-text-kern:t;mso-text-shadow:auto" string="50"/>
        </v:shape>
      </w:pict>
    </w:r>
    <w:r>
      <w:pict>
        <v:shape id="PowerPlusWaterMarkObject226" style="position:absolute;margin-left:399pt;margin-top:327.916pt;mso-position-vertical-relative:page;mso-position-horizontal-relative:page;width:7.75pt;height:7.9pt;z-index:-251546624;" o:allowincell="f" fillcolor="#212529" filled="true" stroked="false" type="#_x0000_t136">
          <v:textpath style="font-family:&quot;SimSun&quot;;font-size:7.5;v-text-kern:t;mso-text-shadow:auto" string="46"/>
        </v:shape>
      </w:pict>
    </w:r>
    <w:r>
      <w:pict>
        <v:shape id="PowerPlusWaterMarkObject228" style="position:absolute;margin-left:491.92pt;margin-top:44.1055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30pt;margin-top:29.5pt;mso-position-vertical-relative:page;mso-position-horizontal-relative:page;width:535pt;height:1pt;z-index:-251541504;"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38" style="position:absolute;margin-left:86.92pt;margin-top:27.7633pt;mso-position-vertical-relative:text;mso-position-horizontal-relative:text;width:119.4pt;height:18.85pt;z-index:-251528192;rotation:330;" fillcolor="#404040" filled="true" stroked="false" type="#_x0000_t136">
          <v:fill opacity="0.400000"/>
          <v:textpath style="font-family:&quot;SimSun&quot;;font-size:20;v-text-kern:t;mso-text-shadow:auto" string="仅供内部审核"/>
        </v:shape>
      </w:pict>
    </w:r>
    <w:r>
      <w:pict>
        <v:shape id="PowerPlusWaterMarkObject240" style="position:absolute;margin-left:490.334pt;margin-top:73.4279pt;mso-position-vertical-relative:page;mso-position-horizontal-relative:page;width:35.4pt;height:6.5pt;z-index:-251529216;" o:allowincell="f" fillcolor="#212529" filled="true" stroked="false" type="#_x0000_t136">
          <v:textpath style="font-family:&quot;SimSun&quot;;font-size:6;v-text-kern:t;mso-text-shadow:auto" string="预算公开表7"/>
        </v:shape>
      </w:pict>
    </w:r>
    <w:r>
      <w:pict>
        <v:shape id="PowerPlusWaterMarkObject242" style="position:absolute;margin-left:491.92pt;margin-top:44.1055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13.08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86.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13.08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0pt;margin-top:29.5pt;mso-position-vertical-relative:page;mso-position-horizontal-relative:page;width:535pt;height:1pt;z-index:-251531264;"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58" style="position:absolute;margin-left:86.92pt;margin-top:27.7633pt;mso-position-vertical-relative:text;mso-position-horizontal-relative:text;width:119.4pt;height:18.85pt;z-index:-251517952;rotation:330;" fillcolor="#404040" filled="true" stroked="false" type="#_x0000_t136">
          <v:fill opacity="0.400000"/>
          <v:textpath style="font-family:&quot;SimSun&quot;;font-size:20;v-text-kern:t;mso-text-shadow:auto" string="仅供内部审核"/>
        </v:shape>
      </w:pict>
    </w:r>
    <w:r>
      <w:pict>
        <v:shape id="PowerPlusWaterMarkObject260" style="position:absolute;margin-left:490.282pt;margin-top:73.4538pt;mso-position-vertical-relative:page;mso-position-horizontal-relative:page;width:35.45pt;height:6.5pt;z-index:-251518976;" o:allowincell="f" fillcolor="#212529" filled="true" stroked="false" type="#_x0000_t136">
          <v:textpath style="font-family:&quot;SimSun&quot;;font-size:6;v-text-kern:t;mso-text-shadow:auto" string="预算公开表8"/>
        </v:shape>
      </w:pict>
    </w:r>
    <w:r>
      <w:pict>
        <v:shape id="PowerPlusWaterMarkObject262"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391.92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78" style="position:absolute;margin-left:86.92pt;margin-top:27.7633pt;mso-position-vertical-relative:text;mso-position-horizontal-relative:text;width:119.4pt;height:18.85pt;z-index:-251507712;rotation:330;" fillcolor="#404040" filled="true" stroked="false" type="#_x0000_t136">
          <v:fill opacity="0.400000"/>
          <v:textpath style="font-family:&quot;SimSun&quot;;font-size:20;v-text-kern:t;mso-text-shadow:auto" string="仅供内部审核"/>
        </v:shape>
      </w:pict>
    </w:r>
    <w:r>
      <w:pict>
        <v:shape id="PowerPlusWaterMarkObject280" style="position:absolute;margin-left:490.36pt;margin-top:78.8596pt;mso-position-vertical-relative:page;mso-position-horizontal-relative:page;width:35.35pt;height:6.5pt;z-index:-251508736;" o:allowincell="f" fillcolor="#212529" filled="true" stroked="false" type="#_x0000_t136">
          <v:textpath style="font-family:&quot;SimSun&quot;;font-size:6;v-text-kern:t;mso-text-shadow:auto" string="部门公开表9"/>
        </v:shape>
      </w:pict>
    </w:r>
    <w:r>
      <w:pict>
        <v:shape id="PowerPlusWaterMarkObject282" style="position:absolute;margin-left:491.92pt;margin-top:44.1055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13.08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0pt;margin-top:29.5pt;mso-position-vertical-relative:page;mso-position-horizontal-relative:page;width:535pt;height:1pt;z-index:-251510784;"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298" style="position:absolute;margin-left:86.92pt;margin-top:27.7633pt;mso-position-vertical-relative:text;mso-position-horizontal-relative:text;width:119.4pt;height:18.85pt;z-index:-251497472;rotation:330;" fillcolor="#404040" filled="true" stroked="false" type="#_x0000_t136">
          <v:fill opacity="0.400000"/>
          <v:textpath style="font-family:&quot;SimSun&quot;;font-size:20;v-text-kern:t;mso-text-shadow:auto" string="仅供内部审核"/>
        </v:shape>
      </w:pict>
    </w:r>
    <w:r>
      <w:pict>
        <v:shape id="PowerPlusWaterMarkObject30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86.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13.08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87.09pt;margin-top:67.4816pt;mso-position-vertical-relative:page;mso-position-horizontal-relative:page;width:38.65pt;height:6.5pt;z-index:-251498496;" o:allowincell="f" fillcolor="#212529" filled="true" stroked="false" type="#_x0000_t136">
          <v:textpath style="font-family:&quot;SimSun&quot;;font-size:6;v-text-kern:t;mso-text-shadow:auto" string="预算公开表11"/>
        </v:shape>
      </w:pict>
    </w:r>
    <w:r>
      <w:pict>
        <v:shape id="PowerPlusWaterMarkObject308" style="position:absolute;margin-left:491.92pt;margin-top:44.1055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491.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391.92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_x0000_s316" style="position:absolute;margin-left:30pt;margin-top:29.5pt;mso-position-vertical-relative:page;mso-position-horizontal-relative:page;width:535pt;height:1pt;z-index:-251500544;"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18"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20" style="position:absolute;margin-left:77.9747pt;margin-top:262.507pt;mso-position-vertical-relative:page;mso-position-horizontal-relative:page;width:23.75pt;height:7.9pt;z-index:-251495424;" o:allowincell="f" fillcolor="#212529" filled="true" stroked="false" type="#_x0000_t136">
          <v:textpath style="font-family:&quot;SimSun&quot;;font-size:7.5;v-text-kern:t;mso-text-shadow:auto" string="2025年"/>
        </v:shape>
      </w:pict>
    </w:r>
    <w:r>
      <w:pict>
        <v:shape id="PowerPlusWaterMarkObject322" style="position:absolute;margin-left:69.8344pt;margin-top:271.696pt;mso-position-vertical-relative:page;mso-position-horizontal-relative:page;width:31.9pt;height:7.9pt;z-index:-251494400;" o:allowincell="f" fillcolor="#212529" filled="true" stroked="false" type="#_x0000_t136">
          <v:textpath style="font-family:&quot;SimSun&quot;;font-size:7.5;v-text-kern:t;mso-text-shadow:auto" string="展补助资"/>
        </v:shape>
      </w:pict>
    </w:r>
    <w:r>
      <w:pict>
        <v:shape id="PowerPlusWaterMarkObject324" style="position:absolute;margin-left:69.8344pt;margin-top:280.886pt;mso-position-vertical-relative:page;mso-position-horizontal-relative:page;width:23.9pt;height:7.9pt;z-index:-251493376;" o:allowincell="f" fillcolor="#212529" filled="true" stroked="false" type="#_x0000_t136">
          <v:textpath style="font-family:&quot;SimSun&quot;;font-size:7.5;v-text-kern:t;mso-text-shadow:auto" string="社[202"/>
        </v:shape>
      </w:pict>
    </w:r>
    <w:r>
      <w:pict>
        <v:shape id="PowerPlusWaterMarkObject326"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130.8pt;margin-top:252.776pt;mso-position-vertical-relative:page;mso-position-horizontal-relative:page;width:3.45pt;height:7.9pt;z-index:-251491328;" o:allowincell="f" fillcolor="#212529" filled="true" stroked="false" type="#_x0000_t136">
          <v:textpath style="font-family:&quot;SimSun&quot;;font-size:7.5;v-text-kern:t;mso-text-shadow:auto" string="]"/>
        </v:shape>
      </w:pict>
    </w:r>
    <w:r>
      <w:pict>
        <v:shape id="PowerPlusWaterMarkObject33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46" style="position:absolute;margin-left:86.92pt;margin-top:27.7633pt;mso-position-vertical-relative:text;mso-position-horizontal-relative:text;width:119.4pt;height:18.85pt;z-index:-251472896;rotation:330;" fillcolor="#404040" filled="true" stroked="false" type="#_x0000_t136">
          <v:fill opacity="0.400000"/>
          <v:textpath style="font-family:&quot;SimSun&quot;;font-size:20;v-text-kern:t;mso-text-shadow:auto" string="仅供内部审核"/>
        </v:shape>
      </w:pict>
    </w:r>
    <w:r>
      <w:pict>
        <v:shape id="PowerPlusWaterMarkObject348" style="position:absolute;margin-left:-13.08pt;margin-top:288.105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86.92pt;margin-top:532.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13.08pt;margin-top:776.106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487.09pt;margin-top:73.4279pt;mso-position-vertical-relative:page;mso-position-horizontal-relative:page;width:38.65pt;height:6.5pt;z-index:-251473920;" o:allowincell="f" fillcolor="#212529" filled="true" stroked="false" type="#_x0000_t136">
          <v:textpath style="font-family:&quot;SimSun&quot;;font-size:6;v-text-kern:t;mso-text-shadow:auto" string="预算公开表13"/>
        </v:shape>
      </w:pict>
    </w:r>
    <w:r>
      <w:pict>
        <v:shape id="PowerPlusWaterMarkObject356" style="position:absolute;margin-left:491.92pt;margin-top:44.1055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491.92pt;margin-top:532.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391.92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_x0000_s364"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66" style="position:absolute;margin-left:86.92pt;margin-top:27.7633pt;mso-position-vertical-relative:text;mso-position-horizontal-relative:text;width:119.4pt;height:18.85pt;z-index:-251456512;rotation:330;" fillcolor="#404040" filled="true" stroked="false" type="#_x0000_t136">
          <v:fill opacity="0.400000"/>
          <v:textpath style="font-family:&quot;SimSun&quot;;font-size:20;v-text-kern:t;mso-text-shadow:auto" string="仅供内部审核"/>
        </v:shape>
      </w:pict>
    </w:r>
    <w:r>
      <w:pict>
        <v:shape id="PowerPlusWaterMarkObject368" style="position:absolute;margin-left:491.92pt;margin-top:44.1055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370" style="position:absolute;margin-left:86.5253pt;margin-top:258.837pt;mso-position-vertical-relative:page;mso-position-horizontal-relative:page;width:17.1pt;height:11.8pt;z-index:-251469824;" o:allowincell="f" fillcolor="#000000" filled="true" stroked="false" type="#_x0000_t136">
          <v:textpath style="font-family:&quot;FangSong&quot;;font-size:11.5;v-text-kern:t;mso-text-shadow:auto" string="0万"/>
        </v:shape>
      </w:pict>
    </w:r>
    <w:r>
      <w:pict>
        <v:shape id="PowerPlusWaterMarkObject372" style="position:absolute;margin-left:63.2877pt;margin-top:278.838pt;mso-position-vertical-relative:page;mso-position-horizontal-relative:page;width:22.25pt;height:11.8pt;z-index:-251470848;" o:allowincell="f" fillcolor="#000000" filled="true" stroked="false" type="#_x0000_t136">
          <v:textpath style="font-family:&quot;FangSong&quot;;font-size:11.5;v-text-kern:t;mso-text-shadow:auto" string="万元"/>
        </v:shape>
      </w:pict>
    </w:r>
    <w:r>
      <w:pict>
        <v:shape id="PowerPlusWaterMarkObject374" style="position:absolute;margin-left:-13.08pt;margin-top:288.105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6" style="position:absolute;margin-left:481.707pt;margin-top:258.837pt;mso-position-vertical-relative:page;mso-position-horizontal-relative:page;width:22.5pt;height:11.8pt;z-index:-251467776;" o:allowincell="f" fillcolor="#000000" filled="true" stroked="false" type="#_x0000_t136">
          <v:textpath style="font-family:&quot;FangSong&quot;;font-size:11.5;v-text-kern:t;mso-text-shadow:auto" string="上年"/>
        </v:shape>
      </w:pict>
    </w:r>
    <w:r>
      <w:pict>
        <v:shape id="PowerPlusWaterMarkObject378"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168.043pt;margin-top:513.988pt;mso-position-vertical-relative:page;mso-position-horizontal-relative:page;width:33.85pt;height:11.8pt;z-index:-251464704;" o:allowincell="f" fillcolor="#000000" filled="true" stroked="false" type="#_x0000_t136">
          <v:textpath style="font-family:&quot;FangSong&quot;;font-size:11.5;v-text-kern:t;mso-text-shadow:auto" string="峪口镇"/>
        </v:shape>
      </w:pict>
    </w:r>
    <w:r>
      <w:pict>
        <v:shape id="PowerPlusWaterMarkObject382" style="position:absolute;margin-left:132.372pt;margin-top:533.99pt;mso-position-vertical-relative:page;mso-position-horizontal-relative:page;width:45.4pt;height:11.8pt;z-index:-251465728;" o:allowincell="f" fillcolor="#000000" filled="true" stroked="false" type="#_x0000_t136">
          <v:textpath style="font-family:&quot;FangSong&quot;;font-size:11.5;v-text-kern:t;mso-text-shadow:auto" string="支出51 3"/>
        </v:shape>
      </w:pict>
    </w:r>
    <w:r>
      <w:pict>
        <v:shape id="PowerPlusWaterMarkObject384" style="position:absolute;margin-left:86.92pt;margin-top:532.106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491.92pt;margin-top:532.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86.0353pt;margin-top:756.166pt;mso-position-vertical-relative:page;mso-position-horizontal-relative:page;width:423.8pt;height:11.8pt;z-index:-251460608;" o:allowincell="f" fillcolor="#000000" filled="true" stroked="false" type="#_x0000_t136">
          <v:textpath style="font-family:&quot;FangSong&quot;;font-size:11.5;v-text-kern:t;mso-text-shadow:auto" string="2025                                                               用于以"/>
        </v:shape>
      </w:pict>
    </w:r>
    <w:r>
      <w:pict>
        <v:shape id="PowerPlusWaterMarkObject390" style="position:absolute;margin-left:63.4261pt;margin-top:776.167pt;mso-position-vertical-relative:page;mso-position-horizontal-relative:page;width:412.1pt;height:11.8pt;z-index:-251459584;" o:allowincell="f" fillcolor="#000000" filled="true" stroked="false" type="#_x0000_t136">
          <v:textpath style="font-family:&quot;FangSong&quot;;font-size:11.5;v-text-kern:t;mso-text-shadow:auto" string="面                                                             元  占88"/>
        </v:shape>
      </w:pict>
    </w:r>
    <w:r>
      <w:pict>
        <v:shape id="PowerPlusWaterMarkObject392" style="position:absolute;margin-left:-13.08pt;margin-top:776.106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391.92pt;margin-top:776.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_x0000_s396" style="position:absolute;margin-left:30pt;margin-top:29.5pt;mso-position-vertical-relative:page;mso-position-horizontal-relative:page;width:535pt;height:1pt;z-index:-251458560;"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398" style="position:absolute;margin-left:86.92pt;margin-top:27.7633pt;mso-position-vertical-relative:text;mso-position-horizontal-relative:text;width:119.4pt;height:18.85pt;z-index:-251439104;rotation:330;" fillcolor="#404040" filled="true" stroked="false" type="#_x0000_t136">
          <v:fill opacity="0.400000"/>
          <v:textpath style="font-family:&quot;SimSun&quot;;font-size:20;v-text-kern:t;mso-text-shadow:auto" string="仅供内部审核"/>
        </v:shape>
      </w:pict>
    </w:r>
    <w:r>
      <w:pict>
        <v:shape id="PowerPlusWaterMarkObject400" style="position:absolute;margin-left:491.92pt;margin-top:44.1055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02" style="position:absolute;margin-left:86.4389pt;margin-top:266.946pt;mso-position-vertical-relative:page;mso-position-horizontal-relative:page;width:10.6pt;height:11.8pt;z-index:-251453440;" o:allowincell="f" fillcolor="#000000" filled="true" stroked="false" type="#_x0000_t136">
          <v:textpath style="font-family:&quot;FangSong&quot;;font-size:11.5;v-text-kern:t;mso-text-shadow:auto" string="人"/>
        </v:shape>
      </w:pict>
    </w:r>
    <w:r>
      <w:pict>
        <v:shape id="PowerPlusWaterMarkObject404" style="position:absolute;margin-left:63.1955pt;margin-top:286.947pt;mso-position-vertical-relative:page;mso-position-horizontal-relative:page;width:22.9pt;height:11.8pt;z-index:-251454464;" o:allowincell="f" fillcolor="#000000" filled="true" stroked="false" type="#_x0000_t136">
          <v:textpath style="font-family:&quot;FangSong&quot;;font-size:11.5;v-text-kern:t;mso-text-shadow:auto" string="基本"/>
        </v:shape>
      </w:pict>
    </w:r>
    <w:r>
      <w:pict>
        <v:shape id="PowerPlusWaterMarkObject406" style="position:absolute;margin-left:-13.08pt;margin-top:288.105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408" style="position:absolute;margin-left:475.974pt;margin-top:266.946pt;mso-position-vertical-relative:page;mso-position-horizontal-relative:page;width:34.25pt;height:11.8pt;z-index:-251451392;" o:allowincell="f" fillcolor="#000000" filled="true" stroked="false" type="#_x0000_t136">
          <v:textpath style="font-family:&quot;FangSong&quot;;font-size:11.5;v-text-kern:t;mso-text-shadow:auto" string="绩效工"/>
        </v:shape>
      </w:pict>
    </w:r>
    <w:r>
      <w:pict>
        <v:shape id="PowerPlusWaterMarkObject410" style="position:absolute;margin-left:438.637pt;margin-top:286.947pt;mso-position-vertical-relative:page;mso-position-horizontal-relative:page;width:46.8pt;height:11.8pt;z-index:-251450368;" o:allowincell="f" fillcolor="#000000" filled="true" stroked="false" type="#_x0000_t136">
          <v:textpath style="font-family:&quot;FangSong&quot;;font-size:11.5;v-text-kern:t;mso-text-shadow:auto" string="工基本医"/>
        </v:shape>
      </w:pict>
    </w:r>
    <w:r>
      <w:pict>
        <v:shape id="PowerPlusWaterMarkObject412" style="position:absolute;margin-left:391.92pt;margin-top:288.105pt;mso-position-vertical-relative:page;mso-position-horizontal-relative:page;width:119.4pt;height:18.85pt;z-index:-251452416;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161.161pt;margin-top:509.123pt;mso-position-vertical-relative:page;mso-position-horizontal-relative:page;width:10.85pt;height:11.8pt;z-index:-251448320;" o:allowincell="f" fillcolor="#000000" filled="true" stroked="false" type="#_x0000_t136">
          <v:textpath style="font-family:&quot;FangSong&quot;;font-size:11.5;v-text-kern:t;mso-text-shadow:auto" string="标"/>
        </v:shape>
      </w:pict>
    </w:r>
    <w:r>
      <w:pict>
        <v:shape id="PowerPlusWaterMarkObject416" style="position:absolute;margin-left:132.418pt;margin-top:529.125pt;mso-position-vertical-relative:page;mso-position-horizontal-relative:page;width:45.35pt;height:11.8pt;z-index:-251447296;" o:allowincell="f" fillcolor="#000000" filled="true" stroked="false" type="#_x0000_t136">
          <v:textpath style="font-family:&quot;FangSong&quot;;font-size:11.5;v-text-kern:t;mso-text-shadow:auto" string="位整体绩"/>
        </v:shape>
      </w:pict>
    </w:r>
    <w:r>
      <w:pict>
        <v:shape id="PowerPlusWaterMarkObject418" style="position:absolute;margin-left:103.595pt;margin-top:549.126pt;mso-position-vertical-relative:page;mso-position-horizontal-relative:page;width:45.35pt;height:11.8pt;z-index:-251446272;" o:allowincell="f" fillcolor="#000000" filled="true" stroked="false" type="#_x0000_t136">
          <v:textpath style="font-family:&quot;FangSong&quot;;font-size:11.5;v-text-kern:t;mso-text-shadow:auto" string="项目绩效"/>
        </v:shape>
      </w:pict>
    </w:r>
    <w:r>
      <w:pict>
        <v:shape id="PowerPlusWaterMarkObject420" style="position:absolute;margin-left:97.5647pt;margin-top:569.668pt;mso-position-vertical-relative:page;mso-position-horizontal-relative:page;width:11pt;height:11.8pt;z-index:-251445248;" o:allowincell="f" fillcolor="#000000" filled="true" stroked="false" type="#_x0000_t136">
          <v:textpath style="font-family:&quot;FangSong&quot;;font-size:11.5;v-text-kern:t;mso-text-shadow:auto" string="25"/>
        </v:shape>
      </w:pict>
    </w:r>
    <w:r>
      <w:pict>
        <v:shape id="PowerPlusWaterMarkObject422" style="position:absolute;margin-left:86.92pt;margin-top:532.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24" style="position:absolute;margin-left:491.92pt;margin-top:532.106pt;mso-position-vertical-relative:page;mso-position-horizontal-relative:page;width:119.4pt;height:18.85pt;z-index:-251444224;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13.08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391.92pt;margin-top:776.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_x0000_s430" style="position:absolute;margin-left:30pt;margin-top:29.5pt;mso-position-vertical-relative:page;mso-position-horizontal-relative:page;width:535pt;height:1pt;z-index:-251441152;"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432" style="position:absolute;margin-left:86.92pt;margin-top:27.7633pt;mso-position-vertical-relative:text;mso-position-horizontal-relative:text;width:119.4pt;height:18.85pt;z-index:-251435008;rotation:330;" fillcolor="#404040" filled="true" stroked="false" type="#_x0000_t136">
          <v:fill opacity="0.400000"/>
          <v:textpath style="font-family:&quot;SimSun&quot;;font-size:20;v-text-kern:t;mso-text-shadow:auto" string="仅供内部审核"/>
        </v:shape>
      </w:pict>
    </w:r>
    <w:r>
      <w:pict>
        <v:shape id="PowerPlusWaterMarkObject434" style="position:absolute;margin-left:-13.08pt;margin-top:776.106pt;mso-position-vertical-relative:page;mso-position-horizontal-relative:page;width:119.4pt;height:18.85pt;z-index:-251437056;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391.92pt;margin-top:776.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_x0000_s438" style="position:absolute;margin-left:30pt;margin-top:29.5pt;mso-position-vertical-relative:page;mso-position-horizontal-relative:page;width:535pt;height:1pt;z-index:-251436032;"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10" style="position:absolute;margin-left:86.92pt;margin-top:27.7633pt;mso-position-vertical-relative:text;mso-position-horizontal-relative:text;width:119.4pt;height:18.85pt;z-index:-251426816;rotation:330;" fillcolor="#404040" filled="true" stroked="false" type="#_x0000_t136">
          <v:fill opacity="0.400000"/>
          <v:textpath style="font-family:&quot;SimSun&quot;;font-size:20;v-text-kern:t;mso-text-shadow:auto" string="仅供内部审核"/>
        </v:shape>
      </w:pict>
    </w:r>
    <w:r>
      <w:pict>
        <v:shape id="PowerPlusWaterMarkObject512" style="position:absolute;margin-left:-13.08pt;margin-top:288.105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514" style="position:absolute;margin-left:391.92pt;margin-top:288.105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516" style="position:absolute;margin-left:86.92pt;margin-top:532.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518" style="position:absolute;margin-left:-13.08pt;margin-top:776.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520" style="position:absolute;margin-left:491.92pt;margin-top:532.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522" style="position:absolute;margin-left:391.92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_x0000_s524" style="position:absolute;margin-left:30pt;margin-top:29.5pt;mso-position-vertical-relative:page;mso-position-horizontal-relative:page;width:535pt;height:1pt;z-index:-251427840;"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08" style="position:absolute;margin-left:86.92pt;margin-top:27.7633pt;mso-position-vertical-relative:text;mso-position-horizontal-relative:text;width:119.4pt;height:18.85pt;z-index:-251417600;rotation:330;" fillcolor="#404040" filled="true" stroked="false" type="#_x0000_t136">
          <v:fill opacity="0.400000"/>
          <v:textpath style="font-family:&quot;SimSun&quot;;font-size:20;v-text-kern:t;mso-text-shadow:auto" string="仅供内部审核"/>
        </v:shape>
      </w:pict>
    </w:r>
    <w:r>
      <w:pict>
        <v:shape id="PowerPlusWaterMarkObject610" style="position:absolute;margin-left:-13.08pt;margin-top:288.105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612" style="position:absolute;margin-left:491.92pt;margin-top:44.1055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614" style="position:absolute;margin-left:391.92pt;margin-top:288.105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616" style="position:absolute;margin-left:86.92pt;margin-top:532.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618" style="position:absolute;margin-left:-13.08pt;margin-top:776.106pt;mso-position-vertical-relative:page;mso-position-horizontal-relative:page;width:119.4pt;height:18.85pt;z-index:-251420672;rotation:330;" o:allowincell="f" fillcolor="#404040" filled="true" stroked="false" type="#_x0000_t136">
          <v:fill opacity="0.400000"/>
          <v:textpath style="font-family:&quot;SimSun&quot;;font-size:20;v-text-kern:t;mso-text-shadow:auto" string="仅供内部审核"/>
        </v:shape>
      </w:pict>
    </w:r>
    <w:r>
      <w:pict>
        <v:shape id="PowerPlusWaterMarkObject620" style="position:absolute;margin-left:491.92pt;margin-top:532.106pt;mso-position-vertical-relative:page;mso-position-horizontal-relative:page;width:119.4pt;height:18.85pt;z-index:-251422720;rotation:330;" o:allowincell="f" fillcolor="#404040" filled="true" stroked="false" type="#_x0000_t136">
          <v:fill opacity="0.400000"/>
          <v:textpath style="font-family:&quot;SimSun&quot;;font-size:20;v-text-kern:t;mso-text-shadow:auto" string="仅供内部审核"/>
        </v:shape>
      </w:pict>
    </w:r>
    <w:r>
      <w:pict>
        <v:shape id="PowerPlusWaterMarkObject622" style="position:absolute;margin-left:391.92pt;margin-top:776.106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_x0000_s624" style="position:absolute;margin-left:30pt;margin-top:29.5pt;mso-position-vertical-relative:page;mso-position-horizontal-relative:page;width:535pt;height:1pt;z-index:-251419648;"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sz w:val="16"/>
        <w:szCs w:val="16"/>
        <w:spacing w:val="-2"/>
        <w:position w:val="1"/>
      </w:rPr>
      <w:t>兴县罗峪口镇中心卫生院2025年单位预算公开报告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9"/>
      <w:spacing w:before="32" w:line="210" w:lineRule="exact"/>
      <w:rPr>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5.911pt;margin-top:325.754pt;mso-position-vertical-relative:page;mso-position-horizontal-relative:page;width:7.15pt;height:7.9pt;z-index:-251586560;" o:allowincell="f" fillcolor="#212529" filled="true" stroked="false" type="#_x0000_t136">
          <v:textpath style="font-family:&quot;SimSun&quot;;font-size:7.5;v-text-kern:t;mso-text-shadow:auto" string="12"/>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sz w:val="16"/>
        <w:szCs w:val="16"/>
        <w:spacing w:val="-2"/>
        <w:position w:val="1"/>
      </w:rPr>
      <w:t>兴县罗峪口镇中心卫生院2025年单位预算公开报告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0" Type="http://schemas.openxmlformats.org/officeDocument/2006/relationships/fontTable" Target="fontTable.xml"/><Relationship Id="rId8" Type="http://schemas.openxmlformats.org/officeDocument/2006/relationships/footer" Target="footer2.xml"/><Relationship Id="rId79" Type="http://schemas.openxmlformats.org/officeDocument/2006/relationships/styles" Target="styles.xml"/><Relationship Id="rId78" Type="http://schemas.openxmlformats.org/officeDocument/2006/relationships/settings" Target="settings.xml"/><Relationship Id="rId77" Type="http://schemas.openxmlformats.org/officeDocument/2006/relationships/footer" Target="footer35.xml"/><Relationship Id="rId76" Type="http://schemas.openxmlformats.org/officeDocument/2006/relationships/header" Target="header23.xml"/><Relationship Id="rId75" Type="http://schemas.openxmlformats.org/officeDocument/2006/relationships/image" Target="media/image20.png"/><Relationship Id="rId74" Type="http://schemas.openxmlformats.org/officeDocument/2006/relationships/footer" Target="footer34.xml"/><Relationship Id="rId73" Type="http://schemas.openxmlformats.org/officeDocument/2006/relationships/image" Target="media/image19.png"/><Relationship Id="rId72" Type="http://schemas.openxmlformats.org/officeDocument/2006/relationships/footer" Target="footer33.xml"/><Relationship Id="rId71" Type="http://schemas.openxmlformats.org/officeDocument/2006/relationships/image" Target="media/image18.png"/><Relationship Id="rId70" Type="http://schemas.openxmlformats.org/officeDocument/2006/relationships/footer" Target="footer32.xml"/><Relationship Id="rId7" Type="http://schemas.openxmlformats.org/officeDocument/2006/relationships/header" Target="header5.xml"/><Relationship Id="rId69" Type="http://schemas.openxmlformats.org/officeDocument/2006/relationships/image" Target="media/image17.png"/><Relationship Id="rId68" Type="http://schemas.openxmlformats.org/officeDocument/2006/relationships/footer" Target="footer31.xml"/><Relationship Id="rId67" Type="http://schemas.openxmlformats.org/officeDocument/2006/relationships/image" Target="media/image16.png"/><Relationship Id="rId66" Type="http://schemas.openxmlformats.org/officeDocument/2006/relationships/footer" Target="footer30.xml"/><Relationship Id="rId65" Type="http://schemas.openxmlformats.org/officeDocument/2006/relationships/image" Target="media/image15.png"/><Relationship Id="rId64" Type="http://schemas.openxmlformats.org/officeDocument/2006/relationships/footer" Target="footer29.xml"/><Relationship Id="rId63" Type="http://schemas.openxmlformats.org/officeDocument/2006/relationships/image" Target="media/image14.png"/><Relationship Id="rId62" Type="http://schemas.openxmlformats.org/officeDocument/2006/relationships/footer" Target="footer28.xml"/><Relationship Id="rId61" Type="http://schemas.openxmlformats.org/officeDocument/2006/relationships/image" Target="media/image13.png"/><Relationship Id="rId60" Type="http://schemas.openxmlformats.org/officeDocument/2006/relationships/footer" Target="footer27.xml"/><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2.png"/><Relationship Id="rId57" Type="http://schemas.openxmlformats.org/officeDocument/2006/relationships/footer" Target="footer25.xml"/><Relationship Id="rId56" Type="http://schemas.openxmlformats.org/officeDocument/2006/relationships/header" Target="header22.xml"/><Relationship Id="rId55" Type="http://schemas.openxmlformats.org/officeDocument/2006/relationships/image" Target="media/image11.png"/><Relationship Id="rId54" Type="http://schemas.openxmlformats.org/officeDocument/2006/relationships/footer" Target="footer24.xml"/><Relationship Id="rId53" Type="http://schemas.openxmlformats.org/officeDocument/2006/relationships/image" Target="media/image10.png"/><Relationship Id="rId52" Type="http://schemas.openxmlformats.org/officeDocument/2006/relationships/footer" Target="footer23.xml"/><Relationship Id="rId51" Type="http://schemas.openxmlformats.org/officeDocument/2006/relationships/image" Target="media/image9.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2025-09-25T17:56:50Z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2025-09-25T20:26:08</vt:filetime>
  </property>
</Properties>
</file>