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3740"/>
        <w:spacing w:before="126" w:line="196" w:lineRule="auto"/>
        <w:rPr/>
      </w:pPr>
      <w:r>
        <w:rPr>
          <w:spacing w:val="-7"/>
        </w:rPr>
        <w:t>兴</w:t>
      </w:r>
      <w:r>
        <w:rPr>
          <w:spacing w:val="50"/>
        </w:rPr>
        <w:t xml:space="preserve"> </w:t>
      </w:r>
      <w:r>
        <w:rPr>
          <w:spacing w:val="-7"/>
        </w:rPr>
        <w:t>县</w:t>
      </w:r>
      <w:r>
        <w:rPr>
          <w:spacing w:val="48"/>
        </w:rPr>
        <w:t xml:space="preserve"> </w:t>
      </w:r>
      <w:r>
        <w:rPr>
          <w:spacing w:val="-7"/>
        </w:rPr>
        <w:t>孟</w:t>
      </w:r>
      <w:r>
        <w:rPr>
          <w:spacing w:val="51"/>
        </w:rPr>
        <w:t xml:space="preserve"> </w:t>
      </w:r>
      <w:r>
        <w:rPr>
          <w:spacing w:val="-7"/>
        </w:rPr>
        <w:t>家</w:t>
      </w:r>
      <w:r>
        <w:rPr>
          <w:spacing w:val="42"/>
        </w:rPr>
        <w:t xml:space="preserve"> </w:t>
      </w:r>
      <w:r>
        <w:rPr>
          <w:spacing w:val="-7"/>
        </w:rPr>
        <w:t>坪</w:t>
      </w:r>
      <w:r>
        <w:rPr>
          <w:spacing w:val="54"/>
        </w:rPr>
        <w:t xml:space="preserve"> </w:t>
      </w:r>
      <w:r>
        <w:rPr>
          <w:spacing w:val="-7"/>
        </w:rPr>
        <w:t>乡</w:t>
      </w:r>
      <w:r>
        <w:rPr>
          <w:spacing w:val="47"/>
        </w:rPr>
        <w:t xml:space="preserve"> </w:t>
      </w:r>
      <w:r>
        <w:rPr>
          <w:spacing w:val="-7"/>
        </w:rPr>
        <w:t>卫</w:t>
      </w:r>
      <w:r>
        <w:rPr>
          <w:spacing w:val="70"/>
        </w:rPr>
        <w:t xml:space="preserve"> </w:t>
      </w:r>
      <w:r>
        <w:rPr>
          <w:spacing w:val="-7"/>
        </w:rPr>
        <w:t>生</w:t>
      </w:r>
      <w:r>
        <w:rPr>
          <w:spacing w:val="69"/>
        </w:rPr>
        <w:t xml:space="preserve"> </w:t>
      </w:r>
      <w:r>
        <w:rPr>
          <w:spacing w:val="-7"/>
        </w:rPr>
        <w:t>院</w:t>
      </w:r>
    </w:p>
    <w:p>
      <w:pPr>
        <w:spacing w:line="268" w:lineRule="auto"/>
        <w:rPr>
          <w:rFonts w:ascii="Arial"/>
          <w:sz w:val="21"/>
        </w:rPr>
      </w:pPr>
      <w:r/>
    </w:p>
    <w:p>
      <w:pPr>
        <w:spacing w:line="269" w:lineRule="auto"/>
        <w:rPr>
          <w:rFonts w:ascii="Arial"/>
          <w:sz w:val="21"/>
        </w:rPr>
      </w:pPr>
      <w:r/>
    </w:p>
    <w:p>
      <w:pPr>
        <w:pStyle w:val="BodyText"/>
        <w:ind w:left="3276"/>
        <w:spacing w:before="125" w:line="536" w:lineRule="exact"/>
        <w:rPr/>
      </w:pPr>
      <w:r>
        <w:rPr>
          <w:spacing w:val="-10"/>
          <w:position w:val="6"/>
        </w:rPr>
        <w:t>2</w:t>
      </w:r>
      <w:r>
        <w:rPr>
          <w:spacing w:val="60"/>
          <w:position w:val="6"/>
        </w:rPr>
        <w:t xml:space="preserve"> </w:t>
      </w:r>
      <w:r>
        <w:rPr>
          <w:spacing w:val="-10"/>
          <w:position w:val="6"/>
        </w:rPr>
        <w:t>0</w:t>
      </w:r>
      <w:r>
        <w:rPr>
          <w:spacing w:val="54"/>
          <w:position w:val="6"/>
        </w:rPr>
        <w:t xml:space="preserve"> </w:t>
      </w:r>
      <w:r>
        <w:rPr>
          <w:spacing w:val="-10"/>
          <w:position w:val="6"/>
        </w:rPr>
        <w:t>2</w:t>
      </w:r>
      <w:r>
        <w:rPr>
          <w:spacing w:val="58"/>
          <w:position w:val="6"/>
        </w:rPr>
        <w:t xml:space="preserve"> </w:t>
      </w:r>
      <w:r>
        <w:rPr>
          <w:spacing w:val="-10"/>
          <w:position w:val="6"/>
        </w:rPr>
        <w:t>3</w:t>
      </w:r>
      <w:r>
        <w:rPr>
          <w:spacing w:val="51"/>
          <w:position w:val="6"/>
        </w:rPr>
        <w:t xml:space="preserve"> </w:t>
      </w:r>
      <w:r>
        <w:rPr>
          <w:spacing w:val="-10"/>
          <w:position w:val="6"/>
        </w:rPr>
        <w:t>年</w:t>
      </w:r>
      <w:r>
        <w:rPr>
          <w:spacing w:val="53"/>
          <w:position w:val="6"/>
        </w:rPr>
        <w:t xml:space="preserve"> </w:t>
      </w:r>
      <w:r>
        <w:rPr>
          <w:spacing w:val="-10"/>
          <w:position w:val="6"/>
        </w:rPr>
        <w:t>度</w:t>
      </w:r>
      <w:r>
        <w:rPr>
          <w:spacing w:val="53"/>
          <w:position w:val="6"/>
        </w:rPr>
        <w:t xml:space="preserve"> </w:t>
      </w:r>
      <w:r>
        <w:rPr>
          <w:spacing w:val="-10"/>
          <w:position w:val="6"/>
        </w:rPr>
        <w:t>单</w:t>
      </w:r>
      <w:r>
        <w:rPr>
          <w:spacing w:val="47"/>
          <w:position w:val="6"/>
        </w:rPr>
        <w:t xml:space="preserve"> </w:t>
      </w:r>
      <w:r>
        <w:rPr>
          <w:spacing w:val="-10"/>
          <w:position w:val="6"/>
        </w:rPr>
        <w:t>位</w:t>
      </w:r>
      <w:r>
        <w:rPr>
          <w:spacing w:val="50"/>
          <w:position w:val="6"/>
        </w:rPr>
        <w:t xml:space="preserve"> </w:t>
      </w:r>
      <w:r>
        <w:rPr>
          <w:spacing w:val="-10"/>
          <w:position w:val="6"/>
        </w:rPr>
        <w:t>决</w:t>
      </w:r>
      <w:r>
        <w:rPr>
          <w:spacing w:val="55"/>
          <w:position w:val="6"/>
        </w:rPr>
        <w:t xml:space="preserve"> </w:t>
      </w:r>
      <w:r>
        <w:rPr>
          <w:spacing w:val="-10"/>
          <w:position w:val="6"/>
        </w:rPr>
        <w:t>算</w:t>
      </w:r>
      <w:r>
        <w:rPr>
          <w:spacing w:val="46"/>
          <w:position w:val="6"/>
        </w:rPr>
        <w:t xml:space="preserve"> </w:t>
      </w:r>
      <w:r>
        <w:rPr>
          <w:spacing w:val="-10"/>
          <w:position w:val="6"/>
        </w:rPr>
        <w:t>公</w:t>
      </w:r>
      <w:r>
        <w:rPr>
          <w:spacing w:val="52"/>
          <w:position w:val="6"/>
        </w:rPr>
        <w:t xml:space="preserve"> </w:t>
      </w:r>
      <w:r>
        <w:rPr>
          <w:spacing w:val="-10"/>
          <w:position w:val="6"/>
        </w:rPr>
        <w:t>开</w:t>
      </w:r>
    </w:p>
    <w:p>
      <w:pPr>
        <w:spacing w:line="536" w:lineRule="exact"/>
        <w:sectPr>
          <w:headerReference w:type="default" r:id="rId1"/>
          <w:pgSz w:w="11900" w:h="16840"/>
          <w:pgMar w:top="400" w:right="0" w:bottom="0" w:left="0" w:header="0" w:footer="0" w:gutter="0"/>
        </w:sectPr>
        <w:rPr/>
      </w:pPr>
    </w:p>
    <w:p>
      <w:pPr>
        <w:spacing w:line="456" w:lineRule="auto"/>
        <w:rPr>
          <w:rFonts w:ascii="Arial"/>
          <w:sz w:val="21"/>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spacing w:line="267" w:lineRule="auto"/>
        <w:rPr>
          <w:rFonts w:ascii="Arial"/>
          <w:sz w:val="21"/>
        </w:rPr>
      </w:pPr>
      <w:r/>
    </w:p>
    <w:p>
      <w:pPr>
        <w:spacing w:line="268" w:lineRule="auto"/>
        <w:rPr>
          <w:rFonts w:ascii="Arial"/>
          <w:sz w:val="21"/>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7"/>
              </w:rPr>
              <w:t xml:space="preserve"> </w:t>
            </w:r>
            <w:r>
              <w:rPr>
                <w:rFonts w:ascii="FangSong" w:hAnsi="FangSong" w:eastAsia="FangSong" w:cs="FangSong"/>
                <w:sz w:val="26"/>
                <w:szCs w:val="26"/>
              </w:rPr>
              <w:t>4</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6"/>
              </w:rPr>
              <w:t xml:space="preserve"> </w:t>
            </w:r>
            <w:r>
              <w:rPr>
                <w:rFonts w:ascii="FangSong" w:hAnsi="FangSong" w:eastAsia="FangSong" w:cs="FangSong"/>
                <w:sz w:val="26"/>
                <w:szCs w:val="26"/>
              </w:rPr>
              <w:t>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65"/>
              </w:rPr>
              <w:t xml:space="preserve"> </w:t>
            </w:r>
            <w:r>
              <w:rPr>
                <w:rFonts w:ascii="FangSong" w:hAnsi="FangSong" w:eastAsia="FangSong" w:cs="FangSong"/>
                <w:sz w:val="26"/>
                <w:szCs w:val="26"/>
              </w:rPr>
              <w:t>7</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8</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10</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11</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12</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13</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14</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14</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14</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14</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14</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14</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18</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spacing w:line="309" w:lineRule="auto"/>
        <w:rPr>
          <w:rFonts w:ascii="Arial"/>
          <w:sz w:val="21"/>
        </w:rPr>
      </w:pPr>
      <w:r/>
    </w:p>
    <w:p>
      <w:pPr>
        <w:spacing w:line="310" w:lineRule="auto"/>
        <w:rPr>
          <w:rFonts w:ascii="Arial"/>
          <w:sz w:val="21"/>
        </w:rPr>
      </w:pPr>
      <w:r/>
    </w:p>
    <w:p>
      <w:pPr>
        <w:ind w:left="5129"/>
        <w:spacing w:before="82" w:line="222" w:lineRule="auto"/>
        <w:outlineLvl w:val="0"/>
        <w:rPr>
          <w:rFonts w:ascii="SimHei" w:hAnsi="SimHei" w:eastAsia="SimHei" w:cs="SimHei"/>
          <w:sz w:val="25"/>
          <w:szCs w:val="25"/>
        </w:rPr>
      </w:pPr>
      <w:bookmarkStart w:name="bookmark29" w:id="2"/>
      <w:bookmarkEnd w:id="2"/>
      <w:bookmarkStart w:name="bookmark2" w:id="3"/>
      <w:bookmarkEnd w:id="3"/>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4"/>
      <w:bookmarkEnd w:id="4"/>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3、实施国家基本药物制度和城乡居民医疗保险</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5"/>
      <w:bookmarkEnd w:id="5"/>
      <w:r>
        <w:rPr>
          <w:rFonts w:ascii="SimHei" w:hAnsi="SimHei" w:eastAsia="SimHei" w:cs="SimHei"/>
          <w:sz w:val="25"/>
          <w:szCs w:val="25"/>
        </w:rPr>
        <w:t>二、机构设置情况</w:t>
      </w:r>
    </w:p>
    <w:p>
      <w:pPr>
        <w:ind w:left="1312"/>
        <w:spacing w:before="131" w:line="223" w:lineRule="auto"/>
        <w:rPr>
          <w:rFonts w:ascii="FangSong" w:hAnsi="FangSong" w:eastAsia="FangSong" w:cs="FangSong"/>
          <w:sz w:val="25"/>
          <w:szCs w:val="25"/>
        </w:rPr>
      </w:pPr>
      <w:r>
        <w:rPr>
          <w:rFonts w:ascii="FangSong" w:hAnsi="FangSong" w:eastAsia="FangSong" w:cs="FangSong"/>
          <w:sz w:val="25"/>
          <w:szCs w:val="25"/>
        </w:rPr>
        <w:t>兴县孟家坪乡卫生院机构设置及人员编制情况</w:t>
      </w:r>
    </w:p>
    <w:p>
      <w:pPr>
        <w:ind w:left="1312"/>
        <w:spacing w:before="130" w:line="222" w:lineRule="auto"/>
        <w:rPr>
          <w:rFonts w:ascii="FangSong" w:hAnsi="FangSong" w:eastAsia="FangSong" w:cs="FangSong"/>
          <w:sz w:val="25"/>
          <w:szCs w:val="25"/>
        </w:rPr>
      </w:pPr>
      <w:r>
        <w:rPr>
          <w:rFonts w:ascii="FangSong" w:hAnsi="FangSong" w:eastAsia="FangSong" w:cs="FangSong"/>
          <w:sz w:val="25"/>
          <w:szCs w:val="25"/>
          <w:spacing w:val="1"/>
        </w:rPr>
        <w:t>兴县孟家坪乡卫生院是兴县医疗集团下属的独立核算的二级事业单位。</w:t>
      </w:r>
    </w:p>
    <w:p>
      <w:pPr>
        <w:ind w:left="1310"/>
        <w:spacing w:before="131" w:line="222" w:lineRule="auto"/>
        <w:rPr>
          <w:rFonts w:ascii="FangSong" w:hAnsi="FangSong" w:eastAsia="FangSong" w:cs="FangSong"/>
          <w:sz w:val="25"/>
          <w:szCs w:val="25"/>
        </w:rPr>
      </w:pPr>
      <w:r>
        <w:rPr>
          <w:rFonts w:ascii="FangSong" w:hAnsi="FangSong" w:eastAsia="FangSong" w:cs="FangSong"/>
          <w:sz w:val="25"/>
          <w:szCs w:val="25"/>
          <w:spacing w:val="1"/>
        </w:rPr>
        <w:t>人员构成：设院长1名，副院长2名，工作人员</w:t>
      </w:r>
      <w:r>
        <w:rPr>
          <w:rFonts w:ascii="FangSong" w:hAnsi="FangSong" w:eastAsia="FangSong" w:cs="FangSong"/>
          <w:sz w:val="25"/>
          <w:szCs w:val="25"/>
        </w:rPr>
        <w:t>10名。</w:t>
      </w:r>
    </w:p>
    <w:p>
      <w:pPr>
        <w:spacing w:line="222" w:lineRule="auto"/>
        <w:sectPr>
          <w:headerReference w:type="default" r:id="rId3"/>
          <w:footerReference w:type="default" r:id="rId4"/>
          <w:pgSz w:w="11900" w:h="16840"/>
          <w:pgMar w:top="642" w:right="0" w:bottom="340" w:left="0" w:header="326" w:footer="91" w:gutter="0"/>
        </w:sectPr>
        <w:rPr>
          <w:rFonts w:ascii="FangSong" w:hAnsi="FangSong" w:eastAsia="FangSong" w:cs="FangSong"/>
          <w:sz w:val="25"/>
          <w:szCs w:val="25"/>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4372"/>
        <w:spacing w:before="81" w:line="223" w:lineRule="auto"/>
        <w:outlineLvl w:val="0"/>
        <w:rPr>
          <w:rFonts w:ascii="SimHei" w:hAnsi="SimHei" w:eastAsia="SimHei" w:cs="SimHei"/>
          <w:sz w:val="25"/>
          <w:szCs w:val="25"/>
        </w:rPr>
      </w:pPr>
      <w:bookmarkStart w:name="bookmark30" w:id="6"/>
      <w:bookmarkEnd w:id="6"/>
      <w:bookmarkStart w:name="bookmark5" w:id="7"/>
      <w:bookmarkEnd w:id="7"/>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8"/>
            <w:bookmarkEnd w:id="8"/>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7" w:lineRule="auto"/>
              <w:rPr>
                <w:sz w:val="15"/>
                <w:szCs w:val="15"/>
              </w:rPr>
            </w:pPr>
            <w:r>
              <w:rPr>
                <w:sz w:val="15"/>
                <w:szCs w:val="15"/>
                <w:color w:val="212529"/>
                <w:spacing w:val="5"/>
              </w:rPr>
              <w:t>部门名称：兴县孟家坪乡卫生院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223.55</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left="1217"/>
              <w:spacing w:before="133" w:line="200" w:lineRule="exact"/>
              <w:rPr>
                <w:sz w:val="15"/>
                <w:szCs w:val="15"/>
              </w:rPr>
            </w:pPr>
            <w:r>
              <w:rPr>
                <w:sz w:val="15"/>
                <w:szCs w:val="15"/>
                <w:color w:val="212529"/>
                <w:spacing w:val="-1"/>
                <w:position w:val="1"/>
              </w:rPr>
              <w:t>11.79</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pStyle w:val="TableText"/>
              <w:ind w:right="25"/>
              <w:spacing w:before="133" w:line="200" w:lineRule="exact"/>
              <w:jc w:val="right"/>
              <w:rPr>
                <w:sz w:val="15"/>
                <w:szCs w:val="15"/>
              </w:rPr>
            </w:pPr>
            <w:r>
              <w:rPr>
                <w:sz w:val="15"/>
                <w:szCs w:val="15"/>
                <w:color w:val="212529"/>
                <w:spacing w:val="1"/>
                <w:position w:val="1"/>
              </w:rPr>
              <w:t>9.84</w:t>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left="1151"/>
              <w:spacing w:before="133" w:line="200" w:lineRule="exact"/>
              <w:rPr>
                <w:sz w:val="15"/>
                <w:szCs w:val="15"/>
              </w:rPr>
            </w:pPr>
            <w:r>
              <w:rPr>
                <w:sz w:val="15"/>
                <w:szCs w:val="15"/>
                <w:color w:val="212529"/>
                <w:spacing w:val="-1"/>
                <w:position w:val="1"/>
              </w:rPr>
              <w:t>12.47</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237.95</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left="1151"/>
              <w:spacing w:before="134" w:line="200" w:lineRule="exact"/>
              <w:rPr>
                <w:sz w:val="15"/>
                <w:szCs w:val="15"/>
              </w:rPr>
            </w:pPr>
            <w:r>
              <w:rPr>
                <w:sz w:val="15"/>
                <w:szCs w:val="15"/>
                <w:color w:val="212529"/>
                <w:spacing w:val="-1"/>
                <w:position w:val="1"/>
              </w:rPr>
              <w:t>11.42</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rPr>
          <w:rFonts w:ascii="Arial"/>
          <w:sz w:val="21"/>
        </w:rPr>
      </w:pPr>
      <w:r/>
    </w:p>
    <w:p>
      <w:pPr>
        <w:sectPr>
          <w:headerReference w:type="default" r:id="rId5"/>
          <w:footerReference w:type="default" r:id="rId6"/>
          <w:pgSz w:w="11900" w:h="16840"/>
          <w:pgMar w:top="642" w:right="0" w:bottom="340" w:left="0" w:header="326" w:footer="91" w:gutter="0"/>
        </w:sectPr>
        <w:rPr>
          <w:rFonts w:ascii="Arial" w:hAnsi="Arial" w:eastAsia="Arial" w:cs="Arial"/>
          <w:sz w:val="21"/>
          <w:szCs w:val="21"/>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1" w:id="9"/>
            <w:bookmarkEnd w:id="9"/>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2"/>
              </w:rPr>
              <w:t>245.18</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2"/>
              </w:rPr>
              <w:t>261.83</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08"/>
              <w:spacing w:before="129" w:line="200" w:lineRule="exact"/>
              <w:rPr>
                <w:sz w:val="15"/>
                <w:szCs w:val="15"/>
              </w:rPr>
            </w:pPr>
            <w:r>
              <w:rPr>
                <w:sz w:val="15"/>
                <w:szCs w:val="15"/>
                <w:color w:val="212529"/>
                <w:spacing w:val="1"/>
                <w:position w:val="1"/>
              </w:rPr>
              <w:t>29.07</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left="1151"/>
              <w:spacing w:before="129" w:line="200" w:lineRule="exact"/>
              <w:rPr>
                <w:sz w:val="15"/>
                <w:szCs w:val="15"/>
              </w:rPr>
            </w:pPr>
            <w:r>
              <w:rPr>
                <w:sz w:val="15"/>
                <w:szCs w:val="15"/>
                <w:color w:val="212529"/>
                <w:spacing w:val="-1"/>
                <w:position w:val="1"/>
              </w:rPr>
              <w:t>12.42</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2"/>
              </w:rPr>
              <w:t>274.25</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2"/>
              </w:rPr>
              <w:t>274.25</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spacing w:before="58"/>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93"/>
        <w:gridCol w:w="1583"/>
        <w:gridCol w:w="1067"/>
        <w:gridCol w:w="1067"/>
        <w:gridCol w:w="719"/>
        <w:gridCol w:w="1019"/>
        <w:gridCol w:w="743"/>
        <w:gridCol w:w="708"/>
        <w:gridCol w:w="917"/>
      </w:tblGrid>
      <w:tr>
        <w:trPr>
          <w:trHeight w:val="319"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5" w:line="221" w:lineRule="auto"/>
              <w:outlineLvl w:val="1"/>
              <w:rPr>
                <w:sz w:val="22"/>
                <w:szCs w:val="22"/>
              </w:rPr>
            </w:pPr>
            <w:bookmarkStart w:name="bookmark7" w:id="10"/>
            <w:bookmarkEnd w:id="10"/>
            <w:r>
              <w:rPr>
                <w:sz w:val="22"/>
                <w:szCs w:val="22"/>
                <w:color w:val="212529"/>
                <w:spacing w:val="4"/>
              </w:rPr>
              <w:t>收入决算表</w:t>
            </w:r>
          </w:p>
        </w:tc>
      </w:tr>
      <w:tr>
        <w:trPr>
          <w:trHeight w:val="314" w:hRule="atLeast"/>
        </w:trPr>
        <w:tc>
          <w:tcPr>
            <w:tcW w:w="119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8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1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1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4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0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17" w:type="dxa"/>
            <w:vAlign w:val="top"/>
            <w:tcBorders>
              <w:bottom w:val="single" w:color="FFFFFF" w:sz="4" w:space="0"/>
              <w:top w:val="single" w:color="FFFFFF" w:sz="4" w:space="0"/>
              <w:left w:val="single" w:color="FFFFFF" w:sz="2" w:space="0"/>
              <w:right w:val="single" w:color="FFFFFF" w:sz="2" w:space="0"/>
            </w:tcBorders>
          </w:tcPr>
          <w:p>
            <w:pPr>
              <w:pStyle w:val="TableText"/>
              <w:ind w:left="317"/>
              <w:spacing w:before="77" w:line="226" w:lineRule="auto"/>
              <w:rPr>
                <w:sz w:val="14"/>
                <w:szCs w:val="14"/>
              </w:rPr>
            </w:pPr>
            <w:r>
              <w:rPr>
                <w:sz w:val="14"/>
                <w:szCs w:val="14"/>
                <w:color w:val="212529"/>
              </w:rPr>
              <w:t>公开02表</w:t>
            </w:r>
          </w:p>
        </w:tc>
      </w:tr>
      <w:tr>
        <w:trPr>
          <w:trHeight w:val="314" w:hRule="atLeast"/>
        </w:trPr>
        <w:tc>
          <w:tcPr>
            <w:tcW w:w="3843" w:type="dxa"/>
            <w:vAlign w:val="top"/>
            <w:gridSpan w:val="3"/>
            <w:tcBorders>
              <w:top w:val="single" w:color="FFFFFF" w:sz="4" w:space="0"/>
            </w:tcBorders>
          </w:tcPr>
          <w:p>
            <w:pPr>
              <w:pStyle w:val="TableText"/>
              <w:ind w:left="9"/>
              <w:spacing w:before="77" w:line="225" w:lineRule="auto"/>
              <w:rPr>
                <w:sz w:val="14"/>
                <w:szCs w:val="14"/>
              </w:rPr>
            </w:pPr>
            <w:r>
              <w:rPr>
                <w:sz w:val="14"/>
                <w:szCs w:val="14"/>
                <w:color w:val="212529"/>
                <w:spacing w:val="3"/>
              </w:rPr>
              <w:t>部门名称：兴县孟家坪乡卫生院</w:t>
            </w:r>
          </w:p>
        </w:tc>
        <w:tc>
          <w:tcPr>
            <w:tcW w:w="1786" w:type="dxa"/>
            <w:vAlign w:val="top"/>
            <w:gridSpan w:val="2"/>
            <w:tcBorders>
              <w:top w:val="single" w:color="FFFFFF" w:sz="4" w:space="0"/>
            </w:tcBorders>
          </w:tcPr>
          <w:p>
            <w:pPr>
              <w:pStyle w:val="TableText"/>
              <w:ind w:left="572"/>
              <w:spacing w:before="67" w:line="227" w:lineRule="auto"/>
              <w:rPr>
                <w:sz w:val="15"/>
                <w:szCs w:val="15"/>
              </w:rPr>
            </w:pPr>
            <w:r>
              <w:rPr>
                <w:sz w:val="15"/>
                <w:szCs w:val="15"/>
                <w:color w:val="212529"/>
                <w:spacing w:val="2"/>
              </w:rPr>
              <w:t>2023年度</w:t>
            </w:r>
          </w:p>
        </w:tc>
        <w:tc>
          <w:tcPr>
            <w:tcW w:w="1019" w:type="dxa"/>
            <w:vAlign w:val="top"/>
            <w:tcBorders>
              <w:top w:val="single" w:color="FFFFFF" w:sz="4" w:space="0"/>
            </w:tcBorders>
          </w:tcPr>
          <w:p>
            <w:pPr>
              <w:rPr>
                <w:rFonts w:ascii="Arial"/>
                <w:sz w:val="21"/>
              </w:rPr>
            </w:pPr>
            <w:r/>
          </w:p>
        </w:tc>
        <w:tc>
          <w:tcPr>
            <w:tcW w:w="743" w:type="dxa"/>
            <w:vAlign w:val="top"/>
            <w:tcBorders>
              <w:top w:val="single" w:color="FFFFFF" w:sz="4" w:space="0"/>
            </w:tcBorders>
          </w:tcPr>
          <w:p>
            <w:pPr>
              <w:rPr>
                <w:rFonts w:ascii="Arial"/>
                <w:sz w:val="21"/>
              </w:rPr>
            </w:pPr>
            <w:r/>
          </w:p>
        </w:tc>
        <w:tc>
          <w:tcPr>
            <w:tcW w:w="1625" w:type="dxa"/>
            <w:vAlign w:val="top"/>
            <w:gridSpan w:val="2"/>
            <w:tcBorders>
              <w:top w:val="single" w:color="FFFFFF" w:sz="4" w:space="0"/>
            </w:tcBorders>
          </w:tcPr>
          <w:p>
            <w:pPr>
              <w:pStyle w:val="TableText"/>
              <w:ind w:left="587"/>
              <w:spacing w:before="77" w:line="225" w:lineRule="auto"/>
              <w:rPr>
                <w:sz w:val="14"/>
                <w:szCs w:val="14"/>
              </w:rPr>
            </w:pPr>
            <w:r>
              <w:rPr>
                <w:sz w:val="14"/>
                <w:szCs w:val="14"/>
                <w:color w:val="212529"/>
                <w:spacing w:val="2"/>
              </w:rPr>
              <w:t>金额单位：万元</w:t>
            </w:r>
          </w:p>
        </w:tc>
      </w:tr>
      <w:tr>
        <w:trPr>
          <w:trHeight w:val="314" w:hRule="atLeast"/>
        </w:trPr>
        <w:tc>
          <w:tcPr>
            <w:tcW w:w="2776" w:type="dxa"/>
            <w:vAlign w:val="top"/>
            <w:gridSpan w:val="2"/>
          </w:tcPr>
          <w:p>
            <w:pPr>
              <w:pStyle w:val="TableText"/>
              <w:ind w:left="1194"/>
              <w:spacing w:before="46" w:line="220" w:lineRule="auto"/>
              <w:rPr/>
            </w:pPr>
            <w:r>
              <w:rPr>
                <w:color w:val="212529"/>
                <w:spacing w:val="-6"/>
              </w:rPr>
              <w:t>项目</w:t>
            </w:r>
          </w:p>
        </w:tc>
        <w:tc>
          <w:tcPr>
            <w:tcW w:w="1067" w:type="dxa"/>
            <w:vAlign w:val="top"/>
            <w:vMerge w:val="restart"/>
            <w:tcBorders>
              <w:bottom w:val="nil"/>
            </w:tcBorders>
          </w:tcPr>
          <w:p>
            <w:pPr>
              <w:pStyle w:val="TableText"/>
              <w:ind w:left="425" w:right="99" w:hanging="359"/>
              <w:spacing w:before="202" w:line="215" w:lineRule="auto"/>
              <w:rPr/>
            </w:pPr>
            <w:r>
              <w:rPr>
                <w:color w:val="212529"/>
                <w:spacing w:val="-2"/>
              </w:rPr>
              <w:t>本年收入合</w:t>
            </w:r>
            <w:r>
              <w:rPr>
                <w:color w:val="212529"/>
              </w:rPr>
              <w:t>计</w:t>
            </w:r>
          </w:p>
        </w:tc>
        <w:tc>
          <w:tcPr>
            <w:tcW w:w="1067" w:type="dxa"/>
            <w:vAlign w:val="top"/>
            <w:vMerge w:val="restart"/>
            <w:tcBorders>
              <w:bottom w:val="nil"/>
            </w:tcBorders>
          </w:tcPr>
          <w:p>
            <w:pPr>
              <w:pStyle w:val="TableText"/>
              <w:ind w:left="425" w:right="98" w:hanging="358"/>
              <w:spacing w:before="201" w:line="218" w:lineRule="auto"/>
              <w:rPr/>
            </w:pPr>
            <w:r>
              <w:rPr>
                <w:color w:val="212529"/>
                <w:spacing w:val="-2"/>
              </w:rPr>
              <w:t>财政拨款收</w:t>
            </w:r>
            <w:r>
              <w:rPr>
                <w:color w:val="212529"/>
              </w:rPr>
              <w:t>入</w:t>
            </w:r>
          </w:p>
        </w:tc>
        <w:tc>
          <w:tcPr>
            <w:tcW w:w="719" w:type="dxa"/>
            <w:vAlign w:val="top"/>
            <w:vMerge w:val="restart"/>
            <w:tcBorders>
              <w:bottom w:val="nil"/>
            </w:tcBorders>
          </w:tcPr>
          <w:p>
            <w:pPr>
              <w:pStyle w:val="TableText"/>
              <w:ind w:left="75"/>
              <w:spacing w:before="202" w:line="209" w:lineRule="auto"/>
              <w:rPr/>
            </w:pPr>
            <w:r>
              <w:rPr>
                <w:color w:val="212529"/>
                <w:spacing w:val="-4"/>
              </w:rPr>
              <w:t>上级补</w:t>
            </w:r>
          </w:p>
          <w:p>
            <w:pPr>
              <w:pStyle w:val="TableText"/>
              <w:ind w:left="74"/>
              <w:spacing w:line="219" w:lineRule="auto"/>
              <w:rPr/>
            </w:pPr>
            <w:r>
              <w:rPr>
                <w:color w:val="212529"/>
                <w:spacing w:val="-3"/>
              </w:rPr>
              <w:t>助收入</w:t>
            </w:r>
          </w:p>
        </w:tc>
        <w:tc>
          <w:tcPr>
            <w:tcW w:w="1019" w:type="dxa"/>
            <w:vAlign w:val="top"/>
            <w:vMerge w:val="restart"/>
            <w:tcBorders>
              <w:bottom w:val="nil"/>
            </w:tcBorders>
          </w:tcPr>
          <w:p>
            <w:pPr>
              <w:pStyle w:val="TableText"/>
              <w:ind w:left="135"/>
              <w:spacing w:before="299" w:line="219" w:lineRule="auto"/>
              <w:rPr/>
            </w:pPr>
            <w:r>
              <w:rPr>
                <w:color w:val="212529"/>
                <w:spacing w:val="-3"/>
              </w:rPr>
              <w:t>事业收入</w:t>
            </w:r>
          </w:p>
        </w:tc>
        <w:tc>
          <w:tcPr>
            <w:tcW w:w="743" w:type="dxa"/>
            <w:vAlign w:val="top"/>
            <w:vMerge w:val="restart"/>
            <w:tcBorders>
              <w:bottom w:val="nil"/>
            </w:tcBorders>
          </w:tcPr>
          <w:p>
            <w:pPr>
              <w:pStyle w:val="TableText"/>
              <w:ind w:left="267" w:right="112" w:hanging="177"/>
              <w:spacing w:before="201" w:line="218" w:lineRule="auto"/>
              <w:rPr/>
            </w:pPr>
            <w:r>
              <w:rPr>
                <w:color w:val="212529"/>
                <w:spacing w:val="-4"/>
              </w:rPr>
              <w:t>经营收</w:t>
            </w:r>
            <w:r>
              <w:rPr>
                <w:color w:val="212529"/>
              </w:rPr>
              <w:t>入</w:t>
            </w:r>
          </w:p>
        </w:tc>
        <w:tc>
          <w:tcPr>
            <w:tcW w:w="708" w:type="dxa"/>
            <w:vAlign w:val="top"/>
            <w:vMerge w:val="restart"/>
            <w:tcBorders>
              <w:bottom w:val="nil"/>
            </w:tcBorders>
          </w:tcPr>
          <w:p>
            <w:pPr>
              <w:pStyle w:val="TableText"/>
              <w:ind w:left="86"/>
              <w:spacing w:line="207" w:lineRule="auto"/>
              <w:rPr/>
            </w:pPr>
            <w:r>
              <w:rPr>
                <w:color w:val="212529"/>
                <w:spacing w:val="-8"/>
              </w:rPr>
              <w:t>附属单</w:t>
            </w:r>
          </w:p>
          <w:p>
            <w:pPr>
              <w:pStyle w:val="TableText"/>
              <w:ind w:left="252"/>
              <w:spacing w:line="209" w:lineRule="auto"/>
              <w:rPr/>
            </w:pPr>
            <w:r>
              <w:rPr>
                <w:color w:val="212529"/>
              </w:rPr>
              <w:t>位</w:t>
            </w:r>
          </w:p>
          <w:p>
            <w:pPr>
              <w:pStyle w:val="TableText"/>
              <w:ind w:left="73"/>
              <w:spacing w:line="209" w:lineRule="auto"/>
              <w:rPr/>
            </w:pPr>
            <w:r>
              <w:rPr>
                <w:color w:val="212529"/>
                <w:spacing w:val="-4"/>
              </w:rPr>
              <w:t>上缴收</w:t>
            </w:r>
          </w:p>
          <w:p>
            <w:pPr>
              <w:pStyle w:val="TableText"/>
              <w:ind w:left="251"/>
              <w:spacing w:line="201" w:lineRule="auto"/>
              <w:rPr/>
            </w:pPr>
            <w:r>
              <w:rPr>
                <w:color w:val="212529"/>
              </w:rPr>
              <w:t>入</w:t>
            </w:r>
          </w:p>
        </w:tc>
        <w:tc>
          <w:tcPr>
            <w:tcW w:w="917" w:type="dxa"/>
            <w:vAlign w:val="top"/>
            <w:vMerge w:val="restart"/>
            <w:tcBorders>
              <w:bottom w:val="nil"/>
            </w:tcBorders>
          </w:tcPr>
          <w:p>
            <w:pPr>
              <w:pStyle w:val="TableText"/>
              <w:ind w:left="85"/>
              <w:spacing w:before="299" w:line="219" w:lineRule="auto"/>
              <w:rPr/>
            </w:pPr>
            <w:r>
              <w:rPr>
                <w:color w:val="212529"/>
                <w:spacing w:val="-3"/>
              </w:rPr>
              <w:t>其他收入</w:t>
            </w:r>
          </w:p>
        </w:tc>
      </w:tr>
      <w:tr>
        <w:trPr>
          <w:trHeight w:val="493" w:hRule="atLeast"/>
        </w:trPr>
        <w:tc>
          <w:tcPr>
            <w:tcW w:w="1193" w:type="dxa"/>
            <w:vAlign w:val="top"/>
          </w:tcPr>
          <w:p>
            <w:pPr>
              <w:pStyle w:val="TableText"/>
              <w:ind w:left="219"/>
              <w:spacing w:before="142" w:line="219" w:lineRule="auto"/>
              <w:rPr/>
            </w:pPr>
            <w:r>
              <w:rPr>
                <w:color w:val="212529"/>
                <w:spacing w:val="-3"/>
              </w:rPr>
              <w:t>科目代码</w:t>
            </w:r>
          </w:p>
        </w:tc>
        <w:tc>
          <w:tcPr>
            <w:tcW w:w="1583" w:type="dxa"/>
            <w:vAlign w:val="top"/>
          </w:tcPr>
          <w:p>
            <w:pPr>
              <w:pStyle w:val="TableText"/>
              <w:ind w:left="412"/>
              <w:spacing w:before="142" w:line="219" w:lineRule="auto"/>
              <w:rPr/>
            </w:pPr>
            <w:r>
              <w:rPr>
                <w:color w:val="212529"/>
                <w:spacing w:val="-3"/>
              </w:rPr>
              <w:t>科目名称</w:t>
            </w:r>
          </w:p>
        </w:tc>
        <w:tc>
          <w:tcPr>
            <w:tcW w:w="1067" w:type="dxa"/>
            <w:vAlign w:val="top"/>
            <w:vMerge w:val="continue"/>
            <w:tcBorders>
              <w:top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43" w:type="dxa"/>
            <w:vAlign w:val="top"/>
            <w:vMerge w:val="continue"/>
            <w:tcBorders>
              <w:top w:val="nil"/>
            </w:tcBorders>
          </w:tcPr>
          <w:p>
            <w:pPr>
              <w:rPr>
                <w:rFonts w:ascii="Arial"/>
                <w:sz w:val="21"/>
              </w:rPr>
            </w:pPr>
            <w:r/>
          </w:p>
        </w:tc>
        <w:tc>
          <w:tcPr>
            <w:tcW w:w="708" w:type="dxa"/>
            <w:vAlign w:val="top"/>
            <w:vMerge w:val="continue"/>
            <w:tcBorders>
              <w:top w:val="nil"/>
            </w:tcBorders>
          </w:tcPr>
          <w:p>
            <w:pPr>
              <w:rPr>
                <w:rFonts w:ascii="Arial"/>
                <w:sz w:val="21"/>
              </w:rPr>
            </w:pPr>
            <w:r/>
          </w:p>
        </w:tc>
        <w:tc>
          <w:tcPr>
            <w:tcW w:w="917" w:type="dxa"/>
            <w:vAlign w:val="top"/>
            <w:vMerge w:val="continue"/>
            <w:tcBorders>
              <w:top w:val="nil"/>
            </w:tcBorders>
          </w:tcPr>
          <w:p>
            <w:pPr>
              <w:rPr>
                <w:rFonts w:ascii="Arial"/>
                <w:sz w:val="21"/>
              </w:rPr>
            </w:pPr>
            <w:r/>
          </w:p>
        </w:tc>
      </w:tr>
      <w:tr>
        <w:trPr>
          <w:trHeight w:val="314" w:hRule="atLeast"/>
        </w:trPr>
        <w:tc>
          <w:tcPr>
            <w:tcW w:w="2776" w:type="dxa"/>
            <w:vAlign w:val="top"/>
            <w:gridSpan w:val="2"/>
          </w:tcPr>
          <w:p>
            <w:pPr>
              <w:ind w:left="1183"/>
              <w:spacing w:before="66"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067" w:type="dxa"/>
            <w:vAlign w:val="top"/>
          </w:tcPr>
          <w:p>
            <w:pPr>
              <w:ind w:left="479"/>
              <w:spacing w:before="38" w:line="231" w:lineRule="exact"/>
              <w:rPr>
                <w:rFonts w:ascii="Arial" w:hAnsi="Arial" w:eastAsia="Arial" w:cs="Arial"/>
                <w:sz w:val="18"/>
                <w:szCs w:val="18"/>
              </w:rPr>
            </w:pPr>
            <w:r>
              <w:rPr>
                <w:rFonts w:ascii="Arial" w:hAnsi="Arial" w:eastAsia="Arial" w:cs="Arial"/>
                <w:sz w:val="18"/>
                <w:szCs w:val="18"/>
                <w:b/>
                <w:bCs/>
                <w:color w:val="212529"/>
              </w:rPr>
              <w:t>1</w:t>
            </w:r>
          </w:p>
        </w:tc>
        <w:tc>
          <w:tcPr>
            <w:tcW w:w="1067" w:type="dxa"/>
            <w:vAlign w:val="top"/>
          </w:tcPr>
          <w:p>
            <w:pPr>
              <w:ind w:left="473"/>
              <w:spacing w:before="38" w:line="231" w:lineRule="exact"/>
              <w:rPr>
                <w:rFonts w:ascii="Arial" w:hAnsi="Arial" w:eastAsia="Arial" w:cs="Arial"/>
                <w:sz w:val="18"/>
                <w:szCs w:val="18"/>
              </w:rPr>
            </w:pPr>
            <w:r>
              <w:rPr>
                <w:rFonts w:ascii="Arial" w:hAnsi="Arial" w:eastAsia="Arial" w:cs="Arial"/>
                <w:sz w:val="18"/>
                <w:szCs w:val="18"/>
                <w:b/>
                <w:bCs/>
                <w:color w:val="212529"/>
              </w:rPr>
              <w:t>2</w:t>
            </w:r>
          </w:p>
        </w:tc>
        <w:tc>
          <w:tcPr>
            <w:tcW w:w="719" w:type="dxa"/>
            <w:vAlign w:val="top"/>
          </w:tcPr>
          <w:p>
            <w:pPr>
              <w:ind w:left="300"/>
              <w:spacing w:before="38"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1019" w:type="dxa"/>
            <w:vAlign w:val="top"/>
          </w:tcPr>
          <w:p>
            <w:pPr>
              <w:ind w:left="451"/>
              <w:spacing w:before="38" w:line="231" w:lineRule="exact"/>
              <w:rPr>
                <w:rFonts w:ascii="Arial" w:hAnsi="Arial" w:eastAsia="Arial" w:cs="Arial"/>
                <w:sz w:val="18"/>
                <w:szCs w:val="18"/>
              </w:rPr>
            </w:pPr>
            <w:r>
              <w:rPr>
                <w:rFonts w:ascii="Arial" w:hAnsi="Arial" w:eastAsia="Arial" w:cs="Arial"/>
                <w:sz w:val="18"/>
                <w:szCs w:val="18"/>
                <w:b/>
                <w:bCs/>
                <w:color w:val="212529"/>
              </w:rPr>
              <w:t>4</w:t>
            </w:r>
          </w:p>
        </w:tc>
        <w:tc>
          <w:tcPr>
            <w:tcW w:w="743" w:type="dxa"/>
            <w:vAlign w:val="top"/>
          </w:tcPr>
          <w:p>
            <w:pPr>
              <w:ind w:left="314"/>
              <w:spacing w:before="38"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08" w:type="dxa"/>
            <w:vAlign w:val="top"/>
          </w:tcPr>
          <w:p>
            <w:pPr>
              <w:ind w:left="298"/>
              <w:spacing w:before="38"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917" w:type="dxa"/>
            <w:vAlign w:val="top"/>
          </w:tcPr>
          <w:p>
            <w:pPr>
              <w:ind w:left="400"/>
              <w:spacing w:before="38"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14" w:hRule="atLeast"/>
        </w:trPr>
        <w:tc>
          <w:tcPr>
            <w:tcW w:w="2776" w:type="dxa"/>
            <w:vAlign w:val="top"/>
            <w:gridSpan w:val="2"/>
          </w:tcPr>
          <w:p>
            <w:pPr>
              <w:ind w:left="1187"/>
              <w:spacing w:before="6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067" w:type="dxa"/>
            <w:vAlign w:val="top"/>
          </w:tcPr>
          <w:p>
            <w:pPr>
              <w:pStyle w:val="TableText"/>
              <w:ind w:right="26"/>
              <w:spacing w:before="47" w:line="239" w:lineRule="auto"/>
              <w:jc w:val="right"/>
              <w:rPr/>
            </w:pPr>
            <w:r>
              <w:rPr>
                <w:color w:val="212529"/>
                <w:spacing w:val="-2"/>
              </w:rPr>
              <w:t>245.18</w:t>
            </w:r>
          </w:p>
        </w:tc>
        <w:tc>
          <w:tcPr>
            <w:tcW w:w="1067" w:type="dxa"/>
            <w:vAlign w:val="top"/>
          </w:tcPr>
          <w:p>
            <w:pPr>
              <w:pStyle w:val="TableText"/>
              <w:ind w:right="25"/>
              <w:spacing w:before="47" w:line="239" w:lineRule="auto"/>
              <w:jc w:val="right"/>
              <w:rPr/>
            </w:pPr>
            <w:r>
              <w:rPr>
                <w:color w:val="212529"/>
                <w:spacing w:val="-2"/>
              </w:rPr>
              <w:t>223.55</w:t>
            </w:r>
          </w:p>
        </w:tc>
        <w:tc>
          <w:tcPr>
            <w:tcW w:w="719" w:type="dxa"/>
            <w:vAlign w:val="top"/>
          </w:tcPr>
          <w:p>
            <w:pPr>
              <w:rPr>
                <w:rFonts w:ascii="Arial"/>
                <w:sz w:val="21"/>
              </w:rPr>
            </w:pPr>
            <w:r/>
          </w:p>
        </w:tc>
        <w:tc>
          <w:tcPr>
            <w:tcW w:w="1019" w:type="dxa"/>
            <w:vAlign w:val="top"/>
          </w:tcPr>
          <w:p>
            <w:pPr>
              <w:pStyle w:val="TableText"/>
              <w:ind w:right="28"/>
              <w:spacing w:before="47" w:line="239" w:lineRule="auto"/>
              <w:jc w:val="right"/>
              <w:rPr/>
            </w:pPr>
            <w:r>
              <w:rPr>
                <w:color w:val="212529"/>
                <w:spacing w:val="-5"/>
              </w:rPr>
              <w:t>11.79</w:t>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pStyle w:val="TableText"/>
              <w:ind w:right="26"/>
              <w:spacing w:before="47" w:line="239" w:lineRule="auto"/>
              <w:jc w:val="right"/>
              <w:rPr/>
            </w:pPr>
            <w:r>
              <w:rPr>
                <w:color w:val="212529"/>
                <w:spacing w:val="-3"/>
              </w:rPr>
              <w:t>9.84</w:t>
            </w:r>
          </w:p>
        </w:tc>
      </w:tr>
      <w:tr>
        <w:trPr>
          <w:trHeight w:val="409" w:hRule="atLeast"/>
        </w:trPr>
        <w:tc>
          <w:tcPr>
            <w:tcW w:w="1193" w:type="dxa"/>
            <w:vAlign w:val="top"/>
          </w:tcPr>
          <w:p>
            <w:pPr>
              <w:pStyle w:val="TableText"/>
              <w:ind w:left="11"/>
              <w:spacing w:before="95"/>
              <w:rPr/>
            </w:pPr>
            <w:r>
              <w:rPr>
                <w:color w:val="212529"/>
                <w:spacing w:val="-4"/>
              </w:rPr>
              <w:t>208</w:t>
            </w:r>
          </w:p>
        </w:tc>
        <w:tc>
          <w:tcPr>
            <w:tcW w:w="1583" w:type="dxa"/>
            <w:vAlign w:val="top"/>
          </w:tcPr>
          <w:p>
            <w:pPr>
              <w:pStyle w:val="TableText"/>
              <w:ind w:left="19" w:right="136" w:hanging="14"/>
              <w:spacing w:before="1" w:line="204" w:lineRule="auto"/>
              <w:rPr/>
            </w:pPr>
            <w:r>
              <w:rPr>
                <w:color w:val="212529"/>
                <w:spacing w:val="-2"/>
              </w:rPr>
              <w:t>社会保障和就业支</w:t>
            </w:r>
            <w:r>
              <w:rPr>
                <w:color w:val="212529"/>
              </w:rPr>
              <w:t>出</w:t>
            </w:r>
          </w:p>
        </w:tc>
        <w:tc>
          <w:tcPr>
            <w:tcW w:w="1067" w:type="dxa"/>
            <w:vAlign w:val="top"/>
          </w:tcPr>
          <w:p>
            <w:pPr>
              <w:pStyle w:val="TableText"/>
              <w:ind w:right="32"/>
              <w:spacing w:before="95" w:line="239" w:lineRule="auto"/>
              <w:jc w:val="right"/>
              <w:rPr/>
            </w:pPr>
            <w:r>
              <w:rPr>
                <w:color w:val="212529"/>
                <w:spacing w:val="-5"/>
              </w:rPr>
              <w:t>12.47</w:t>
            </w:r>
          </w:p>
        </w:tc>
        <w:tc>
          <w:tcPr>
            <w:tcW w:w="1067" w:type="dxa"/>
            <w:vAlign w:val="top"/>
          </w:tcPr>
          <w:p>
            <w:pPr>
              <w:pStyle w:val="TableText"/>
              <w:ind w:right="31"/>
              <w:spacing w:before="95" w:line="239" w:lineRule="auto"/>
              <w:jc w:val="right"/>
              <w:rPr/>
            </w:pPr>
            <w:r>
              <w:rPr>
                <w:color w:val="212529"/>
                <w:spacing w:val="-5"/>
              </w:rPr>
              <w:t>12.47</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409" w:hRule="atLeast"/>
        </w:trPr>
        <w:tc>
          <w:tcPr>
            <w:tcW w:w="1193" w:type="dxa"/>
            <w:vAlign w:val="top"/>
          </w:tcPr>
          <w:p>
            <w:pPr>
              <w:pStyle w:val="TableText"/>
              <w:ind w:left="11"/>
              <w:spacing w:before="96"/>
              <w:rPr/>
            </w:pPr>
            <w:r>
              <w:rPr>
                <w:color w:val="212529"/>
                <w:spacing w:val="-2"/>
              </w:rPr>
              <w:t>20805</w:t>
            </w:r>
          </w:p>
        </w:tc>
        <w:tc>
          <w:tcPr>
            <w:tcW w:w="1583" w:type="dxa"/>
            <w:vAlign w:val="top"/>
          </w:tcPr>
          <w:p>
            <w:pPr>
              <w:pStyle w:val="TableText"/>
              <w:ind w:left="5" w:right="136" w:firstLine="2"/>
              <w:spacing w:before="1" w:line="204" w:lineRule="auto"/>
              <w:rPr/>
            </w:pPr>
            <w:r>
              <w:rPr>
                <w:color w:val="212529"/>
                <w:spacing w:val="-2"/>
              </w:rPr>
              <w:t>行政事业单位养老</w:t>
            </w:r>
            <w:r>
              <w:rPr>
                <w:color w:val="212529"/>
                <w:spacing w:val="-5"/>
              </w:rPr>
              <w:t>支出</w:t>
            </w:r>
          </w:p>
        </w:tc>
        <w:tc>
          <w:tcPr>
            <w:tcW w:w="1067" w:type="dxa"/>
            <w:vAlign w:val="top"/>
          </w:tcPr>
          <w:p>
            <w:pPr>
              <w:pStyle w:val="TableText"/>
              <w:ind w:right="32"/>
              <w:spacing w:before="97" w:line="239" w:lineRule="auto"/>
              <w:jc w:val="right"/>
              <w:rPr/>
            </w:pPr>
            <w:r>
              <w:rPr>
                <w:color w:val="212529"/>
                <w:spacing w:val="-5"/>
              </w:rPr>
              <w:t>12.47</w:t>
            </w:r>
          </w:p>
        </w:tc>
        <w:tc>
          <w:tcPr>
            <w:tcW w:w="1067" w:type="dxa"/>
            <w:vAlign w:val="top"/>
          </w:tcPr>
          <w:p>
            <w:pPr>
              <w:pStyle w:val="TableText"/>
              <w:ind w:right="31"/>
              <w:spacing w:before="97" w:line="239" w:lineRule="auto"/>
              <w:jc w:val="right"/>
              <w:rPr/>
            </w:pPr>
            <w:r>
              <w:rPr>
                <w:color w:val="212529"/>
                <w:spacing w:val="-5"/>
              </w:rPr>
              <w:t>12.47</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409" w:hRule="atLeast"/>
        </w:trPr>
        <w:tc>
          <w:tcPr>
            <w:tcW w:w="1193" w:type="dxa"/>
            <w:vAlign w:val="top"/>
          </w:tcPr>
          <w:p>
            <w:pPr>
              <w:pStyle w:val="TableText"/>
              <w:ind w:left="11"/>
              <w:spacing w:before="97"/>
              <w:rPr/>
            </w:pPr>
            <w:r>
              <w:rPr>
                <w:color w:val="212529"/>
                <w:spacing w:val="-2"/>
              </w:rPr>
              <w:t>2080505</w:t>
            </w:r>
          </w:p>
        </w:tc>
        <w:tc>
          <w:tcPr>
            <w:tcW w:w="1583" w:type="dxa"/>
            <w:vAlign w:val="top"/>
          </w:tcPr>
          <w:p>
            <w:pPr>
              <w:pStyle w:val="TableText"/>
              <w:ind w:left="4" w:right="136" w:hanging="1"/>
              <w:spacing w:before="3" w:line="203" w:lineRule="auto"/>
              <w:rPr/>
            </w:pPr>
            <w:r>
              <w:rPr>
                <w:color w:val="212529"/>
                <w:spacing w:val="-1"/>
              </w:rPr>
              <w:t>机关事业单位基本</w:t>
            </w:r>
            <w:r>
              <w:rPr>
                <w:color w:val="212529"/>
                <w:spacing w:val="-2"/>
              </w:rPr>
              <w:t>养老保险缴费支出</w:t>
            </w:r>
          </w:p>
        </w:tc>
        <w:tc>
          <w:tcPr>
            <w:tcW w:w="1067" w:type="dxa"/>
            <w:vAlign w:val="top"/>
          </w:tcPr>
          <w:p>
            <w:pPr>
              <w:pStyle w:val="TableText"/>
              <w:ind w:right="32"/>
              <w:spacing w:before="98" w:line="239" w:lineRule="auto"/>
              <w:jc w:val="right"/>
              <w:rPr/>
            </w:pPr>
            <w:r>
              <w:rPr>
                <w:color w:val="212529"/>
                <w:spacing w:val="-5"/>
              </w:rPr>
              <w:t>12.47</w:t>
            </w:r>
          </w:p>
        </w:tc>
        <w:tc>
          <w:tcPr>
            <w:tcW w:w="1067" w:type="dxa"/>
            <w:vAlign w:val="top"/>
          </w:tcPr>
          <w:p>
            <w:pPr>
              <w:pStyle w:val="TableText"/>
              <w:ind w:right="31"/>
              <w:spacing w:before="98" w:line="239" w:lineRule="auto"/>
              <w:jc w:val="right"/>
              <w:rPr/>
            </w:pPr>
            <w:r>
              <w:rPr>
                <w:color w:val="212529"/>
                <w:spacing w:val="-5"/>
              </w:rPr>
              <w:t>12.47</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1"/>
              <w:rPr/>
            </w:pPr>
            <w:r>
              <w:rPr>
                <w:color w:val="212529"/>
                <w:spacing w:val="-4"/>
              </w:rPr>
              <w:t>210</w:t>
            </w:r>
          </w:p>
        </w:tc>
        <w:tc>
          <w:tcPr>
            <w:tcW w:w="1583" w:type="dxa"/>
            <w:vAlign w:val="top"/>
          </w:tcPr>
          <w:p>
            <w:pPr>
              <w:pStyle w:val="TableText"/>
              <w:ind w:left="5"/>
              <w:spacing w:before="51" w:line="219" w:lineRule="auto"/>
              <w:rPr/>
            </w:pPr>
            <w:r>
              <w:rPr>
                <w:color w:val="212529"/>
                <w:spacing w:val="-2"/>
              </w:rPr>
              <w:t>卫生健康支出</w:t>
            </w:r>
          </w:p>
        </w:tc>
        <w:tc>
          <w:tcPr>
            <w:tcW w:w="1067" w:type="dxa"/>
            <w:vAlign w:val="top"/>
          </w:tcPr>
          <w:p>
            <w:pPr>
              <w:pStyle w:val="TableText"/>
              <w:ind w:right="26"/>
              <w:spacing w:before="51" w:line="239" w:lineRule="auto"/>
              <w:jc w:val="right"/>
              <w:rPr/>
            </w:pPr>
            <w:r>
              <w:rPr>
                <w:color w:val="212529"/>
                <w:spacing w:val="-2"/>
              </w:rPr>
              <w:t>221.30</w:t>
            </w:r>
          </w:p>
        </w:tc>
        <w:tc>
          <w:tcPr>
            <w:tcW w:w="1067" w:type="dxa"/>
            <w:vAlign w:val="top"/>
          </w:tcPr>
          <w:p>
            <w:pPr>
              <w:pStyle w:val="TableText"/>
              <w:ind w:right="25"/>
              <w:spacing w:before="51" w:line="239" w:lineRule="auto"/>
              <w:jc w:val="right"/>
              <w:rPr/>
            </w:pPr>
            <w:r>
              <w:rPr>
                <w:color w:val="212529"/>
                <w:spacing w:val="-4"/>
              </w:rPr>
              <w:t>199.66</w:t>
            </w:r>
          </w:p>
        </w:tc>
        <w:tc>
          <w:tcPr>
            <w:tcW w:w="719" w:type="dxa"/>
            <w:vAlign w:val="top"/>
          </w:tcPr>
          <w:p>
            <w:pPr>
              <w:rPr>
                <w:rFonts w:ascii="Arial"/>
                <w:sz w:val="21"/>
              </w:rPr>
            </w:pPr>
            <w:r/>
          </w:p>
        </w:tc>
        <w:tc>
          <w:tcPr>
            <w:tcW w:w="1019" w:type="dxa"/>
            <w:vAlign w:val="top"/>
          </w:tcPr>
          <w:p>
            <w:pPr>
              <w:pStyle w:val="TableText"/>
              <w:ind w:right="28"/>
              <w:spacing w:before="51" w:line="239" w:lineRule="auto"/>
              <w:jc w:val="right"/>
              <w:rPr/>
            </w:pPr>
            <w:r>
              <w:rPr>
                <w:color w:val="212529"/>
                <w:spacing w:val="-5"/>
              </w:rPr>
              <w:t>11.79</w:t>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pStyle w:val="TableText"/>
              <w:ind w:right="26"/>
              <w:spacing w:before="51" w:line="239" w:lineRule="auto"/>
              <w:jc w:val="right"/>
              <w:rPr/>
            </w:pPr>
            <w:r>
              <w:rPr>
                <w:color w:val="212529"/>
                <w:spacing w:val="-3"/>
              </w:rPr>
              <w:t>9.84</w:t>
            </w:r>
          </w:p>
        </w:tc>
      </w:tr>
      <w:tr>
        <w:trPr>
          <w:trHeight w:val="314" w:hRule="atLeast"/>
        </w:trPr>
        <w:tc>
          <w:tcPr>
            <w:tcW w:w="1193" w:type="dxa"/>
            <w:vAlign w:val="top"/>
          </w:tcPr>
          <w:p>
            <w:pPr>
              <w:pStyle w:val="TableText"/>
              <w:ind w:left="11"/>
              <w:spacing w:before="51"/>
              <w:rPr/>
            </w:pPr>
            <w:r>
              <w:rPr>
                <w:color w:val="212529"/>
                <w:spacing w:val="-2"/>
              </w:rPr>
              <w:t>21003</w:t>
            </w:r>
          </w:p>
        </w:tc>
        <w:tc>
          <w:tcPr>
            <w:tcW w:w="1583" w:type="dxa"/>
            <w:vAlign w:val="top"/>
          </w:tcPr>
          <w:p>
            <w:pPr>
              <w:pStyle w:val="TableText"/>
              <w:ind w:left="4"/>
              <w:spacing w:before="51" w:line="219" w:lineRule="auto"/>
              <w:rPr/>
            </w:pPr>
            <w:r>
              <w:rPr>
                <w:color w:val="212529"/>
                <w:spacing w:val="-2"/>
              </w:rPr>
              <w:t>基层医疗卫生机构</w:t>
            </w:r>
          </w:p>
        </w:tc>
        <w:tc>
          <w:tcPr>
            <w:tcW w:w="1067" w:type="dxa"/>
            <w:vAlign w:val="top"/>
          </w:tcPr>
          <w:p>
            <w:pPr>
              <w:pStyle w:val="TableText"/>
              <w:ind w:right="26"/>
              <w:spacing w:before="51" w:line="239" w:lineRule="auto"/>
              <w:jc w:val="right"/>
              <w:rPr/>
            </w:pPr>
            <w:r>
              <w:rPr>
                <w:color w:val="212529"/>
                <w:spacing w:val="-4"/>
              </w:rPr>
              <w:t>164.67</w:t>
            </w:r>
          </w:p>
        </w:tc>
        <w:tc>
          <w:tcPr>
            <w:tcW w:w="1067" w:type="dxa"/>
            <w:vAlign w:val="top"/>
          </w:tcPr>
          <w:p>
            <w:pPr>
              <w:pStyle w:val="TableText"/>
              <w:ind w:right="25"/>
              <w:spacing w:before="51" w:line="239" w:lineRule="auto"/>
              <w:jc w:val="right"/>
              <w:rPr/>
            </w:pPr>
            <w:r>
              <w:rPr>
                <w:color w:val="212529"/>
                <w:spacing w:val="-4"/>
              </w:rPr>
              <w:t>143.04</w:t>
            </w:r>
          </w:p>
        </w:tc>
        <w:tc>
          <w:tcPr>
            <w:tcW w:w="719" w:type="dxa"/>
            <w:vAlign w:val="top"/>
          </w:tcPr>
          <w:p>
            <w:pPr>
              <w:rPr>
                <w:rFonts w:ascii="Arial"/>
                <w:sz w:val="21"/>
              </w:rPr>
            </w:pPr>
            <w:r/>
          </w:p>
        </w:tc>
        <w:tc>
          <w:tcPr>
            <w:tcW w:w="1019" w:type="dxa"/>
            <w:vAlign w:val="top"/>
          </w:tcPr>
          <w:p>
            <w:pPr>
              <w:pStyle w:val="TableText"/>
              <w:ind w:right="28"/>
              <w:spacing w:before="51" w:line="239" w:lineRule="auto"/>
              <w:jc w:val="right"/>
              <w:rPr/>
            </w:pPr>
            <w:r>
              <w:rPr>
                <w:color w:val="212529"/>
                <w:spacing w:val="-5"/>
              </w:rPr>
              <w:t>11.79</w:t>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pStyle w:val="TableText"/>
              <w:ind w:right="26"/>
              <w:spacing w:before="51" w:line="239" w:lineRule="auto"/>
              <w:jc w:val="right"/>
              <w:rPr/>
            </w:pPr>
            <w:r>
              <w:rPr>
                <w:color w:val="212529"/>
                <w:spacing w:val="-3"/>
              </w:rPr>
              <w:t>9.84</w:t>
            </w:r>
          </w:p>
        </w:tc>
      </w:tr>
      <w:tr>
        <w:trPr>
          <w:trHeight w:val="314" w:hRule="atLeast"/>
        </w:trPr>
        <w:tc>
          <w:tcPr>
            <w:tcW w:w="1193" w:type="dxa"/>
            <w:vAlign w:val="top"/>
          </w:tcPr>
          <w:p>
            <w:pPr>
              <w:pStyle w:val="TableText"/>
              <w:ind w:left="11"/>
              <w:spacing w:before="51"/>
              <w:rPr/>
            </w:pPr>
            <w:r>
              <w:rPr>
                <w:color w:val="212529"/>
                <w:spacing w:val="-2"/>
              </w:rPr>
              <w:t>2100302</w:t>
            </w:r>
          </w:p>
        </w:tc>
        <w:tc>
          <w:tcPr>
            <w:tcW w:w="1583" w:type="dxa"/>
            <w:vAlign w:val="top"/>
          </w:tcPr>
          <w:p>
            <w:pPr>
              <w:pStyle w:val="TableText"/>
              <w:ind w:left="12"/>
              <w:spacing w:before="51" w:line="219" w:lineRule="auto"/>
              <w:rPr/>
            </w:pPr>
            <w:r>
              <w:rPr>
                <w:color w:val="212529"/>
                <w:spacing w:val="-4"/>
              </w:rPr>
              <w:t>乡镇卫生院</w:t>
            </w:r>
          </w:p>
        </w:tc>
        <w:tc>
          <w:tcPr>
            <w:tcW w:w="1067" w:type="dxa"/>
            <w:vAlign w:val="top"/>
          </w:tcPr>
          <w:p>
            <w:pPr>
              <w:pStyle w:val="TableText"/>
              <w:ind w:right="26"/>
              <w:spacing w:before="51" w:line="239" w:lineRule="auto"/>
              <w:jc w:val="right"/>
              <w:rPr/>
            </w:pPr>
            <w:r>
              <w:rPr>
                <w:color w:val="212529"/>
                <w:spacing w:val="-4"/>
              </w:rPr>
              <w:t>148.10</w:t>
            </w:r>
          </w:p>
        </w:tc>
        <w:tc>
          <w:tcPr>
            <w:tcW w:w="1067" w:type="dxa"/>
            <w:vAlign w:val="top"/>
          </w:tcPr>
          <w:p>
            <w:pPr>
              <w:pStyle w:val="TableText"/>
              <w:ind w:right="25"/>
              <w:spacing w:before="51" w:line="239" w:lineRule="auto"/>
              <w:jc w:val="right"/>
              <w:rPr/>
            </w:pPr>
            <w:r>
              <w:rPr>
                <w:color w:val="212529"/>
                <w:spacing w:val="-4"/>
              </w:rPr>
              <w:t>126.46</w:t>
            </w:r>
          </w:p>
        </w:tc>
        <w:tc>
          <w:tcPr>
            <w:tcW w:w="719" w:type="dxa"/>
            <w:vAlign w:val="top"/>
          </w:tcPr>
          <w:p>
            <w:pPr>
              <w:rPr>
                <w:rFonts w:ascii="Arial"/>
                <w:sz w:val="21"/>
              </w:rPr>
            </w:pPr>
            <w:r/>
          </w:p>
        </w:tc>
        <w:tc>
          <w:tcPr>
            <w:tcW w:w="1019" w:type="dxa"/>
            <w:vAlign w:val="top"/>
          </w:tcPr>
          <w:p>
            <w:pPr>
              <w:pStyle w:val="TableText"/>
              <w:ind w:right="28"/>
              <w:spacing w:before="51" w:line="239" w:lineRule="auto"/>
              <w:jc w:val="right"/>
              <w:rPr/>
            </w:pPr>
            <w:r>
              <w:rPr>
                <w:color w:val="212529"/>
                <w:spacing w:val="-5"/>
              </w:rPr>
              <w:t>11.79</w:t>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pStyle w:val="TableText"/>
              <w:ind w:right="26"/>
              <w:spacing w:before="51" w:line="239" w:lineRule="auto"/>
              <w:jc w:val="right"/>
              <w:rPr/>
            </w:pPr>
            <w:r>
              <w:rPr>
                <w:color w:val="212529"/>
                <w:spacing w:val="-3"/>
              </w:rPr>
              <w:t>9.84</w:t>
            </w:r>
          </w:p>
        </w:tc>
      </w:tr>
      <w:tr>
        <w:trPr>
          <w:trHeight w:val="409" w:hRule="atLeast"/>
        </w:trPr>
        <w:tc>
          <w:tcPr>
            <w:tcW w:w="1193" w:type="dxa"/>
            <w:vAlign w:val="top"/>
          </w:tcPr>
          <w:p>
            <w:pPr>
              <w:pStyle w:val="TableText"/>
              <w:ind w:left="11"/>
              <w:spacing w:before="99"/>
              <w:rPr/>
            </w:pPr>
            <w:r>
              <w:rPr>
                <w:color w:val="212529"/>
                <w:spacing w:val="-2"/>
              </w:rPr>
              <w:t>2100399</w:t>
            </w:r>
          </w:p>
        </w:tc>
        <w:tc>
          <w:tcPr>
            <w:tcW w:w="1583" w:type="dxa"/>
            <w:vAlign w:val="top"/>
          </w:tcPr>
          <w:p>
            <w:pPr>
              <w:pStyle w:val="TableText"/>
              <w:ind w:left="3" w:right="136" w:firstLine="1"/>
              <w:spacing w:before="3" w:line="203" w:lineRule="auto"/>
              <w:rPr/>
            </w:pPr>
            <w:r>
              <w:rPr>
                <w:color w:val="212529"/>
                <w:spacing w:val="-2"/>
              </w:rPr>
              <w:t>其他基层医疗卫生</w:t>
            </w:r>
            <w:r>
              <w:rPr>
                <w:color w:val="212529"/>
                <w:spacing w:val="-2"/>
              </w:rPr>
              <w:t>机构支出</w:t>
            </w:r>
          </w:p>
        </w:tc>
        <w:tc>
          <w:tcPr>
            <w:tcW w:w="1067" w:type="dxa"/>
            <w:vAlign w:val="top"/>
          </w:tcPr>
          <w:p>
            <w:pPr>
              <w:pStyle w:val="TableText"/>
              <w:ind w:right="32"/>
              <w:spacing w:before="99" w:line="239" w:lineRule="auto"/>
              <w:jc w:val="right"/>
              <w:rPr/>
            </w:pPr>
            <w:r>
              <w:rPr>
                <w:color w:val="212529"/>
                <w:spacing w:val="-5"/>
              </w:rPr>
              <w:t>16.57</w:t>
            </w:r>
          </w:p>
        </w:tc>
        <w:tc>
          <w:tcPr>
            <w:tcW w:w="1067" w:type="dxa"/>
            <w:vAlign w:val="top"/>
          </w:tcPr>
          <w:p>
            <w:pPr>
              <w:pStyle w:val="TableText"/>
              <w:ind w:right="31"/>
              <w:spacing w:before="99" w:line="239" w:lineRule="auto"/>
              <w:jc w:val="right"/>
              <w:rPr/>
            </w:pPr>
            <w:r>
              <w:rPr>
                <w:color w:val="212529"/>
                <w:spacing w:val="-5"/>
              </w:rPr>
              <w:t>16.57</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2"/>
              <w:rPr/>
            </w:pPr>
            <w:r>
              <w:rPr>
                <w:color w:val="212529"/>
                <w:spacing w:val="-2"/>
              </w:rPr>
              <w:t>21004</w:t>
            </w:r>
          </w:p>
        </w:tc>
        <w:tc>
          <w:tcPr>
            <w:tcW w:w="1583" w:type="dxa"/>
            <w:vAlign w:val="top"/>
          </w:tcPr>
          <w:p>
            <w:pPr>
              <w:pStyle w:val="TableText"/>
              <w:ind w:left="9"/>
              <w:spacing w:before="53" w:line="219" w:lineRule="auto"/>
              <w:rPr/>
            </w:pPr>
            <w:r>
              <w:rPr>
                <w:color w:val="212529"/>
                <w:spacing w:val="-4"/>
              </w:rPr>
              <w:t>公共卫生</w:t>
            </w:r>
          </w:p>
        </w:tc>
        <w:tc>
          <w:tcPr>
            <w:tcW w:w="1067" w:type="dxa"/>
            <w:vAlign w:val="top"/>
          </w:tcPr>
          <w:p>
            <w:pPr>
              <w:pStyle w:val="TableText"/>
              <w:ind w:right="32"/>
              <w:spacing w:before="52" w:line="239" w:lineRule="auto"/>
              <w:jc w:val="right"/>
              <w:rPr/>
            </w:pPr>
            <w:r>
              <w:rPr>
                <w:color w:val="212529"/>
                <w:spacing w:val="-3"/>
              </w:rPr>
              <w:t>51.12</w:t>
            </w:r>
          </w:p>
        </w:tc>
        <w:tc>
          <w:tcPr>
            <w:tcW w:w="1067" w:type="dxa"/>
            <w:vAlign w:val="top"/>
          </w:tcPr>
          <w:p>
            <w:pPr>
              <w:pStyle w:val="TableText"/>
              <w:ind w:right="31"/>
              <w:spacing w:before="52" w:line="239" w:lineRule="auto"/>
              <w:jc w:val="right"/>
              <w:rPr/>
            </w:pPr>
            <w:r>
              <w:rPr>
                <w:color w:val="212529"/>
                <w:spacing w:val="-3"/>
              </w:rPr>
              <w:t>51.12</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2"/>
              <w:rPr/>
            </w:pPr>
            <w:r>
              <w:rPr>
                <w:color w:val="212529"/>
                <w:spacing w:val="-2"/>
              </w:rPr>
              <w:t>2100408</w:t>
            </w:r>
          </w:p>
        </w:tc>
        <w:tc>
          <w:tcPr>
            <w:tcW w:w="1583" w:type="dxa"/>
            <w:vAlign w:val="top"/>
          </w:tcPr>
          <w:p>
            <w:pPr>
              <w:pStyle w:val="TableText"/>
              <w:ind w:left="4"/>
              <w:spacing w:before="52" w:line="219" w:lineRule="auto"/>
              <w:rPr/>
            </w:pPr>
            <w:r>
              <w:rPr>
                <w:color w:val="212529"/>
                <w:spacing w:val="-2"/>
              </w:rPr>
              <w:t>基本公共卫生服务</w:t>
            </w:r>
          </w:p>
        </w:tc>
        <w:tc>
          <w:tcPr>
            <w:tcW w:w="1067" w:type="dxa"/>
            <w:vAlign w:val="top"/>
          </w:tcPr>
          <w:p>
            <w:pPr>
              <w:pStyle w:val="TableText"/>
              <w:ind w:right="32"/>
              <w:spacing w:before="52" w:line="239" w:lineRule="auto"/>
              <w:jc w:val="right"/>
              <w:rPr/>
            </w:pPr>
            <w:r>
              <w:rPr>
                <w:color w:val="212529"/>
                <w:spacing w:val="-2"/>
              </w:rPr>
              <w:t>41.35</w:t>
            </w:r>
          </w:p>
        </w:tc>
        <w:tc>
          <w:tcPr>
            <w:tcW w:w="1067" w:type="dxa"/>
            <w:vAlign w:val="top"/>
          </w:tcPr>
          <w:p>
            <w:pPr>
              <w:pStyle w:val="TableText"/>
              <w:ind w:right="31"/>
              <w:spacing w:before="52" w:line="239" w:lineRule="auto"/>
              <w:jc w:val="right"/>
              <w:rPr/>
            </w:pPr>
            <w:r>
              <w:rPr>
                <w:color w:val="212529"/>
                <w:spacing w:val="-2"/>
              </w:rPr>
              <w:t>41.35</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409" w:hRule="atLeast"/>
        </w:trPr>
        <w:tc>
          <w:tcPr>
            <w:tcW w:w="1193" w:type="dxa"/>
            <w:vAlign w:val="top"/>
          </w:tcPr>
          <w:p>
            <w:pPr>
              <w:pStyle w:val="TableText"/>
              <w:ind w:left="11"/>
              <w:spacing w:before="100"/>
              <w:rPr/>
            </w:pPr>
            <w:r>
              <w:rPr>
                <w:color w:val="212529"/>
                <w:spacing w:val="-2"/>
              </w:rPr>
              <w:t>2100410</w:t>
            </w:r>
          </w:p>
        </w:tc>
        <w:tc>
          <w:tcPr>
            <w:tcW w:w="1583" w:type="dxa"/>
            <w:vAlign w:val="top"/>
          </w:tcPr>
          <w:p>
            <w:pPr>
              <w:pStyle w:val="TableText"/>
              <w:ind w:left="4" w:right="136" w:firstLine="6"/>
              <w:spacing w:before="5" w:line="202" w:lineRule="auto"/>
              <w:rPr/>
            </w:pPr>
            <w:r>
              <w:rPr>
                <w:color w:val="212529"/>
                <w:spacing w:val="-2"/>
              </w:rPr>
              <w:t>突发公共卫生事件</w:t>
            </w:r>
            <w:r>
              <w:rPr>
                <w:color w:val="212529"/>
                <w:spacing w:val="-3"/>
              </w:rPr>
              <w:t>应急处理</w:t>
            </w:r>
          </w:p>
        </w:tc>
        <w:tc>
          <w:tcPr>
            <w:tcW w:w="1067" w:type="dxa"/>
            <w:vAlign w:val="top"/>
          </w:tcPr>
          <w:p>
            <w:pPr>
              <w:pStyle w:val="TableText"/>
              <w:ind w:right="26"/>
              <w:spacing w:before="100" w:line="239" w:lineRule="auto"/>
              <w:jc w:val="right"/>
              <w:rPr/>
            </w:pPr>
            <w:r>
              <w:rPr>
                <w:color w:val="212529"/>
                <w:spacing w:val="-3"/>
              </w:rPr>
              <w:t>9.77</w:t>
            </w:r>
          </w:p>
        </w:tc>
        <w:tc>
          <w:tcPr>
            <w:tcW w:w="1067" w:type="dxa"/>
            <w:vAlign w:val="top"/>
          </w:tcPr>
          <w:p>
            <w:pPr>
              <w:pStyle w:val="TableText"/>
              <w:ind w:right="25"/>
              <w:spacing w:before="100" w:line="239" w:lineRule="auto"/>
              <w:jc w:val="right"/>
              <w:rPr/>
            </w:pPr>
            <w:r>
              <w:rPr>
                <w:color w:val="212529"/>
                <w:spacing w:val="-3"/>
              </w:rPr>
              <w:t>9.77</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3"/>
              <w:rPr/>
            </w:pPr>
            <w:r>
              <w:rPr>
                <w:color w:val="212529"/>
                <w:spacing w:val="-2"/>
              </w:rPr>
              <w:t>21011</w:t>
            </w:r>
          </w:p>
        </w:tc>
        <w:tc>
          <w:tcPr>
            <w:tcW w:w="1583" w:type="dxa"/>
            <w:vAlign w:val="top"/>
          </w:tcPr>
          <w:p>
            <w:pPr>
              <w:pStyle w:val="TableText"/>
              <w:ind w:left="7"/>
              <w:spacing w:before="54" w:line="220" w:lineRule="auto"/>
              <w:rPr/>
            </w:pPr>
            <w:r>
              <w:rPr>
                <w:color w:val="212529"/>
                <w:spacing w:val="-2"/>
              </w:rPr>
              <w:t>行政事业单位医疗</w:t>
            </w:r>
          </w:p>
        </w:tc>
        <w:tc>
          <w:tcPr>
            <w:tcW w:w="1067" w:type="dxa"/>
            <w:vAlign w:val="top"/>
          </w:tcPr>
          <w:p>
            <w:pPr>
              <w:pStyle w:val="TableText"/>
              <w:ind w:right="26"/>
              <w:spacing w:before="53" w:line="239" w:lineRule="auto"/>
              <w:jc w:val="right"/>
              <w:rPr/>
            </w:pPr>
            <w:r>
              <w:rPr>
                <w:color w:val="212529"/>
                <w:spacing w:val="-3"/>
              </w:rPr>
              <w:t>5.12</w:t>
            </w:r>
          </w:p>
        </w:tc>
        <w:tc>
          <w:tcPr>
            <w:tcW w:w="1067" w:type="dxa"/>
            <w:vAlign w:val="top"/>
          </w:tcPr>
          <w:p>
            <w:pPr>
              <w:pStyle w:val="TableText"/>
              <w:ind w:right="25"/>
              <w:spacing w:before="53" w:line="239" w:lineRule="auto"/>
              <w:jc w:val="right"/>
              <w:rPr/>
            </w:pPr>
            <w:r>
              <w:rPr>
                <w:color w:val="212529"/>
                <w:spacing w:val="-3"/>
              </w:rPr>
              <w:t>5.12</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3"/>
              <w:rPr/>
            </w:pPr>
            <w:r>
              <w:rPr>
                <w:color w:val="212529"/>
                <w:spacing w:val="-2"/>
              </w:rPr>
              <w:t>2101102</w:t>
            </w:r>
          </w:p>
        </w:tc>
        <w:tc>
          <w:tcPr>
            <w:tcW w:w="1583" w:type="dxa"/>
            <w:vAlign w:val="top"/>
          </w:tcPr>
          <w:p>
            <w:pPr>
              <w:pStyle w:val="TableText"/>
              <w:ind w:left="4"/>
              <w:spacing w:before="54" w:line="220" w:lineRule="auto"/>
              <w:rPr/>
            </w:pPr>
            <w:r>
              <w:rPr>
                <w:color w:val="212529"/>
                <w:spacing w:val="-2"/>
              </w:rPr>
              <w:t>事业单位医疗</w:t>
            </w:r>
          </w:p>
        </w:tc>
        <w:tc>
          <w:tcPr>
            <w:tcW w:w="1067" w:type="dxa"/>
            <w:vAlign w:val="top"/>
          </w:tcPr>
          <w:p>
            <w:pPr>
              <w:pStyle w:val="TableText"/>
              <w:ind w:right="26"/>
              <w:spacing w:before="54" w:line="239" w:lineRule="auto"/>
              <w:jc w:val="right"/>
              <w:rPr/>
            </w:pPr>
            <w:r>
              <w:rPr>
                <w:color w:val="212529"/>
                <w:spacing w:val="-3"/>
              </w:rPr>
              <w:t>5.06</w:t>
            </w:r>
          </w:p>
        </w:tc>
        <w:tc>
          <w:tcPr>
            <w:tcW w:w="1067" w:type="dxa"/>
            <w:vAlign w:val="top"/>
          </w:tcPr>
          <w:p>
            <w:pPr>
              <w:pStyle w:val="TableText"/>
              <w:ind w:right="25"/>
              <w:spacing w:before="54" w:line="239" w:lineRule="auto"/>
              <w:jc w:val="right"/>
              <w:rPr/>
            </w:pPr>
            <w:r>
              <w:rPr>
                <w:color w:val="212529"/>
                <w:spacing w:val="-3"/>
              </w:rPr>
              <w:t>5.06</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409" w:hRule="atLeast"/>
        </w:trPr>
        <w:tc>
          <w:tcPr>
            <w:tcW w:w="1193" w:type="dxa"/>
            <w:vAlign w:val="top"/>
          </w:tcPr>
          <w:p>
            <w:pPr>
              <w:pStyle w:val="TableText"/>
              <w:ind w:left="11"/>
              <w:spacing w:before="101"/>
              <w:rPr/>
            </w:pPr>
            <w:r>
              <w:rPr>
                <w:color w:val="212529"/>
                <w:spacing w:val="-2"/>
              </w:rPr>
              <w:t>2101199</w:t>
            </w:r>
          </w:p>
        </w:tc>
        <w:tc>
          <w:tcPr>
            <w:tcW w:w="1583" w:type="dxa"/>
            <w:vAlign w:val="top"/>
          </w:tcPr>
          <w:p>
            <w:pPr>
              <w:pStyle w:val="TableText"/>
              <w:ind w:left="12" w:right="136" w:hanging="7"/>
              <w:spacing w:before="7" w:line="201" w:lineRule="auto"/>
              <w:rPr/>
            </w:pPr>
            <w:r>
              <w:rPr>
                <w:color w:val="212529"/>
                <w:spacing w:val="-2"/>
              </w:rPr>
              <w:t>其他行政事业单位</w:t>
            </w:r>
            <w:r>
              <w:rPr>
                <w:color w:val="212529"/>
                <w:spacing w:val="-5"/>
              </w:rPr>
              <w:t>医疗支出</w:t>
            </w:r>
          </w:p>
        </w:tc>
        <w:tc>
          <w:tcPr>
            <w:tcW w:w="1067" w:type="dxa"/>
            <w:vAlign w:val="top"/>
          </w:tcPr>
          <w:p>
            <w:pPr>
              <w:pStyle w:val="TableText"/>
              <w:ind w:right="26"/>
              <w:spacing w:before="102" w:line="239" w:lineRule="auto"/>
              <w:jc w:val="right"/>
              <w:rPr/>
            </w:pPr>
            <w:r>
              <w:rPr>
                <w:color w:val="212529"/>
                <w:spacing w:val="-3"/>
              </w:rPr>
              <w:t>0.05</w:t>
            </w:r>
          </w:p>
        </w:tc>
        <w:tc>
          <w:tcPr>
            <w:tcW w:w="1067" w:type="dxa"/>
            <w:vAlign w:val="top"/>
          </w:tcPr>
          <w:p>
            <w:pPr>
              <w:pStyle w:val="TableText"/>
              <w:ind w:right="25"/>
              <w:spacing w:before="102" w:line="239" w:lineRule="auto"/>
              <w:jc w:val="right"/>
              <w:rPr/>
            </w:pPr>
            <w:r>
              <w:rPr>
                <w:color w:val="212529"/>
                <w:spacing w:val="-3"/>
              </w:rPr>
              <w:t>0.05</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4"/>
              <w:rPr/>
            </w:pPr>
            <w:r>
              <w:rPr>
                <w:color w:val="212529"/>
                <w:spacing w:val="-2"/>
              </w:rPr>
              <w:t>21099</w:t>
            </w:r>
          </w:p>
        </w:tc>
        <w:tc>
          <w:tcPr>
            <w:tcW w:w="1583" w:type="dxa"/>
            <w:vAlign w:val="top"/>
          </w:tcPr>
          <w:p>
            <w:pPr>
              <w:pStyle w:val="TableText"/>
              <w:ind w:left="5"/>
              <w:spacing w:before="55" w:line="219" w:lineRule="auto"/>
              <w:rPr/>
            </w:pPr>
            <w:r>
              <w:rPr>
                <w:color w:val="212529"/>
                <w:spacing w:val="-2"/>
              </w:rPr>
              <w:t>其他卫生健康支出</w:t>
            </w:r>
          </w:p>
        </w:tc>
        <w:tc>
          <w:tcPr>
            <w:tcW w:w="1067" w:type="dxa"/>
            <w:vAlign w:val="top"/>
          </w:tcPr>
          <w:p>
            <w:pPr>
              <w:pStyle w:val="TableText"/>
              <w:ind w:right="26"/>
              <w:spacing w:before="55" w:line="239" w:lineRule="auto"/>
              <w:jc w:val="right"/>
              <w:rPr/>
            </w:pPr>
            <w:r>
              <w:rPr>
                <w:color w:val="212529"/>
                <w:spacing w:val="-3"/>
              </w:rPr>
              <w:t>0.39</w:t>
            </w:r>
          </w:p>
        </w:tc>
        <w:tc>
          <w:tcPr>
            <w:tcW w:w="1067" w:type="dxa"/>
            <w:vAlign w:val="top"/>
          </w:tcPr>
          <w:p>
            <w:pPr>
              <w:pStyle w:val="TableText"/>
              <w:ind w:right="25"/>
              <w:spacing w:before="55" w:line="239" w:lineRule="auto"/>
              <w:jc w:val="right"/>
              <w:rPr/>
            </w:pPr>
            <w:r>
              <w:rPr>
                <w:color w:val="212529"/>
                <w:spacing w:val="-3"/>
              </w:rPr>
              <w:t>0.39</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5"/>
              <w:rPr/>
            </w:pPr>
            <w:r>
              <w:rPr>
                <w:color w:val="212529"/>
                <w:spacing w:val="-2"/>
              </w:rPr>
              <w:t>2109999</w:t>
            </w:r>
          </w:p>
        </w:tc>
        <w:tc>
          <w:tcPr>
            <w:tcW w:w="1583" w:type="dxa"/>
            <w:vAlign w:val="top"/>
          </w:tcPr>
          <w:p>
            <w:pPr>
              <w:pStyle w:val="TableText"/>
              <w:ind w:left="5"/>
              <w:spacing w:before="55" w:line="219" w:lineRule="auto"/>
              <w:rPr/>
            </w:pPr>
            <w:r>
              <w:rPr>
                <w:color w:val="212529"/>
                <w:spacing w:val="-2"/>
              </w:rPr>
              <w:t>其他卫生健康支出</w:t>
            </w:r>
          </w:p>
        </w:tc>
        <w:tc>
          <w:tcPr>
            <w:tcW w:w="1067" w:type="dxa"/>
            <w:vAlign w:val="top"/>
          </w:tcPr>
          <w:p>
            <w:pPr>
              <w:pStyle w:val="TableText"/>
              <w:ind w:right="26"/>
              <w:spacing w:before="55" w:line="239" w:lineRule="auto"/>
              <w:jc w:val="right"/>
              <w:rPr/>
            </w:pPr>
            <w:r>
              <w:rPr>
                <w:color w:val="212529"/>
                <w:spacing w:val="-3"/>
              </w:rPr>
              <w:t>0.39</w:t>
            </w:r>
          </w:p>
        </w:tc>
        <w:tc>
          <w:tcPr>
            <w:tcW w:w="1067" w:type="dxa"/>
            <w:vAlign w:val="top"/>
          </w:tcPr>
          <w:p>
            <w:pPr>
              <w:pStyle w:val="TableText"/>
              <w:ind w:right="25"/>
              <w:spacing w:before="55" w:line="239" w:lineRule="auto"/>
              <w:jc w:val="right"/>
              <w:rPr/>
            </w:pPr>
            <w:r>
              <w:rPr>
                <w:color w:val="212529"/>
                <w:spacing w:val="-3"/>
              </w:rPr>
              <w:t>0.39</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5" w:line="241" w:lineRule="auto"/>
              <w:rPr/>
            </w:pPr>
            <w:r>
              <w:rPr>
                <w:color w:val="212529"/>
                <w:spacing w:val="-4"/>
              </w:rPr>
              <w:t>221</w:t>
            </w:r>
          </w:p>
        </w:tc>
        <w:tc>
          <w:tcPr>
            <w:tcW w:w="1583" w:type="dxa"/>
            <w:vAlign w:val="top"/>
          </w:tcPr>
          <w:p>
            <w:pPr>
              <w:pStyle w:val="TableText"/>
              <w:ind w:left="3"/>
              <w:spacing w:before="55" w:line="219" w:lineRule="auto"/>
              <w:rPr/>
            </w:pPr>
            <w:r>
              <w:rPr>
                <w:color w:val="212529"/>
                <w:spacing w:val="-2"/>
              </w:rPr>
              <w:t>住房保障支出</w:t>
            </w:r>
          </w:p>
        </w:tc>
        <w:tc>
          <w:tcPr>
            <w:tcW w:w="1067" w:type="dxa"/>
            <w:vAlign w:val="top"/>
          </w:tcPr>
          <w:p>
            <w:pPr>
              <w:pStyle w:val="TableText"/>
              <w:ind w:right="32"/>
              <w:spacing w:before="55" w:line="239" w:lineRule="auto"/>
              <w:jc w:val="right"/>
              <w:rPr/>
            </w:pPr>
            <w:r>
              <w:rPr>
                <w:color w:val="212529"/>
                <w:spacing w:val="-5"/>
              </w:rPr>
              <w:t>11.42</w:t>
            </w:r>
          </w:p>
        </w:tc>
        <w:tc>
          <w:tcPr>
            <w:tcW w:w="1067" w:type="dxa"/>
            <w:vAlign w:val="top"/>
          </w:tcPr>
          <w:p>
            <w:pPr>
              <w:pStyle w:val="TableText"/>
              <w:ind w:right="31"/>
              <w:spacing w:before="55" w:line="239" w:lineRule="auto"/>
              <w:jc w:val="right"/>
              <w:rPr/>
            </w:pPr>
            <w:r>
              <w:rPr>
                <w:color w:val="212529"/>
                <w:spacing w:val="-5"/>
              </w:rPr>
              <w:t>11.42</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5"/>
              <w:rPr/>
            </w:pPr>
            <w:r>
              <w:rPr>
                <w:color w:val="212529"/>
                <w:spacing w:val="-2"/>
              </w:rPr>
              <w:t>22102</w:t>
            </w:r>
          </w:p>
        </w:tc>
        <w:tc>
          <w:tcPr>
            <w:tcW w:w="1583" w:type="dxa"/>
            <w:vAlign w:val="top"/>
          </w:tcPr>
          <w:p>
            <w:pPr>
              <w:pStyle w:val="TableText"/>
              <w:ind w:left="3"/>
              <w:spacing w:before="56" w:line="219" w:lineRule="auto"/>
              <w:rPr/>
            </w:pPr>
            <w:r>
              <w:rPr>
                <w:color w:val="212529"/>
                <w:spacing w:val="-2"/>
              </w:rPr>
              <w:t>住房改革支出</w:t>
            </w:r>
          </w:p>
        </w:tc>
        <w:tc>
          <w:tcPr>
            <w:tcW w:w="1067" w:type="dxa"/>
            <w:vAlign w:val="top"/>
          </w:tcPr>
          <w:p>
            <w:pPr>
              <w:pStyle w:val="TableText"/>
              <w:ind w:right="32"/>
              <w:spacing w:before="55" w:line="239" w:lineRule="auto"/>
              <w:jc w:val="right"/>
              <w:rPr/>
            </w:pPr>
            <w:r>
              <w:rPr>
                <w:color w:val="212529"/>
                <w:spacing w:val="-5"/>
              </w:rPr>
              <w:t>11.42</w:t>
            </w:r>
          </w:p>
        </w:tc>
        <w:tc>
          <w:tcPr>
            <w:tcW w:w="1067" w:type="dxa"/>
            <w:vAlign w:val="top"/>
          </w:tcPr>
          <w:p>
            <w:pPr>
              <w:pStyle w:val="TableText"/>
              <w:ind w:right="31"/>
              <w:spacing w:before="55" w:line="239" w:lineRule="auto"/>
              <w:jc w:val="right"/>
              <w:rPr/>
            </w:pPr>
            <w:r>
              <w:rPr>
                <w:color w:val="212529"/>
                <w:spacing w:val="-5"/>
              </w:rPr>
              <w:t>11.42</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14" w:hRule="atLeast"/>
        </w:trPr>
        <w:tc>
          <w:tcPr>
            <w:tcW w:w="1193" w:type="dxa"/>
            <w:vAlign w:val="top"/>
          </w:tcPr>
          <w:p>
            <w:pPr>
              <w:pStyle w:val="TableText"/>
              <w:ind w:left="11"/>
              <w:spacing w:before="55"/>
              <w:rPr/>
            </w:pPr>
            <w:r>
              <w:rPr>
                <w:color w:val="212529"/>
                <w:spacing w:val="-2"/>
              </w:rPr>
              <w:t>2210201</w:t>
            </w:r>
          </w:p>
        </w:tc>
        <w:tc>
          <w:tcPr>
            <w:tcW w:w="1583" w:type="dxa"/>
            <w:vAlign w:val="top"/>
          </w:tcPr>
          <w:p>
            <w:pPr>
              <w:pStyle w:val="TableText"/>
              <w:ind w:left="3"/>
              <w:spacing w:before="55" w:line="220" w:lineRule="auto"/>
              <w:rPr/>
            </w:pPr>
            <w:r>
              <w:rPr>
                <w:color w:val="212529"/>
                <w:spacing w:val="-2"/>
              </w:rPr>
              <w:t>住房公积金</w:t>
            </w:r>
          </w:p>
        </w:tc>
        <w:tc>
          <w:tcPr>
            <w:tcW w:w="1067" w:type="dxa"/>
            <w:vAlign w:val="top"/>
          </w:tcPr>
          <w:p>
            <w:pPr>
              <w:pStyle w:val="TableText"/>
              <w:ind w:right="32"/>
              <w:spacing w:before="55" w:line="239" w:lineRule="auto"/>
              <w:jc w:val="right"/>
              <w:rPr/>
            </w:pPr>
            <w:r>
              <w:rPr>
                <w:color w:val="212529"/>
                <w:spacing w:val="-5"/>
              </w:rPr>
              <w:t>11.42</w:t>
            </w:r>
          </w:p>
        </w:tc>
        <w:tc>
          <w:tcPr>
            <w:tcW w:w="1067" w:type="dxa"/>
            <w:vAlign w:val="top"/>
          </w:tcPr>
          <w:p>
            <w:pPr>
              <w:pStyle w:val="TableText"/>
              <w:ind w:right="31"/>
              <w:spacing w:before="55" w:line="239" w:lineRule="auto"/>
              <w:jc w:val="right"/>
              <w:rPr/>
            </w:pPr>
            <w:r>
              <w:rPr>
                <w:color w:val="212529"/>
                <w:spacing w:val="-5"/>
              </w:rPr>
              <w:t>11.42</w:t>
            </w:r>
          </w:p>
        </w:tc>
        <w:tc>
          <w:tcPr>
            <w:tcW w:w="719" w:type="dxa"/>
            <w:vAlign w:val="top"/>
          </w:tcPr>
          <w:p>
            <w:pPr>
              <w:rPr>
                <w:rFonts w:ascii="Arial"/>
                <w:sz w:val="21"/>
              </w:rPr>
            </w:pPr>
            <w:r/>
          </w:p>
        </w:tc>
        <w:tc>
          <w:tcPr>
            <w:tcW w:w="1019" w:type="dxa"/>
            <w:vAlign w:val="top"/>
          </w:tcPr>
          <w:p>
            <w:pPr>
              <w:rPr>
                <w:rFonts w:ascii="Arial"/>
                <w:sz w:val="21"/>
              </w:rPr>
            </w:pPr>
            <w:r/>
          </w:p>
        </w:tc>
        <w:tc>
          <w:tcPr>
            <w:tcW w:w="743" w:type="dxa"/>
            <w:vAlign w:val="top"/>
          </w:tcPr>
          <w:p>
            <w:pPr>
              <w:rPr>
                <w:rFonts w:ascii="Arial"/>
                <w:sz w:val="21"/>
              </w:rPr>
            </w:pPr>
            <w:r/>
          </w:p>
        </w:tc>
        <w:tc>
          <w:tcPr>
            <w:tcW w:w="708" w:type="dxa"/>
            <w:vAlign w:val="top"/>
          </w:tcPr>
          <w:p>
            <w:pPr>
              <w:rPr>
                <w:rFonts w:ascii="Arial"/>
                <w:sz w:val="21"/>
              </w:rPr>
            </w:pPr>
            <w:r/>
          </w:p>
        </w:tc>
        <w:tc>
          <w:tcPr>
            <w:tcW w:w="917" w:type="dxa"/>
            <w:vAlign w:val="top"/>
          </w:tcPr>
          <w:p>
            <w:pPr>
              <w:rPr>
                <w:rFonts w:ascii="Arial"/>
                <w:sz w:val="21"/>
              </w:rPr>
            </w:pPr>
            <w:r/>
          </w:p>
        </w:tc>
      </w:tr>
      <w:tr>
        <w:trPr>
          <w:trHeight w:val="320" w:hRule="atLeast"/>
        </w:trPr>
        <w:tc>
          <w:tcPr>
            <w:tcW w:w="9016" w:type="dxa"/>
            <w:vAlign w:val="top"/>
            <w:gridSpan w:val="9"/>
            <w:tcBorders>
              <w:bottom w:val="single" w:color="FFFFFF" w:sz="4" w:space="0"/>
              <w:right w:val="nil"/>
            </w:tcBorders>
          </w:tcPr>
          <w:p>
            <w:pPr>
              <w:ind w:left="5"/>
              <w:spacing w:before="48"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rPr>
          <w:rFonts w:ascii="Arial"/>
          <w:sz w:val="21"/>
        </w:rPr>
      </w:pPr>
      <w:r/>
    </w:p>
    <w:p>
      <w:pPr>
        <w:sectPr>
          <w:headerReference w:type="default" r:id="rId7"/>
          <w:footerReference w:type="default" r:id="rId8"/>
          <w:pgSz w:w="11900" w:h="1684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37"/>
        <w:gridCol w:w="1415"/>
        <w:gridCol w:w="1307"/>
        <w:gridCol w:w="1295"/>
        <w:gridCol w:w="1211"/>
        <w:gridCol w:w="551"/>
        <w:gridCol w:w="947"/>
        <w:gridCol w:w="953"/>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3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1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1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53" w:type="dxa"/>
            <w:vAlign w:val="top"/>
            <w:tcBorders>
              <w:bottom w:val="single" w:color="FFFFFF" w:sz="4" w:space="0"/>
              <w:top w:val="single" w:color="FFFFFF" w:sz="4" w:space="0"/>
              <w:left w:val="single" w:color="FFFFFF" w:sz="2" w:space="0"/>
              <w:right w:val="single" w:color="FFFFFF" w:sz="2" w:space="0"/>
            </w:tcBorders>
          </w:tcPr>
          <w:p>
            <w:pPr>
              <w:pStyle w:val="TableText"/>
              <w:ind w:left="353"/>
              <w:spacing w:before="64" w:line="226" w:lineRule="auto"/>
              <w:rPr>
                <w:sz w:val="14"/>
                <w:szCs w:val="14"/>
              </w:rPr>
            </w:pPr>
            <w:r>
              <w:rPr>
                <w:sz w:val="14"/>
                <w:szCs w:val="14"/>
                <w:color w:val="212529"/>
              </w:rPr>
              <w:t>公开03表</w:t>
            </w:r>
          </w:p>
        </w:tc>
      </w:tr>
      <w:tr>
        <w:trPr>
          <w:trHeight w:val="302" w:hRule="atLeast"/>
        </w:trPr>
        <w:tc>
          <w:tcPr>
            <w:tcW w:w="4059" w:type="dxa"/>
            <w:vAlign w:val="top"/>
            <w:gridSpan w:val="3"/>
            <w:tcBorders>
              <w:top w:val="single" w:color="FFFFFF" w:sz="4" w:space="0"/>
            </w:tcBorders>
          </w:tcPr>
          <w:p>
            <w:pPr>
              <w:pStyle w:val="TableText"/>
              <w:ind w:left="9"/>
              <w:spacing w:before="66" w:line="227" w:lineRule="auto"/>
              <w:rPr>
                <w:sz w:val="15"/>
                <w:szCs w:val="15"/>
              </w:rPr>
            </w:pPr>
            <w:r>
              <w:rPr>
                <w:sz w:val="15"/>
                <w:szCs w:val="15"/>
                <w:color w:val="212529"/>
                <w:spacing w:val="5"/>
              </w:rPr>
              <w:t>部门名称：兴县孟家坪乡卫生院</w:t>
            </w:r>
          </w:p>
        </w:tc>
        <w:tc>
          <w:tcPr>
            <w:tcW w:w="2506"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51" w:type="dxa"/>
            <w:vAlign w:val="top"/>
            <w:tcBorders>
              <w:top w:val="single" w:color="FFFFFF" w:sz="4" w:space="0"/>
            </w:tcBorders>
          </w:tcPr>
          <w:p>
            <w:pPr>
              <w:rPr>
                <w:rFonts w:ascii="Arial"/>
                <w:sz w:val="21"/>
              </w:rPr>
            </w:pPr>
            <w:r/>
          </w:p>
        </w:tc>
        <w:tc>
          <w:tcPr>
            <w:tcW w:w="1900" w:type="dxa"/>
            <w:vAlign w:val="top"/>
            <w:gridSpan w:val="2"/>
            <w:tcBorders>
              <w:top w:val="single" w:color="FFFFFF" w:sz="4" w:space="0"/>
            </w:tcBorders>
          </w:tcPr>
          <w:p>
            <w:pPr>
              <w:pStyle w:val="TableText"/>
              <w:ind w:left="862"/>
              <w:spacing w:before="64" w:line="225" w:lineRule="auto"/>
              <w:rPr>
                <w:sz w:val="14"/>
                <w:szCs w:val="14"/>
              </w:rPr>
            </w:pPr>
            <w:r>
              <w:rPr>
                <w:sz w:val="14"/>
                <w:szCs w:val="14"/>
                <w:color w:val="212529"/>
                <w:spacing w:val="2"/>
              </w:rPr>
              <w:t>金额单位：万元</w:t>
            </w:r>
          </w:p>
        </w:tc>
      </w:tr>
      <w:tr>
        <w:trPr>
          <w:trHeight w:val="302" w:hRule="atLeast"/>
        </w:trPr>
        <w:tc>
          <w:tcPr>
            <w:tcW w:w="2752" w:type="dxa"/>
            <w:vAlign w:val="top"/>
            <w:gridSpan w:val="2"/>
          </w:tcPr>
          <w:p>
            <w:pPr>
              <w:ind w:left="1173"/>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307" w:type="dxa"/>
            <w:vAlign w:val="top"/>
            <w:vMerge w:val="restart"/>
            <w:tcBorders>
              <w:bottom w:val="nil"/>
            </w:tcBorders>
          </w:tcPr>
          <w:p>
            <w:pPr>
              <w:pStyle w:val="TableText"/>
              <w:ind w:left="96"/>
              <w:spacing w:before="201" w:line="219" w:lineRule="auto"/>
              <w:rPr/>
            </w:pPr>
            <w:r>
              <w:rPr>
                <w:color w:val="212529"/>
                <w:spacing w:val="-2"/>
              </w:rPr>
              <w:t>本年支出合计</w:t>
            </w:r>
          </w:p>
        </w:tc>
        <w:tc>
          <w:tcPr>
            <w:tcW w:w="1295" w:type="dxa"/>
            <w:vAlign w:val="top"/>
            <w:vMerge w:val="restart"/>
            <w:tcBorders>
              <w:bottom w:val="nil"/>
            </w:tcBorders>
          </w:tcPr>
          <w:p>
            <w:pPr>
              <w:pStyle w:val="TableText"/>
              <w:ind w:left="271"/>
              <w:spacing w:before="201" w:line="219" w:lineRule="auto"/>
              <w:rPr/>
            </w:pPr>
            <w:r>
              <w:rPr>
                <w:color w:val="212529"/>
                <w:spacing w:val="-3"/>
              </w:rPr>
              <w:t>基本支出</w:t>
            </w:r>
          </w:p>
        </w:tc>
        <w:tc>
          <w:tcPr>
            <w:tcW w:w="1211" w:type="dxa"/>
            <w:vAlign w:val="top"/>
            <w:vMerge w:val="restart"/>
            <w:tcBorders>
              <w:bottom w:val="nil"/>
            </w:tcBorders>
          </w:tcPr>
          <w:p>
            <w:pPr>
              <w:pStyle w:val="TableText"/>
              <w:ind w:left="233"/>
              <w:spacing w:before="201" w:line="220" w:lineRule="auto"/>
              <w:rPr/>
            </w:pPr>
            <w:r>
              <w:rPr>
                <w:color w:val="212529"/>
                <w:spacing w:val="-3"/>
              </w:rPr>
              <w:t>项目支出</w:t>
            </w:r>
          </w:p>
        </w:tc>
        <w:tc>
          <w:tcPr>
            <w:tcW w:w="551" w:type="dxa"/>
            <w:vAlign w:val="top"/>
            <w:vMerge w:val="restart"/>
            <w:tcBorders>
              <w:bottom w:val="nil"/>
            </w:tcBorders>
          </w:tcPr>
          <w:p>
            <w:pPr>
              <w:pStyle w:val="TableText"/>
              <w:ind w:left="83"/>
              <w:spacing w:line="206" w:lineRule="auto"/>
              <w:rPr/>
            </w:pPr>
            <w:r>
              <w:rPr>
                <w:color w:val="212529"/>
                <w:spacing w:val="-5"/>
              </w:rPr>
              <w:t>上缴</w:t>
            </w:r>
          </w:p>
          <w:p>
            <w:pPr>
              <w:pStyle w:val="TableText"/>
              <w:ind w:left="83"/>
              <w:spacing w:line="209" w:lineRule="auto"/>
              <w:rPr/>
            </w:pPr>
            <w:r>
              <w:rPr>
                <w:color w:val="212529"/>
                <w:spacing w:val="-5"/>
              </w:rPr>
              <w:t>上级</w:t>
            </w:r>
          </w:p>
          <w:p>
            <w:pPr>
              <w:pStyle w:val="TableText"/>
              <w:ind w:left="82"/>
              <w:spacing w:line="203" w:lineRule="auto"/>
              <w:rPr/>
            </w:pPr>
            <w:r>
              <w:rPr>
                <w:color w:val="212529"/>
                <w:spacing w:val="-5"/>
              </w:rPr>
              <w:t>支出</w:t>
            </w:r>
          </w:p>
        </w:tc>
        <w:tc>
          <w:tcPr>
            <w:tcW w:w="947" w:type="dxa"/>
            <w:vAlign w:val="top"/>
            <w:vMerge w:val="restart"/>
            <w:tcBorders>
              <w:bottom w:val="nil"/>
            </w:tcBorders>
          </w:tcPr>
          <w:p>
            <w:pPr>
              <w:pStyle w:val="TableText"/>
              <w:ind w:left="102"/>
              <w:spacing w:before="201" w:line="220" w:lineRule="auto"/>
              <w:rPr/>
            </w:pPr>
            <w:r>
              <w:rPr>
                <w:color w:val="212529"/>
                <w:spacing w:val="-3"/>
              </w:rPr>
              <w:t>经营支出</w:t>
            </w:r>
          </w:p>
        </w:tc>
        <w:tc>
          <w:tcPr>
            <w:tcW w:w="953" w:type="dxa"/>
            <w:vAlign w:val="top"/>
            <w:vMerge w:val="restart"/>
            <w:tcBorders>
              <w:bottom w:val="nil"/>
            </w:tcBorders>
          </w:tcPr>
          <w:p>
            <w:pPr>
              <w:pStyle w:val="TableText"/>
              <w:ind w:left="11"/>
              <w:spacing w:line="206" w:lineRule="auto"/>
              <w:rPr/>
            </w:pPr>
            <w:r>
              <w:rPr>
                <w:color w:val="212529"/>
                <w:spacing w:val="-2"/>
              </w:rPr>
              <w:t>对附属单位</w:t>
            </w:r>
          </w:p>
          <w:p>
            <w:pPr>
              <w:pStyle w:val="TableText"/>
              <w:ind w:left="282"/>
              <w:spacing w:line="209" w:lineRule="auto"/>
              <w:rPr/>
            </w:pPr>
            <w:r>
              <w:rPr>
                <w:color w:val="212529"/>
                <w:spacing w:val="-5"/>
              </w:rPr>
              <w:t>补助</w:t>
            </w:r>
          </w:p>
          <w:p>
            <w:pPr>
              <w:pStyle w:val="TableText"/>
              <w:ind w:left="283"/>
              <w:spacing w:line="203" w:lineRule="auto"/>
              <w:rPr/>
            </w:pPr>
            <w:r>
              <w:rPr>
                <w:color w:val="212529"/>
                <w:spacing w:val="-5"/>
              </w:rPr>
              <w:t>支出</w:t>
            </w:r>
          </w:p>
        </w:tc>
      </w:tr>
      <w:tr>
        <w:trPr>
          <w:trHeight w:val="302" w:hRule="atLeast"/>
        </w:trPr>
        <w:tc>
          <w:tcPr>
            <w:tcW w:w="1337" w:type="dxa"/>
            <w:vAlign w:val="top"/>
          </w:tcPr>
          <w:p>
            <w:pPr>
              <w:pStyle w:val="TableText"/>
              <w:ind w:left="291"/>
              <w:spacing w:before="45" w:line="219" w:lineRule="auto"/>
              <w:rPr/>
            </w:pPr>
            <w:r>
              <w:rPr>
                <w:color w:val="212529"/>
                <w:spacing w:val="-3"/>
              </w:rPr>
              <w:t>科目代码</w:t>
            </w:r>
          </w:p>
        </w:tc>
        <w:tc>
          <w:tcPr>
            <w:tcW w:w="1415" w:type="dxa"/>
            <w:vAlign w:val="top"/>
          </w:tcPr>
          <w:p>
            <w:pPr>
              <w:pStyle w:val="TableText"/>
              <w:ind w:left="328"/>
              <w:spacing w:before="45" w:line="219" w:lineRule="auto"/>
              <w:rPr/>
            </w:pPr>
            <w:r>
              <w:rPr>
                <w:color w:val="212529"/>
                <w:spacing w:val="-3"/>
              </w:rPr>
              <w:t>科目名称</w:t>
            </w:r>
          </w:p>
        </w:tc>
        <w:tc>
          <w:tcPr>
            <w:tcW w:w="1307"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551" w:type="dxa"/>
            <w:vAlign w:val="top"/>
            <w:vMerge w:val="continue"/>
            <w:tcBorders>
              <w:top w:val="nil"/>
            </w:tcBorders>
          </w:tcPr>
          <w:p>
            <w:pPr>
              <w:rPr>
                <w:rFonts w:ascii="Arial"/>
                <w:sz w:val="21"/>
              </w:rPr>
            </w:pPr>
            <w:r/>
          </w:p>
        </w:tc>
        <w:tc>
          <w:tcPr>
            <w:tcW w:w="947" w:type="dxa"/>
            <w:vAlign w:val="top"/>
            <w:vMerge w:val="continue"/>
            <w:tcBorders>
              <w:top w:val="nil"/>
            </w:tcBorders>
          </w:tcPr>
          <w:p>
            <w:pPr>
              <w:rPr>
                <w:rFonts w:ascii="Arial"/>
                <w:sz w:val="21"/>
              </w:rPr>
            </w:pPr>
            <w:r/>
          </w:p>
        </w:tc>
        <w:tc>
          <w:tcPr>
            <w:tcW w:w="953" w:type="dxa"/>
            <w:vAlign w:val="top"/>
            <w:vMerge w:val="continue"/>
            <w:tcBorders>
              <w:top w:val="nil"/>
            </w:tcBorders>
          </w:tcPr>
          <w:p>
            <w:pPr>
              <w:rPr>
                <w:rFonts w:ascii="Arial"/>
                <w:sz w:val="21"/>
              </w:rPr>
            </w:pPr>
            <w:r/>
          </w:p>
        </w:tc>
      </w:tr>
      <w:tr>
        <w:trPr>
          <w:trHeight w:val="302" w:hRule="atLeast"/>
        </w:trPr>
        <w:tc>
          <w:tcPr>
            <w:tcW w:w="2752" w:type="dxa"/>
            <w:vAlign w:val="top"/>
            <w:gridSpan w:val="2"/>
          </w:tcPr>
          <w:p>
            <w:pPr>
              <w:pStyle w:val="TableText"/>
              <w:ind w:left="1179"/>
              <w:spacing w:before="46" w:line="219" w:lineRule="auto"/>
              <w:rPr/>
            </w:pPr>
            <w:r>
              <w:rPr>
                <w:color w:val="212529"/>
                <w:spacing w:val="-5"/>
              </w:rPr>
              <w:t>栏次</w:t>
            </w:r>
          </w:p>
        </w:tc>
        <w:tc>
          <w:tcPr>
            <w:tcW w:w="1307" w:type="dxa"/>
            <w:vAlign w:val="top"/>
          </w:tcPr>
          <w:p>
            <w:pPr>
              <w:ind w:left="599"/>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95" w:type="dxa"/>
            <w:vAlign w:val="top"/>
          </w:tcPr>
          <w:p>
            <w:pPr>
              <w:ind w:left="587"/>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11" w:type="dxa"/>
            <w:vAlign w:val="top"/>
          </w:tcPr>
          <w:p>
            <w:pPr>
              <w:ind w:left="546"/>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51" w:type="dxa"/>
            <w:vAlign w:val="top"/>
          </w:tcPr>
          <w:p>
            <w:pPr>
              <w:ind w:left="217"/>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47" w:type="dxa"/>
            <w:vAlign w:val="top"/>
          </w:tcPr>
          <w:p>
            <w:pPr>
              <w:ind w:left="416"/>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53" w:type="dxa"/>
            <w:vAlign w:val="top"/>
          </w:tcPr>
          <w:p>
            <w:pPr>
              <w:ind w:left="419"/>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52" w:type="dxa"/>
            <w:vAlign w:val="top"/>
            <w:gridSpan w:val="2"/>
          </w:tcPr>
          <w:p>
            <w:pPr>
              <w:pStyle w:val="TableText"/>
              <w:ind w:left="1180"/>
              <w:spacing w:before="45" w:line="221" w:lineRule="auto"/>
              <w:rPr/>
            </w:pPr>
            <w:r>
              <w:rPr>
                <w:color w:val="212529"/>
                <w:spacing w:val="-5"/>
              </w:rPr>
              <w:t>合计</w:t>
            </w:r>
          </w:p>
        </w:tc>
        <w:tc>
          <w:tcPr>
            <w:tcW w:w="1307" w:type="dxa"/>
            <w:vAlign w:val="top"/>
          </w:tcPr>
          <w:p>
            <w:pPr>
              <w:pStyle w:val="TableText"/>
              <w:ind w:right="26"/>
              <w:spacing w:before="45" w:line="239" w:lineRule="auto"/>
              <w:jc w:val="right"/>
              <w:rPr/>
            </w:pPr>
            <w:r>
              <w:rPr>
                <w:color w:val="212529"/>
                <w:spacing w:val="-2"/>
              </w:rPr>
              <w:t>261.83</w:t>
            </w:r>
          </w:p>
        </w:tc>
        <w:tc>
          <w:tcPr>
            <w:tcW w:w="1295" w:type="dxa"/>
            <w:vAlign w:val="top"/>
          </w:tcPr>
          <w:p>
            <w:pPr>
              <w:pStyle w:val="TableText"/>
              <w:ind w:right="25"/>
              <w:spacing w:before="45" w:line="239" w:lineRule="auto"/>
              <w:jc w:val="right"/>
              <w:rPr/>
            </w:pPr>
            <w:r>
              <w:rPr>
                <w:color w:val="212529"/>
                <w:spacing w:val="-4"/>
              </w:rPr>
              <w:t>186.25</w:t>
            </w:r>
          </w:p>
        </w:tc>
        <w:tc>
          <w:tcPr>
            <w:tcW w:w="1211" w:type="dxa"/>
            <w:vAlign w:val="top"/>
          </w:tcPr>
          <w:p>
            <w:pPr>
              <w:pStyle w:val="TableText"/>
              <w:ind w:right="29"/>
              <w:spacing w:before="45" w:line="239" w:lineRule="auto"/>
              <w:jc w:val="right"/>
              <w:rPr/>
            </w:pPr>
            <w:r>
              <w:rPr>
                <w:color w:val="212529"/>
                <w:spacing w:val="-3"/>
              </w:rPr>
              <w:t>75.58</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3"/>
              <w:rPr/>
            </w:pPr>
            <w:r>
              <w:rPr>
                <w:color w:val="212529"/>
                <w:spacing w:val="-4"/>
              </w:rPr>
              <w:t>208</w:t>
            </w:r>
          </w:p>
        </w:tc>
        <w:tc>
          <w:tcPr>
            <w:tcW w:w="1415" w:type="dxa"/>
            <w:vAlign w:val="top"/>
          </w:tcPr>
          <w:p>
            <w:pPr>
              <w:pStyle w:val="TableText"/>
              <w:ind w:left="5" w:right="148"/>
              <w:spacing w:before="1" w:line="204" w:lineRule="auto"/>
              <w:rPr/>
            </w:pPr>
            <w:r>
              <w:rPr>
                <w:color w:val="212529"/>
                <w:spacing w:val="-2"/>
              </w:rPr>
              <w:t>社会保障和就业</w:t>
            </w:r>
            <w:r>
              <w:rPr>
                <w:color w:val="212529"/>
                <w:spacing w:val="-5"/>
              </w:rPr>
              <w:t>支出</w:t>
            </w:r>
          </w:p>
        </w:tc>
        <w:tc>
          <w:tcPr>
            <w:tcW w:w="1307" w:type="dxa"/>
            <w:vAlign w:val="top"/>
          </w:tcPr>
          <w:p>
            <w:pPr>
              <w:pStyle w:val="TableText"/>
              <w:ind w:right="32"/>
              <w:spacing w:before="93" w:line="239" w:lineRule="auto"/>
              <w:jc w:val="right"/>
              <w:rPr/>
            </w:pPr>
            <w:r>
              <w:rPr>
                <w:color w:val="212529"/>
                <w:spacing w:val="-5"/>
              </w:rPr>
              <w:t>12.47</w:t>
            </w:r>
          </w:p>
        </w:tc>
        <w:tc>
          <w:tcPr>
            <w:tcW w:w="1295" w:type="dxa"/>
            <w:vAlign w:val="top"/>
          </w:tcPr>
          <w:p>
            <w:pPr>
              <w:pStyle w:val="TableText"/>
              <w:ind w:right="31"/>
              <w:spacing w:before="93" w:line="239" w:lineRule="auto"/>
              <w:jc w:val="right"/>
              <w:rPr/>
            </w:pPr>
            <w:r>
              <w:rPr>
                <w:color w:val="212529"/>
                <w:spacing w:val="-5"/>
              </w:rPr>
              <w:t>12.47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4"/>
              <w:rPr/>
            </w:pPr>
            <w:r>
              <w:rPr>
                <w:color w:val="212529"/>
                <w:spacing w:val="-2"/>
              </w:rPr>
              <w:t>20805</w:t>
            </w:r>
          </w:p>
        </w:tc>
        <w:tc>
          <w:tcPr>
            <w:tcW w:w="1415" w:type="dxa"/>
            <w:vAlign w:val="top"/>
          </w:tcPr>
          <w:p>
            <w:pPr>
              <w:pStyle w:val="TableText"/>
              <w:ind w:left="7" w:right="148"/>
              <w:spacing w:before="1" w:line="204" w:lineRule="auto"/>
              <w:rPr/>
            </w:pPr>
            <w:r>
              <w:rPr>
                <w:color w:val="212529"/>
                <w:spacing w:val="-2"/>
              </w:rPr>
              <w:t>行政事业单位养</w:t>
            </w:r>
            <w:r>
              <w:rPr>
                <w:color w:val="212529"/>
                <w:spacing w:val="-4"/>
              </w:rPr>
              <w:t>老支出</w:t>
            </w:r>
          </w:p>
        </w:tc>
        <w:tc>
          <w:tcPr>
            <w:tcW w:w="1307" w:type="dxa"/>
            <w:vAlign w:val="top"/>
          </w:tcPr>
          <w:p>
            <w:pPr>
              <w:pStyle w:val="TableText"/>
              <w:ind w:right="32"/>
              <w:spacing w:before="95" w:line="239" w:lineRule="auto"/>
              <w:jc w:val="right"/>
              <w:rPr/>
            </w:pPr>
            <w:r>
              <w:rPr>
                <w:color w:val="212529"/>
                <w:spacing w:val="-5"/>
              </w:rPr>
              <w:t>12.47</w:t>
            </w:r>
          </w:p>
        </w:tc>
        <w:tc>
          <w:tcPr>
            <w:tcW w:w="1295" w:type="dxa"/>
            <w:vAlign w:val="top"/>
          </w:tcPr>
          <w:p>
            <w:pPr>
              <w:pStyle w:val="TableText"/>
              <w:ind w:right="31"/>
              <w:spacing w:before="95" w:line="239" w:lineRule="auto"/>
              <w:jc w:val="right"/>
              <w:rPr/>
            </w:pPr>
            <w:r>
              <w:rPr>
                <w:color w:val="212529"/>
                <w:spacing w:val="-5"/>
              </w:rPr>
              <w:t>12.47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613" w:hRule="atLeast"/>
        </w:trPr>
        <w:tc>
          <w:tcPr>
            <w:tcW w:w="1337" w:type="dxa"/>
            <w:vAlign w:val="top"/>
          </w:tcPr>
          <w:p>
            <w:pPr>
              <w:pStyle w:val="TableText"/>
              <w:ind w:left="11"/>
              <w:spacing w:before="203"/>
              <w:rPr/>
            </w:pPr>
            <w:r>
              <w:rPr>
                <w:color w:val="212529"/>
                <w:spacing w:val="-2"/>
              </w:rPr>
              <w:t>2080505</w:t>
            </w:r>
          </w:p>
        </w:tc>
        <w:tc>
          <w:tcPr>
            <w:tcW w:w="1415" w:type="dxa"/>
            <w:vAlign w:val="top"/>
          </w:tcPr>
          <w:p>
            <w:pPr>
              <w:pStyle w:val="TableText"/>
              <w:ind w:left="4" w:right="148" w:hanging="1"/>
              <w:spacing w:line="206" w:lineRule="auto"/>
              <w:jc w:val="both"/>
              <w:rPr/>
            </w:pPr>
            <w:r>
              <w:rPr>
                <w:color w:val="212529"/>
                <w:spacing w:val="-2"/>
              </w:rPr>
              <w:t>机关事业单位基</w:t>
            </w:r>
            <w:r>
              <w:rPr>
                <w:color w:val="212529"/>
                <w:spacing w:val="-2"/>
              </w:rPr>
              <w:t>本养老保险缴费</w:t>
            </w:r>
            <w:r>
              <w:rPr>
                <w:color w:val="212529"/>
                <w:spacing w:val="-5"/>
              </w:rPr>
              <w:t>支出</w:t>
            </w:r>
          </w:p>
        </w:tc>
        <w:tc>
          <w:tcPr>
            <w:tcW w:w="1307" w:type="dxa"/>
            <w:vAlign w:val="top"/>
          </w:tcPr>
          <w:p>
            <w:pPr>
              <w:pStyle w:val="TableText"/>
              <w:ind w:right="32"/>
              <w:spacing w:before="204" w:line="239" w:lineRule="auto"/>
              <w:jc w:val="right"/>
              <w:rPr/>
            </w:pPr>
            <w:r>
              <w:rPr>
                <w:color w:val="212529"/>
                <w:spacing w:val="-5"/>
              </w:rPr>
              <w:t>12.47</w:t>
            </w:r>
          </w:p>
        </w:tc>
        <w:tc>
          <w:tcPr>
            <w:tcW w:w="1295" w:type="dxa"/>
            <w:vAlign w:val="top"/>
          </w:tcPr>
          <w:p>
            <w:pPr>
              <w:pStyle w:val="TableText"/>
              <w:ind w:right="31"/>
              <w:spacing w:before="204" w:line="239" w:lineRule="auto"/>
              <w:jc w:val="right"/>
              <w:rPr/>
            </w:pPr>
            <w:r>
              <w:rPr>
                <w:color w:val="212529"/>
                <w:spacing w:val="-5"/>
              </w:rPr>
              <w:t>12.47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49"/>
              <w:rPr/>
            </w:pPr>
            <w:r>
              <w:rPr>
                <w:color w:val="212529"/>
                <w:spacing w:val="-4"/>
              </w:rPr>
              <w:t>210</w:t>
            </w:r>
          </w:p>
        </w:tc>
        <w:tc>
          <w:tcPr>
            <w:tcW w:w="1415" w:type="dxa"/>
            <w:vAlign w:val="top"/>
          </w:tcPr>
          <w:p>
            <w:pPr>
              <w:pStyle w:val="TableText"/>
              <w:ind w:left="5"/>
              <w:spacing w:before="49" w:line="219" w:lineRule="auto"/>
              <w:rPr/>
            </w:pPr>
            <w:r>
              <w:rPr>
                <w:color w:val="212529"/>
                <w:spacing w:val="-2"/>
              </w:rPr>
              <w:t>卫生健康支出</w:t>
            </w:r>
          </w:p>
        </w:tc>
        <w:tc>
          <w:tcPr>
            <w:tcW w:w="1307" w:type="dxa"/>
            <w:vAlign w:val="top"/>
          </w:tcPr>
          <w:p>
            <w:pPr>
              <w:pStyle w:val="TableText"/>
              <w:ind w:right="26"/>
              <w:spacing w:before="49" w:line="239" w:lineRule="auto"/>
              <w:jc w:val="right"/>
              <w:rPr/>
            </w:pPr>
            <w:r>
              <w:rPr>
                <w:color w:val="212529"/>
                <w:spacing w:val="-2"/>
              </w:rPr>
              <w:t>237.95</w:t>
            </w:r>
          </w:p>
        </w:tc>
        <w:tc>
          <w:tcPr>
            <w:tcW w:w="1295" w:type="dxa"/>
            <w:vAlign w:val="top"/>
          </w:tcPr>
          <w:p>
            <w:pPr>
              <w:pStyle w:val="TableText"/>
              <w:ind w:right="25"/>
              <w:spacing w:before="49" w:line="239" w:lineRule="auto"/>
              <w:jc w:val="right"/>
              <w:rPr/>
            </w:pPr>
            <w:r>
              <w:rPr>
                <w:color w:val="212529"/>
                <w:spacing w:val="-4"/>
              </w:rPr>
              <w:t>162.36</w:t>
            </w:r>
          </w:p>
        </w:tc>
        <w:tc>
          <w:tcPr>
            <w:tcW w:w="1211" w:type="dxa"/>
            <w:vAlign w:val="top"/>
          </w:tcPr>
          <w:p>
            <w:pPr>
              <w:pStyle w:val="TableText"/>
              <w:ind w:right="29"/>
              <w:spacing w:before="49" w:line="239" w:lineRule="auto"/>
              <w:jc w:val="right"/>
              <w:rPr/>
            </w:pPr>
            <w:r>
              <w:rPr>
                <w:color w:val="212529"/>
                <w:spacing w:val="-3"/>
              </w:rPr>
              <w:t>75.58</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7"/>
              <w:rPr/>
            </w:pPr>
            <w:r>
              <w:rPr>
                <w:color w:val="212529"/>
                <w:spacing w:val="-2"/>
              </w:rPr>
              <w:t>21003</w:t>
            </w:r>
          </w:p>
        </w:tc>
        <w:tc>
          <w:tcPr>
            <w:tcW w:w="1415" w:type="dxa"/>
            <w:vAlign w:val="top"/>
          </w:tcPr>
          <w:p>
            <w:pPr>
              <w:pStyle w:val="TableText"/>
              <w:ind w:left="6" w:right="148" w:hanging="2"/>
              <w:spacing w:before="1" w:line="204" w:lineRule="auto"/>
              <w:rPr/>
            </w:pPr>
            <w:r>
              <w:rPr>
                <w:color w:val="212529"/>
                <w:spacing w:val="-2"/>
              </w:rPr>
              <w:t>基层医疗卫生机</w:t>
            </w:r>
            <w:r>
              <w:rPr>
                <w:color w:val="212529"/>
              </w:rPr>
              <w:t>构</w:t>
            </w:r>
          </w:p>
        </w:tc>
        <w:tc>
          <w:tcPr>
            <w:tcW w:w="1307" w:type="dxa"/>
            <w:vAlign w:val="top"/>
          </w:tcPr>
          <w:p>
            <w:pPr>
              <w:pStyle w:val="TableText"/>
              <w:ind w:right="26"/>
              <w:spacing w:before="97" w:line="239" w:lineRule="auto"/>
              <w:jc w:val="right"/>
              <w:rPr/>
            </w:pPr>
            <w:r>
              <w:rPr>
                <w:color w:val="212529"/>
                <w:spacing w:val="-4"/>
              </w:rPr>
              <w:t>181.32</w:t>
            </w:r>
          </w:p>
        </w:tc>
        <w:tc>
          <w:tcPr>
            <w:tcW w:w="1295" w:type="dxa"/>
            <w:vAlign w:val="top"/>
          </w:tcPr>
          <w:p>
            <w:pPr>
              <w:pStyle w:val="TableText"/>
              <w:ind w:right="25"/>
              <w:spacing w:before="97" w:line="239" w:lineRule="auto"/>
              <w:jc w:val="right"/>
              <w:rPr/>
            </w:pPr>
            <w:r>
              <w:rPr>
                <w:color w:val="212529"/>
                <w:spacing w:val="-4"/>
              </w:rPr>
              <w:t>157.25</w:t>
            </w:r>
          </w:p>
        </w:tc>
        <w:tc>
          <w:tcPr>
            <w:tcW w:w="1211" w:type="dxa"/>
            <w:vAlign w:val="top"/>
          </w:tcPr>
          <w:p>
            <w:pPr>
              <w:pStyle w:val="TableText"/>
              <w:ind w:right="29"/>
              <w:spacing w:before="97" w:line="239" w:lineRule="auto"/>
              <w:jc w:val="right"/>
              <w:rPr/>
            </w:pPr>
            <w:r>
              <w:rPr>
                <w:color w:val="212529"/>
                <w:spacing w:val="-2"/>
              </w:rPr>
              <w:t>24.07</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0"/>
              <w:rPr/>
            </w:pPr>
            <w:r>
              <w:rPr>
                <w:color w:val="212529"/>
                <w:spacing w:val="-2"/>
              </w:rPr>
              <w:t>2100302</w:t>
            </w:r>
          </w:p>
        </w:tc>
        <w:tc>
          <w:tcPr>
            <w:tcW w:w="1415" w:type="dxa"/>
            <w:vAlign w:val="top"/>
          </w:tcPr>
          <w:p>
            <w:pPr>
              <w:pStyle w:val="TableText"/>
              <w:ind w:left="12"/>
              <w:spacing w:before="50" w:line="219" w:lineRule="auto"/>
              <w:rPr/>
            </w:pPr>
            <w:r>
              <w:rPr>
                <w:color w:val="212529"/>
                <w:spacing w:val="-4"/>
              </w:rPr>
              <w:t>乡镇卫生院</w:t>
            </w:r>
          </w:p>
        </w:tc>
        <w:tc>
          <w:tcPr>
            <w:tcW w:w="1307" w:type="dxa"/>
            <w:vAlign w:val="top"/>
          </w:tcPr>
          <w:p>
            <w:pPr>
              <w:pStyle w:val="TableText"/>
              <w:ind w:right="26"/>
              <w:spacing w:before="50" w:line="239" w:lineRule="auto"/>
              <w:jc w:val="right"/>
              <w:rPr/>
            </w:pPr>
            <w:r>
              <w:rPr>
                <w:color w:val="212529"/>
                <w:spacing w:val="-4"/>
              </w:rPr>
              <w:t>164.75</w:t>
            </w:r>
          </w:p>
        </w:tc>
        <w:tc>
          <w:tcPr>
            <w:tcW w:w="1295" w:type="dxa"/>
            <w:vAlign w:val="top"/>
          </w:tcPr>
          <w:p>
            <w:pPr>
              <w:pStyle w:val="TableText"/>
              <w:ind w:right="25"/>
              <w:spacing w:before="50" w:line="239" w:lineRule="auto"/>
              <w:jc w:val="right"/>
              <w:rPr/>
            </w:pPr>
            <w:r>
              <w:rPr>
                <w:color w:val="212529"/>
                <w:spacing w:val="-4"/>
              </w:rPr>
              <w:t>157.25</w:t>
            </w:r>
          </w:p>
        </w:tc>
        <w:tc>
          <w:tcPr>
            <w:tcW w:w="1211" w:type="dxa"/>
            <w:vAlign w:val="top"/>
          </w:tcPr>
          <w:p>
            <w:pPr>
              <w:pStyle w:val="TableText"/>
              <w:ind w:right="23"/>
              <w:spacing w:before="50" w:line="239" w:lineRule="auto"/>
              <w:jc w:val="right"/>
              <w:rPr/>
            </w:pPr>
            <w:r>
              <w:rPr>
                <w:color w:val="212529"/>
                <w:spacing w:val="-3"/>
              </w:rPr>
              <w:t>7.50</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8"/>
              <w:rPr/>
            </w:pPr>
            <w:r>
              <w:rPr>
                <w:color w:val="212529"/>
                <w:spacing w:val="-2"/>
              </w:rPr>
              <w:t>2100399</w:t>
            </w:r>
          </w:p>
        </w:tc>
        <w:tc>
          <w:tcPr>
            <w:tcW w:w="1415" w:type="dxa"/>
            <w:vAlign w:val="top"/>
          </w:tcPr>
          <w:p>
            <w:pPr>
              <w:pStyle w:val="TableText"/>
              <w:ind w:left="5" w:right="148"/>
              <w:spacing w:before="3" w:line="203" w:lineRule="auto"/>
              <w:rPr/>
            </w:pPr>
            <w:r>
              <w:rPr>
                <w:color w:val="212529"/>
                <w:spacing w:val="-2"/>
              </w:rPr>
              <w:t>其他基层医疗卫</w:t>
            </w:r>
            <w:r>
              <w:rPr>
                <w:color w:val="212529"/>
                <w:spacing w:val="-2"/>
              </w:rPr>
              <w:t>生机构支出</w:t>
            </w:r>
          </w:p>
        </w:tc>
        <w:tc>
          <w:tcPr>
            <w:tcW w:w="1307" w:type="dxa"/>
            <w:vAlign w:val="top"/>
          </w:tcPr>
          <w:p>
            <w:pPr>
              <w:pStyle w:val="TableText"/>
              <w:ind w:right="32"/>
              <w:spacing w:before="98" w:line="239" w:lineRule="auto"/>
              <w:jc w:val="right"/>
              <w:rPr/>
            </w:pPr>
            <w:r>
              <w:rPr>
                <w:color w:val="212529"/>
                <w:spacing w:val="-5"/>
              </w:rPr>
              <w:t>16.57</w:t>
            </w:r>
          </w:p>
        </w:tc>
        <w:tc>
          <w:tcPr>
            <w:tcW w:w="1295" w:type="dxa"/>
            <w:vAlign w:val="top"/>
          </w:tcPr>
          <w:p>
            <w:pPr>
              <w:rPr>
                <w:rFonts w:ascii="Arial"/>
                <w:sz w:val="21"/>
              </w:rPr>
            </w:pPr>
            <w:r/>
          </w:p>
        </w:tc>
        <w:tc>
          <w:tcPr>
            <w:tcW w:w="1211" w:type="dxa"/>
            <w:vAlign w:val="top"/>
          </w:tcPr>
          <w:p>
            <w:pPr>
              <w:pStyle w:val="TableText"/>
              <w:ind w:right="29"/>
              <w:spacing w:before="98" w:line="239" w:lineRule="auto"/>
              <w:jc w:val="right"/>
              <w:rPr/>
            </w:pPr>
            <w:r>
              <w:rPr>
                <w:color w:val="212529"/>
                <w:spacing w:val="-5"/>
              </w:rPr>
              <w:t>16.57</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1"/>
              <w:rPr/>
            </w:pPr>
            <w:r>
              <w:rPr>
                <w:color w:val="212529"/>
                <w:spacing w:val="-2"/>
              </w:rPr>
              <w:t>21004</w:t>
            </w:r>
          </w:p>
        </w:tc>
        <w:tc>
          <w:tcPr>
            <w:tcW w:w="1415" w:type="dxa"/>
            <w:vAlign w:val="top"/>
          </w:tcPr>
          <w:p>
            <w:pPr>
              <w:pStyle w:val="TableText"/>
              <w:ind w:left="9"/>
              <w:spacing w:before="52" w:line="219" w:lineRule="auto"/>
              <w:rPr/>
            </w:pPr>
            <w:r>
              <w:rPr>
                <w:color w:val="212529"/>
                <w:spacing w:val="-4"/>
              </w:rPr>
              <w:t>公共卫生</w:t>
            </w:r>
          </w:p>
        </w:tc>
        <w:tc>
          <w:tcPr>
            <w:tcW w:w="1307" w:type="dxa"/>
            <w:vAlign w:val="top"/>
          </w:tcPr>
          <w:p>
            <w:pPr>
              <w:pStyle w:val="TableText"/>
              <w:ind w:right="32"/>
              <w:spacing w:before="51" w:line="239" w:lineRule="auto"/>
              <w:jc w:val="right"/>
              <w:rPr/>
            </w:pPr>
            <w:r>
              <w:rPr>
                <w:color w:val="212529"/>
                <w:spacing w:val="-3"/>
              </w:rPr>
              <w:t>51.12</w:t>
            </w:r>
          </w:p>
        </w:tc>
        <w:tc>
          <w:tcPr>
            <w:tcW w:w="1295" w:type="dxa"/>
            <w:vAlign w:val="top"/>
          </w:tcPr>
          <w:p>
            <w:pPr>
              <w:rPr>
                <w:rFonts w:ascii="Arial"/>
                <w:sz w:val="21"/>
              </w:rPr>
            </w:pPr>
            <w:r/>
          </w:p>
        </w:tc>
        <w:tc>
          <w:tcPr>
            <w:tcW w:w="1211" w:type="dxa"/>
            <w:vAlign w:val="top"/>
          </w:tcPr>
          <w:p>
            <w:pPr>
              <w:pStyle w:val="TableText"/>
              <w:ind w:right="29"/>
              <w:spacing w:before="51" w:line="239" w:lineRule="auto"/>
              <w:jc w:val="right"/>
              <w:rPr/>
            </w:pPr>
            <w:r>
              <w:rPr>
                <w:color w:val="212529"/>
                <w:spacing w:val="-3"/>
              </w:rPr>
              <w:t>51.12</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9"/>
              <w:rPr/>
            </w:pPr>
            <w:r>
              <w:rPr>
                <w:color w:val="212529"/>
                <w:spacing w:val="-2"/>
              </w:rPr>
              <w:t>2100408</w:t>
            </w:r>
          </w:p>
        </w:tc>
        <w:tc>
          <w:tcPr>
            <w:tcW w:w="1415" w:type="dxa"/>
            <w:vAlign w:val="top"/>
          </w:tcPr>
          <w:p>
            <w:pPr>
              <w:pStyle w:val="TableText"/>
              <w:ind w:left="5" w:right="148" w:hanging="1"/>
              <w:spacing w:before="3" w:line="203" w:lineRule="auto"/>
              <w:rPr/>
            </w:pPr>
            <w:r>
              <w:rPr>
                <w:color w:val="212529"/>
                <w:spacing w:val="-2"/>
              </w:rPr>
              <w:t>基本公共卫生服</w:t>
            </w:r>
            <w:r>
              <w:rPr>
                <w:color w:val="212529"/>
              </w:rPr>
              <w:t>务</w:t>
            </w:r>
          </w:p>
        </w:tc>
        <w:tc>
          <w:tcPr>
            <w:tcW w:w="1307" w:type="dxa"/>
            <w:vAlign w:val="top"/>
          </w:tcPr>
          <w:p>
            <w:pPr>
              <w:pStyle w:val="TableText"/>
              <w:ind w:right="32"/>
              <w:spacing w:before="99" w:line="239" w:lineRule="auto"/>
              <w:jc w:val="right"/>
              <w:rPr/>
            </w:pPr>
            <w:r>
              <w:rPr>
                <w:color w:val="212529"/>
                <w:spacing w:val="-2"/>
              </w:rPr>
              <w:t>41.35</w:t>
            </w:r>
          </w:p>
        </w:tc>
        <w:tc>
          <w:tcPr>
            <w:tcW w:w="1295" w:type="dxa"/>
            <w:vAlign w:val="top"/>
          </w:tcPr>
          <w:p>
            <w:pPr>
              <w:rPr>
                <w:rFonts w:ascii="Arial"/>
                <w:sz w:val="21"/>
              </w:rPr>
            </w:pPr>
            <w:r/>
          </w:p>
        </w:tc>
        <w:tc>
          <w:tcPr>
            <w:tcW w:w="1211" w:type="dxa"/>
            <w:vAlign w:val="top"/>
          </w:tcPr>
          <w:p>
            <w:pPr>
              <w:pStyle w:val="TableText"/>
              <w:ind w:right="29"/>
              <w:spacing w:before="99" w:line="239" w:lineRule="auto"/>
              <w:jc w:val="right"/>
              <w:rPr/>
            </w:pPr>
            <w:r>
              <w:rPr>
                <w:color w:val="212529"/>
                <w:spacing w:val="-2"/>
              </w:rPr>
              <w:t>41.35</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100"/>
              <w:rPr/>
            </w:pPr>
            <w:r>
              <w:rPr>
                <w:color w:val="212529"/>
                <w:spacing w:val="-2"/>
              </w:rPr>
              <w:t>2100410</w:t>
            </w:r>
          </w:p>
        </w:tc>
        <w:tc>
          <w:tcPr>
            <w:tcW w:w="1415" w:type="dxa"/>
            <w:vAlign w:val="top"/>
          </w:tcPr>
          <w:p>
            <w:pPr>
              <w:pStyle w:val="TableText"/>
              <w:ind w:left="3" w:right="148" w:firstLine="7"/>
              <w:spacing w:before="5" w:line="202" w:lineRule="auto"/>
              <w:rPr/>
            </w:pPr>
            <w:r>
              <w:rPr>
                <w:color w:val="212529"/>
                <w:spacing w:val="-3"/>
              </w:rPr>
              <w:t>突发公共卫生事</w:t>
            </w:r>
            <w:r>
              <w:rPr>
                <w:color w:val="212529"/>
                <w:spacing w:val="-2"/>
              </w:rPr>
              <w:t>件应急处理</w:t>
            </w:r>
          </w:p>
        </w:tc>
        <w:tc>
          <w:tcPr>
            <w:tcW w:w="1307" w:type="dxa"/>
            <w:vAlign w:val="top"/>
          </w:tcPr>
          <w:p>
            <w:pPr>
              <w:pStyle w:val="TableText"/>
              <w:ind w:right="26"/>
              <w:spacing w:before="100" w:line="239" w:lineRule="auto"/>
              <w:jc w:val="right"/>
              <w:rPr/>
            </w:pPr>
            <w:r>
              <w:rPr>
                <w:color w:val="212529"/>
                <w:spacing w:val="-3"/>
              </w:rPr>
              <w:t>9.77</w:t>
            </w:r>
          </w:p>
        </w:tc>
        <w:tc>
          <w:tcPr>
            <w:tcW w:w="1295" w:type="dxa"/>
            <w:vAlign w:val="top"/>
          </w:tcPr>
          <w:p>
            <w:pPr>
              <w:rPr>
                <w:rFonts w:ascii="Arial"/>
                <w:sz w:val="21"/>
              </w:rPr>
            </w:pPr>
            <w:r/>
          </w:p>
        </w:tc>
        <w:tc>
          <w:tcPr>
            <w:tcW w:w="1211" w:type="dxa"/>
            <w:vAlign w:val="top"/>
          </w:tcPr>
          <w:p>
            <w:pPr>
              <w:pStyle w:val="TableText"/>
              <w:ind w:right="23"/>
              <w:spacing w:before="100" w:line="239" w:lineRule="auto"/>
              <w:jc w:val="right"/>
              <w:rPr/>
            </w:pPr>
            <w:r>
              <w:rPr>
                <w:color w:val="212529"/>
                <w:spacing w:val="-3"/>
              </w:rPr>
              <w:t>9.77</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101"/>
              <w:rPr/>
            </w:pPr>
            <w:r>
              <w:rPr>
                <w:color w:val="212529"/>
                <w:spacing w:val="-2"/>
              </w:rPr>
              <w:t>21011</w:t>
            </w:r>
          </w:p>
        </w:tc>
        <w:tc>
          <w:tcPr>
            <w:tcW w:w="1415" w:type="dxa"/>
            <w:vAlign w:val="top"/>
          </w:tcPr>
          <w:p>
            <w:pPr>
              <w:pStyle w:val="TableText"/>
              <w:ind w:left="3" w:right="148" w:firstLine="3"/>
              <w:spacing w:before="7" w:line="201" w:lineRule="auto"/>
              <w:rPr/>
            </w:pPr>
            <w:r>
              <w:rPr>
                <w:color w:val="212529"/>
                <w:spacing w:val="-2"/>
              </w:rPr>
              <w:t>行政事业单位医</w:t>
            </w:r>
            <w:r>
              <w:rPr>
                <w:color w:val="212529"/>
              </w:rPr>
              <w:t>疗</w:t>
            </w:r>
          </w:p>
        </w:tc>
        <w:tc>
          <w:tcPr>
            <w:tcW w:w="1307" w:type="dxa"/>
            <w:vAlign w:val="top"/>
          </w:tcPr>
          <w:p>
            <w:pPr>
              <w:pStyle w:val="TableText"/>
              <w:ind w:right="26"/>
              <w:spacing w:before="102" w:line="239" w:lineRule="auto"/>
              <w:jc w:val="right"/>
              <w:rPr/>
            </w:pPr>
            <w:r>
              <w:rPr>
                <w:color w:val="212529"/>
                <w:spacing w:val="-3"/>
              </w:rPr>
              <w:t>5.12</w:t>
            </w:r>
          </w:p>
        </w:tc>
        <w:tc>
          <w:tcPr>
            <w:tcW w:w="1295" w:type="dxa"/>
            <w:vAlign w:val="top"/>
          </w:tcPr>
          <w:p>
            <w:pPr>
              <w:pStyle w:val="TableText"/>
              <w:ind w:right="25"/>
              <w:spacing w:before="102" w:line="239" w:lineRule="auto"/>
              <w:jc w:val="right"/>
              <w:rPr/>
            </w:pPr>
            <w:r>
              <w:rPr>
                <w:color w:val="212529"/>
                <w:spacing w:val="-3"/>
              </w:rPr>
              <w:t>5.12</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4"/>
              <w:rPr/>
            </w:pPr>
            <w:r>
              <w:rPr>
                <w:color w:val="212529"/>
                <w:spacing w:val="-2"/>
              </w:rPr>
              <w:t>2101102</w:t>
            </w:r>
          </w:p>
        </w:tc>
        <w:tc>
          <w:tcPr>
            <w:tcW w:w="1415" w:type="dxa"/>
            <w:vAlign w:val="top"/>
          </w:tcPr>
          <w:p>
            <w:pPr>
              <w:pStyle w:val="TableText"/>
              <w:ind w:left="4"/>
              <w:spacing w:before="55" w:line="220" w:lineRule="auto"/>
              <w:rPr/>
            </w:pPr>
            <w:r>
              <w:rPr>
                <w:color w:val="212529"/>
                <w:spacing w:val="-2"/>
              </w:rPr>
              <w:t>事业单位医疗</w:t>
            </w:r>
          </w:p>
        </w:tc>
        <w:tc>
          <w:tcPr>
            <w:tcW w:w="1307" w:type="dxa"/>
            <w:vAlign w:val="top"/>
          </w:tcPr>
          <w:p>
            <w:pPr>
              <w:pStyle w:val="TableText"/>
              <w:ind w:right="26"/>
              <w:spacing w:before="55" w:line="239" w:lineRule="auto"/>
              <w:jc w:val="right"/>
              <w:rPr/>
            </w:pPr>
            <w:r>
              <w:rPr>
                <w:color w:val="212529"/>
                <w:spacing w:val="-3"/>
              </w:rPr>
              <w:t>5.06</w:t>
            </w:r>
          </w:p>
        </w:tc>
        <w:tc>
          <w:tcPr>
            <w:tcW w:w="1295" w:type="dxa"/>
            <w:vAlign w:val="top"/>
          </w:tcPr>
          <w:p>
            <w:pPr>
              <w:pStyle w:val="TableText"/>
              <w:ind w:right="25"/>
              <w:spacing w:before="55" w:line="239" w:lineRule="auto"/>
              <w:jc w:val="right"/>
              <w:rPr/>
            </w:pPr>
            <w:r>
              <w:rPr>
                <w:color w:val="212529"/>
                <w:spacing w:val="-3"/>
              </w:rPr>
              <w:t>5.06</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2"/>
              <w:rPr/>
            </w:pPr>
            <w:r>
              <w:rPr>
                <w:color w:val="212529"/>
                <w:spacing w:val="-2"/>
              </w:rPr>
              <w:t>2101199</w:t>
            </w:r>
          </w:p>
        </w:tc>
        <w:tc>
          <w:tcPr>
            <w:tcW w:w="1415" w:type="dxa"/>
            <w:vAlign w:val="top"/>
          </w:tcPr>
          <w:p>
            <w:pPr>
              <w:pStyle w:val="TableText"/>
              <w:ind w:left="4" w:right="148"/>
              <w:spacing w:before="8" w:line="201" w:lineRule="auto"/>
              <w:rPr/>
            </w:pPr>
            <w:r>
              <w:rPr>
                <w:color w:val="212529"/>
                <w:spacing w:val="-2"/>
              </w:rPr>
              <w:t>其他行政事业单</w:t>
            </w:r>
            <w:r>
              <w:rPr>
                <w:color w:val="212529"/>
                <w:spacing w:val="-2"/>
              </w:rPr>
              <w:t>位医疗支出</w:t>
            </w:r>
          </w:p>
        </w:tc>
        <w:tc>
          <w:tcPr>
            <w:tcW w:w="1307" w:type="dxa"/>
            <w:vAlign w:val="top"/>
          </w:tcPr>
          <w:p>
            <w:pPr>
              <w:pStyle w:val="TableText"/>
              <w:ind w:right="26"/>
              <w:spacing w:before="103" w:line="239" w:lineRule="auto"/>
              <w:jc w:val="right"/>
              <w:rPr/>
            </w:pPr>
            <w:r>
              <w:rPr>
                <w:color w:val="212529"/>
                <w:spacing w:val="-3"/>
              </w:rPr>
              <w:t>0.05</w:t>
            </w:r>
          </w:p>
        </w:tc>
        <w:tc>
          <w:tcPr>
            <w:tcW w:w="1295" w:type="dxa"/>
            <w:vAlign w:val="top"/>
          </w:tcPr>
          <w:p>
            <w:pPr>
              <w:pStyle w:val="TableText"/>
              <w:ind w:right="25"/>
              <w:spacing w:before="103" w:line="239" w:lineRule="auto"/>
              <w:jc w:val="right"/>
              <w:rPr/>
            </w:pPr>
            <w:r>
              <w:rPr>
                <w:color w:val="212529"/>
                <w:spacing w:val="-3"/>
              </w:rPr>
              <w:t>0.05</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21099</w:t>
            </w:r>
          </w:p>
        </w:tc>
        <w:tc>
          <w:tcPr>
            <w:tcW w:w="1415" w:type="dxa"/>
            <w:vAlign w:val="top"/>
          </w:tcPr>
          <w:p>
            <w:pPr>
              <w:pStyle w:val="TableText"/>
              <w:ind w:left="19" w:right="148" w:hanging="14"/>
              <w:spacing w:before="8" w:line="201" w:lineRule="auto"/>
              <w:rPr/>
            </w:pPr>
            <w:r>
              <w:rPr>
                <w:color w:val="212529"/>
                <w:spacing w:val="-2"/>
              </w:rPr>
              <w:t>其他卫生健康支</w:t>
            </w:r>
            <w:r>
              <w:rPr>
                <w:color w:val="212529"/>
              </w:rPr>
              <w:t>出</w:t>
            </w:r>
          </w:p>
        </w:tc>
        <w:tc>
          <w:tcPr>
            <w:tcW w:w="1307" w:type="dxa"/>
            <w:vAlign w:val="top"/>
          </w:tcPr>
          <w:p>
            <w:pPr>
              <w:pStyle w:val="TableText"/>
              <w:ind w:right="26"/>
              <w:spacing w:before="103" w:line="239" w:lineRule="auto"/>
              <w:jc w:val="right"/>
              <w:rPr/>
            </w:pPr>
            <w:r>
              <w:rPr>
                <w:color w:val="212529"/>
                <w:spacing w:val="-3"/>
              </w:rPr>
              <w:t>0.39</w:t>
            </w:r>
          </w:p>
        </w:tc>
        <w:tc>
          <w:tcPr>
            <w:tcW w:w="1295" w:type="dxa"/>
            <w:vAlign w:val="top"/>
          </w:tcPr>
          <w:p>
            <w:pPr>
              <w:rPr>
                <w:rFonts w:ascii="Arial"/>
                <w:sz w:val="21"/>
              </w:rPr>
            </w:pPr>
            <w:r/>
          </w:p>
        </w:tc>
        <w:tc>
          <w:tcPr>
            <w:tcW w:w="1211" w:type="dxa"/>
            <w:vAlign w:val="top"/>
          </w:tcPr>
          <w:p>
            <w:pPr>
              <w:pStyle w:val="TableText"/>
              <w:ind w:right="23"/>
              <w:spacing w:before="103" w:line="239" w:lineRule="auto"/>
              <w:jc w:val="right"/>
              <w:rPr/>
            </w:pPr>
            <w:r>
              <w:rPr>
                <w:color w:val="212529"/>
                <w:spacing w:val="-3"/>
              </w:rPr>
              <w:t>0.39</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2109999</w:t>
            </w:r>
          </w:p>
        </w:tc>
        <w:tc>
          <w:tcPr>
            <w:tcW w:w="1415" w:type="dxa"/>
            <w:vAlign w:val="top"/>
          </w:tcPr>
          <w:p>
            <w:pPr>
              <w:pStyle w:val="TableText"/>
              <w:ind w:left="19" w:right="148" w:hanging="14"/>
              <w:spacing w:before="8" w:line="201" w:lineRule="auto"/>
              <w:rPr/>
            </w:pPr>
            <w:r>
              <w:rPr>
                <w:color w:val="212529"/>
                <w:spacing w:val="-2"/>
              </w:rPr>
              <w:t>其他卫生健康支</w:t>
            </w:r>
            <w:r>
              <w:rPr>
                <w:color w:val="212529"/>
              </w:rPr>
              <w:t>出</w:t>
            </w:r>
          </w:p>
        </w:tc>
        <w:tc>
          <w:tcPr>
            <w:tcW w:w="1307" w:type="dxa"/>
            <w:vAlign w:val="top"/>
          </w:tcPr>
          <w:p>
            <w:pPr>
              <w:pStyle w:val="TableText"/>
              <w:ind w:right="26"/>
              <w:spacing w:before="103" w:line="239" w:lineRule="auto"/>
              <w:jc w:val="right"/>
              <w:rPr/>
            </w:pPr>
            <w:r>
              <w:rPr>
                <w:color w:val="212529"/>
                <w:spacing w:val="-3"/>
              </w:rPr>
              <w:t>0.39</w:t>
            </w:r>
          </w:p>
        </w:tc>
        <w:tc>
          <w:tcPr>
            <w:tcW w:w="1295" w:type="dxa"/>
            <w:vAlign w:val="top"/>
          </w:tcPr>
          <w:p>
            <w:pPr>
              <w:rPr>
                <w:rFonts w:ascii="Arial"/>
                <w:sz w:val="21"/>
              </w:rPr>
            </w:pPr>
            <w:r/>
          </w:p>
        </w:tc>
        <w:tc>
          <w:tcPr>
            <w:tcW w:w="1211" w:type="dxa"/>
            <w:vAlign w:val="top"/>
          </w:tcPr>
          <w:p>
            <w:pPr>
              <w:pStyle w:val="TableText"/>
              <w:ind w:right="23"/>
              <w:spacing w:before="103" w:line="239" w:lineRule="auto"/>
              <w:jc w:val="right"/>
              <w:rPr/>
            </w:pPr>
            <w:r>
              <w:rPr>
                <w:color w:val="212529"/>
                <w:spacing w:val="-3"/>
              </w:rPr>
              <w:t>0.39</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line="241" w:lineRule="auto"/>
              <w:rPr/>
            </w:pPr>
            <w:r>
              <w:rPr>
                <w:color w:val="212529"/>
                <w:spacing w:val="-4"/>
              </w:rPr>
              <w:t>221</w:t>
            </w:r>
          </w:p>
        </w:tc>
        <w:tc>
          <w:tcPr>
            <w:tcW w:w="1415" w:type="dxa"/>
            <w:vAlign w:val="top"/>
          </w:tcPr>
          <w:p>
            <w:pPr>
              <w:pStyle w:val="TableText"/>
              <w:ind w:left="3"/>
              <w:spacing w:before="56" w:line="219" w:lineRule="auto"/>
              <w:rPr/>
            </w:pPr>
            <w:r>
              <w:rPr>
                <w:color w:val="212529"/>
                <w:spacing w:val="-2"/>
              </w:rPr>
              <w:t>住房保障支出</w:t>
            </w:r>
          </w:p>
        </w:tc>
        <w:tc>
          <w:tcPr>
            <w:tcW w:w="1307" w:type="dxa"/>
            <w:vAlign w:val="top"/>
          </w:tcPr>
          <w:p>
            <w:pPr>
              <w:pStyle w:val="TableText"/>
              <w:ind w:right="32"/>
              <w:spacing w:before="55" w:line="239" w:lineRule="auto"/>
              <w:jc w:val="right"/>
              <w:rPr/>
            </w:pPr>
            <w:r>
              <w:rPr>
                <w:color w:val="212529"/>
                <w:spacing w:val="-5"/>
              </w:rPr>
              <w:t>11.42</w:t>
            </w:r>
          </w:p>
        </w:tc>
        <w:tc>
          <w:tcPr>
            <w:tcW w:w="1295" w:type="dxa"/>
            <w:vAlign w:val="top"/>
          </w:tcPr>
          <w:p>
            <w:pPr>
              <w:pStyle w:val="TableText"/>
              <w:ind w:right="31"/>
              <w:spacing w:before="55" w:line="239" w:lineRule="auto"/>
              <w:jc w:val="right"/>
              <w:rPr/>
            </w:pPr>
            <w:r>
              <w:rPr>
                <w:color w:val="212529"/>
                <w:spacing w:val="-5"/>
              </w:rPr>
              <w:t>11.42</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rPr/>
            </w:pPr>
            <w:r>
              <w:rPr>
                <w:color w:val="212529"/>
                <w:spacing w:val="-2"/>
              </w:rPr>
              <w:t>22102</w:t>
            </w:r>
          </w:p>
        </w:tc>
        <w:tc>
          <w:tcPr>
            <w:tcW w:w="1415" w:type="dxa"/>
            <w:vAlign w:val="top"/>
          </w:tcPr>
          <w:p>
            <w:pPr>
              <w:pStyle w:val="TableText"/>
              <w:ind w:left="3"/>
              <w:spacing w:before="56" w:line="219" w:lineRule="auto"/>
              <w:rPr/>
            </w:pPr>
            <w:r>
              <w:rPr>
                <w:color w:val="212529"/>
                <w:spacing w:val="-2"/>
              </w:rPr>
              <w:t>住房改革支出</w:t>
            </w:r>
          </w:p>
        </w:tc>
        <w:tc>
          <w:tcPr>
            <w:tcW w:w="1307" w:type="dxa"/>
            <w:vAlign w:val="top"/>
          </w:tcPr>
          <w:p>
            <w:pPr>
              <w:pStyle w:val="TableText"/>
              <w:ind w:right="32"/>
              <w:spacing w:before="55" w:line="239" w:lineRule="auto"/>
              <w:jc w:val="right"/>
              <w:rPr/>
            </w:pPr>
            <w:r>
              <w:rPr>
                <w:color w:val="212529"/>
                <w:spacing w:val="-5"/>
              </w:rPr>
              <w:t>11.42</w:t>
            </w:r>
          </w:p>
        </w:tc>
        <w:tc>
          <w:tcPr>
            <w:tcW w:w="1295" w:type="dxa"/>
            <w:vAlign w:val="top"/>
          </w:tcPr>
          <w:p>
            <w:pPr>
              <w:pStyle w:val="TableText"/>
              <w:ind w:right="31"/>
              <w:spacing w:before="55" w:line="239" w:lineRule="auto"/>
              <w:jc w:val="right"/>
              <w:rPr/>
            </w:pPr>
            <w:r>
              <w:rPr>
                <w:color w:val="212529"/>
                <w:spacing w:val="-5"/>
              </w:rPr>
              <w:t>11.42</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rPr/>
            </w:pPr>
            <w:r>
              <w:rPr>
                <w:color w:val="212529"/>
                <w:spacing w:val="-2"/>
              </w:rPr>
              <w:t>2210201</w:t>
            </w:r>
          </w:p>
        </w:tc>
        <w:tc>
          <w:tcPr>
            <w:tcW w:w="1415" w:type="dxa"/>
            <w:vAlign w:val="top"/>
          </w:tcPr>
          <w:p>
            <w:pPr>
              <w:pStyle w:val="TableText"/>
              <w:ind w:left="3"/>
              <w:spacing w:before="55" w:line="220" w:lineRule="auto"/>
              <w:rPr/>
            </w:pPr>
            <w:r>
              <w:rPr>
                <w:color w:val="212529"/>
                <w:spacing w:val="-2"/>
              </w:rPr>
              <w:t>住房公积金</w:t>
            </w:r>
          </w:p>
        </w:tc>
        <w:tc>
          <w:tcPr>
            <w:tcW w:w="1307" w:type="dxa"/>
            <w:vAlign w:val="top"/>
          </w:tcPr>
          <w:p>
            <w:pPr>
              <w:pStyle w:val="TableText"/>
              <w:ind w:right="32"/>
              <w:spacing w:before="55" w:line="239" w:lineRule="auto"/>
              <w:jc w:val="right"/>
              <w:rPr/>
            </w:pPr>
            <w:r>
              <w:rPr>
                <w:color w:val="212529"/>
                <w:spacing w:val="-5"/>
              </w:rPr>
              <w:t>11.42</w:t>
            </w:r>
          </w:p>
        </w:tc>
        <w:tc>
          <w:tcPr>
            <w:tcW w:w="1295" w:type="dxa"/>
            <w:vAlign w:val="top"/>
          </w:tcPr>
          <w:p>
            <w:pPr>
              <w:pStyle w:val="TableText"/>
              <w:ind w:right="31"/>
              <w:spacing w:before="55" w:line="239" w:lineRule="auto"/>
              <w:jc w:val="right"/>
              <w:rPr/>
            </w:pPr>
            <w:r>
              <w:rPr>
                <w:color w:val="212529"/>
                <w:spacing w:val="-5"/>
              </w:rPr>
              <w:t>11.42</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rPr>
          <w:rFonts w:ascii="Arial"/>
          <w:sz w:val="21"/>
        </w:rPr>
      </w:pPr>
      <w:r/>
    </w:p>
    <w:p>
      <w:pPr>
        <w:sectPr>
          <w:headerReference w:type="default" r:id="rId9"/>
          <w:footerReference w:type="default" r:id="rId10"/>
          <w:pgSz w:w="11900" w:h="1684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5" w:lineRule="auto"/>
              <w:rPr>
                <w:sz w:val="14"/>
                <w:szCs w:val="14"/>
              </w:rPr>
            </w:pPr>
            <w:r>
              <w:rPr>
                <w:sz w:val="14"/>
                <w:szCs w:val="14"/>
                <w:color w:val="212529"/>
                <w:spacing w:val="3"/>
              </w:rPr>
              <w:t>部门名称：兴县孟家坪乡卫生院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207" w:right="53" w:hanging="177"/>
              <w:spacing w:before="59" w:line="214" w:lineRule="auto"/>
              <w:rPr/>
            </w:pPr>
            <w:r>
              <w:rPr>
                <w:color w:val="212529"/>
                <w:spacing w:val="-2"/>
              </w:rPr>
              <w:t>一般公共预算</w:t>
            </w: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2"/>
              </w:rPr>
              <w:t>223.55</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4" w:right="174" w:hanging="5"/>
              <w:spacing w:before="2" w:line="210" w:lineRule="auto"/>
              <w:rPr/>
            </w:pPr>
            <w:r>
              <w:rPr>
                <w:color w:val="212529"/>
                <w:spacing w:val="-2"/>
              </w:rPr>
              <w:t>三、国有资本经</w:t>
            </w: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9"/>
              <w:spacing w:before="112" w:line="239" w:lineRule="auto"/>
              <w:jc w:val="right"/>
              <w:rPr/>
            </w:pPr>
            <w:r>
              <w:rPr>
                <w:color w:val="212529"/>
                <w:spacing w:val="-5"/>
              </w:rPr>
              <w:t>12.47</w:t>
            </w:r>
          </w:p>
        </w:tc>
        <w:tc>
          <w:tcPr>
            <w:tcW w:w="1163" w:type="dxa"/>
            <w:vAlign w:val="top"/>
          </w:tcPr>
          <w:p>
            <w:pPr>
              <w:pStyle w:val="TableText"/>
              <w:ind w:right="28"/>
              <w:spacing w:before="112" w:line="239" w:lineRule="auto"/>
              <w:jc w:val="right"/>
              <w:rPr/>
            </w:pPr>
            <w:r>
              <w:rPr>
                <w:color w:val="212529"/>
                <w:spacing w:val="-5"/>
              </w:rPr>
              <w:t>12.47</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4"/>
              </w:rPr>
              <w:t>199.66</w:t>
            </w:r>
          </w:p>
        </w:tc>
        <w:tc>
          <w:tcPr>
            <w:tcW w:w="1163" w:type="dxa"/>
            <w:vAlign w:val="top"/>
          </w:tcPr>
          <w:p>
            <w:pPr>
              <w:pStyle w:val="TableText"/>
              <w:ind w:right="22"/>
              <w:spacing w:before="112" w:line="239" w:lineRule="auto"/>
              <w:jc w:val="right"/>
              <w:rPr/>
            </w:pPr>
            <w:r>
              <w:rPr>
                <w:color w:val="212529"/>
                <w:spacing w:val="-4"/>
              </w:rPr>
              <w:t>199.66</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9"/>
              <w:spacing w:before="113" w:line="239" w:lineRule="auto"/>
              <w:jc w:val="right"/>
              <w:rPr/>
            </w:pPr>
            <w:r>
              <w:rPr>
                <w:color w:val="212529"/>
                <w:spacing w:val="-5"/>
              </w:rPr>
              <w:t>11.42</w:t>
            </w:r>
          </w:p>
        </w:tc>
        <w:tc>
          <w:tcPr>
            <w:tcW w:w="1163" w:type="dxa"/>
            <w:vAlign w:val="top"/>
          </w:tcPr>
          <w:p>
            <w:pPr>
              <w:pStyle w:val="TableText"/>
              <w:ind w:right="28"/>
              <w:spacing w:before="113" w:line="239" w:lineRule="auto"/>
              <w:jc w:val="right"/>
              <w:rPr/>
            </w:pPr>
            <w:r>
              <w:rPr>
                <w:color w:val="212529"/>
                <w:spacing w:val="-5"/>
              </w:rPr>
              <w:t>11.42</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2"/>
              </w:rPr>
              <w:t>223.55</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2"/>
              </w:rPr>
              <w:t>223.55</w:t>
            </w:r>
          </w:p>
        </w:tc>
        <w:tc>
          <w:tcPr>
            <w:tcW w:w="1163" w:type="dxa"/>
            <w:vAlign w:val="top"/>
          </w:tcPr>
          <w:p>
            <w:pPr>
              <w:pStyle w:val="TableText"/>
              <w:ind w:right="22"/>
              <w:spacing w:before="114" w:line="239" w:lineRule="auto"/>
              <w:jc w:val="right"/>
              <w:rPr/>
            </w:pPr>
            <w:r>
              <w:rPr>
                <w:color w:val="212529"/>
                <w:spacing w:val="-2"/>
              </w:rPr>
              <w:t>223.55</w:t>
            </w:r>
          </w:p>
        </w:tc>
        <w:tc>
          <w:tcPr>
            <w:tcW w:w="515" w:type="dxa"/>
            <w:vAlign w:val="top"/>
          </w:tcPr>
          <w:p>
            <w:pPr>
              <w:rPr>
                <w:rFonts w:ascii="Arial"/>
                <w:sz w:val="21"/>
              </w:rPr>
            </w:pPr>
            <w:r/>
          </w:p>
        </w:tc>
        <w:tc>
          <w:tcPr>
            <w:tcW w:w="905" w:type="dxa"/>
            <w:vAlign w:val="top"/>
          </w:tcPr>
          <w:p>
            <w:pPr>
              <w:rPr>
                <w:rFonts w:ascii="Arial"/>
                <w:sz w:val="21"/>
              </w:rPr>
            </w:pPr>
            <w:r/>
          </w:p>
        </w:tc>
      </w:tr>
    </w:tbl>
    <w:p>
      <w:pPr>
        <w:rPr>
          <w:rFonts w:ascii="Arial"/>
          <w:sz w:val="21"/>
        </w:rPr>
      </w:pPr>
      <w:r/>
    </w:p>
    <w:p>
      <w:pPr>
        <w:sectPr>
          <w:headerReference w:type="default" r:id="rId11"/>
          <w:footerReference w:type="default" r:id="rId12"/>
          <w:pgSz w:w="11900" w:h="16840"/>
          <w:pgMar w:top="642" w:right="0" w:bottom="340" w:left="0" w:header="326" w:footer="93" w:gutter="0"/>
        </w:sectPr>
        <w:rPr>
          <w:rFonts w:ascii="Arial" w:hAnsi="Arial" w:eastAsia="Arial" w:cs="Arial"/>
          <w:sz w:val="21"/>
          <w:szCs w:val="21"/>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2"/>
              </w:rPr>
              <w:t>223.55</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2"/>
              </w:rPr>
              <w:t>223.55</w:t>
            </w:r>
          </w:p>
        </w:tc>
        <w:tc>
          <w:tcPr>
            <w:tcW w:w="1163" w:type="dxa"/>
            <w:vAlign w:val="top"/>
          </w:tcPr>
          <w:p>
            <w:pPr>
              <w:pStyle w:val="TableText"/>
              <w:ind w:right="22"/>
              <w:spacing w:before="110" w:line="239" w:lineRule="auto"/>
              <w:jc w:val="right"/>
              <w:rPr/>
            </w:pPr>
            <w:r>
              <w:rPr>
                <w:color w:val="212529"/>
                <w:spacing w:val="-2"/>
              </w:rPr>
              <w:t>223.55</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13"/>
          <w:footerReference w:type="default" r:id="rId14"/>
          <w:pgSz w:w="11900" w:h="1684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16"/>
        <w:gridCol w:w="2674"/>
        <w:gridCol w:w="1606"/>
        <w:gridCol w:w="1463"/>
        <w:gridCol w:w="145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16"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7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606"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6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7" w:type="dxa"/>
            <w:vAlign w:val="top"/>
            <w:tcBorders>
              <w:bottom w:val="single" w:color="FFFFFF" w:sz="4" w:space="0"/>
              <w:top w:val="single" w:color="FFFFFF" w:sz="4" w:space="0"/>
              <w:left w:val="single" w:color="FFFFFF" w:sz="2" w:space="0"/>
              <w:right w:val="single" w:color="FFFFFF" w:sz="2" w:space="0"/>
            </w:tcBorders>
          </w:tcPr>
          <w:p>
            <w:pPr>
              <w:pStyle w:val="TableText"/>
              <w:ind w:left="857"/>
              <w:spacing w:before="5" w:line="226" w:lineRule="auto"/>
              <w:rPr>
                <w:sz w:val="14"/>
                <w:szCs w:val="14"/>
              </w:rPr>
            </w:pPr>
            <w:r>
              <w:rPr>
                <w:sz w:val="14"/>
                <w:szCs w:val="14"/>
                <w:color w:val="212529"/>
              </w:rPr>
              <w:t>公开05表</w:t>
            </w:r>
          </w:p>
        </w:tc>
      </w:tr>
      <w:tr>
        <w:trPr>
          <w:trHeight w:val="337" w:hRule="atLeast"/>
        </w:trPr>
        <w:tc>
          <w:tcPr>
            <w:tcW w:w="4490" w:type="dxa"/>
            <w:vAlign w:val="top"/>
            <w:gridSpan w:val="2"/>
            <w:tcBorders>
              <w:top w:val="single" w:color="FFFFFF" w:sz="4" w:space="0"/>
            </w:tcBorders>
          </w:tcPr>
          <w:p>
            <w:pPr>
              <w:pStyle w:val="TableText"/>
              <w:ind w:left="9"/>
              <w:spacing w:before="90" w:line="225" w:lineRule="auto"/>
              <w:rPr>
                <w:sz w:val="14"/>
                <w:szCs w:val="14"/>
              </w:rPr>
            </w:pPr>
            <w:r>
              <w:rPr>
                <w:sz w:val="14"/>
                <w:szCs w:val="14"/>
                <w:color w:val="212529"/>
                <w:spacing w:val="3"/>
              </w:rPr>
              <w:t>部门名称：兴县孟家坪乡卫生院</w:t>
            </w:r>
          </w:p>
        </w:tc>
        <w:tc>
          <w:tcPr>
            <w:tcW w:w="1606" w:type="dxa"/>
            <w:vAlign w:val="top"/>
            <w:tcBorders>
              <w:top w:val="single" w:color="FFFFFF" w:sz="4" w:space="0"/>
              <w:right w:val="single" w:color="FFFFFF" w:sz="2" w:space="0"/>
            </w:tcBorders>
          </w:tcPr>
          <w:p>
            <w:pPr>
              <w:pStyle w:val="TableText"/>
              <w:ind w:left="506"/>
              <w:spacing w:before="174" w:line="201" w:lineRule="auto"/>
              <w:rPr>
                <w:sz w:val="14"/>
                <w:szCs w:val="14"/>
              </w:rPr>
            </w:pPr>
            <w:r>
              <w:rPr>
                <w:sz w:val="14"/>
                <w:szCs w:val="14"/>
                <w:color w:val="212529"/>
                <w:spacing w:val="1"/>
              </w:rPr>
              <w:t>2023年度</w:t>
            </w:r>
          </w:p>
        </w:tc>
        <w:tc>
          <w:tcPr>
            <w:tcW w:w="1463" w:type="dxa"/>
            <w:vAlign w:val="top"/>
            <w:tcBorders>
              <w:top w:val="single" w:color="FFFFFF" w:sz="4" w:space="0"/>
              <w:left w:val="single" w:color="FFFFFF" w:sz="2" w:space="0"/>
              <w:right w:val="single" w:color="FFFFFF" w:sz="2" w:space="0"/>
            </w:tcBorders>
          </w:tcPr>
          <w:p>
            <w:pPr>
              <w:rPr>
                <w:rFonts w:ascii="Arial"/>
                <w:sz w:val="21"/>
              </w:rPr>
            </w:pPr>
            <w:r/>
          </w:p>
        </w:tc>
        <w:tc>
          <w:tcPr>
            <w:tcW w:w="1457" w:type="dxa"/>
            <w:vAlign w:val="top"/>
            <w:tcBorders>
              <w:top w:val="single" w:color="FFFFFF" w:sz="4" w:space="0"/>
              <w:left w:val="single" w:color="FFFFFF" w:sz="2" w:space="0"/>
            </w:tcBorders>
          </w:tcPr>
          <w:p>
            <w:pPr>
              <w:pStyle w:val="TableText"/>
              <w:ind w:left="422"/>
              <w:spacing w:before="90" w:line="225" w:lineRule="auto"/>
              <w:rPr>
                <w:sz w:val="14"/>
                <w:szCs w:val="14"/>
              </w:rPr>
            </w:pPr>
            <w:r>
              <w:rPr>
                <w:sz w:val="14"/>
                <w:szCs w:val="14"/>
                <w:color w:val="212529"/>
                <w:spacing w:val="2"/>
              </w:rPr>
              <w:t>金额单位：万元</w:t>
            </w:r>
          </w:p>
        </w:tc>
      </w:tr>
      <w:tr>
        <w:trPr>
          <w:trHeight w:val="302" w:hRule="atLeast"/>
        </w:trPr>
        <w:tc>
          <w:tcPr>
            <w:tcW w:w="4490" w:type="dxa"/>
            <w:vAlign w:val="top"/>
            <w:gridSpan w:val="2"/>
          </w:tcPr>
          <w:p>
            <w:pPr>
              <w:ind w:left="2043"/>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26" w:type="dxa"/>
            <w:vAlign w:val="top"/>
            <w:gridSpan w:val="3"/>
          </w:tcPr>
          <w:p>
            <w:pPr>
              <w:ind w:left="1881"/>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16" w:type="dxa"/>
            <w:vAlign w:val="top"/>
          </w:tcPr>
          <w:p>
            <w:pPr>
              <w:ind w:left="525"/>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74" w:type="dxa"/>
            <w:vAlign w:val="top"/>
          </w:tcPr>
          <w:p>
            <w:pPr>
              <w:ind w:left="953"/>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606" w:type="dxa"/>
            <w:vAlign w:val="top"/>
          </w:tcPr>
          <w:p>
            <w:pPr>
              <w:ind w:left="603"/>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63" w:type="dxa"/>
            <w:vAlign w:val="top"/>
          </w:tcPr>
          <w:p>
            <w:pPr>
              <w:ind w:left="356"/>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457" w:type="dxa"/>
            <w:vAlign w:val="top"/>
          </w:tcPr>
          <w:p>
            <w:pPr>
              <w:ind w:left="34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90" w:type="dxa"/>
            <w:vAlign w:val="top"/>
            <w:gridSpan w:val="2"/>
          </w:tcPr>
          <w:p>
            <w:pPr>
              <w:ind w:left="2041"/>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606" w:type="dxa"/>
            <w:vAlign w:val="top"/>
          </w:tcPr>
          <w:p>
            <w:pPr>
              <w:pStyle w:val="TableText"/>
              <w:ind w:left="753"/>
              <w:spacing w:before="48" w:line="241" w:lineRule="auto"/>
              <w:rPr/>
            </w:pPr>
            <w:r>
              <w:rPr>
                <w:color w:val="212529"/>
              </w:rPr>
              <w:t>1</w:t>
            </w:r>
          </w:p>
        </w:tc>
        <w:tc>
          <w:tcPr>
            <w:tcW w:w="1463" w:type="dxa"/>
            <w:vAlign w:val="top"/>
          </w:tcPr>
          <w:p>
            <w:pPr>
              <w:pStyle w:val="TableText"/>
              <w:ind w:left="673"/>
              <w:spacing w:before="48" w:line="241" w:lineRule="auto"/>
              <w:rPr/>
            </w:pPr>
            <w:r>
              <w:rPr>
                <w:color w:val="212529"/>
              </w:rPr>
              <w:t>2</w:t>
            </w:r>
          </w:p>
        </w:tc>
        <w:tc>
          <w:tcPr>
            <w:tcW w:w="1457" w:type="dxa"/>
            <w:vAlign w:val="top"/>
          </w:tcPr>
          <w:p>
            <w:pPr>
              <w:pStyle w:val="TableText"/>
              <w:ind w:left="669"/>
              <w:spacing w:before="48"/>
              <w:rPr/>
            </w:pPr>
            <w:r>
              <w:rPr>
                <w:color w:val="212529"/>
              </w:rPr>
              <w:t>3</w:t>
            </w:r>
          </w:p>
        </w:tc>
      </w:tr>
      <w:tr>
        <w:trPr>
          <w:trHeight w:val="301" w:hRule="atLeast"/>
        </w:trPr>
        <w:tc>
          <w:tcPr>
            <w:tcW w:w="4490" w:type="dxa"/>
            <w:vAlign w:val="top"/>
            <w:gridSpan w:val="2"/>
          </w:tcPr>
          <w:p>
            <w:pPr>
              <w:pStyle w:val="TableText"/>
              <w:ind w:left="2050"/>
              <w:spacing w:before="48" w:line="221" w:lineRule="auto"/>
              <w:rPr/>
            </w:pPr>
            <w:r>
              <w:rPr>
                <w:color w:val="212529"/>
                <w:spacing w:val="-5"/>
              </w:rPr>
              <w:t>合计</w:t>
            </w:r>
          </w:p>
        </w:tc>
        <w:tc>
          <w:tcPr>
            <w:tcW w:w="1606" w:type="dxa"/>
            <w:vAlign w:val="top"/>
          </w:tcPr>
          <w:p>
            <w:pPr>
              <w:pStyle w:val="TableText"/>
              <w:ind w:right="23"/>
              <w:spacing w:before="48" w:line="239" w:lineRule="auto"/>
              <w:jc w:val="right"/>
              <w:rPr/>
            </w:pPr>
            <w:r>
              <w:rPr>
                <w:color w:val="212529"/>
                <w:spacing w:val="-2"/>
              </w:rPr>
              <w:t>223.55</w:t>
            </w:r>
          </w:p>
        </w:tc>
        <w:tc>
          <w:tcPr>
            <w:tcW w:w="1463" w:type="dxa"/>
            <w:vAlign w:val="top"/>
          </w:tcPr>
          <w:p>
            <w:pPr>
              <w:pStyle w:val="TableText"/>
              <w:ind w:right="21"/>
              <w:spacing w:before="48" w:line="239" w:lineRule="auto"/>
              <w:jc w:val="right"/>
              <w:rPr/>
            </w:pPr>
            <w:r>
              <w:rPr>
                <w:color w:val="212529"/>
                <w:spacing w:val="-4"/>
              </w:rPr>
              <w:t>147.96</w:t>
            </w:r>
          </w:p>
        </w:tc>
        <w:tc>
          <w:tcPr>
            <w:tcW w:w="1457" w:type="dxa"/>
            <w:vAlign w:val="top"/>
          </w:tcPr>
          <w:p>
            <w:pPr>
              <w:pStyle w:val="TableText"/>
              <w:ind w:right="32"/>
              <w:spacing w:before="48" w:line="239" w:lineRule="auto"/>
              <w:jc w:val="right"/>
              <w:rPr/>
            </w:pPr>
            <w:r>
              <w:rPr>
                <w:color w:val="212529"/>
                <w:spacing w:val="-3"/>
              </w:rPr>
              <w:t>75.58</w:t>
            </w:r>
          </w:p>
        </w:tc>
      </w:tr>
      <w:tr>
        <w:trPr>
          <w:trHeight w:val="302" w:hRule="atLeast"/>
        </w:trPr>
        <w:tc>
          <w:tcPr>
            <w:tcW w:w="1816" w:type="dxa"/>
            <w:vAlign w:val="top"/>
          </w:tcPr>
          <w:p>
            <w:pPr>
              <w:pStyle w:val="TableText"/>
              <w:ind w:left="11"/>
              <w:spacing w:before="49"/>
              <w:rPr/>
            </w:pPr>
            <w:r>
              <w:rPr>
                <w:color w:val="212529"/>
                <w:spacing w:val="-4"/>
              </w:rPr>
              <w:t>208</w:t>
            </w:r>
          </w:p>
        </w:tc>
        <w:tc>
          <w:tcPr>
            <w:tcW w:w="2674" w:type="dxa"/>
            <w:vAlign w:val="top"/>
          </w:tcPr>
          <w:p>
            <w:pPr>
              <w:pStyle w:val="TableText"/>
              <w:ind w:left="6"/>
              <w:spacing w:before="49" w:line="219" w:lineRule="auto"/>
              <w:rPr/>
            </w:pPr>
            <w:r>
              <w:rPr>
                <w:color w:val="212529"/>
                <w:spacing w:val="-2"/>
              </w:rPr>
              <w:t>社会保障和就业支出</w:t>
            </w:r>
          </w:p>
        </w:tc>
        <w:tc>
          <w:tcPr>
            <w:tcW w:w="1606" w:type="dxa"/>
            <w:vAlign w:val="top"/>
          </w:tcPr>
          <w:p>
            <w:pPr>
              <w:pStyle w:val="TableText"/>
              <w:ind w:right="29"/>
              <w:spacing w:before="49" w:line="239" w:lineRule="auto"/>
              <w:jc w:val="right"/>
              <w:rPr/>
            </w:pPr>
            <w:r>
              <w:rPr>
                <w:color w:val="212529"/>
                <w:spacing w:val="-5"/>
              </w:rPr>
              <w:t>12.47</w:t>
            </w:r>
          </w:p>
        </w:tc>
        <w:tc>
          <w:tcPr>
            <w:tcW w:w="1463" w:type="dxa"/>
            <w:vAlign w:val="top"/>
          </w:tcPr>
          <w:p>
            <w:pPr>
              <w:pStyle w:val="TableText"/>
              <w:ind w:right="27"/>
              <w:spacing w:before="49" w:line="239" w:lineRule="auto"/>
              <w:jc w:val="right"/>
              <w:rPr/>
            </w:pPr>
            <w:r>
              <w:rPr>
                <w:color w:val="212529"/>
                <w:spacing w:val="-5"/>
              </w:rPr>
              <w:t>12.47</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49"/>
              <w:rPr/>
            </w:pPr>
            <w:r>
              <w:rPr>
                <w:color w:val="212529"/>
                <w:spacing w:val="-2"/>
              </w:rPr>
              <w:t>20805</w:t>
            </w:r>
          </w:p>
        </w:tc>
        <w:tc>
          <w:tcPr>
            <w:tcW w:w="2674" w:type="dxa"/>
            <w:vAlign w:val="top"/>
          </w:tcPr>
          <w:p>
            <w:pPr>
              <w:pStyle w:val="TableText"/>
              <w:ind w:left="8"/>
              <w:spacing w:before="50" w:line="219" w:lineRule="auto"/>
              <w:rPr/>
            </w:pPr>
            <w:r>
              <w:rPr>
                <w:color w:val="212529"/>
                <w:spacing w:val="-2"/>
              </w:rPr>
              <w:t>行政事业单位养老支出</w:t>
            </w:r>
          </w:p>
        </w:tc>
        <w:tc>
          <w:tcPr>
            <w:tcW w:w="1606" w:type="dxa"/>
            <w:vAlign w:val="top"/>
          </w:tcPr>
          <w:p>
            <w:pPr>
              <w:pStyle w:val="TableText"/>
              <w:ind w:right="29"/>
              <w:spacing w:before="49" w:line="239" w:lineRule="auto"/>
              <w:jc w:val="right"/>
              <w:rPr/>
            </w:pPr>
            <w:r>
              <w:rPr>
                <w:color w:val="212529"/>
                <w:spacing w:val="-5"/>
              </w:rPr>
              <w:t>12.47</w:t>
            </w:r>
          </w:p>
        </w:tc>
        <w:tc>
          <w:tcPr>
            <w:tcW w:w="1463" w:type="dxa"/>
            <w:vAlign w:val="top"/>
          </w:tcPr>
          <w:p>
            <w:pPr>
              <w:pStyle w:val="TableText"/>
              <w:ind w:right="27"/>
              <w:spacing w:before="49" w:line="239" w:lineRule="auto"/>
              <w:jc w:val="right"/>
              <w:rPr/>
            </w:pPr>
            <w:r>
              <w:rPr>
                <w:color w:val="212529"/>
                <w:spacing w:val="-5"/>
              </w:rPr>
              <w:t>12.47</w:t>
            </w:r>
          </w:p>
        </w:tc>
        <w:tc>
          <w:tcPr>
            <w:tcW w:w="1457" w:type="dxa"/>
            <w:vAlign w:val="top"/>
          </w:tcPr>
          <w:p>
            <w:pPr>
              <w:rPr>
                <w:rFonts w:ascii="Arial"/>
                <w:sz w:val="21"/>
              </w:rPr>
            </w:pPr>
            <w:r/>
          </w:p>
        </w:tc>
      </w:tr>
      <w:tr>
        <w:trPr>
          <w:trHeight w:val="409" w:hRule="atLeast"/>
        </w:trPr>
        <w:tc>
          <w:tcPr>
            <w:tcW w:w="1816" w:type="dxa"/>
            <w:vAlign w:val="top"/>
          </w:tcPr>
          <w:p>
            <w:pPr>
              <w:pStyle w:val="TableText"/>
              <w:ind w:left="11"/>
              <w:spacing w:before="97"/>
              <w:rPr/>
            </w:pPr>
            <w:r>
              <w:rPr>
                <w:color w:val="212529"/>
                <w:spacing w:val="-2"/>
              </w:rPr>
              <w:t>2080505</w:t>
            </w:r>
          </w:p>
        </w:tc>
        <w:tc>
          <w:tcPr>
            <w:tcW w:w="2674" w:type="dxa"/>
            <w:vAlign w:val="top"/>
          </w:tcPr>
          <w:p>
            <w:pPr>
              <w:pStyle w:val="TableText"/>
              <w:ind w:left="5" w:right="146" w:hanging="1"/>
              <w:spacing w:before="3" w:line="203" w:lineRule="auto"/>
              <w:rPr/>
            </w:pPr>
            <w:r>
              <w:rPr>
                <w:color w:val="212529"/>
                <w:spacing w:val="-1"/>
              </w:rPr>
              <w:t>机关事业单位基本养老保险缴费</w:t>
            </w:r>
            <w:r>
              <w:rPr>
                <w:color w:val="212529"/>
                <w:spacing w:val="-5"/>
              </w:rPr>
              <w:t>支出</w:t>
            </w:r>
          </w:p>
        </w:tc>
        <w:tc>
          <w:tcPr>
            <w:tcW w:w="1606" w:type="dxa"/>
            <w:vAlign w:val="top"/>
          </w:tcPr>
          <w:p>
            <w:pPr>
              <w:pStyle w:val="TableText"/>
              <w:ind w:right="29"/>
              <w:spacing w:before="98" w:line="239" w:lineRule="auto"/>
              <w:jc w:val="right"/>
              <w:rPr/>
            </w:pPr>
            <w:r>
              <w:rPr>
                <w:color w:val="212529"/>
                <w:spacing w:val="-5"/>
              </w:rPr>
              <w:t>12.47</w:t>
            </w:r>
          </w:p>
        </w:tc>
        <w:tc>
          <w:tcPr>
            <w:tcW w:w="1463" w:type="dxa"/>
            <w:vAlign w:val="top"/>
          </w:tcPr>
          <w:p>
            <w:pPr>
              <w:pStyle w:val="TableText"/>
              <w:ind w:right="27"/>
              <w:spacing w:before="98" w:line="239" w:lineRule="auto"/>
              <w:jc w:val="right"/>
              <w:rPr/>
            </w:pPr>
            <w:r>
              <w:rPr>
                <w:color w:val="212529"/>
                <w:spacing w:val="-5"/>
              </w:rPr>
              <w:t>12.47</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0"/>
              <w:rPr/>
            </w:pPr>
            <w:r>
              <w:rPr>
                <w:color w:val="212529"/>
                <w:spacing w:val="-4"/>
              </w:rPr>
              <w:t>210</w:t>
            </w:r>
          </w:p>
        </w:tc>
        <w:tc>
          <w:tcPr>
            <w:tcW w:w="2674" w:type="dxa"/>
            <w:vAlign w:val="top"/>
          </w:tcPr>
          <w:p>
            <w:pPr>
              <w:pStyle w:val="TableText"/>
              <w:ind w:left="6"/>
              <w:spacing w:before="51" w:line="219" w:lineRule="auto"/>
              <w:rPr/>
            </w:pPr>
            <w:r>
              <w:rPr>
                <w:color w:val="212529"/>
                <w:spacing w:val="-2"/>
              </w:rPr>
              <w:t>卫生健康支出</w:t>
            </w:r>
          </w:p>
        </w:tc>
        <w:tc>
          <w:tcPr>
            <w:tcW w:w="1606" w:type="dxa"/>
            <w:vAlign w:val="top"/>
          </w:tcPr>
          <w:p>
            <w:pPr>
              <w:pStyle w:val="TableText"/>
              <w:ind w:right="23"/>
              <w:spacing w:before="51" w:line="239" w:lineRule="auto"/>
              <w:jc w:val="right"/>
              <w:rPr/>
            </w:pPr>
            <w:r>
              <w:rPr>
                <w:color w:val="212529"/>
                <w:spacing w:val="-4"/>
              </w:rPr>
              <w:t>199.66</w:t>
            </w:r>
          </w:p>
        </w:tc>
        <w:tc>
          <w:tcPr>
            <w:tcW w:w="1463" w:type="dxa"/>
            <w:vAlign w:val="top"/>
          </w:tcPr>
          <w:p>
            <w:pPr>
              <w:pStyle w:val="TableText"/>
              <w:ind w:right="21"/>
              <w:spacing w:before="51" w:line="239" w:lineRule="auto"/>
              <w:jc w:val="right"/>
              <w:rPr/>
            </w:pPr>
            <w:r>
              <w:rPr>
                <w:color w:val="212529"/>
                <w:spacing w:val="-4"/>
              </w:rPr>
              <w:t>124.08</w:t>
            </w:r>
          </w:p>
        </w:tc>
        <w:tc>
          <w:tcPr>
            <w:tcW w:w="1457" w:type="dxa"/>
            <w:vAlign w:val="top"/>
          </w:tcPr>
          <w:p>
            <w:pPr>
              <w:pStyle w:val="TableText"/>
              <w:ind w:right="32"/>
              <w:spacing w:before="51" w:line="239" w:lineRule="auto"/>
              <w:jc w:val="right"/>
              <w:rPr/>
            </w:pPr>
            <w:r>
              <w:rPr>
                <w:color w:val="212529"/>
                <w:spacing w:val="-3"/>
              </w:rPr>
              <w:t>75.58</w:t>
            </w:r>
          </w:p>
        </w:tc>
      </w:tr>
      <w:tr>
        <w:trPr>
          <w:trHeight w:val="302" w:hRule="atLeast"/>
        </w:trPr>
        <w:tc>
          <w:tcPr>
            <w:tcW w:w="1816" w:type="dxa"/>
            <w:vAlign w:val="top"/>
          </w:tcPr>
          <w:p>
            <w:pPr>
              <w:pStyle w:val="TableText"/>
              <w:ind w:left="11"/>
              <w:spacing w:before="50"/>
              <w:rPr/>
            </w:pPr>
            <w:r>
              <w:rPr>
                <w:color w:val="212529"/>
                <w:spacing w:val="-2"/>
              </w:rPr>
              <w:t>21003</w:t>
            </w:r>
          </w:p>
        </w:tc>
        <w:tc>
          <w:tcPr>
            <w:tcW w:w="2674" w:type="dxa"/>
            <w:vAlign w:val="top"/>
          </w:tcPr>
          <w:p>
            <w:pPr>
              <w:pStyle w:val="TableText"/>
              <w:ind w:left="5"/>
              <w:spacing w:before="51" w:line="219" w:lineRule="auto"/>
              <w:rPr/>
            </w:pPr>
            <w:r>
              <w:rPr>
                <w:color w:val="212529"/>
                <w:spacing w:val="-2"/>
              </w:rPr>
              <w:t>基层医疗卫生机构</w:t>
            </w:r>
          </w:p>
        </w:tc>
        <w:tc>
          <w:tcPr>
            <w:tcW w:w="1606" w:type="dxa"/>
            <w:vAlign w:val="top"/>
          </w:tcPr>
          <w:p>
            <w:pPr>
              <w:pStyle w:val="TableText"/>
              <w:ind w:right="23"/>
              <w:spacing w:before="51" w:line="239" w:lineRule="auto"/>
              <w:jc w:val="right"/>
              <w:rPr/>
            </w:pPr>
            <w:r>
              <w:rPr>
                <w:color w:val="212529"/>
                <w:spacing w:val="-4"/>
              </w:rPr>
              <w:t>143.04</w:t>
            </w:r>
          </w:p>
        </w:tc>
        <w:tc>
          <w:tcPr>
            <w:tcW w:w="1463" w:type="dxa"/>
            <w:vAlign w:val="top"/>
          </w:tcPr>
          <w:p>
            <w:pPr>
              <w:pStyle w:val="TableText"/>
              <w:ind w:right="21"/>
              <w:spacing w:before="51" w:line="239" w:lineRule="auto"/>
              <w:jc w:val="right"/>
              <w:rPr/>
            </w:pPr>
            <w:r>
              <w:rPr>
                <w:color w:val="212529"/>
                <w:spacing w:val="-4"/>
              </w:rPr>
              <w:t>118.96</w:t>
            </w:r>
          </w:p>
        </w:tc>
        <w:tc>
          <w:tcPr>
            <w:tcW w:w="1457" w:type="dxa"/>
            <w:vAlign w:val="top"/>
          </w:tcPr>
          <w:p>
            <w:pPr>
              <w:pStyle w:val="TableText"/>
              <w:ind w:right="32"/>
              <w:spacing w:before="51" w:line="239" w:lineRule="auto"/>
              <w:jc w:val="right"/>
              <w:rPr/>
            </w:pPr>
            <w:r>
              <w:rPr>
                <w:color w:val="212529"/>
                <w:spacing w:val="-2"/>
              </w:rPr>
              <w:t>24.07</w:t>
            </w:r>
          </w:p>
        </w:tc>
      </w:tr>
      <w:tr>
        <w:trPr>
          <w:trHeight w:val="302" w:hRule="atLeast"/>
        </w:trPr>
        <w:tc>
          <w:tcPr>
            <w:tcW w:w="1816" w:type="dxa"/>
            <w:vAlign w:val="top"/>
          </w:tcPr>
          <w:p>
            <w:pPr>
              <w:pStyle w:val="TableText"/>
              <w:ind w:left="11"/>
              <w:spacing w:before="51"/>
              <w:rPr/>
            </w:pPr>
            <w:r>
              <w:rPr>
                <w:color w:val="212529"/>
                <w:spacing w:val="-2"/>
              </w:rPr>
              <w:t>2100302</w:t>
            </w:r>
          </w:p>
        </w:tc>
        <w:tc>
          <w:tcPr>
            <w:tcW w:w="2674" w:type="dxa"/>
            <w:vAlign w:val="top"/>
          </w:tcPr>
          <w:p>
            <w:pPr>
              <w:pStyle w:val="TableText"/>
              <w:ind w:left="13"/>
              <w:spacing w:before="51" w:line="219" w:lineRule="auto"/>
              <w:rPr/>
            </w:pPr>
            <w:r>
              <w:rPr>
                <w:color w:val="212529"/>
                <w:spacing w:val="-4"/>
              </w:rPr>
              <w:t>乡镇卫生院</w:t>
            </w:r>
          </w:p>
        </w:tc>
        <w:tc>
          <w:tcPr>
            <w:tcW w:w="1606" w:type="dxa"/>
            <w:vAlign w:val="top"/>
          </w:tcPr>
          <w:p>
            <w:pPr>
              <w:pStyle w:val="TableText"/>
              <w:ind w:right="23"/>
              <w:spacing w:before="51" w:line="239" w:lineRule="auto"/>
              <w:jc w:val="right"/>
              <w:rPr/>
            </w:pPr>
            <w:r>
              <w:rPr>
                <w:color w:val="212529"/>
                <w:spacing w:val="-4"/>
              </w:rPr>
              <w:t>126.46</w:t>
            </w:r>
          </w:p>
        </w:tc>
        <w:tc>
          <w:tcPr>
            <w:tcW w:w="1463" w:type="dxa"/>
            <w:vAlign w:val="top"/>
          </w:tcPr>
          <w:p>
            <w:pPr>
              <w:pStyle w:val="TableText"/>
              <w:ind w:right="21"/>
              <w:spacing w:before="51" w:line="239" w:lineRule="auto"/>
              <w:jc w:val="right"/>
              <w:rPr/>
            </w:pPr>
            <w:r>
              <w:rPr>
                <w:color w:val="212529"/>
                <w:spacing w:val="-4"/>
              </w:rPr>
              <w:t>118.96</w:t>
            </w:r>
          </w:p>
        </w:tc>
        <w:tc>
          <w:tcPr>
            <w:tcW w:w="1457" w:type="dxa"/>
            <w:vAlign w:val="top"/>
          </w:tcPr>
          <w:p>
            <w:pPr>
              <w:pStyle w:val="TableText"/>
              <w:ind w:right="26"/>
              <w:spacing w:before="51" w:line="239" w:lineRule="auto"/>
              <w:jc w:val="right"/>
              <w:rPr/>
            </w:pPr>
            <w:r>
              <w:rPr>
                <w:color w:val="212529"/>
                <w:spacing w:val="-3"/>
              </w:rPr>
              <w:t>7.50</w:t>
            </w:r>
          </w:p>
        </w:tc>
      </w:tr>
      <w:tr>
        <w:trPr>
          <w:trHeight w:val="301" w:hRule="atLeast"/>
        </w:trPr>
        <w:tc>
          <w:tcPr>
            <w:tcW w:w="1816" w:type="dxa"/>
            <w:vAlign w:val="top"/>
          </w:tcPr>
          <w:p>
            <w:pPr>
              <w:pStyle w:val="TableText"/>
              <w:ind w:left="11"/>
              <w:spacing w:before="51"/>
              <w:rPr/>
            </w:pPr>
            <w:r>
              <w:rPr>
                <w:color w:val="212529"/>
                <w:spacing w:val="-2"/>
              </w:rPr>
              <w:t>2100399</w:t>
            </w:r>
          </w:p>
        </w:tc>
        <w:tc>
          <w:tcPr>
            <w:tcW w:w="2674" w:type="dxa"/>
            <w:vAlign w:val="top"/>
          </w:tcPr>
          <w:p>
            <w:pPr>
              <w:pStyle w:val="TableText"/>
              <w:ind w:left="6"/>
              <w:spacing w:before="51" w:line="219" w:lineRule="auto"/>
              <w:rPr/>
            </w:pPr>
            <w:r>
              <w:rPr>
                <w:color w:val="212529"/>
                <w:spacing w:val="-1"/>
              </w:rPr>
              <w:t>其他基层医疗卫生机构支出</w:t>
            </w:r>
          </w:p>
        </w:tc>
        <w:tc>
          <w:tcPr>
            <w:tcW w:w="1606" w:type="dxa"/>
            <w:vAlign w:val="top"/>
          </w:tcPr>
          <w:p>
            <w:pPr>
              <w:pStyle w:val="TableText"/>
              <w:ind w:right="29"/>
              <w:spacing w:before="51" w:line="239" w:lineRule="auto"/>
              <w:jc w:val="right"/>
              <w:rPr/>
            </w:pPr>
            <w:r>
              <w:rPr>
                <w:color w:val="212529"/>
                <w:spacing w:val="-5"/>
              </w:rPr>
              <w:t>16.57</w:t>
            </w:r>
          </w:p>
        </w:tc>
        <w:tc>
          <w:tcPr>
            <w:tcW w:w="1463" w:type="dxa"/>
            <w:vAlign w:val="top"/>
          </w:tcPr>
          <w:p>
            <w:pPr>
              <w:rPr>
                <w:rFonts w:ascii="Arial"/>
                <w:sz w:val="21"/>
              </w:rPr>
            </w:pPr>
            <w:r/>
          </w:p>
        </w:tc>
        <w:tc>
          <w:tcPr>
            <w:tcW w:w="1457" w:type="dxa"/>
            <w:vAlign w:val="top"/>
          </w:tcPr>
          <w:p>
            <w:pPr>
              <w:pStyle w:val="TableText"/>
              <w:ind w:right="32"/>
              <w:spacing w:before="51" w:line="239" w:lineRule="auto"/>
              <w:jc w:val="right"/>
              <w:rPr/>
            </w:pPr>
            <w:r>
              <w:rPr>
                <w:color w:val="212529"/>
                <w:spacing w:val="-5"/>
              </w:rPr>
              <w:t>16.57</w:t>
            </w:r>
          </w:p>
        </w:tc>
      </w:tr>
      <w:tr>
        <w:trPr>
          <w:trHeight w:val="301" w:hRule="atLeast"/>
        </w:trPr>
        <w:tc>
          <w:tcPr>
            <w:tcW w:w="1816" w:type="dxa"/>
            <w:vAlign w:val="top"/>
          </w:tcPr>
          <w:p>
            <w:pPr>
              <w:pStyle w:val="TableText"/>
              <w:ind w:left="11"/>
              <w:spacing w:before="52"/>
              <w:rPr/>
            </w:pPr>
            <w:r>
              <w:rPr>
                <w:color w:val="212529"/>
                <w:spacing w:val="-2"/>
              </w:rPr>
              <w:t>21004</w:t>
            </w:r>
          </w:p>
        </w:tc>
        <w:tc>
          <w:tcPr>
            <w:tcW w:w="2674" w:type="dxa"/>
            <w:vAlign w:val="top"/>
          </w:tcPr>
          <w:p>
            <w:pPr>
              <w:pStyle w:val="TableText"/>
              <w:ind w:left="11"/>
              <w:spacing w:before="53" w:line="219" w:lineRule="auto"/>
              <w:rPr/>
            </w:pPr>
            <w:r>
              <w:rPr>
                <w:color w:val="212529"/>
                <w:spacing w:val="-4"/>
              </w:rPr>
              <w:t>公共卫生</w:t>
            </w:r>
          </w:p>
        </w:tc>
        <w:tc>
          <w:tcPr>
            <w:tcW w:w="1606" w:type="dxa"/>
            <w:vAlign w:val="top"/>
          </w:tcPr>
          <w:p>
            <w:pPr>
              <w:pStyle w:val="TableText"/>
              <w:ind w:right="29"/>
              <w:spacing w:before="52" w:line="239" w:lineRule="auto"/>
              <w:jc w:val="right"/>
              <w:rPr/>
            </w:pPr>
            <w:r>
              <w:rPr>
                <w:color w:val="212529"/>
                <w:spacing w:val="-3"/>
              </w:rPr>
              <w:t>51.12</w:t>
            </w:r>
          </w:p>
        </w:tc>
        <w:tc>
          <w:tcPr>
            <w:tcW w:w="1463" w:type="dxa"/>
            <w:vAlign w:val="top"/>
          </w:tcPr>
          <w:p>
            <w:pPr>
              <w:rPr>
                <w:rFonts w:ascii="Arial"/>
                <w:sz w:val="21"/>
              </w:rPr>
            </w:pPr>
            <w:r/>
          </w:p>
        </w:tc>
        <w:tc>
          <w:tcPr>
            <w:tcW w:w="1457" w:type="dxa"/>
            <w:vAlign w:val="top"/>
          </w:tcPr>
          <w:p>
            <w:pPr>
              <w:pStyle w:val="TableText"/>
              <w:ind w:right="32"/>
              <w:spacing w:before="52" w:line="239" w:lineRule="auto"/>
              <w:jc w:val="right"/>
              <w:rPr/>
            </w:pPr>
            <w:r>
              <w:rPr>
                <w:color w:val="212529"/>
                <w:spacing w:val="-3"/>
              </w:rPr>
              <w:t>51.12</w:t>
            </w:r>
          </w:p>
        </w:tc>
      </w:tr>
      <w:tr>
        <w:trPr>
          <w:trHeight w:val="302" w:hRule="atLeast"/>
        </w:trPr>
        <w:tc>
          <w:tcPr>
            <w:tcW w:w="1816" w:type="dxa"/>
            <w:vAlign w:val="top"/>
          </w:tcPr>
          <w:p>
            <w:pPr>
              <w:pStyle w:val="TableText"/>
              <w:ind w:left="11"/>
              <w:spacing w:before="53"/>
              <w:rPr/>
            </w:pPr>
            <w:r>
              <w:rPr>
                <w:color w:val="212529"/>
                <w:spacing w:val="-2"/>
              </w:rPr>
              <w:t>2100408</w:t>
            </w:r>
          </w:p>
        </w:tc>
        <w:tc>
          <w:tcPr>
            <w:tcW w:w="2674" w:type="dxa"/>
            <w:vAlign w:val="top"/>
          </w:tcPr>
          <w:p>
            <w:pPr>
              <w:pStyle w:val="TableText"/>
              <w:ind w:left="5"/>
              <w:spacing w:before="53" w:line="219" w:lineRule="auto"/>
              <w:rPr/>
            </w:pPr>
            <w:r>
              <w:rPr>
                <w:color w:val="212529"/>
                <w:spacing w:val="-2"/>
              </w:rPr>
              <w:t>基本公共卫生服务</w:t>
            </w:r>
          </w:p>
        </w:tc>
        <w:tc>
          <w:tcPr>
            <w:tcW w:w="1606" w:type="dxa"/>
            <w:vAlign w:val="top"/>
          </w:tcPr>
          <w:p>
            <w:pPr>
              <w:pStyle w:val="TableText"/>
              <w:ind w:right="29"/>
              <w:spacing w:before="53" w:line="239" w:lineRule="auto"/>
              <w:jc w:val="right"/>
              <w:rPr/>
            </w:pPr>
            <w:r>
              <w:rPr>
                <w:color w:val="212529"/>
                <w:spacing w:val="-2"/>
              </w:rPr>
              <w:t>41.35</w:t>
            </w:r>
          </w:p>
        </w:tc>
        <w:tc>
          <w:tcPr>
            <w:tcW w:w="1463" w:type="dxa"/>
            <w:vAlign w:val="top"/>
          </w:tcPr>
          <w:p>
            <w:pPr>
              <w:rPr>
                <w:rFonts w:ascii="Arial"/>
                <w:sz w:val="21"/>
              </w:rPr>
            </w:pPr>
            <w:r/>
          </w:p>
        </w:tc>
        <w:tc>
          <w:tcPr>
            <w:tcW w:w="1457" w:type="dxa"/>
            <w:vAlign w:val="top"/>
          </w:tcPr>
          <w:p>
            <w:pPr>
              <w:pStyle w:val="TableText"/>
              <w:ind w:right="32"/>
              <w:spacing w:before="53" w:line="239" w:lineRule="auto"/>
              <w:jc w:val="right"/>
              <w:rPr/>
            </w:pPr>
            <w:r>
              <w:rPr>
                <w:color w:val="212529"/>
                <w:spacing w:val="-2"/>
              </w:rPr>
              <w:t>41.35</w:t>
            </w:r>
          </w:p>
        </w:tc>
      </w:tr>
      <w:tr>
        <w:trPr>
          <w:trHeight w:val="302" w:hRule="atLeast"/>
        </w:trPr>
        <w:tc>
          <w:tcPr>
            <w:tcW w:w="1816" w:type="dxa"/>
            <w:vAlign w:val="top"/>
          </w:tcPr>
          <w:p>
            <w:pPr>
              <w:pStyle w:val="TableText"/>
              <w:ind w:left="11"/>
              <w:spacing w:before="53"/>
              <w:rPr/>
            </w:pPr>
            <w:r>
              <w:rPr>
                <w:color w:val="212529"/>
                <w:spacing w:val="-2"/>
              </w:rPr>
              <w:t>2100410</w:t>
            </w:r>
          </w:p>
        </w:tc>
        <w:tc>
          <w:tcPr>
            <w:tcW w:w="2674" w:type="dxa"/>
            <w:vAlign w:val="top"/>
          </w:tcPr>
          <w:p>
            <w:pPr>
              <w:pStyle w:val="TableText"/>
              <w:ind w:left="11"/>
              <w:spacing w:before="54" w:line="219" w:lineRule="auto"/>
              <w:rPr/>
            </w:pPr>
            <w:r>
              <w:rPr>
                <w:color w:val="212529"/>
                <w:spacing w:val="-2"/>
              </w:rPr>
              <w:t>突发公共卫生事件应急处理</w:t>
            </w:r>
          </w:p>
        </w:tc>
        <w:tc>
          <w:tcPr>
            <w:tcW w:w="1606" w:type="dxa"/>
            <w:vAlign w:val="top"/>
          </w:tcPr>
          <w:p>
            <w:pPr>
              <w:pStyle w:val="TableText"/>
              <w:ind w:right="23"/>
              <w:spacing w:before="53" w:line="239" w:lineRule="auto"/>
              <w:jc w:val="right"/>
              <w:rPr/>
            </w:pPr>
            <w:r>
              <w:rPr>
                <w:color w:val="212529"/>
                <w:spacing w:val="-3"/>
              </w:rPr>
              <w:t>9.77</w:t>
            </w:r>
          </w:p>
        </w:tc>
        <w:tc>
          <w:tcPr>
            <w:tcW w:w="1463" w:type="dxa"/>
            <w:vAlign w:val="top"/>
          </w:tcPr>
          <w:p>
            <w:pPr>
              <w:rPr>
                <w:rFonts w:ascii="Arial"/>
                <w:sz w:val="21"/>
              </w:rPr>
            </w:pPr>
            <w:r/>
          </w:p>
        </w:tc>
        <w:tc>
          <w:tcPr>
            <w:tcW w:w="1457" w:type="dxa"/>
            <w:vAlign w:val="top"/>
          </w:tcPr>
          <w:p>
            <w:pPr>
              <w:pStyle w:val="TableText"/>
              <w:ind w:right="26"/>
              <w:spacing w:before="53" w:line="239" w:lineRule="auto"/>
              <w:jc w:val="right"/>
              <w:rPr/>
            </w:pPr>
            <w:r>
              <w:rPr>
                <w:color w:val="212529"/>
                <w:spacing w:val="-3"/>
              </w:rPr>
              <w:t>9.77</w:t>
            </w:r>
          </w:p>
        </w:tc>
      </w:tr>
      <w:tr>
        <w:trPr>
          <w:trHeight w:val="302" w:hRule="atLeast"/>
        </w:trPr>
        <w:tc>
          <w:tcPr>
            <w:tcW w:w="1816" w:type="dxa"/>
            <w:vAlign w:val="top"/>
          </w:tcPr>
          <w:p>
            <w:pPr>
              <w:pStyle w:val="TableText"/>
              <w:ind w:left="11"/>
              <w:spacing w:before="53"/>
              <w:rPr/>
            </w:pPr>
            <w:r>
              <w:rPr>
                <w:color w:val="212529"/>
                <w:spacing w:val="-2"/>
              </w:rPr>
              <w:t>21011</w:t>
            </w:r>
          </w:p>
        </w:tc>
        <w:tc>
          <w:tcPr>
            <w:tcW w:w="2674" w:type="dxa"/>
            <w:vAlign w:val="top"/>
          </w:tcPr>
          <w:p>
            <w:pPr>
              <w:pStyle w:val="TableText"/>
              <w:ind w:left="8"/>
              <w:spacing w:before="54" w:line="220" w:lineRule="auto"/>
              <w:rPr/>
            </w:pPr>
            <w:r>
              <w:rPr>
                <w:color w:val="212529"/>
                <w:spacing w:val="-2"/>
              </w:rPr>
              <w:t>行政事业单位医疗</w:t>
            </w:r>
          </w:p>
        </w:tc>
        <w:tc>
          <w:tcPr>
            <w:tcW w:w="1606" w:type="dxa"/>
            <w:vAlign w:val="top"/>
          </w:tcPr>
          <w:p>
            <w:pPr>
              <w:pStyle w:val="TableText"/>
              <w:ind w:right="23"/>
              <w:spacing w:before="53" w:line="239" w:lineRule="auto"/>
              <w:jc w:val="right"/>
              <w:rPr/>
            </w:pPr>
            <w:r>
              <w:rPr>
                <w:color w:val="212529"/>
                <w:spacing w:val="-3"/>
              </w:rPr>
              <w:t>5.12</w:t>
            </w:r>
          </w:p>
        </w:tc>
        <w:tc>
          <w:tcPr>
            <w:tcW w:w="1463" w:type="dxa"/>
            <w:vAlign w:val="top"/>
          </w:tcPr>
          <w:p>
            <w:pPr>
              <w:pStyle w:val="TableText"/>
              <w:ind w:right="21"/>
              <w:spacing w:before="53" w:line="239" w:lineRule="auto"/>
              <w:jc w:val="right"/>
              <w:rPr/>
            </w:pPr>
            <w:r>
              <w:rPr>
                <w:color w:val="212529"/>
                <w:spacing w:val="-3"/>
              </w:rPr>
              <w:t>5.12</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2101102</w:t>
            </w:r>
          </w:p>
        </w:tc>
        <w:tc>
          <w:tcPr>
            <w:tcW w:w="2674" w:type="dxa"/>
            <w:vAlign w:val="top"/>
          </w:tcPr>
          <w:p>
            <w:pPr>
              <w:pStyle w:val="TableText"/>
              <w:ind w:left="5"/>
              <w:spacing w:before="54" w:line="220" w:lineRule="auto"/>
              <w:rPr/>
            </w:pPr>
            <w:r>
              <w:rPr>
                <w:color w:val="212529"/>
                <w:spacing w:val="-2"/>
              </w:rPr>
              <w:t>事业单位医疗</w:t>
            </w:r>
          </w:p>
        </w:tc>
        <w:tc>
          <w:tcPr>
            <w:tcW w:w="1606" w:type="dxa"/>
            <w:vAlign w:val="top"/>
          </w:tcPr>
          <w:p>
            <w:pPr>
              <w:pStyle w:val="TableText"/>
              <w:ind w:right="23"/>
              <w:spacing w:before="53" w:line="239" w:lineRule="auto"/>
              <w:jc w:val="right"/>
              <w:rPr/>
            </w:pPr>
            <w:r>
              <w:rPr>
                <w:color w:val="212529"/>
                <w:spacing w:val="-3"/>
              </w:rPr>
              <w:t>5.06</w:t>
            </w:r>
          </w:p>
        </w:tc>
        <w:tc>
          <w:tcPr>
            <w:tcW w:w="1463" w:type="dxa"/>
            <w:vAlign w:val="top"/>
          </w:tcPr>
          <w:p>
            <w:pPr>
              <w:pStyle w:val="TableText"/>
              <w:ind w:right="21"/>
              <w:spacing w:before="53" w:line="239" w:lineRule="auto"/>
              <w:jc w:val="right"/>
              <w:rPr/>
            </w:pPr>
            <w:r>
              <w:rPr>
                <w:color w:val="212529"/>
                <w:spacing w:val="-3"/>
              </w:rPr>
              <w:t>5.06</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2101199</w:t>
            </w:r>
          </w:p>
        </w:tc>
        <w:tc>
          <w:tcPr>
            <w:tcW w:w="2674" w:type="dxa"/>
            <w:vAlign w:val="top"/>
          </w:tcPr>
          <w:p>
            <w:pPr>
              <w:pStyle w:val="TableText"/>
              <w:ind w:left="6"/>
              <w:spacing w:before="54" w:line="220" w:lineRule="auto"/>
              <w:rPr/>
            </w:pPr>
            <w:r>
              <w:rPr>
                <w:color w:val="212529"/>
                <w:spacing w:val="-1"/>
              </w:rPr>
              <w:t>其他行政事业单位医疗支出</w:t>
            </w:r>
          </w:p>
        </w:tc>
        <w:tc>
          <w:tcPr>
            <w:tcW w:w="1606" w:type="dxa"/>
            <w:vAlign w:val="top"/>
          </w:tcPr>
          <w:p>
            <w:pPr>
              <w:pStyle w:val="TableText"/>
              <w:ind w:right="23"/>
              <w:spacing w:before="53" w:line="239" w:lineRule="auto"/>
              <w:jc w:val="right"/>
              <w:rPr/>
            </w:pPr>
            <w:r>
              <w:rPr>
                <w:color w:val="212529"/>
                <w:spacing w:val="-3"/>
              </w:rPr>
              <w:t>0.05</w:t>
            </w:r>
          </w:p>
        </w:tc>
        <w:tc>
          <w:tcPr>
            <w:tcW w:w="1463" w:type="dxa"/>
            <w:vAlign w:val="top"/>
          </w:tcPr>
          <w:p>
            <w:pPr>
              <w:pStyle w:val="TableText"/>
              <w:ind w:right="21"/>
              <w:spacing w:before="53" w:line="239" w:lineRule="auto"/>
              <w:jc w:val="right"/>
              <w:rPr/>
            </w:pPr>
            <w:r>
              <w:rPr>
                <w:color w:val="212529"/>
                <w:spacing w:val="-3"/>
              </w:rPr>
              <w:t>0.05</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21099</w:t>
            </w:r>
          </w:p>
        </w:tc>
        <w:tc>
          <w:tcPr>
            <w:tcW w:w="2674" w:type="dxa"/>
            <w:vAlign w:val="top"/>
          </w:tcPr>
          <w:p>
            <w:pPr>
              <w:pStyle w:val="TableText"/>
              <w:ind w:left="6"/>
              <w:spacing w:before="54" w:line="219" w:lineRule="auto"/>
              <w:rPr/>
            </w:pPr>
            <w:r>
              <w:rPr>
                <w:color w:val="212529"/>
                <w:spacing w:val="-2"/>
              </w:rPr>
              <w:t>其他卫生健康支出</w:t>
            </w:r>
          </w:p>
        </w:tc>
        <w:tc>
          <w:tcPr>
            <w:tcW w:w="1606" w:type="dxa"/>
            <w:vAlign w:val="top"/>
          </w:tcPr>
          <w:p>
            <w:pPr>
              <w:pStyle w:val="TableText"/>
              <w:ind w:right="23"/>
              <w:spacing w:before="54" w:line="239" w:lineRule="auto"/>
              <w:jc w:val="right"/>
              <w:rPr/>
            </w:pPr>
            <w:r>
              <w:rPr>
                <w:color w:val="212529"/>
                <w:spacing w:val="-3"/>
              </w:rPr>
              <w:t>0.39</w:t>
            </w:r>
          </w:p>
        </w:tc>
        <w:tc>
          <w:tcPr>
            <w:tcW w:w="1463" w:type="dxa"/>
            <w:vAlign w:val="top"/>
          </w:tcPr>
          <w:p>
            <w:pPr>
              <w:rPr>
                <w:rFonts w:ascii="Arial"/>
                <w:sz w:val="21"/>
              </w:rPr>
            </w:pPr>
            <w:r/>
          </w:p>
        </w:tc>
        <w:tc>
          <w:tcPr>
            <w:tcW w:w="1457" w:type="dxa"/>
            <w:vAlign w:val="top"/>
          </w:tcPr>
          <w:p>
            <w:pPr>
              <w:pStyle w:val="TableText"/>
              <w:ind w:right="26"/>
              <w:spacing w:before="54" w:line="239" w:lineRule="auto"/>
              <w:jc w:val="right"/>
              <w:rPr/>
            </w:pPr>
            <w:r>
              <w:rPr>
                <w:color w:val="212529"/>
                <w:spacing w:val="-3"/>
              </w:rPr>
              <w:t>0.39</w:t>
            </w:r>
          </w:p>
        </w:tc>
      </w:tr>
      <w:tr>
        <w:trPr>
          <w:trHeight w:val="302" w:hRule="atLeast"/>
        </w:trPr>
        <w:tc>
          <w:tcPr>
            <w:tcW w:w="1816" w:type="dxa"/>
            <w:vAlign w:val="top"/>
          </w:tcPr>
          <w:p>
            <w:pPr>
              <w:pStyle w:val="TableText"/>
              <w:ind w:left="11"/>
              <w:spacing w:before="53"/>
              <w:rPr/>
            </w:pPr>
            <w:r>
              <w:rPr>
                <w:color w:val="212529"/>
                <w:spacing w:val="-2"/>
              </w:rPr>
              <w:t>2109999</w:t>
            </w:r>
          </w:p>
        </w:tc>
        <w:tc>
          <w:tcPr>
            <w:tcW w:w="2674" w:type="dxa"/>
            <w:vAlign w:val="top"/>
          </w:tcPr>
          <w:p>
            <w:pPr>
              <w:pStyle w:val="TableText"/>
              <w:ind w:left="6"/>
              <w:spacing w:before="54" w:line="219" w:lineRule="auto"/>
              <w:rPr/>
            </w:pPr>
            <w:r>
              <w:rPr>
                <w:color w:val="212529"/>
                <w:spacing w:val="-2"/>
              </w:rPr>
              <w:t>其他卫生健康支出</w:t>
            </w:r>
          </w:p>
        </w:tc>
        <w:tc>
          <w:tcPr>
            <w:tcW w:w="1606" w:type="dxa"/>
            <w:vAlign w:val="top"/>
          </w:tcPr>
          <w:p>
            <w:pPr>
              <w:pStyle w:val="TableText"/>
              <w:ind w:right="23"/>
              <w:spacing w:before="54" w:line="239" w:lineRule="auto"/>
              <w:jc w:val="right"/>
              <w:rPr/>
            </w:pPr>
            <w:r>
              <w:rPr>
                <w:color w:val="212529"/>
                <w:spacing w:val="-3"/>
              </w:rPr>
              <w:t>0.39</w:t>
            </w:r>
          </w:p>
        </w:tc>
        <w:tc>
          <w:tcPr>
            <w:tcW w:w="1463" w:type="dxa"/>
            <w:vAlign w:val="top"/>
          </w:tcPr>
          <w:p>
            <w:pPr>
              <w:rPr>
                <w:rFonts w:ascii="Arial"/>
                <w:sz w:val="21"/>
              </w:rPr>
            </w:pPr>
            <w:r/>
          </w:p>
        </w:tc>
        <w:tc>
          <w:tcPr>
            <w:tcW w:w="1457" w:type="dxa"/>
            <w:vAlign w:val="top"/>
          </w:tcPr>
          <w:p>
            <w:pPr>
              <w:pStyle w:val="TableText"/>
              <w:ind w:right="26"/>
              <w:spacing w:before="54" w:line="239" w:lineRule="auto"/>
              <w:jc w:val="right"/>
              <w:rPr/>
            </w:pPr>
            <w:r>
              <w:rPr>
                <w:color w:val="212529"/>
                <w:spacing w:val="-3"/>
              </w:rPr>
              <w:t>0.39</w:t>
            </w:r>
          </w:p>
        </w:tc>
      </w:tr>
      <w:tr>
        <w:trPr>
          <w:trHeight w:val="302" w:hRule="atLeast"/>
        </w:trPr>
        <w:tc>
          <w:tcPr>
            <w:tcW w:w="1816" w:type="dxa"/>
            <w:vAlign w:val="top"/>
          </w:tcPr>
          <w:p>
            <w:pPr>
              <w:pStyle w:val="TableText"/>
              <w:ind w:left="11"/>
              <w:spacing w:before="54" w:line="241" w:lineRule="auto"/>
              <w:rPr/>
            </w:pPr>
            <w:r>
              <w:rPr>
                <w:color w:val="212529"/>
                <w:spacing w:val="-4"/>
              </w:rPr>
              <w:t>221</w:t>
            </w:r>
          </w:p>
        </w:tc>
        <w:tc>
          <w:tcPr>
            <w:tcW w:w="2674" w:type="dxa"/>
            <w:vAlign w:val="top"/>
          </w:tcPr>
          <w:p>
            <w:pPr>
              <w:pStyle w:val="TableText"/>
              <w:ind w:left="4"/>
              <w:spacing w:before="54" w:line="219" w:lineRule="auto"/>
              <w:rPr/>
            </w:pPr>
            <w:r>
              <w:rPr>
                <w:color w:val="212529"/>
                <w:spacing w:val="-2"/>
              </w:rPr>
              <w:t>住房保障支出</w:t>
            </w:r>
          </w:p>
        </w:tc>
        <w:tc>
          <w:tcPr>
            <w:tcW w:w="1606" w:type="dxa"/>
            <w:vAlign w:val="top"/>
          </w:tcPr>
          <w:p>
            <w:pPr>
              <w:pStyle w:val="TableText"/>
              <w:ind w:right="29"/>
              <w:spacing w:before="54" w:line="239" w:lineRule="auto"/>
              <w:jc w:val="right"/>
              <w:rPr/>
            </w:pPr>
            <w:r>
              <w:rPr>
                <w:color w:val="212529"/>
                <w:spacing w:val="-5"/>
              </w:rPr>
              <w:t>11.42</w:t>
            </w:r>
          </w:p>
        </w:tc>
        <w:tc>
          <w:tcPr>
            <w:tcW w:w="1463" w:type="dxa"/>
            <w:vAlign w:val="top"/>
          </w:tcPr>
          <w:p>
            <w:pPr>
              <w:pStyle w:val="TableText"/>
              <w:ind w:right="27"/>
              <w:spacing w:before="54" w:line="239" w:lineRule="auto"/>
              <w:jc w:val="right"/>
              <w:rPr/>
            </w:pPr>
            <w:r>
              <w:rPr>
                <w:color w:val="212529"/>
                <w:spacing w:val="-5"/>
              </w:rPr>
              <w:t>11.42</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4"/>
              <w:rPr/>
            </w:pPr>
            <w:r>
              <w:rPr>
                <w:color w:val="212529"/>
                <w:spacing w:val="-2"/>
              </w:rPr>
              <w:t>22102</w:t>
            </w:r>
          </w:p>
        </w:tc>
        <w:tc>
          <w:tcPr>
            <w:tcW w:w="2674" w:type="dxa"/>
            <w:vAlign w:val="top"/>
          </w:tcPr>
          <w:p>
            <w:pPr>
              <w:pStyle w:val="TableText"/>
              <w:ind w:left="4"/>
              <w:spacing w:before="54" w:line="219" w:lineRule="auto"/>
              <w:rPr/>
            </w:pPr>
            <w:r>
              <w:rPr>
                <w:color w:val="212529"/>
                <w:spacing w:val="-2"/>
              </w:rPr>
              <w:t>住房改革支出</w:t>
            </w:r>
          </w:p>
        </w:tc>
        <w:tc>
          <w:tcPr>
            <w:tcW w:w="1606" w:type="dxa"/>
            <w:vAlign w:val="top"/>
          </w:tcPr>
          <w:p>
            <w:pPr>
              <w:pStyle w:val="TableText"/>
              <w:ind w:right="29"/>
              <w:spacing w:before="54" w:line="239" w:lineRule="auto"/>
              <w:jc w:val="right"/>
              <w:rPr/>
            </w:pPr>
            <w:r>
              <w:rPr>
                <w:color w:val="212529"/>
                <w:spacing w:val="-5"/>
              </w:rPr>
              <w:t>11.42</w:t>
            </w:r>
          </w:p>
        </w:tc>
        <w:tc>
          <w:tcPr>
            <w:tcW w:w="1463" w:type="dxa"/>
            <w:vAlign w:val="top"/>
          </w:tcPr>
          <w:p>
            <w:pPr>
              <w:pStyle w:val="TableText"/>
              <w:ind w:right="27"/>
              <w:spacing w:before="54" w:line="239" w:lineRule="auto"/>
              <w:jc w:val="right"/>
              <w:rPr/>
            </w:pPr>
            <w:r>
              <w:rPr>
                <w:color w:val="212529"/>
                <w:spacing w:val="-5"/>
              </w:rPr>
              <w:t>11.42</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4"/>
              <w:rPr/>
            </w:pPr>
            <w:r>
              <w:rPr>
                <w:color w:val="212529"/>
                <w:spacing w:val="-2"/>
              </w:rPr>
              <w:t>2210201</w:t>
            </w:r>
          </w:p>
        </w:tc>
        <w:tc>
          <w:tcPr>
            <w:tcW w:w="2674" w:type="dxa"/>
            <w:vAlign w:val="top"/>
          </w:tcPr>
          <w:p>
            <w:pPr>
              <w:pStyle w:val="TableText"/>
              <w:ind w:left="4"/>
              <w:spacing w:before="54" w:line="220" w:lineRule="auto"/>
              <w:rPr/>
            </w:pPr>
            <w:r>
              <w:rPr>
                <w:color w:val="212529"/>
                <w:spacing w:val="-2"/>
              </w:rPr>
              <w:t>住房公积金</w:t>
            </w:r>
          </w:p>
        </w:tc>
        <w:tc>
          <w:tcPr>
            <w:tcW w:w="1606" w:type="dxa"/>
            <w:vAlign w:val="top"/>
          </w:tcPr>
          <w:p>
            <w:pPr>
              <w:pStyle w:val="TableText"/>
              <w:ind w:right="29"/>
              <w:spacing w:before="54" w:line="239" w:lineRule="auto"/>
              <w:jc w:val="right"/>
              <w:rPr/>
            </w:pPr>
            <w:r>
              <w:rPr>
                <w:color w:val="212529"/>
                <w:spacing w:val="-5"/>
              </w:rPr>
              <w:t>11.42</w:t>
            </w:r>
          </w:p>
        </w:tc>
        <w:tc>
          <w:tcPr>
            <w:tcW w:w="1463" w:type="dxa"/>
            <w:vAlign w:val="top"/>
          </w:tcPr>
          <w:p>
            <w:pPr>
              <w:pStyle w:val="TableText"/>
              <w:ind w:right="27"/>
              <w:spacing w:before="54" w:line="239" w:lineRule="auto"/>
              <w:jc w:val="right"/>
              <w:rPr/>
            </w:pPr>
            <w:r>
              <w:rPr>
                <w:color w:val="212529"/>
                <w:spacing w:val="-5"/>
              </w:rPr>
              <w:t>11.42</w:t>
            </w:r>
          </w:p>
        </w:tc>
        <w:tc>
          <w:tcPr>
            <w:tcW w:w="1457"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rPr>
          <w:rFonts w:ascii="Arial"/>
          <w:sz w:val="21"/>
        </w:rPr>
      </w:pPr>
      <w:r/>
    </w:p>
    <w:p>
      <w:pPr>
        <w:sectPr>
          <w:headerReference w:type="default" r:id="rId15"/>
          <w:footerReference w:type="default" r:id="rId16"/>
          <w:pgSz w:w="11900" w:h="16840"/>
          <w:pgMar w:top="642" w:right="0" w:bottom="340" w:left="0" w:header="326" w:footer="90" w:gutter="0"/>
        </w:sectPr>
        <w:rPr>
          <w:rFonts w:ascii="Arial" w:hAnsi="Arial" w:eastAsia="Arial" w:cs="Arial"/>
          <w:sz w:val="21"/>
          <w:szCs w:val="21"/>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825" w:type="dxa"/>
            <w:vAlign w:val="top"/>
            <w:gridSpan w:val="5"/>
            <w:tcBorders>
              <w:right w:val="single" w:color="FFFFFF" w:sz="2" w:space="0"/>
              <w:top w:val="single" w:color="FFFFFF" w:sz="4" w:space="0"/>
            </w:tcBorders>
          </w:tcPr>
          <w:p>
            <w:pPr>
              <w:pStyle w:val="TableText"/>
              <w:ind w:left="9"/>
              <w:spacing w:before="126" w:line="225" w:lineRule="auto"/>
              <w:rPr>
                <w:sz w:val="14"/>
                <w:szCs w:val="14"/>
              </w:rPr>
            </w:pPr>
            <w:r>
              <w:rPr>
                <w:sz w:val="14"/>
                <w:szCs w:val="14"/>
                <w:color w:val="212529"/>
                <w:spacing w:val="3"/>
              </w:rPr>
              <w:t>部门名称：兴县孟家坪乡卫生院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04"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11"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93" w:type="dxa"/>
            <w:vAlign w:val="top"/>
            <w:gridSpan w:val="3"/>
          </w:tcPr>
          <w:p>
            <w:pPr>
              <w:ind w:left="1415"/>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73" w:type="dxa"/>
            <w:vAlign w:val="top"/>
            <w:gridSpan w:val="9"/>
          </w:tcPr>
          <w:p>
            <w:pPr>
              <w:ind w:left="4803"/>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87" w:type="dxa"/>
            <w:vAlign w:val="top"/>
          </w:tcPr>
          <w:p>
            <w:pPr>
              <w:spacing w:line="251" w:lineRule="auto"/>
              <w:rPr>
                <w:rFonts w:ascii="Arial"/>
                <w:sz w:val="21"/>
              </w:rPr>
            </w:pPr>
            <w:r/>
          </w:p>
          <w:p>
            <w:pPr>
              <w:ind w:left="50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04" w:type="dxa"/>
            <w:vAlign w:val="top"/>
          </w:tcPr>
          <w:p>
            <w:pPr>
              <w:spacing w:line="251" w:lineRule="auto"/>
              <w:rPr>
                <w:rFonts w:ascii="Arial"/>
                <w:sz w:val="21"/>
              </w:rPr>
            </w:pPr>
            <w:r/>
          </w:p>
          <w:p>
            <w:pPr>
              <w:ind w:left="32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11" w:type="dxa"/>
            <w:vAlign w:val="top"/>
          </w:tcPr>
          <w:p>
            <w:pPr>
              <w:spacing w:line="251" w:lineRule="auto"/>
              <w:rPr>
                <w:rFonts w:ascii="Arial"/>
                <w:sz w:val="21"/>
              </w:rPr>
            </w:pPr>
            <w:r/>
          </w:p>
          <w:p>
            <w:pPr>
              <w:ind w:left="67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87"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right="27"/>
              <w:spacing w:before="128" w:line="186" w:lineRule="exact"/>
              <w:jc w:val="right"/>
              <w:rPr>
                <w:sz w:val="14"/>
                <w:szCs w:val="14"/>
              </w:rPr>
            </w:pPr>
            <w:r>
              <w:rPr>
                <w:sz w:val="14"/>
                <w:szCs w:val="14"/>
                <w:color w:val="212529"/>
                <w:spacing w:val="-1"/>
                <w:position w:val="1"/>
              </w:rPr>
              <w:t>127.19</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position w:val="1"/>
              </w:rPr>
              <w:t>8.46</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04"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11"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9" w:line="185" w:lineRule="exact"/>
              <w:rPr>
                <w:sz w:val="14"/>
                <w:szCs w:val="14"/>
              </w:rPr>
            </w:pPr>
            <w:r>
              <w:rPr>
                <w:sz w:val="14"/>
                <w:szCs w:val="14"/>
                <w:color w:val="212529"/>
                <w:position w:val="1"/>
              </w:rPr>
              <w:t>30101</w:t>
            </w:r>
          </w:p>
        </w:tc>
        <w:tc>
          <w:tcPr>
            <w:tcW w:w="1787"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right="27"/>
              <w:spacing w:before="129" w:line="185" w:lineRule="exact"/>
              <w:jc w:val="right"/>
              <w:rPr>
                <w:sz w:val="14"/>
                <w:szCs w:val="14"/>
              </w:rPr>
            </w:pPr>
            <w:r>
              <w:rPr>
                <w:sz w:val="14"/>
                <w:szCs w:val="14"/>
                <w:color w:val="212529"/>
                <w:position w:val="1"/>
              </w:rPr>
              <w:t>46.45</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04"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11"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30102</w:t>
            </w:r>
          </w:p>
        </w:tc>
        <w:tc>
          <w:tcPr>
            <w:tcW w:w="1787"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right="27"/>
              <w:spacing w:before="130" w:line="185" w:lineRule="exact"/>
              <w:jc w:val="right"/>
              <w:rPr>
                <w:sz w:val="14"/>
                <w:szCs w:val="14"/>
              </w:rPr>
            </w:pPr>
            <w:r>
              <w:rPr>
                <w:sz w:val="14"/>
                <w:szCs w:val="14"/>
                <w:color w:val="212529"/>
                <w:spacing w:val="-2"/>
                <w:position w:val="1"/>
              </w:rPr>
              <w:t>19.85</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04"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11"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30103</w:t>
            </w:r>
          </w:p>
        </w:tc>
        <w:tc>
          <w:tcPr>
            <w:tcW w:w="1787"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04"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11"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30106</w:t>
            </w:r>
          </w:p>
        </w:tc>
        <w:tc>
          <w:tcPr>
            <w:tcW w:w="1787"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04"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11"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5" w:lineRule="exact"/>
              <w:rPr>
                <w:sz w:val="14"/>
                <w:szCs w:val="14"/>
              </w:rPr>
            </w:pPr>
            <w:r>
              <w:rPr>
                <w:sz w:val="14"/>
                <w:szCs w:val="14"/>
                <w:color w:val="212529"/>
                <w:position w:val="1"/>
              </w:rPr>
              <w:t>30107</w:t>
            </w:r>
          </w:p>
        </w:tc>
        <w:tc>
          <w:tcPr>
            <w:tcW w:w="1787"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right="27"/>
              <w:spacing w:before="131" w:line="185" w:lineRule="exact"/>
              <w:jc w:val="right"/>
              <w:rPr>
                <w:sz w:val="14"/>
                <w:szCs w:val="14"/>
              </w:rPr>
            </w:pPr>
            <w:r>
              <w:rPr>
                <w:sz w:val="14"/>
                <w:szCs w:val="14"/>
                <w:color w:val="212529"/>
                <w:position w:val="1"/>
              </w:rPr>
              <w:t>31.28</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04" w:type="dxa"/>
            <w:vAlign w:val="top"/>
          </w:tcPr>
          <w:p>
            <w:pPr>
              <w:pStyle w:val="TableText"/>
              <w:ind w:left="3" w:right="103" w:firstLine="3"/>
              <w:spacing w:before="47" w:line="224" w:lineRule="auto"/>
              <w:rPr>
                <w:sz w:val="14"/>
                <w:szCs w:val="14"/>
              </w:rPr>
            </w:pPr>
            <w:r>
              <w:rPr>
                <w:sz w:val="14"/>
                <w:szCs w:val="14"/>
                <w:color w:val="212529"/>
                <w:spacing w:val="2"/>
              </w:rPr>
              <w:t>资本性支出（基本建</w:t>
            </w:r>
            <w:r>
              <w:rPr>
                <w:sz w:val="14"/>
                <w:szCs w:val="14"/>
                <w:color w:val="212529"/>
                <w:spacing w:val="-3"/>
              </w:rPr>
              <w:t>设）</w:t>
            </w:r>
          </w:p>
        </w:tc>
        <w:tc>
          <w:tcPr>
            <w:tcW w:w="1068" w:type="dxa"/>
            <w:vAlign w:val="top"/>
          </w:tcPr>
          <w:p>
            <w:pPr>
              <w:pStyle w:val="TableText"/>
              <w:ind w:left="230"/>
              <w:spacing w:before="196" w:line="98"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11"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30108</w:t>
            </w:r>
          </w:p>
        </w:tc>
        <w:tc>
          <w:tcPr>
            <w:tcW w:w="1787" w:type="dxa"/>
            <w:vAlign w:val="top"/>
          </w:tcPr>
          <w:p>
            <w:pPr>
              <w:pStyle w:val="TableText"/>
              <w:ind w:left="10" w:right="52" w:firstLine="135"/>
              <w:spacing w:before="47" w:line="223" w:lineRule="auto"/>
              <w:rPr>
                <w:sz w:val="14"/>
                <w:szCs w:val="14"/>
              </w:rPr>
            </w:pPr>
            <w:r>
              <w:rPr>
                <w:sz w:val="14"/>
                <w:szCs w:val="14"/>
                <w:color w:val="212529"/>
                <w:spacing w:val="3"/>
              </w:rPr>
              <w:t>机关事业单位基本养老保</w:t>
            </w:r>
            <w:r>
              <w:rPr>
                <w:sz w:val="14"/>
                <w:szCs w:val="14"/>
                <w:color w:val="212529"/>
                <w:spacing w:val="-1"/>
              </w:rPr>
              <w:t>险缴费</w:t>
            </w:r>
          </w:p>
        </w:tc>
        <w:tc>
          <w:tcPr>
            <w:tcW w:w="924" w:type="dxa"/>
            <w:vAlign w:val="top"/>
          </w:tcPr>
          <w:p>
            <w:pPr>
              <w:pStyle w:val="TableText"/>
              <w:ind w:right="27"/>
              <w:spacing w:before="131" w:line="185" w:lineRule="exact"/>
              <w:jc w:val="right"/>
              <w:rPr>
                <w:sz w:val="14"/>
                <w:szCs w:val="14"/>
              </w:rPr>
            </w:pPr>
            <w:r>
              <w:rPr>
                <w:sz w:val="14"/>
                <w:szCs w:val="14"/>
                <w:color w:val="212529"/>
                <w:spacing w:val="-2"/>
                <w:position w:val="1"/>
              </w:rPr>
              <w:t>12.47</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04"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98"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11"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30109</w:t>
            </w:r>
          </w:p>
        </w:tc>
        <w:tc>
          <w:tcPr>
            <w:tcW w:w="1787"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04"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97"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11"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97"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30110</w:t>
            </w:r>
          </w:p>
        </w:tc>
        <w:tc>
          <w:tcPr>
            <w:tcW w:w="1787"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right="27"/>
              <w:spacing w:before="131" w:line="186" w:lineRule="exact"/>
              <w:jc w:val="right"/>
              <w:rPr>
                <w:sz w:val="14"/>
                <w:szCs w:val="14"/>
              </w:rPr>
            </w:pPr>
            <w:r>
              <w:rPr>
                <w:sz w:val="14"/>
                <w:szCs w:val="14"/>
                <w:color w:val="212529"/>
                <w:spacing w:val="-1"/>
                <w:position w:val="1"/>
              </w:rPr>
              <w:t>5.06</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spacing w:val="-1"/>
                <w:position w:val="1"/>
              </w:rPr>
              <w:t>7.41</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04"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11"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98"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5" w:lineRule="exact"/>
              <w:rPr>
                <w:sz w:val="14"/>
                <w:szCs w:val="14"/>
              </w:rPr>
            </w:pPr>
            <w:r>
              <w:rPr>
                <w:sz w:val="14"/>
                <w:szCs w:val="14"/>
                <w:color w:val="212529"/>
                <w:position w:val="1"/>
              </w:rPr>
              <w:t>30111</w:t>
            </w:r>
          </w:p>
        </w:tc>
        <w:tc>
          <w:tcPr>
            <w:tcW w:w="1787"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04"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11"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98"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30112</w:t>
            </w:r>
          </w:p>
        </w:tc>
        <w:tc>
          <w:tcPr>
            <w:tcW w:w="1787"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right="27"/>
              <w:spacing w:before="132" w:line="185" w:lineRule="exact"/>
              <w:jc w:val="right"/>
              <w:rPr>
                <w:sz w:val="14"/>
                <w:szCs w:val="14"/>
              </w:rPr>
            </w:pPr>
            <w:r>
              <w:rPr>
                <w:sz w:val="14"/>
                <w:szCs w:val="14"/>
                <w:color w:val="212529"/>
                <w:position w:val="1"/>
              </w:rPr>
              <w:t>0.26</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04"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11"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30113</w:t>
            </w:r>
          </w:p>
        </w:tc>
        <w:tc>
          <w:tcPr>
            <w:tcW w:w="1787"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right="27"/>
              <w:spacing w:before="132" w:line="185" w:lineRule="exact"/>
              <w:jc w:val="right"/>
              <w:rPr>
                <w:sz w:val="14"/>
                <w:szCs w:val="14"/>
              </w:rPr>
            </w:pPr>
            <w:r>
              <w:rPr>
                <w:sz w:val="14"/>
                <w:szCs w:val="14"/>
                <w:color w:val="212529"/>
                <w:spacing w:val="-2"/>
                <w:position w:val="1"/>
              </w:rPr>
              <w:t>11.42</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04" w:type="dxa"/>
            <w:vAlign w:val="top"/>
          </w:tcPr>
          <w:p>
            <w:pPr>
              <w:pStyle w:val="TableText"/>
              <w:ind w:left="5" w:right="97" w:firstLine="145"/>
              <w:spacing w:before="48" w:line="224" w:lineRule="auto"/>
              <w:rPr>
                <w:sz w:val="14"/>
                <w:szCs w:val="14"/>
              </w:rPr>
            </w:pPr>
            <w:r>
              <w:rPr>
                <w:sz w:val="14"/>
                <w:szCs w:val="14"/>
                <w:color w:val="212529"/>
                <w:spacing w:val="3"/>
              </w:rPr>
              <w:t>信息网络及软件购</w:t>
            </w:r>
            <w:r>
              <w:rPr>
                <w:sz w:val="14"/>
                <w:szCs w:val="14"/>
                <w:color w:val="212529"/>
                <w:spacing w:val="2"/>
              </w:rPr>
              <w:t>置更新</w:t>
            </w:r>
          </w:p>
        </w:tc>
        <w:tc>
          <w:tcPr>
            <w:tcW w:w="1068" w:type="dxa"/>
            <w:vAlign w:val="top"/>
          </w:tcPr>
          <w:p>
            <w:pPr>
              <w:pStyle w:val="TableText"/>
              <w:ind w:left="230"/>
              <w:spacing w:before="198" w:line="97"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11"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30114</w:t>
            </w:r>
          </w:p>
        </w:tc>
        <w:tc>
          <w:tcPr>
            <w:tcW w:w="1787"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04" w:type="dxa"/>
            <w:vAlign w:val="top"/>
          </w:tcPr>
          <w:p>
            <w:pPr>
              <w:pStyle w:val="TableText"/>
              <w:ind w:left="150"/>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11"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5" w:lineRule="exact"/>
              <w:rPr>
                <w:sz w:val="14"/>
                <w:szCs w:val="14"/>
              </w:rPr>
            </w:pPr>
            <w:r>
              <w:rPr>
                <w:sz w:val="14"/>
                <w:szCs w:val="14"/>
                <w:color w:val="212529"/>
                <w:position w:val="1"/>
              </w:rPr>
              <w:t>30199</w:t>
            </w:r>
          </w:p>
        </w:tc>
        <w:tc>
          <w:tcPr>
            <w:tcW w:w="1787"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pStyle w:val="TableText"/>
              <w:ind w:right="27"/>
              <w:spacing w:before="133" w:line="185" w:lineRule="exact"/>
              <w:jc w:val="right"/>
              <w:rPr>
                <w:sz w:val="14"/>
                <w:szCs w:val="14"/>
              </w:rPr>
            </w:pPr>
            <w:r>
              <w:rPr>
                <w:sz w:val="14"/>
                <w:szCs w:val="14"/>
                <w:color w:val="212529"/>
                <w:position w:val="1"/>
              </w:rPr>
              <w:t>0.41</w:t>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04"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11"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87"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right="27"/>
              <w:spacing w:before="133" w:line="185" w:lineRule="exact"/>
              <w:jc w:val="right"/>
              <w:rPr>
                <w:sz w:val="14"/>
                <w:szCs w:val="14"/>
              </w:rPr>
            </w:pPr>
            <w:r>
              <w:rPr>
                <w:sz w:val="14"/>
                <w:szCs w:val="14"/>
                <w:color w:val="212529"/>
                <w:spacing w:val="-2"/>
                <w:position w:val="1"/>
              </w:rPr>
              <w:t>12.31</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04"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11"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30301</w:t>
            </w:r>
          </w:p>
        </w:tc>
        <w:tc>
          <w:tcPr>
            <w:tcW w:w="1787"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04"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97"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11"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30302</w:t>
            </w:r>
          </w:p>
        </w:tc>
        <w:tc>
          <w:tcPr>
            <w:tcW w:w="1787"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04"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97"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11"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82" w:type="dxa"/>
            <w:vAlign w:val="top"/>
          </w:tcPr>
          <w:p>
            <w:pPr>
              <w:pStyle w:val="TableText"/>
              <w:ind w:left="10"/>
              <w:spacing w:before="134" w:line="185" w:lineRule="exact"/>
              <w:rPr>
                <w:sz w:val="14"/>
                <w:szCs w:val="14"/>
              </w:rPr>
            </w:pPr>
            <w:r>
              <w:rPr>
                <w:sz w:val="14"/>
                <w:szCs w:val="14"/>
                <w:color w:val="212529"/>
                <w:position w:val="1"/>
              </w:rPr>
              <w:t>30303</w:t>
            </w:r>
          </w:p>
        </w:tc>
        <w:tc>
          <w:tcPr>
            <w:tcW w:w="1787"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04"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98"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11"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rPr>
          <w:rFonts w:ascii="Arial"/>
          <w:sz w:val="21"/>
        </w:rPr>
      </w:pPr>
      <w:r/>
    </w:p>
    <w:p>
      <w:pPr>
        <w:sectPr>
          <w:headerReference w:type="default" r:id="rId17"/>
          <w:footerReference w:type="default" r:id="rId18"/>
          <w:pgSz w:w="16840" w:h="11900"/>
          <w:pgMar w:top="642" w:right="0" w:bottom="340" w:left="0" w:header="326" w:footer="93" w:gutter="0"/>
        </w:sectPr>
        <w:rPr>
          <w:rFonts w:ascii="Arial" w:hAnsi="Arial" w:eastAsia="Arial" w:cs="Arial"/>
          <w:sz w:val="21"/>
          <w:szCs w:val="21"/>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882"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87"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04"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11"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5" w:line="186" w:lineRule="exact"/>
              <w:rPr>
                <w:sz w:val="14"/>
                <w:szCs w:val="14"/>
              </w:rPr>
            </w:pPr>
            <w:r>
              <w:rPr>
                <w:sz w:val="14"/>
                <w:szCs w:val="14"/>
                <w:color w:val="212529"/>
                <w:position w:val="1"/>
              </w:rPr>
              <w:t>30305</w:t>
            </w:r>
          </w:p>
        </w:tc>
        <w:tc>
          <w:tcPr>
            <w:tcW w:w="1787"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04"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11" w:type="dxa"/>
            <w:vAlign w:val="top"/>
          </w:tcPr>
          <w:p>
            <w:pPr>
              <w:pStyle w:val="TableText"/>
              <w:ind w:left="8" w:right="81" w:firstLine="143"/>
              <w:spacing w:before="41" w:line="224" w:lineRule="auto"/>
              <w:rPr>
                <w:sz w:val="14"/>
                <w:szCs w:val="14"/>
              </w:rPr>
            </w:pPr>
            <w:r>
              <w:rPr>
                <w:sz w:val="14"/>
                <w:szCs w:val="14"/>
                <w:color w:val="212529"/>
                <w:spacing w:val="3"/>
              </w:rPr>
              <w:t>对机关事业单位职业年金的补</w:t>
            </w:r>
            <w:r>
              <w:rPr>
                <w:sz w:val="14"/>
                <w:szCs w:val="14"/>
                <w:color w:val="212529"/>
              </w:rPr>
              <w:t>助</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6" w:line="186" w:lineRule="exact"/>
              <w:rPr>
                <w:sz w:val="14"/>
                <w:szCs w:val="14"/>
              </w:rPr>
            </w:pPr>
            <w:r>
              <w:rPr>
                <w:sz w:val="14"/>
                <w:szCs w:val="14"/>
                <w:color w:val="212529"/>
                <w:position w:val="1"/>
              </w:rPr>
              <w:t>30306</w:t>
            </w:r>
          </w:p>
        </w:tc>
        <w:tc>
          <w:tcPr>
            <w:tcW w:w="1787"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04"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11"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5" w:lineRule="exact"/>
              <w:rPr>
                <w:sz w:val="14"/>
                <w:szCs w:val="14"/>
              </w:rPr>
            </w:pPr>
            <w:r>
              <w:rPr>
                <w:sz w:val="14"/>
                <w:szCs w:val="14"/>
                <w:color w:val="212529"/>
                <w:position w:val="1"/>
              </w:rPr>
              <w:t>30307</w:t>
            </w:r>
          </w:p>
        </w:tc>
        <w:tc>
          <w:tcPr>
            <w:tcW w:w="1787"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04"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11"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6" w:lineRule="exact"/>
              <w:rPr>
                <w:sz w:val="14"/>
                <w:szCs w:val="14"/>
              </w:rPr>
            </w:pPr>
            <w:r>
              <w:rPr>
                <w:sz w:val="14"/>
                <w:szCs w:val="14"/>
                <w:color w:val="212529"/>
                <w:position w:val="1"/>
              </w:rPr>
              <w:t>30308</w:t>
            </w:r>
          </w:p>
        </w:tc>
        <w:tc>
          <w:tcPr>
            <w:tcW w:w="1787"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spacing w:val="-3"/>
                <w:position w:val="1"/>
              </w:rPr>
              <w:t>1.05</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04"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11" w:type="dxa"/>
            <w:vAlign w:val="top"/>
          </w:tcPr>
          <w:p>
            <w:pPr>
              <w:pStyle w:val="TableText"/>
              <w:ind w:left="12" w:right="81" w:firstLine="140"/>
              <w:spacing w:before="44" w:line="223" w:lineRule="auto"/>
              <w:rPr>
                <w:sz w:val="14"/>
                <w:szCs w:val="14"/>
              </w:rPr>
            </w:pPr>
            <w:r>
              <w:rPr>
                <w:sz w:val="14"/>
                <w:szCs w:val="14"/>
                <w:color w:val="212529"/>
                <w:spacing w:val="3"/>
              </w:rPr>
              <w:t>对民间非营利组织和群众性自</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8" w:line="186" w:lineRule="exact"/>
              <w:rPr>
                <w:sz w:val="14"/>
                <w:szCs w:val="14"/>
              </w:rPr>
            </w:pPr>
            <w:r>
              <w:rPr>
                <w:sz w:val="14"/>
                <w:szCs w:val="14"/>
                <w:color w:val="212529"/>
                <w:position w:val="1"/>
              </w:rPr>
              <w:t>30309</w:t>
            </w:r>
          </w:p>
        </w:tc>
        <w:tc>
          <w:tcPr>
            <w:tcW w:w="1787"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04"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11"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9" w:line="186" w:lineRule="exact"/>
              <w:rPr>
                <w:sz w:val="14"/>
                <w:szCs w:val="14"/>
              </w:rPr>
            </w:pPr>
            <w:r>
              <w:rPr>
                <w:sz w:val="14"/>
                <w:szCs w:val="14"/>
                <w:color w:val="212529"/>
                <w:position w:val="1"/>
              </w:rPr>
              <w:t>30310</w:t>
            </w:r>
          </w:p>
        </w:tc>
        <w:tc>
          <w:tcPr>
            <w:tcW w:w="1787"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04" w:type="dxa"/>
            <w:vAlign w:val="top"/>
          </w:tcPr>
          <w:p>
            <w:pPr>
              <w:pStyle w:val="TableText"/>
              <w:ind w:left="5" w:right="97" w:firstLine="145"/>
              <w:spacing w:before="45" w:line="224" w:lineRule="auto"/>
              <w:rPr>
                <w:sz w:val="14"/>
                <w:szCs w:val="14"/>
              </w:rPr>
            </w:pPr>
            <w:r>
              <w:rPr>
                <w:sz w:val="14"/>
                <w:szCs w:val="14"/>
                <w:color w:val="212529"/>
                <w:spacing w:val="3"/>
              </w:rPr>
              <w:t>信息网络及软件购</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11"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5" w:lineRule="exact"/>
              <w:rPr>
                <w:sz w:val="14"/>
                <w:szCs w:val="14"/>
              </w:rPr>
            </w:pPr>
            <w:r>
              <w:rPr>
                <w:sz w:val="14"/>
                <w:szCs w:val="14"/>
                <w:color w:val="212529"/>
                <w:position w:val="1"/>
              </w:rPr>
              <w:t>30311</w:t>
            </w:r>
          </w:p>
        </w:tc>
        <w:tc>
          <w:tcPr>
            <w:tcW w:w="1787"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04" w:type="dxa"/>
            <w:vAlign w:val="top"/>
          </w:tcPr>
          <w:p>
            <w:pPr>
              <w:pStyle w:val="TableText"/>
              <w:ind w:left="150"/>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11"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30" w:line="186" w:lineRule="exact"/>
              <w:rPr>
                <w:sz w:val="14"/>
                <w:szCs w:val="14"/>
              </w:rPr>
            </w:pPr>
            <w:r>
              <w:rPr>
                <w:sz w:val="14"/>
                <w:szCs w:val="14"/>
                <w:color w:val="212529"/>
                <w:position w:val="1"/>
              </w:rPr>
              <w:t>30399</w:t>
            </w:r>
          </w:p>
        </w:tc>
        <w:tc>
          <w:tcPr>
            <w:tcW w:w="1787"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right="27"/>
              <w:spacing w:before="130" w:line="185" w:lineRule="exact"/>
              <w:jc w:val="right"/>
              <w:rPr>
                <w:sz w:val="14"/>
                <w:szCs w:val="14"/>
              </w:rPr>
            </w:pPr>
            <w:r>
              <w:rPr>
                <w:sz w:val="14"/>
                <w:szCs w:val="14"/>
                <w:color w:val="212529"/>
                <w:spacing w:val="-2"/>
                <w:position w:val="1"/>
              </w:rPr>
              <w:t>12.31</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04"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87"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04"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69" w:type="dxa"/>
            <w:vAlign w:val="top"/>
            <w:gridSpan w:val="2"/>
          </w:tcPr>
          <w:p>
            <w:pPr>
              <w:pStyle w:val="TableText"/>
              <w:ind w:left="885"/>
              <w:spacing w:before="132" w:line="225" w:lineRule="auto"/>
              <w:rPr>
                <w:sz w:val="14"/>
                <w:szCs w:val="14"/>
              </w:rPr>
            </w:pPr>
            <w:r>
              <w:rPr>
                <w:sz w:val="14"/>
                <w:szCs w:val="14"/>
                <w:color w:val="212529"/>
                <w:spacing w:val="2"/>
              </w:rPr>
              <w:t>人员经费合计</w:t>
            </w:r>
          </w:p>
        </w:tc>
        <w:tc>
          <w:tcPr>
            <w:tcW w:w="924" w:type="dxa"/>
            <w:vAlign w:val="top"/>
          </w:tcPr>
          <w:p>
            <w:pPr>
              <w:pStyle w:val="TableText"/>
              <w:ind w:right="27"/>
              <w:spacing w:before="131" w:line="186" w:lineRule="exact"/>
              <w:jc w:val="right"/>
              <w:rPr>
                <w:sz w:val="14"/>
                <w:szCs w:val="14"/>
              </w:rPr>
            </w:pPr>
            <w:r>
              <w:rPr>
                <w:sz w:val="14"/>
                <w:szCs w:val="14"/>
                <w:color w:val="212529"/>
                <w:spacing w:val="-1"/>
                <w:position w:val="1"/>
              </w:rPr>
              <w:t>139.50</w:t>
            </w:r>
          </w:p>
        </w:tc>
        <w:tc>
          <w:tcPr>
            <w:tcW w:w="9287" w:type="dxa"/>
            <w:vAlign w:val="top"/>
            <w:gridSpan w:val="8"/>
          </w:tcPr>
          <w:p>
            <w:pPr>
              <w:pStyle w:val="TableText"/>
              <w:ind w:left="4199"/>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position w:val="1"/>
              </w:rPr>
              <w:t>8.46</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19"/>
          <w:footerReference w:type="default" r:id="rId20"/>
          <w:pgSz w:w="16840" w:h="1190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部门名称：兴县孟家坪乡卫生院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457" w:right="38" w:hanging="450"/>
              <w:spacing w:before="216" w:line="215" w:lineRule="auto"/>
              <w:rPr/>
            </w:pPr>
            <w:r>
              <w:rPr>
                <w:color w:val="212529"/>
                <w:spacing w:val="-2"/>
              </w:rPr>
              <w:t>年初结转和结</w:t>
            </w: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315" w:right="68" w:hanging="273"/>
              <w:spacing w:before="216" w:line="215" w:lineRule="auto"/>
              <w:rPr/>
            </w:pPr>
            <w:r>
              <w:rPr>
                <w:color w:val="212529"/>
                <w:spacing w:val="-2"/>
              </w:rPr>
              <w:t>年末结转和</w:t>
            </w: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rPr>
          <w:rFonts w:ascii="Arial"/>
          <w:sz w:val="21"/>
        </w:rPr>
      </w:pPr>
      <w:r/>
    </w:p>
    <w:p>
      <w:pPr>
        <w:sectPr>
          <w:headerReference w:type="default" r:id="rId3"/>
          <w:footerReference w:type="default" r:id="rId21"/>
          <w:pgSz w:w="11900" w:h="16840"/>
          <w:pgMar w:top="642" w:right="0" w:bottom="340" w:left="0" w:header="326" w:footer="93"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部门名称：兴县孟家坪乡卫生院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rPr>
          <w:rFonts w:ascii="Arial"/>
          <w:sz w:val="21"/>
        </w:rPr>
      </w:pPr>
      <w:r/>
    </w:p>
    <w:p>
      <w:pPr>
        <w:sectPr>
          <w:headerReference w:type="default" r:id="rId13"/>
          <w:footerReference w:type="default" r:id="rId22"/>
          <w:pgSz w:w="11900" w:h="16840"/>
          <w:pgMar w:top="642" w:right="0" w:bottom="340" w:left="0" w:header="326" w:footer="91" w:gutter="0"/>
        </w:sectPr>
        <w:rPr>
          <w:rFonts w:ascii="Arial" w:hAnsi="Arial" w:eastAsia="Arial" w:cs="Arial"/>
          <w:sz w:val="21"/>
          <w:szCs w:val="21"/>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9"/>
              <w:spacing w:before="124" w:line="224" w:lineRule="auto"/>
              <w:rPr>
                <w:sz w:val="14"/>
                <w:szCs w:val="14"/>
              </w:rPr>
            </w:pPr>
            <w:r>
              <w:rPr>
                <w:sz w:val="14"/>
                <w:szCs w:val="14"/>
                <w:color w:val="212529"/>
                <w:spacing w:val="3"/>
              </w:rPr>
              <w:t>部门名称：兴县孟家坪乡卫生院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609" w:right="132" w:hanging="532"/>
              <w:spacing w:before="216" w:line="19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6"/>
              </w:rPr>
              <w:t>因公出国（境）</w:t>
            </w: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620" w:right="133" w:hanging="532"/>
              <w:spacing w:before="216" w:line="19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6"/>
              </w:rPr>
              <w:t>因公出国（境）</w:t>
            </w: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rPr>
          <w:rFonts w:ascii="Arial"/>
          <w:sz w:val="21"/>
        </w:rPr>
      </w:pPr>
      <w:r/>
    </w:p>
    <w:p>
      <w:pPr>
        <w:sectPr>
          <w:headerReference w:type="default" r:id="rId19"/>
          <w:footerReference w:type="default" r:id="rId23"/>
          <w:pgSz w:w="16840" w:h="11900"/>
          <w:pgMar w:top="642" w:right="0" w:bottom="340" w:left="0" w:header="326" w:footer="91" w:gutter="0"/>
        </w:sectPr>
        <w:rPr>
          <w:rFonts w:ascii="Arial" w:hAnsi="Arial" w:eastAsia="Arial" w:cs="Arial"/>
          <w:sz w:val="21"/>
          <w:szCs w:val="21"/>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5" w:lineRule="auto"/>
              <w:rPr>
                <w:sz w:val="14"/>
                <w:szCs w:val="14"/>
              </w:rPr>
            </w:pPr>
            <w:r>
              <w:rPr>
                <w:sz w:val="14"/>
                <w:szCs w:val="14"/>
                <w:color w:val="212529"/>
                <w:spacing w:val="3"/>
              </w:rPr>
              <w:t>单位名称：兴县孟家坪乡卫生院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pStyle w:val="TableText"/>
              <w:ind w:right="11"/>
              <w:spacing w:before="64" w:line="241" w:lineRule="auto"/>
              <w:jc w:val="right"/>
              <w:rPr/>
            </w:pPr>
            <w:r>
              <w:rPr>
                <w:color w:val="212529"/>
              </w:rPr>
              <w:t>1</w:t>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pStyle w:val="TableText"/>
              <w:ind w:right="11"/>
              <w:spacing w:before="66" w:line="241" w:lineRule="auto"/>
              <w:jc w:val="right"/>
              <w:rPr/>
            </w:pPr>
            <w:r>
              <w:rPr>
                <w:color w:val="212529"/>
              </w:rPr>
              <w:t>1</w:t>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15"/>
          <w:footerReference w:type="default" r:id="rId24"/>
          <w:pgSz w:w="11900" w:h="16840"/>
          <w:pgMar w:top="642" w:right="0" w:bottom="340" w:left="0" w:header="326" w:footer="93" w:gutter="0"/>
        </w:sectPr>
        <w:rPr>
          <w:rFonts w:ascii="Arial" w:hAnsi="Arial" w:eastAsia="Arial" w:cs="Arial"/>
          <w:sz w:val="21"/>
          <w:szCs w:val="21"/>
        </w:rPr>
      </w:pPr>
    </w:p>
    <w:p>
      <w:pPr>
        <w:spacing w:line="309" w:lineRule="auto"/>
        <w:rPr>
          <w:rFonts w:ascii="Arial"/>
          <w:sz w:val="21"/>
        </w:rPr>
      </w:pPr>
      <w:r/>
    </w:p>
    <w:p>
      <w:pPr>
        <w:spacing w:line="310" w:lineRule="auto"/>
        <w:rPr>
          <w:rFonts w:ascii="Arial"/>
          <w:sz w:val="21"/>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6" w:right="1513" w:firstLine="499"/>
        <w:spacing w:before="131" w:line="319" w:lineRule="auto"/>
        <w:jc w:val="both"/>
        <w:rPr>
          <w:rFonts w:ascii="FangSong" w:hAnsi="FangSong" w:eastAsia="FangSong" w:cs="FangSong"/>
          <w:sz w:val="25"/>
          <w:szCs w:val="25"/>
        </w:rPr>
      </w:pPr>
      <w:r>
        <w:rPr>
          <w:rFonts w:ascii="FangSong" w:hAnsi="FangSong" w:eastAsia="FangSong" w:cs="FangSong"/>
          <w:sz w:val="25"/>
          <w:szCs w:val="25"/>
          <w:spacing w:val="1"/>
        </w:rPr>
        <w:t>2023年度收入总计274.25万元，支出总计274.25万元。与上年相比，收入总计</w:t>
      </w:r>
      <w:r>
        <w:rPr>
          <w:rFonts w:ascii="FangSong" w:hAnsi="FangSong" w:eastAsia="FangSong" w:cs="FangSong"/>
          <w:sz w:val="25"/>
          <w:szCs w:val="25"/>
          <w:spacing w:val="2"/>
        </w:rPr>
        <w:t>增加19.35万元，增长7.59%，支出总计增加19.35万元，</w:t>
      </w:r>
      <w:r>
        <w:rPr>
          <w:rFonts w:ascii="FangSong" w:hAnsi="FangSong" w:eastAsia="FangSong" w:cs="FangSong"/>
          <w:sz w:val="25"/>
          <w:szCs w:val="25"/>
          <w:spacing w:val="1"/>
        </w:rPr>
        <w:t>增长7.59%。主要原因是主</w:t>
      </w:r>
      <w:r>
        <w:rPr>
          <w:rFonts w:ascii="FangSong" w:hAnsi="FangSong" w:eastAsia="FangSong" w:cs="FangSong"/>
          <w:sz w:val="25"/>
          <w:szCs w:val="25"/>
        </w:rPr>
        <w:t>要原因是工资增加，公卫经费增加。</w:t>
      </w:r>
    </w:p>
    <w:p>
      <w:pPr>
        <w:ind w:left="1802"/>
        <w:spacing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2023年度收入合计245.18万元，其中：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财政拨款收入223.55万元，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占比91.18%；</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事业收入11.79万元，</w:t>
      </w:r>
      <w:r>
        <w:rPr>
          <w:rFonts w:ascii="FangSong" w:hAnsi="FangSong" w:eastAsia="FangSong" w:cs="FangSong"/>
          <w:sz w:val="25"/>
          <w:szCs w:val="25"/>
          <w:spacing w:val="-55"/>
        </w:rPr>
        <w:t xml:space="preserve"> </w:t>
      </w:r>
      <w:r>
        <w:rPr>
          <w:rFonts w:ascii="FangSong" w:hAnsi="FangSong" w:eastAsia="FangSong" w:cs="FangSong"/>
          <w:sz w:val="25"/>
          <w:szCs w:val="25"/>
          <w:spacing w:val="-3"/>
        </w:rPr>
        <w:t>占比4.81%；</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3"/>
        </w:rPr>
        <w:t>其他收入9.84万元，</w:t>
      </w:r>
      <w:r>
        <w:rPr>
          <w:rFonts w:ascii="FangSong" w:hAnsi="FangSong" w:eastAsia="FangSong" w:cs="FangSong"/>
          <w:sz w:val="25"/>
          <w:szCs w:val="25"/>
          <w:spacing w:val="-61"/>
        </w:rPr>
        <w:t xml:space="preserve"> </w:t>
      </w:r>
      <w:r>
        <w:rPr>
          <w:rFonts w:ascii="FangSong" w:hAnsi="FangSong" w:eastAsia="FangSong" w:cs="FangSong"/>
          <w:sz w:val="25"/>
          <w:szCs w:val="25"/>
          <w:spacing w:val="-3"/>
        </w:rPr>
        <w:t>占比4.01%。</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2023年度支出合计261.83万元，其中：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基本支出186.25万元，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占比71.13%；</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项目支出75.58万元，</w:t>
      </w:r>
      <w:r>
        <w:rPr>
          <w:rFonts w:ascii="FangSong" w:hAnsi="FangSong" w:eastAsia="FangSong" w:cs="FangSong"/>
          <w:sz w:val="25"/>
          <w:szCs w:val="25"/>
          <w:spacing w:val="-52"/>
        </w:rPr>
        <w:t xml:space="preserve"> </w:t>
      </w:r>
      <w:r>
        <w:rPr>
          <w:rFonts w:ascii="FangSong" w:hAnsi="FangSong" w:eastAsia="FangSong" w:cs="FangSong"/>
          <w:sz w:val="25"/>
          <w:szCs w:val="25"/>
          <w:spacing w:val="-3"/>
        </w:rPr>
        <w:t>占比28.87%；</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2" w:line="319" w:lineRule="auto"/>
        <w:rPr>
          <w:rFonts w:ascii="FangSong" w:hAnsi="FangSong" w:eastAsia="FangSong" w:cs="FangSong"/>
          <w:sz w:val="25"/>
          <w:szCs w:val="25"/>
        </w:rPr>
      </w:pPr>
      <w:r>
        <w:rPr>
          <w:rFonts w:ascii="FangSong" w:hAnsi="FangSong" w:eastAsia="FangSong" w:cs="FangSong"/>
          <w:sz w:val="25"/>
          <w:szCs w:val="25"/>
        </w:rPr>
        <w:t>2023年度财政拨款收入总计223.55万元，支出总计223.55万元。与上年相比，</w:t>
      </w:r>
      <w:r>
        <w:rPr>
          <w:rFonts w:ascii="FangSong" w:hAnsi="FangSong" w:eastAsia="FangSong" w:cs="FangSong"/>
          <w:sz w:val="25"/>
          <w:szCs w:val="25"/>
          <w:spacing w:val="1"/>
        </w:rPr>
        <w:t>财政拨款收入总计增加32.75万元，增长17.16%；财政拨款支出总计增加32.75万</w:t>
      </w:r>
      <w:r>
        <w:rPr>
          <w:rFonts w:ascii="FangSong" w:hAnsi="FangSong" w:eastAsia="FangSong" w:cs="FangSong"/>
          <w:sz w:val="25"/>
          <w:szCs w:val="25"/>
          <w:spacing w:val="1"/>
        </w:rPr>
        <w:t>元，增长17.16%。主要原因是主要原因是工资增加，公卫经费增加。。</w:t>
      </w:r>
    </w:p>
    <w:p>
      <w:pPr>
        <w:ind w:left="1804"/>
        <w:spacing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2023年一般公共预算财政拨款决算支出223.</w:t>
      </w:r>
      <w:r>
        <w:rPr>
          <w:rFonts w:ascii="FangSong" w:hAnsi="FangSong" w:eastAsia="FangSong" w:cs="FangSong"/>
          <w:sz w:val="25"/>
          <w:szCs w:val="25"/>
          <w:spacing w:val="-1"/>
        </w:rPr>
        <w:t>55万元，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11"/>
        <w:spacing w:before="130" w:line="319" w:lineRule="auto"/>
        <w:rPr>
          <w:rFonts w:ascii="FangSong" w:hAnsi="FangSong" w:eastAsia="FangSong" w:cs="FangSong"/>
          <w:sz w:val="25"/>
          <w:szCs w:val="25"/>
        </w:rPr>
      </w:pPr>
      <w:r>
        <w:rPr>
          <w:rFonts w:ascii="FangSong" w:hAnsi="FangSong" w:eastAsia="FangSong" w:cs="FangSong"/>
          <w:sz w:val="25"/>
          <w:szCs w:val="25"/>
          <w:spacing w:val="2"/>
        </w:rPr>
        <w:t>85.38%。与上年相比，一般公共预算财政拨款</w:t>
      </w:r>
      <w:r>
        <w:rPr>
          <w:rFonts w:ascii="FangSong" w:hAnsi="FangSong" w:eastAsia="FangSong" w:cs="FangSong"/>
          <w:sz w:val="25"/>
          <w:szCs w:val="25"/>
          <w:spacing w:val="1"/>
        </w:rPr>
        <w:t>支出增加32.75万元，增长17.16%。主</w:t>
      </w:r>
      <w:r>
        <w:rPr>
          <w:rFonts w:ascii="FangSong" w:hAnsi="FangSong" w:eastAsia="FangSong" w:cs="FangSong"/>
          <w:sz w:val="25"/>
          <w:szCs w:val="25"/>
        </w:rPr>
        <w:t>要原因是主要原因是工资增加，公卫经费增加。</w:t>
      </w:r>
    </w:p>
    <w:p>
      <w:pPr>
        <w:ind w:left="1821"/>
        <w:spacing w:before="1"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2023年度一般公共预算财政拨款支出223.55万元，主要用于以下方面：</w:t>
      </w:r>
    </w:p>
    <w:p>
      <w:pPr>
        <w:ind w:left="1810"/>
        <w:spacing w:before="130" w:line="222" w:lineRule="auto"/>
        <w:rPr>
          <w:rFonts w:ascii="FangSong" w:hAnsi="FangSong" w:eastAsia="FangSong" w:cs="FangSong"/>
          <w:sz w:val="25"/>
          <w:szCs w:val="25"/>
        </w:rPr>
      </w:pPr>
      <w:r>
        <w:pict>
          <v:shape id="_x0000_s206" style="position:absolute;margin-left:-13.08pt;margin-top:38.3066pt;mso-position-vertical-relative:text;mso-position-horizontal-relative:text;width:119.4pt;height:18.85pt;z-index:251658240;rotation:330;" fillcolor="#404040" filled="true" stroked="false" type="#_x0000_t136">
            <v:fill opacity="0.400000"/>
            <v:textpath style="font-family:&quot;STSong&quot;;font-size:20;v-text-kern:t;mso-text-shadow:auto" string="仅供内部审核"/>
          </v:shape>
        </w:pict>
      </w:r>
      <w:r>
        <w:pict>
          <v:shape id="_x0000_s208" style="position:absolute;margin-left:391.92pt;margin-top:38.3066pt;mso-position-vertical-relative:text;mso-position-horizontal-relative:text;width:119.4pt;height:18.85pt;z-index:251659264;rotation:330;" fillcolor="#404040" filled="true" stroked="false" type="#_x0000_t136">
            <v:fill opacity="0.400000"/>
            <v:textpath style="font-family:&quot;STSong&quot;;font-size:20;v-text-kern:t;mso-text-shadow:auto" string="仅供内部审核"/>
          </v:shape>
        </w:pict>
      </w:r>
      <w:r>
        <w:rPr>
          <w:rFonts w:ascii="FangSong" w:hAnsi="FangSong" w:eastAsia="FangSong" w:cs="FangSong"/>
          <w:sz w:val="25"/>
          <w:szCs w:val="25"/>
          <w:spacing w:val="-1"/>
        </w:rPr>
        <w:t>社会保障和就业支出(类)12.47万元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占比5.58%；</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卫生健康支出(类)199.66万元，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占比89.31%；</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住房保障支出(类)11.42万元，</w:t>
      </w:r>
      <w:r>
        <w:rPr>
          <w:rFonts w:ascii="FangSong" w:hAnsi="FangSong" w:eastAsia="FangSong" w:cs="FangSong"/>
          <w:sz w:val="25"/>
          <w:szCs w:val="25"/>
          <w:spacing w:val="-57"/>
        </w:rPr>
        <w:t xml:space="preserve"> </w:t>
      </w:r>
      <w:r>
        <w:rPr>
          <w:rFonts w:ascii="FangSong" w:hAnsi="FangSong" w:eastAsia="FangSong" w:cs="FangSong"/>
          <w:sz w:val="25"/>
          <w:szCs w:val="25"/>
          <w:spacing w:val="-2"/>
        </w:rPr>
        <w:t>占比5.11%。</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7"/>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5"/>
          <w:footerReference w:type="default" r:id="rId26"/>
          <w:pgSz w:w="11900" w:h="16840"/>
          <w:pgMar w:top="642" w:right="0" w:bottom="340" w:left="0" w:header="326" w:footer="93"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2023年度一般公共预算财政拨款支出年初预算216.64万元，支出决算223.55万</w:t>
      </w:r>
      <w:r>
        <w:rPr>
          <w:rFonts w:ascii="FangSong" w:hAnsi="FangSong" w:eastAsia="FangSong" w:cs="FangSong"/>
          <w:sz w:val="25"/>
          <w:szCs w:val="25"/>
        </w:rPr>
        <w:t>元，完成年初预算的103.19%。其中：</w:t>
      </w:r>
    </w:p>
    <w:p>
      <w:pPr>
        <w:ind w:left="1306" w:right="1537" w:firstLine="509"/>
        <w:spacing w:line="319" w:lineRule="auto"/>
        <w:jc w:val="both"/>
        <w:rPr>
          <w:rFonts w:ascii="FangSong" w:hAnsi="FangSong" w:eastAsia="FangSong" w:cs="FangSong"/>
          <w:sz w:val="25"/>
          <w:szCs w:val="25"/>
        </w:rPr>
      </w:pPr>
      <w:r>
        <w:rPr>
          <w:rFonts w:ascii="FangSong" w:hAnsi="FangSong" w:eastAsia="FangSong" w:cs="FangSong"/>
          <w:sz w:val="25"/>
          <w:szCs w:val="25"/>
          <w:spacing w:val="1"/>
        </w:rPr>
        <w:t>年初社会保障和就业支出预算17.47元，决算社会保障和就业支出12.47万元，</w:t>
      </w:r>
      <w:r>
        <w:rPr>
          <w:rFonts w:ascii="FangSong" w:hAnsi="FangSong" w:eastAsia="FangSong" w:cs="FangSong"/>
          <w:sz w:val="25"/>
          <w:szCs w:val="25"/>
          <w:spacing w:val="1"/>
        </w:rPr>
        <w:t>占比5.58%；实际减少5万元，原因是年初有一位职工辞职。与上年度9.77万元相比</w:t>
      </w:r>
      <w:r>
        <w:rPr>
          <w:rFonts w:ascii="FangSong" w:hAnsi="FangSong" w:eastAsia="FangSong" w:cs="FangSong"/>
          <w:sz w:val="25"/>
          <w:szCs w:val="25"/>
          <w:spacing w:val="-2"/>
        </w:rPr>
        <w:t>增加2.7万元，</w:t>
      </w:r>
      <w:r>
        <w:rPr>
          <w:rFonts w:ascii="FangSong" w:hAnsi="FangSong" w:eastAsia="FangSong" w:cs="FangSong"/>
          <w:sz w:val="25"/>
          <w:szCs w:val="25"/>
          <w:spacing w:val="77"/>
        </w:rPr>
        <w:t xml:space="preserve"> </w:t>
      </w:r>
      <w:r>
        <w:rPr>
          <w:rFonts w:ascii="FangSong" w:hAnsi="FangSong" w:eastAsia="FangSong" w:cs="FangSong"/>
          <w:sz w:val="25"/>
          <w:szCs w:val="25"/>
          <w:spacing w:val="-2"/>
        </w:rPr>
        <w:t>占比变化27.64%，原因是工资增加</w:t>
      </w:r>
    </w:p>
    <w:p>
      <w:pPr>
        <w:ind w:left="1311"/>
        <w:spacing w:line="223" w:lineRule="auto"/>
        <w:rPr>
          <w:rFonts w:ascii="FangSong" w:hAnsi="FangSong" w:eastAsia="FangSong" w:cs="FangSong"/>
          <w:sz w:val="25"/>
          <w:szCs w:val="25"/>
        </w:rPr>
      </w:pPr>
      <w:r>
        <w:rPr>
          <w:rFonts w:ascii="FangSong" w:hAnsi="FangSong" w:eastAsia="FangSong" w:cs="FangSong"/>
          <w:sz w:val="25"/>
          <w:szCs w:val="25"/>
        </w:rPr>
        <w:t>年初卫生健康支出预算186.36万元元，决</w:t>
      </w:r>
      <w:r>
        <w:rPr>
          <w:rFonts w:ascii="FangSong" w:hAnsi="FangSong" w:eastAsia="FangSong" w:cs="FangSong"/>
          <w:sz w:val="25"/>
          <w:szCs w:val="25"/>
          <w:spacing w:val="-1"/>
        </w:rPr>
        <w:t>算卫生健康支出199.66万元，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w:t>
      </w:r>
    </w:p>
    <w:p>
      <w:pPr>
        <w:ind w:left="1311" w:right="1411" w:hanging="11"/>
        <w:spacing w:before="130" w:line="319" w:lineRule="auto"/>
        <w:rPr>
          <w:rFonts w:ascii="FangSong" w:hAnsi="FangSong" w:eastAsia="FangSong" w:cs="FangSong"/>
          <w:sz w:val="25"/>
          <w:szCs w:val="25"/>
        </w:rPr>
      </w:pPr>
      <w:r>
        <w:rPr>
          <w:rFonts w:ascii="FangSong" w:hAnsi="FangSong" w:eastAsia="FangSong" w:cs="FangSong"/>
          <w:sz w:val="25"/>
          <w:szCs w:val="25"/>
          <w:spacing w:val="2"/>
        </w:rPr>
        <w:t>89.31%；实际支出增加13.3万元，</w:t>
      </w:r>
      <w:r>
        <w:rPr>
          <w:rFonts w:ascii="FangSong" w:hAnsi="FangSong" w:eastAsia="FangSong" w:cs="FangSong"/>
          <w:sz w:val="25"/>
          <w:szCs w:val="25"/>
          <w:spacing w:val="1"/>
        </w:rPr>
        <w:t>原因是公卫资金增加，补缴退休人员职业年金</w:t>
      </w:r>
      <w:r>
        <w:rPr>
          <w:rFonts w:ascii="FangSong" w:hAnsi="FangSong" w:eastAsia="FangSong" w:cs="FangSong"/>
          <w:sz w:val="25"/>
          <w:szCs w:val="25"/>
          <w:spacing w:val="1"/>
        </w:rPr>
        <w:t xml:space="preserve"> </w:t>
      </w:r>
      <w:r>
        <w:rPr>
          <w:rFonts w:ascii="FangSong" w:hAnsi="FangSong" w:eastAsia="FangSong" w:cs="FangSong"/>
          <w:sz w:val="25"/>
          <w:szCs w:val="25"/>
          <w:spacing w:val="1"/>
        </w:rPr>
        <w:t>纪</w:t>
      </w:r>
      <w:r>
        <w:rPr>
          <w:rFonts w:ascii="FangSong" w:hAnsi="FangSong" w:eastAsia="FangSong" w:cs="FangSong"/>
          <w:sz w:val="25"/>
          <w:szCs w:val="25"/>
        </w:rPr>
        <w:t>实，补缴新增人员养老金。与上年度130.46万</w:t>
      </w:r>
      <w:r>
        <w:rPr>
          <w:rFonts w:ascii="FangSong" w:hAnsi="FangSong" w:eastAsia="FangSong" w:cs="FangSong"/>
          <w:sz w:val="25"/>
          <w:szCs w:val="25"/>
          <w:spacing w:val="-1"/>
        </w:rPr>
        <w:t>元相比增加69.2万元，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占比变化</w:t>
      </w:r>
    </w:p>
    <w:p>
      <w:pPr>
        <w:ind w:left="1304"/>
        <w:spacing w:line="224" w:lineRule="auto"/>
        <w:rPr>
          <w:rFonts w:ascii="FangSong" w:hAnsi="FangSong" w:eastAsia="FangSong" w:cs="FangSong"/>
          <w:sz w:val="25"/>
          <w:szCs w:val="25"/>
        </w:rPr>
      </w:pPr>
      <w:r>
        <w:rPr>
          <w:rFonts w:ascii="FangSong" w:hAnsi="FangSong" w:eastAsia="FangSong" w:cs="FangSong"/>
          <w:sz w:val="25"/>
          <w:szCs w:val="25"/>
        </w:rPr>
        <w:t>53.04%，原因是公卫费用增加</w:t>
      </w:r>
    </w:p>
    <w:p>
      <w:pPr>
        <w:ind w:left="1316" w:right="1411" w:hanging="5"/>
        <w:spacing w:before="129" w:line="319" w:lineRule="auto"/>
        <w:rPr>
          <w:rFonts w:ascii="FangSong" w:hAnsi="FangSong" w:eastAsia="FangSong" w:cs="FangSong"/>
          <w:sz w:val="25"/>
          <w:szCs w:val="25"/>
        </w:rPr>
      </w:pPr>
      <w:r>
        <w:rPr>
          <w:rFonts w:ascii="FangSong" w:hAnsi="FangSong" w:eastAsia="FangSong" w:cs="FangSong"/>
          <w:sz w:val="25"/>
          <w:szCs w:val="25"/>
        </w:rPr>
        <w:t>年初住房保障支出预算12.81万元元，决算住房保障支出11.42万</w:t>
      </w:r>
      <w:r>
        <w:rPr>
          <w:rFonts w:ascii="FangSong" w:hAnsi="FangSong" w:eastAsia="FangSong" w:cs="FangSong"/>
          <w:sz w:val="25"/>
          <w:szCs w:val="25"/>
          <w:spacing w:val="-1"/>
        </w:rPr>
        <w:t>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占比5.11%；实</w:t>
      </w:r>
      <w:r>
        <w:rPr>
          <w:rFonts w:ascii="FangSong" w:hAnsi="FangSong" w:eastAsia="FangSong" w:cs="FangSong"/>
          <w:sz w:val="25"/>
          <w:szCs w:val="25"/>
          <w:spacing w:val="1"/>
        </w:rPr>
        <w:t>际支出减少1.39万元，原因是年初有一位职工辞职。与上年度10.35万元相比</w:t>
      </w:r>
      <w:r>
        <w:rPr>
          <w:rFonts w:ascii="FangSong" w:hAnsi="FangSong" w:eastAsia="FangSong" w:cs="FangSong"/>
          <w:sz w:val="25"/>
          <w:szCs w:val="25"/>
          <w:spacing w:val="1"/>
        </w:rPr>
        <w:t xml:space="preserve"> </w:t>
      </w:r>
      <w:r>
        <w:rPr>
          <w:rFonts w:ascii="FangSong" w:hAnsi="FangSong" w:eastAsia="FangSong" w:cs="FangSong"/>
          <w:sz w:val="25"/>
          <w:szCs w:val="25"/>
          <w:spacing w:val="1"/>
        </w:rPr>
        <w:t>增加</w:t>
      </w:r>
      <w:r>
        <w:rPr>
          <w:rFonts w:ascii="FangSong" w:hAnsi="FangSong" w:eastAsia="FangSong" w:cs="FangSong"/>
          <w:sz w:val="25"/>
          <w:szCs w:val="25"/>
          <w:spacing w:val="1"/>
        </w:rPr>
        <w:t xml:space="preserve"> </w:t>
      </w:r>
      <w:r>
        <w:rPr>
          <w:rFonts w:ascii="FangSong" w:hAnsi="FangSong" w:eastAsia="FangSong" w:cs="FangSong"/>
          <w:sz w:val="25"/>
          <w:szCs w:val="25"/>
          <w:spacing w:val="-1"/>
        </w:rPr>
        <w:t>1.07万元，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占比变化10.34%，原</w:t>
      </w:r>
      <w:r>
        <w:rPr>
          <w:rFonts w:ascii="FangSong" w:hAnsi="FangSong" w:eastAsia="FangSong" w:cs="FangSong"/>
          <w:sz w:val="25"/>
          <w:szCs w:val="25"/>
          <w:spacing w:val="-2"/>
        </w:rPr>
        <w:t>因是住房公积金基数增加</w:t>
      </w:r>
    </w:p>
    <w:p>
      <w:pPr>
        <w:ind w:left="1805"/>
        <w:spacing w:line="222" w:lineRule="auto"/>
        <w:outlineLvl w:val="1"/>
        <w:rPr>
          <w:rFonts w:ascii="SimHei" w:hAnsi="SimHei" w:eastAsia="SimHei" w:cs="SimHei"/>
          <w:sz w:val="25"/>
          <w:szCs w:val="25"/>
        </w:rPr>
      </w:pPr>
      <w:bookmarkStart w:name="bookmark22" w:id="34"/>
      <w:bookmarkEnd w:id="34"/>
      <w:r>
        <w:rPr>
          <w:rFonts w:ascii="SimHei" w:hAnsi="SimHei" w:eastAsia="SimHei" w:cs="SimHei"/>
          <w:sz w:val="25"/>
          <w:szCs w:val="25"/>
          <w:spacing w:val="1"/>
        </w:rPr>
        <w:t>六、一般公共预算财政拨款基本支出决算情况说明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2023年度财政拨款基本支出147.96万元，其中：</w:t>
      </w:r>
    </w:p>
    <w:p>
      <w:pPr>
        <w:ind w:left="1308" w:right="4310" w:firstLine="506"/>
        <w:spacing w:before="129" w:line="319" w:lineRule="auto"/>
        <w:rPr>
          <w:rFonts w:ascii="FangSong" w:hAnsi="FangSong" w:eastAsia="FangSong" w:cs="FangSong"/>
          <w:sz w:val="25"/>
          <w:szCs w:val="25"/>
        </w:rPr>
      </w:pPr>
      <w:r>
        <w:rPr>
          <w:rFonts w:ascii="FangSong" w:hAnsi="FangSong" w:eastAsia="FangSong" w:cs="FangSong"/>
          <w:sz w:val="25"/>
          <w:szCs w:val="25"/>
          <w:spacing w:val="1"/>
        </w:rPr>
        <w:t>人员经费139.50万元，主要包括基本工资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4</w:t>
      </w:r>
      <w:r>
        <w:rPr>
          <w:rFonts w:ascii="FangSong" w:hAnsi="FangSong" w:eastAsia="FangSong" w:cs="FangSong"/>
          <w:sz w:val="25"/>
          <w:szCs w:val="25"/>
        </w:rPr>
        <w:t>6.45万元</w:t>
      </w:r>
      <w:r>
        <w:rPr>
          <w:rFonts w:ascii="FangSong" w:hAnsi="FangSong" w:eastAsia="FangSong" w:cs="FangSong"/>
          <w:sz w:val="25"/>
          <w:szCs w:val="25"/>
          <w:spacing w:val="-3"/>
        </w:rPr>
        <w:t>津贴补贴</w:t>
      </w:r>
      <w:r>
        <w:rPr>
          <w:rFonts w:ascii="FangSong" w:hAnsi="FangSong" w:eastAsia="FangSong" w:cs="FangSong"/>
          <w:sz w:val="25"/>
          <w:szCs w:val="25"/>
          <w:spacing w:val="30"/>
        </w:rPr>
        <w:t xml:space="preserve"> </w:t>
      </w:r>
      <w:r>
        <w:rPr>
          <w:rFonts w:ascii="FangSong" w:hAnsi="FangSong" w:eastAsia="FangSong" w:cs="FangSong"/>
          <w:sz w:val="25"/>
          <w:szCs w:val="25"/>
          <w:spacing w:val="-3"/>
        </w:rPr>
        <w:t>19.85万元</w:t>
      </w:r>
    </w:p>
    <w:p>
      <w:pPr>
        <w:ind w:left="1306"/>
        <w:spacing w:line="223" w:lineRule="auto"/>
        <w:rPr>
          <w:rFonts w:ascii="FangSong" w:hAnsi="FangSong" w:eastAsia="FangSong" w:cs="FangSong"/>
          <w:sz w:val="25"/>
          <w:szCs w:val="25"/>
        </w:rPr>
      </w:pPr>
      <w:r>
        <w:rPr>
          <w:rFonts w:ascii="FangSong" w:hAnsi="FangSong" w:eastAsia="FangSong" w:cs="FangSong"/>
          <w:sz w:val="25"/>
          <w:szCs w:val="25"/>
          <w:spacing w:val="-2"/>
        </w:rPr>
        <w:t>伙食补助费0</w:t>
      </w:r>
    </w:p>
    <w:p>
      <w:pPr>
        <w:ind w:left="1310"/>
        <w:spacing w:before="130" w:line="225" w:lineRule="auto"/>
        <w:rPr>
          <w:rFonts w:ascii="FangSong" w:hAnsi="FangSong" w:eastAsia="FangSong" w:cs="FangSong"/>
          <w:sz w:val="25"/>
          <w:szCs w:val="25"/>
        </w:rPr>
      </w:pPr>
      <w:r>
        <w:rPr>
          <w:rFonts w:ascii="FangSong" w:hAnsi="FangSong" w:eastAsia="FangSong" w:cs="FangSong"/>
          <w:sz w:val="25"/>
          <w:szCs w:val="25"/>
          <w:spacing w:val="-1"/>
        </w:rPr>
        <w:t>绩效工资31.28万元</w:t>
      </w:r>
    </w:p>
    <w:p>
      <w:pPr>
        <w:ind w:left="1306" w:right="5822"/>
        <w:spacing w:before="128" w:line="319" w:lineRule="auto"/>
        <w:rPr>
          <w:rFonts w:ascii="FangSong" w:hAnsi="FangSong" w:eastAsia="FangSong" w:cs="FangSong"/>
          <w:sz w:val="25"/>
          <w:szCs w:val="25"/>
        </w:rPr>
      </w:pPr>
      <w:r>
        <w:rPr>
          <w:rFonts w:ascii="FangSong" w:hAnsi="FangSong" w:eastAsia="FangSong" w:cs="FangSong"/>
          <w:sz w:val="25"/>
          <w:szCs w:val="25"/>
          <w:spacing w:val="1"/>
        </w:rPr>
        <w:t>机关事业单位基本养老保险缴费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12.4</w:t>
      </w:r>
      <w:r>
        <w:rPr>
          <w:rFonts w:ascii="FangSong" w:hAnsi="FangSong" w:eastAsia="FangSong" w:cs="FangSong"/>
          <w:sz w:val="25"/>
          <w:szCs w:val="25"/>
        </w:rPr>
        <w:t>7万元</w:t>
      </w:r>
      <w:r>
        <w:rPr>
          <w:rFonts w:ascii="FangSong" w:hAnsi="FangSong" w:eastAsia="FangSong" w:cs="FangSong"/>
          <w:sz w:val="25"/>
          <w:szCs w:val="25"/>
          <w:spacing w:val="-1"/>
        </w:rPr>
        <w:t>职业年金缴费0</w:t>
      </w:r>
    </w:p>
    <w:p>
      <w:pPr>
        <w:ind w:left="1311" w:right="7082" w:hanging="5"/>
        <w:spacing w:line="319" w:lineRule="auto"/>
        <w:rPr>
          <w:rFonts w:ascii="FangSong" w:hAnsi="FangSong" w:eastAsia="FangSong" w:cs="FangSong"/>
          <w:sz w:val="25"/>
          <w:szCs w:val="25"/>
        </w:rPr>
      </w:pPr>
      <w:r>
        <w:rPr>
          <w:rFonts w:ascii="FangSong" w:hAnsi="FangSong" w:eastAsia="FangSong" w:cs="FangSong"/>
          <w:sz w:val="25"/>
          <w:szCs w:val="25"/>
        </w:rPr>
        <w:t>职工基本医疗保险缴费5.06万元</w:t>
      </w:r>
      <w:r>
        <w:rPr>
          <w:rFonts w:ascii="FangSong" w:hAnsi="FangSong" w:eastAsia="FangSong" w:cs="FangSong"/>
          <w:sz w:val="25"/>
          <w:szCs w:val="25"/>
          <w:spacing w:val="-1"/>
        </w:rPr>
        <w:t>公务员医疗补助缴费0</w:t>
      </w:r>
    </w:p>
    <w:p>
      <w:pPr>
        <w:ind w:left="1306" w:right="7460" w:firstLine="2"/>
        <w:spacing w:before="1" w:line="319" w:lineRule="auto"/>
        <w:rPr>
          <w:rFonts w:ascii="FangSong" w:hAnsi="FangSong" w:eastAsia="FangSong" w:cs="FangSong"/>
          <w:sz w:val="25"/>
          <w:szCs w:val="25"/>
        </w:rPr>
      </w:pP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0.26万元</w:t>
      </w:r>
      <w:r>
        <w:rPr>
          <w:rFonts w:ascii="FangSong" w:hAnsi="FangSong" w:eastAsia="FangSong" w:cs="FangSong"/>
          <w:sz w:val="25"/>
          <w:szCs w:val="25"/>
          <w:spacing w:val="-3"/>
        </w:rPr>
        <w:t>住房公积金</w:t>
      </w:r>
      <w:r>
        <w:rPr>
          <w:rFonts w:ascii="FangSong" w:hAnsi="FangSong" w:eastAsia="FangSong" w:cs="FangSong"/>
          <w:sz w:val="25"/>
          <w:szCs w:val="25"/>
          <w:spacing w:val="37"/>
        </w:rPr>
        <w:t xml:space="preserve"> </w:t>
      </w:r>
      <w:r>
        <w:rPr>
          <w:rFonts w:ascii="FangSong" w:hAnsi="FangSong" w:eastAsia="FangSong" w:cs="FangSong"/>
          <w:sz w:val="25"/>
          <w:szCs w:val="25"/>
          <w:spacing w:val="-3"/>
        </w:rPr>
        <w:t>11.42万元</w:t>
      </w:r>
    </w:p>
    <w:p>
      <w:pPr>
        <w:ind w:left="1328"/>
        <w:spacing w:before="1" w:line="223" w:lineRule="auto"/>
        <w:rPr>
          <w:rFonts w:ascii="FangSong" w:hAnsi="FangSong" w:eastAsia="FangSong" w:cs="FangSong"/>
          <w:sz w:val="25"/>
          <w:szCs w:val="25"/>
        </w:rPr>
      </w:pPr>
      <w:r>
        <w:rPr>
          <w:rFonts w:ascii="FangSong" w:hAnsi="FangSong" w:eastAsia="FangSong" w:cs="FangSong"/>
          <w:sz w:val="25"/>
          <w:szCs w:val="25"/>
          <w:spacing w:val="-9"/>
        </w:rPr>
        <w:t>医疗费0</w:t>
      </w:r>
    </w:p>
    <w:p>
      <w:pPr>
        <w:ind w:left="1308"/>
        <w:spacing w:before="129" w:line="223" w:lineRule="auto"/>
        <w:rPr>
          <w:rFonts w:ascii="FangSong" w:hAnsi="FangSong" w:eastAsia="FangSong" w:cs="FangSong"/>
          <w:sz w:val="25"/>
          <w:szCs w:val="25"/>
        </w:rPr>
      </w:pPr>
      <w:r>
        <w:rPr>
          <w:rFonts w:ascii="FangSong" w:hAnsi="FangSong" w:eastAsia="FangSong" w:cs="FangSong"/>
          <w:sz w:val="25"/>
          <w:szCs w:val="25"/>
        </w:rPr>
        <w:t>其他工资福利支出</w:t>
      </w:r>
      <w:r>
        <w:rPr>
          <w:rFonts w:ascii="FangSong" w:hAnsi="FangSong" w:eastAsia="FangSong" w:cs="FangSong"/>
          <w:sz w:val="25"/>
          <w:szCs w:val="25"/>
        </w:rPr>
        <w:t xml:space="preserve"> </w:t>
      </w:r>
      <w:r>
        <w:rPr>
          <w:rFonts w:ascii="FangSong" w:hAnsi="FangSong" w:eastAsia="FangSong" w:cs="FangSong"/>
          <w:sz w:val="25"/>
          <w:szCs w:val="25"/>
        </w:rPr>
        <w:t>0.41万元</w:t>
      </w:r>
    </w:p>
    <w:p>
      <w:pPr>
        <w:ind w:left="1308"/>
        <w:spacing w:before="130" w:line="223" w:lineRule="auto"/>
        <w:rPr>
          <w:rFonts w:ascii="FangSong" w:hAnsi="FangSong" w:eastAsia="FangSong" w:cs="FangSong"/>
          <w:sz w:val="25"/>
          <w:szCs w:val="25"/>
        </w:rPr>
      </w:pPr>
      <w:r>
        <w:rPr>
          <w:rFonts w:ascii="FangSong" w:hAnsi="FangSong" w:eastAsia="FangSong" w:cs="FangSong"/>
          <w:sz w:val="25"/>
          <w:szCs w:val="25"/>
        </w:rPr>
        <w:t>对个人和家庭的补助12.31万元；</w:t>
      </w:r>
    </w:p>
    <w:p>
      <w:pPr>
        <w:ind w:left="1312" w:right="5066" w:firstLine="503"/>
        <w:spacing w:before="130" w:line="319" w:lineRule="auto"/>
        <w:rPr>
          <w:rFonts w:ascii="FangSong" w:hAnsi="FangSong" w:eastAsia="FangSong" w:cs="FangSong"/>
          <w:sz w:val="25"/>
          <w:szCs w:val="25"/>
        </w:rPr>
      </w:pPr>
      <w:r>
        <w:rPr>
          <w:rFonts w:ascii="FangSong" w:hAnsi="FangSong" w:eastAsia="FangSong" w:cs="FangSong"/>
          <w:sz w:val="25"/>
          <w:szCs w:val="25"/>
        </w:rPr>
        <w:t>公用经费8.46万元，主要包括取暖费7.41万元</w:t>
      </w:r>
      <w:r>
        <w:rPr>
          <w:rFonts w:ascii="FangSong" w:hAnsi="FangSong" w:eastAsia="FangSong" w:cs="FangSong"/>
          <w:sz w:val="25"/>
          <w:szCs w:val="25"/>
          <w:spacing w:val="-1"/>
        </w:rPr>
        <w:t>工会经费1.05万元。</w:t>
      </w:r>
    </w:p>
    <w:p>
      <w:pPr>
        <w:ind w:left="1797"/>
        <w:spacing w:before="1" w:line="222" w:lineRule="auto"/>
        <w:outlineLvl w:val="1"/>
        <w:rPr>
          <w:rFonts w:ascii="SimHei" w:hAnsi="SimHei" w:eastAsia="SimHei" w:cs="SimHei"/>
          <w:sz w:val="25"/>
          <w:szCs w:val="25"/>
        </w:rPr>
      </w:pPr>
      <w:bookmarkStart w:name="bookmark23" w:id="35"/>
      <w:bookmarkEnd w:id="35"/>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29" w:line="222" w:lineRule="auto"/>
        <w:outlineLvl w:val="1"/>
        <w:rPr>
          <w:rFonts w:ascii="SimHei" w:hAnsi="SimHei" w:eastAsia="SimHei" w:cs="SimHei"/>
          <w:sz w:val="25"/>
          <w:szCs w:val="25"/>
        </w:rPr>
      </w:pPr>
      <w:bookmarkStart w:name="bookmark24" w:id="36"/>
      <w:bookmarkEnd w:id="36"/>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pict>
          <v:shape id="_x0000_s224" style="position:absolute;margin-left:-13.08pt;margin-top:35.3201pt;mso-position-vertical-relative:text;mso-position-horizontal-relative:text;width:119.4pt;height:18.85pt;z-index:251660288;rotation:330;" fillcolor="#404040" filled="true" stroked="false" type="#_x0000_t136">
            <v:fill opacity="0.400000"/>
            <v:textpath style="font-family:&quot;STSong&quot;;font-size:20;v-text-kern:t;mso-text-shadow:auto" string="仅供内部审核"/>
          </v:shape>
        </w:pict>
      </w:r>
      <w:r>
        <w:pict>
          <v:shape id="_x0000_s226" style="position:absolute;margin-left:391.92pt;margin-top:35.3201pt;mso-position-vertical-relative:text;mso-position-horizontal-relative:text;width:119.4pt;height:18.85pt;z-index:251661312;rotation:330;" fillcolor="#404040" filled="true" stroked="false" type="#_x0000_t136">
            <v:fill opacity="0.400000"/>
            <v:textpath style="font-family:&quot;STSong&quot;;font-size:20;v-text-kern:t;mso-text-shadow:auto" string="仅供内部审核"/>
          </v:shape>
        </w:pict>
      </w: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5" w:id="37"/>
      <w:bookmarkEnd w:id="37"/>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firstLine="1290"/>
        <w:spacing w:before="35" w:line="24" w:lineRule="exact"/>
        <w:rPr/>
      </w:pPr>
      <w:r>
        <w:rPr/>
        <w:drawing>
          <wp:inline distT="0" distB="0" distL="0" distR="0">
            <wp:extent cx="5914769" cy="15246"/>
            <wp:effectExtent l="0" t="0" r="0" b="0"/>
            <wp:docPr id="4" name="IM 4"/>
            <wp:cNvGraphicFramePr/>
            <a:graphic>
              <a:graphicData uri="http://schemas.openxmlformats.org/drawingml/2006/picture">
                <pic:pic>
                  <pic:nvPicPr>
                    <pic:cNvPr id="4" name="IM 4"/>
                    <pic:cNvPicPr/>
                  </pic:nvPicPr>
                  <pic:blipFill>
                    <a:blip r:embed="rId30"/>
                    <a:stretch>
                      <a:fillRect/>
                    </a:stretch>
                  </pic:blipFill>
                  <pic:spPr>
                    <a:xfrm rot="0">
                      <a:off x="0" y="0"/>
                      <a:ext cx="5914769" cy="15246"/>
                    </a:xfrm>
                    <a:prstGeom prst="rect">
                      <a:avLst/>
                    </a:prstGeom>
                  </pic:spPr>
                </pic:pic>
              </a:graphicData>
            </a:graphic>
          </wp:inline>
        </w:drawing>
      </w:r>
    </w:p>
    <w:p>
      <w:pPr>
        <w:spacing w:line="24" w:lineRule="exact"/>
        <w:sectPr>
          <w:headerReference w:type="default" r:id="rId28"/>
          <w:footerReference w:type="default" r:id="rId29"/>
          <w:pgSz w:w="11900" w:h="16840"/>
          <w:pgMar w:top="642" w:right="0" w:bottom="340" w:left="0" w:header="326" w:footer="93" w:gutter="0"/>
        </w:sectPr>
        <w:rPr/>
      </w:pPr>
    </w:p>
    <w:p>
      <w:pPr>
        <w:ind w:left="1311" w:right="1525" w:firstLine="494"/>
        <w:spacing w:before="104" w:line="319" w:lineRule="auto"/>
        <w:rPr>
          <w:rFonts w:ascii="FangSong" w:hAnsi="FangSong" w:eastAsia="FangSong" w:cs="FangSong"/>
          <w:sz w:val="25"/>
          <w:szCs w:val="25"/>
        </w:rPr>
      </w:pPr>
      <w:bookmarkStart w:name="bookmark41" w:id="38"/>
      <w:bookmarkEnd w:id="38"/>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307" w:right="1909" w:firstLine="528"/>
        <w:spacing w:before="1" w:line="320"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r>
        <w:rPr>
          <w:rFonts w:ascii="FangSong" w:hAnsi="FangSong" w:eastAsia="FangSong" w:cs="FangSong"/>
          <w:sz w:val="25"/>
          <w:szCs w:val="25"/>
          <w:spacing w:val="-2"/>
        </w:rPr>
        <w:t>是：无支出</w:t>
      </w:r>
    </w:p>
    <w:p>
      <w:pPr>
        <w:ind w:left="1324"/>
        <w:spacing w:before="117" w:line="174" w:lineRule="exact"/>
        <w:rPr>
          <w:rFonts w:ascii="FangSong" w:hAnsi="FangSong" w:eastAsia="FangSong" w:cs="FangSong"/>
          <w:sz w:val="25"/>
          <w:szCs w:val="25"/>
        </w:rPr>
      </w:pPr>
      <w:r>
        <w:rPr>
          <w:rFonts w:ascii="FangSong" w:hAnsi="FangSong" w:eastAsia="FangSong" w:cs="FangSong"/>
          <w:sz w:val="25"/>
          <w:szCs w:val="25"/>
          <w:position w:val="2"/>
        </w:rPr>
        <w:t>;</w:t>
      </w:r>
    </w:p>
    <w:p>
      <w:pPr>
        <w:ind w:left="1306" w:right="1405" w:firstLine="509"/>
        <w:spacing w:before="136" w:line="319" w:lineRule="auto"/>
        <w:rPr>
          <w:rFonts w:ascii="FangSong" w:hAnsi="FangSong" w:eastAsia="FangSong" w:cs="FangSong"/>
          <w:sz w:val="25"/>
          <w:szCs w:val="25"/>
        </w:rPr>
      </w:pPr>
      <w:r>
        <w:rPr>
          <w:rFonts w:ascii="FangSong" w:hAnsi="FangSong" w:eastAsia="FangSong" w:cs="FangSong"/>
          <w:sz w:val="25"/>
          <w:szCs w:val="25"/>
          <w:spacing w:val="1"/>
        </w:rPr>
        <w:t>公务用车购置费支出0万元，完成全年预算的0%，与上年相同，主要原因是：无</w:t>
      </w:r>
      <w:r>
        <w:rPr>
          <w:rFonts w:ascii="FangSong" w:hAnsi="FangSong" w:eastAsia="FangSong" w:cs="FangSong"/>
          <w:sz w:val="25"/>
          <w:szCs w:val="25"/>
          <w:spacing w:val="-5"/>
        </w:rPr>
        <w:t>支出；</w:t>
      </w:r>
    </w:p>
    <w:p>
      <w:pPr>
        <w:ind w:left="1307" w:right="1657" w:firstLine="508"/>
        <w:spacing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2"/>
        </w:rPr>
        <w:t>是：无支出；</w:t>
      </w:r>
    </w:p>
    <w:p>
      <w:pPr>
        <w:ind w:left="1332" w:right="1657" w:firstLine="483"/>
        <w:spacing w:before="1"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公务接待费支出0万元，完成全年预算的0%，与上年相同，主要原因是：无支</w:t>
      </w:r>
      <w:r>
        <w:rPr>
          <w:rFonts w:ascii="FangSong" w:hAnsi="FangSong" w:eastAsia="FangSong" w:cs="FangSong"/>
          <w:sz w:val="25"/>
          <w:szCs w:val="25"/>
          <w:spacing w:val="-22"/>
        </w:rPr>
        <w:t>出。</w:t>
      </w:r>
    </w:p>
    <w:p>
      <w:pPr>
        <w:ind w:left="1821"/>
        <w:spacing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821"/>
        <w:spacing w:before="130" w:line="225"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w:t>
      </w:r>
      <w:r>
        <w:rPr>
          <w:rFonts w:ascii="FangSong" w:hAnsi="FangSong" w:eastAsia="FangSong" w:cs="FangSong"/>
          <w:sz w:val="25"/>
          <w:szCs w:val="25"/>
          <w:spacing w:val="1"/>
        </w:rPr>
        <w:t>于:无支出。</w:t>
      </w:r>
    </w:p>
    <w:p>
      <w:pPr>
        <w:ind w:left="1332" w:right="1393" w:firstLine="473"/>
        <w:spacing w:before="129" w:line="274"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2、公务用车购置支出0万元，使用财政拨款共购置公务用车0辆，主要用于无支</w:t>
      </w:r>
      <w:r>
        <w:rPr>
          <w:rFonts w:ascii="FangSong" w:hAnsi="FangSong" w:eastAsia="FangSong" w:cs="FangSong"/>
          <w:sz w:val="25"/>
          <w:szCs w:val="25"/>
          <w:spacing w:val="-22"/>
        </w:rPr>
        <w:t>出。</w:t>
      </w:r>
    </w:p>
    <w:p>
      <w:pPr>
        <w:ind w:left="1312" w:right="1393" w:firstLine="495"/>
        <w:spacing w:before="122"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spacing w:val="-1"/>
        </w:rPr>
        <w:t>车，主要用于：无支出。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31" w:right="1633" w:hanging="24"/>
        <w:spacing w:before="130" w:line="271" w:lineRule="auto"/>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待0批次，0人次，其中外事接待费0万元，共接待0批次，0人次，主要是接待无支</w:t>
      </w:r>
      <w:r>
        <w:rPr>
          <w:rFonts w:ascii="FangSong" w:hAnsi="FangSong" w:eastAsia="FangSong" w:cs="FangSong"/>
          <w:sz w:val="25"/>
          <w:szCs w:val="25"/>
          <w:spacing w:val="1"/>
        </w:rPr>
        <w:t>出；国（境）外接待费0万元，共接待国（境）外0批次，0人次，主要是无支出。</w:t>
      </w:r>
    </w:p>
    <w:p>
      <w:pPr>
        <w:ind w:left="1801"/>
        <w:spacing w:before="131"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1"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2"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1"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2"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spacing w:val="-3"/>
        </w:rPr>
        <w:t>额的0%。</w:t>
      </w:r>
    </w:p>
    <w:p>
      <w:pPr>
        <w:ind w:left="1821"/>
        <w:spacing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jc w:val="both"/>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1辆。其中：副部（省）级及以</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2"/>
        </w:rPr>
        <w:t>执勤用车0辆、特种专业技术用车0辆、离退休干部服务用车0辆，其他用车1</w:t>
      </w:r>
      <w:r>
        <w:rPr>
          <w:rFonts w:ascii="FangSong" w:hAnsi="FangSong" w:eastAsia="FangSong" w:cs="FangSong"/>
          <w:sz w:val="25"/>
          <w:szCs w:val="25"/>
          <w:spacing w:val="1"/>
        </w:rPr>
        <w:t>辆，其</w:t>
      </w:r>
      <w:r>
        <w:rPr>
          <w:rFonts w:ascii="FangSong" w:hAnsi="FangSong" w:eastAsia="FangSong" w:cs="FangSong"/>
          <w:sz w:val="25"/>
          <w:szCs w:val="25"/>
          <w:spacing w:val="1"/>
        </w:rPr>
        <w:t>他用车主要是救护车；单价100万元（含）以上设备（不含车辆）0台（套）。</w:t>
      </w:r>
    </w:p>
    <w:p>
      <w:pPr>
        <w:ind w:left="1821"/>
        <w:spacing w:before="2"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1"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811"/>
        <w:spacing w:before="131" w:line="222" w:lineRule="auto"/>
        <w:rPr>
          <w:rFonts w:ascii="FangSong" w:hAnsi="FangSong" w:eastAsia="FangSong" w:cs="FangSong"/>
          <w:sz w:val="25"/>
          <w:szCs w:val="25"/>
        </w:rPr>
      </w:pPr>
      <w:r>
        <w:rPr>
          <w:rFonts w:ascii="FangSong" w:hAnsi="FangSong" w:eastAsia="FangSong" w:cs="FangSong"/>
          <w:sz w:val="25"/>
          <w:szCs w:val="25"/>
          <w:spacing w:val="2"/>
        </w:rPr>
        <w:t>根据预算绩效管理要求，兴县孟家坪乡卫生院部门（单位）按照“谁支</w:t>
      </w:r>
      <w:r>
        <w:rPr>
          <w:rFonts w:ascii="FangSong" w:hAnsi="FangSong" w:eastAsia="FangSong" w:cs="FangSong"/>
          <w:sz w:val="25"/>
          <w:szCs w:val="25"/>
          <w:spacing w:val="1"/>
        </w:rPr>
        <w:t>出、谁</w:t>
      </w:r>
    </w:p>
    <w:p>
      <w:pPr>
        <w:spacing w:line="222" w:lineRule="auto"/>
        <w:sectPr>
          <w:headerReference w:type="default" r:id="rId31"/>
          <w:footerReference w:type="default" r:id="rId32"/>
          <w:pgSz w:w="11900" w:h="16840"/>
          <w:pgMar w:top="642" w:right="0" w:bottom="340" w:left="0" w:header="326" w:footer="93" w:gutter="0"/>
        </w:sectPr>
        <w:rPr>
          <w:rFonts w:ascii="FangSong" w:hAnsi="FangSong" w:eastAsia="FangSong" w:cs="FangSong"/>
          <w:sz w:val="25"/>
          <w:szCs w:val="25"/>
        </w:rPr>
      </w:pPr>
    </w:p>
    <w:p>
      <w:pPr>
        <w:ind w:left="1354"/>
        <w:spacing w:before="164" w:line="223" w:lineRule="auto"/>
        <w:rPr>
          <w:rFonts w:ascii="FangSong" w:hAnsi="FangSong" w:eastAsia="FangSong" w:cs="FangSong"/>
          <w:sz w:val="25"/>
          <w:szCs w:val="25"/>
        </w:rPr>
      </w:pPr>
      <w:r>
        <w:rPr>
          <w:rFonts w:ascii="FangSong" w:hAnsi="FangSong" w:eastAsia="FangSong" w:cs="FangSong"/>
          <w:sz w:val="25"/>
          <w:szCs w:val="25"/>
          <w:spacing w:val="-1"/>
        </w:rPr>
        <w:t>自评</w:t>
      </w:r>
      <w:r>
        <w:rPr>
          <w:rFonts w:ascii="FangSong" w:hAnsi="FangSong" w:eastAsia="FangSong" w:cs="FangSong"/>
          <w:sz w:val="25"/>
          <w:szCs w:val="25"/>
          <w:spacing w:val="43"/>
        </w:rPr>
        <w:t xml:space="preserve"> </w:t>
      </w:r>
      <w:r>
        <w:rPr>
          <w:rFonts w:ascii="FangSong" w:hAnsi="FangSong" w:eastAsia="FangSong" w:cs="FangSong"/>
          <w:sz w:val="25"/>
          <w:szCs w:val="25"/>
          <w:spacing w:val="-1"/>
        </w:rPr>
        <w:t>”的原则，组织对2023年度年初预算安排的所有项目资金全面开展了绩效自</w:t>
      </w:r>
    </w:p>
    <w:p>
      <w:pPr>
        <w:ind w:left="1306" w:right="1411" w:firstLine="1"/>
        <w:spacing w:before="130" w:line="319" w:lineRule="auto"/>
        <w:rPr>
          <w:rFonts w:ascii="FangSong" w:hAnsi="FangSong" w:eastAsia="FangSong" w:cs="FangSong"/>
          <w:sz w:val="25"/>
          <w:szCs w:val="25"/>
        </w:rPr>
      </w:pPr>
      <w:r>
        <w:rPr>
          <w:rFonts w:ascii="FangSong" w:hAnsi="FangSong" w:eastAsia="FangSong" w:cs="FangSong"/>
          <w:sz w:val="25"/>
          <w:szCs w:val="25"/>
        </w:rPr>
        <w:t>评，涵盖一级项目0个，二级项目0个，共涉及资金0元，</w:t>
      </w:r>
      <w:r>
        <w:rPr>
          <w:rFonts w:ascii="FangSong" w:hAnsi="FangSong" w:eastAsia="FangSong" w:cs="FangSong"/>
          <w:sz w:val="25"/>
          <w:szCs w:val="25"/>
          <w:spacing w:val="-64"/>
        </w:rPr>
        <w:t xml:space="preserve"> </w:t>
      </w:r>
      <w:r>
        <w:rPr>
          <w:rFonts w:ascii="FangSong" w:hAnsi="FangSong" w:eastAsia="FangSong" w:cs="FangSong"/>
          <w:sz w:val="25"/>
          <w:szCs w:val="25"/>
        </w:rPr>
        <w:t>占本部门（</w:t>
      </w:r>
      <w:r>
        <w:rPr>
          <w:rFonts w:ascii="FangSong" w:hAnsi="FangSong" w:eastAsia="FangSong" w:cs="FangSong"/>
          <w:sz w:val="25"/>
          <w:szCs w:val="25"/>
          <w:spacing w:val="-1"/>
        </w:rPr>
        <w:t>单位）项目支出</w:t>
      </w:r>
      <w:r>
        <w:rPr>
          <w:rFonts w:ascii="FangSong" w:hAnsi="FangSong" w:eastAsia="FangSong" w:cs="FangSong"/>
          <w:sz w:val="25"/>
          <w:szCs w:val="25"/>
          <w:spacing w:val="1"/>
        </w:rPr>
        <w:t>总额的0%，其中一般公共预算项目支出0元、政府性基金预算项目支出0元、国有资</w:t>
      </w:r>
      <w:r>
        <w:rPr>
          <w:rFonts w:ascii="FangSong" w:hAnsi="FangSong" w:eastAsia="FangSong" w:cs="FangSong"/>
          <w:sz w:val="25"/>
          <w:szCs w:val="25"/>
          <w:spacing w:val="1"/>
        </w:rPr>
        <w:t>金经营预算项目支出0元、社会保险基金预算项目支出0元。</w:t>
      </w:r>
    </w:p>
    <w:p>
      <w:pPr>
        <w:ind w:left="1306" w:right="1537" w:firstLine="1"/>
        <w:spacing w:line="319" w:lineRule="auto"/>
        <w:rPr>
          <w:rFonts w:ascii="FangSong" w:hAnsi="FangSong" w:eastAsia="FangSong" w:cs="FangSong"/>
          <w:sz w:val="25"/>
          <w:szCs w:val="25"/>
        </w:rPr>
      </w:pPr>
      <w:r>
        <w:rPr>
          <w:rFonts w:ascii="FangSong" w:hAnsi="FangSong" w:eastAsia="FangSong" w:cs="FangSong"/>
          <w:sz w:val="25"/>
          <w:szCs w:val="25"/>
          <w:spacing w:val="1"/>
        </w:rPr>
        <w:t>组织开展了2023年度兴县孟家坪乡卫生院部门（单位）整体支出绩效自评，涉及资</w:t>
      </w:r>
      <w:r>
        <w:rPr>
          <w:rFonts w:ascii="FangSong" w:hAnsi="FangSong" w:eastAsia="FangSong" w:cs="FangSong"/>
          <w:sz w:val="25"/>
          <w:szCs w:val="25"/>
          <w:spacing w:val="1"/>
        </w:rPr>
        <w:t>金0元，其中一般公共预算支出0元、政府性基金预算支出0元、国有资金经营预</w:t>
      </w:r>
      <w:r>
        <w:rPr>
          <w:rFonts w:ascii="FangSong" w:hAnsi="FangSong" w:eastAsia="FangSong" w:cs="FangSong"/>
          <w:sz w:val="25"/>
          <w:szCs w:val="25"/>
          <w:spacing w:val="1"/>
        </w:rPr>
        <w:t xml:space="preserve"> </w:t>
      </w:r>
      <w:r>
        <w:rPr>
          <w:rFonts w:ascii="FangSong" w:hAnsi="FangSong" w:eastAsia="FangSong" w:cs="FangSong"/>
          <w:sz w:val="25"/>
          <w:szCs w:val="25"/>
          <w:spacing w:val="1"/>
        </w:rPr>
        <w:t>算</w:t>
      </w:r>
      <w:r>
        <w:rPr>
          <w:rFonts w:ascii="FangSong" w:hAnsi="FangSong" w:eastAsia="FangSong" w:cs="FangSong"/>
          <w:sz w:val="25"/>
          <w:szCs w:val="25"/>
        </w:rPr>
        <w:t>支出0元、社会保险基金预算支出0元。</w:t>
      </w:r>
    </w:p>
    <w:p>
      <w:pPr>
        <w:ind w:left="1307" w:right="1450"/>
        <w:spacing w:line="319" w:lineRule="auto"/>
        <w:rPr>
          <w:rFonts w:ascii="FangSong" w:hAnsi="FangSong" w:eastAsia="FangSong" w:cs="FangSong"/>
          <w:sz w:val="25"/>
          <w:szCs w:val="25"/>
        </w:rPr>
      </w:pPr>
      <w:r>
        <w:rPr>
          <w:rFonts w:ascii="FangSong" w:hAnsi="FangSong" w:eastAsia="FangSong" w:cs="FangSong"/>
          <w:sz w:val="25"/>
          <w:szCs w:val="25"/>
        </w:rPr>
        <w:t>组织对0等0个0级项目开展了部门评价，涉及资金0元，其中一般公共预算支出0元、</w:t>
      </w:r>
      <w:r>
        <w:rPr>
          <w:rFonts w:ascii="FangSong" w:hAnsi="FangSong" w:eastAsia="FangSong" w:cs="FangSong"/>
          <w:sz w:val="25"/>
          <w:szCs w:val="25"/>
        </w:rPr>
        <w:t>政府性基金预算支出0元、国有资金经营预算支出0元、社会保险基金预算支</w:t>
      </w:r>
      <w:r>
        <w:rPr>
          <w:rFonts w:ascii="FangSong" w:hAnsi="FangSong" w:eastAsia="FangSong" w:cs="FangSong"/>
          <w:sz w:val="25"/>
          <w:szCs w:val="25"/>
          <w:spacing w:val="52"/>
        </w:rPr>
        <w:t xml:space="preserve"> </w:t>
      </w:r>
      <w:r>
        <w:rPr>
          <w:rFonts w:ascii="FangSong" w:hAnsi="FangSong" w:eastAsia="FangSong" w:cs="FangSong"/>
          <w:sz w:val="25"/>
          <w:szCs w:val="25"/>
        </w:rPr>
        <w:t>出0</w:t>
      </w:r>
      <w:r>
        <w:rPr>
          <w:rFonts w:ascii="FangSong" w:hAnsi="FangSong" w:eastAsia="FangSong" w:cs="FangSong"/>
          <w:sz w:val="25"/>
          <w:szCs w:val="25"/>
        </w:rPr>
        <w:t xml:space="preserve"> </w:t>
      </w:r>
      <w:r>
        <w:rPr>
          <w:rFonts w:ascii="FangSong" w:hAnsi="FangSong" w:eastAsia="FangSong" w:cs="FangSong"/>
          <w:sz w:val="25"/>
          <w:szCs w:val="25"/>
        </w:rPr>
        <w:t>元。从评价结果来看，无支出。</w:t>
      </w:r>
    </w:p>
    <w:p>
      <w:pPr>
        <w:ind w:left="1306" w:right="1279" w:firstLine="510"/>
        <w:spacing w:line="319" w:lineRule="auto"/>
        <w:rPr>
          <w:rFonts w:ascii="FangSong" w:hAnsi="FangSong" w:eastAsia="FangSong" w:cs="FangSong"/>
          <w:sz w:val="25"/>
          <w:szCs w:val="25"/>
        </w:rPr>
      </w:pPr>
      <w:r>
        <w:rPr>
          <w:rFonts w:ascii="FangSong" w:hAnsi="FangSong" w:eastAsia="FangSong" w:cs="FangSong"/>
          <w:sz w:val="25"/>
          <w:szCs w:val="25"/>
          <w:spacing w:val="1"/>
        </w:rPr>
        <w:t>兴县孟家坪乡卫生院部门（单位）2023年度一级项目绩效自评个数0个，涉及资</w:t>
      </w:r>
      <w:r>
        <w:rPr>
          <w:rFonts w:ascii="FangSong" w:hAnsi="FangSong" w:eastAsia="FangSong" w:cs="FangSong"/>
          <w:sz w:val="25"/>
          <w:szCs w:val="25"/>
          <w:spacing w:val="-2"/>
        </w:rPr>
        <w:t>金0元：0个项目自评等级为“优</w:t>
      </w:r>
      <w:r>
        <w:rPr>
          <w:rFonts w:ascii="FangSong" w:hAnsi="FangSong" w:eastAsia="FangSong" w:cs="FangSong"/>
          <w:sz w:val="25"/>
          <w:szCs w:val="25"/>
          <w:spacing w:val="36"/>
        </w:rPr>
        <w:t xml:space="preserve"> </w:t>
      </w:r>
      <w:r>
        <w:rPr>
          <w:rFonts w:ascii="FangSong" w:hAnsi="FangSong" w:eastAsia="FangSong" w:cs="FangSong"/>
          <w:sz w:val="25"/>
          <w:szCs w:val="25"/>
          <w:spacing w:val="-2"/>
        </w:rPr>
        <w:t>”，0个项目自评等级为“</w:t>
      </w:r>
      <w:r>
        <w:rPr>
          <w:rFonts w:ascii="FangSong" w:hAnsi="FangSong" w:eastAsia="FangSong" w:cs="FangSong"/>
          <w:sz w:val="25"/>
          <w:szCs w:val="25"/>
          <w:spacing w:val="57"/>
        </w:rPr>
        <w:t xml:space="preserve"> </w:t>
      </w:r>
      <w:r>
        <w:rPr>
          <w:rFonts w:ascii="FangSong" w:hAnsi="FangSong" w:eastAsia="FangSong" w:cs="FangSong"/>
          <w:sz w:val="25"/>
          <w:szCs w:val="25"/>
          <w:spacing w:val="-2"/>
        </w:rPr>
        <w:t>良</w:t>
      </w:r>
      <w:r>
        <w:rPr>
          <w:rFonts w:ascii="FangSong" w:hAnsi="FangSong" w:eastAsia="FangSong" w:cs="FangSong"/>
          <w:sz w:val="25"/>
          <w:szCs w:val="25"/>
          <w:spacing w:val="36"/>
        </w:rPr>
        <w:t xml:space="preserve"> </w:t>
      </w:r>
      <w:r>
        <w:rPr>
          <w:rFonts w:ascii="FangSong" w:hAnsi="FangSong" w:eastAsia="FangSong" w:cs="FangSong"/>
          <w:sz w:val="25"/>
          <w:szCs w:val="25"/>
          <w:spacing w:val="-2"/>
        </w:rPr>
        <w:t>”，0个项目自评等</w:t>
      </w:r>
      <w:r>
        <w:rPr>
          <w:rFonts w:ascii="FangSong" w:hAnsi="FangSong" w:eastAsia="FangSong" w:cs="FangSong"/>
          <w:sz w:val="25"/>
          <w:szCs w:val="25"/>
          <w:spacing w:val="-7"/>
        </w:rPr>
        <w:t>级</w:t>
      </w:r>
      <w:r>
        <w:rPr>
          <w:rFonts w:ascii="FangSong" w:hAnsi="FangSong" w:eastAsia="FangSong" w:cs="FangSong"/>
          <w:sz w:val="25"/>
          <w:szCs w:val="25"/>
          <w:spacing w:val="50"/>
        </w:rPr>
        <w:t xml:space="preserve"> </w:t>
      </w:r>
      <w:r>
        <w:rPr>
          <w:rFonts w:ascii="FangSong" w:hAnsi="FangSong" w:eastAsia="FangSong" w:cs="FangSong"/>
          <w:sz w:val="25"/>
          <w:szCs w:val="25"/>
          <w:spacing w:val="-7"/>
        </w:rPr>
        <w:t>为“</w:t>
      </w:r>
      <w:r>
        <w:rPr>
          <w:rFonts w:ascii="FangSong" w:hAnsi="FangSong" w:eastAsia="FangSong" w:cs="FangSong"/>
          <w:sz w:val="25"/>
          <w:szCs w:val="25"/>
          <w:spacing w:val="52"/>
        </w:rPr>
        <w:t xml:space="preserve"> </w:t>
      </w:r>
      <w:r>
        <w:rPr>
          <w:rFonts w:ascii="FangSong" w:hAnsi="FangSong" w:eastAsia="FangSong" w:cs="FangSong"/>
          <w:sz w:val="25"/>
          <w:szCs w:val="25"/>
          <w:spacing w:val="-7"/>
        </w:rPr>
        <w:t>中</w:t>
      </w:r>
      <w:r>
        <w:rPr>
          <w:rFonts w:ascii="FangSong" w:hAnsi="FangSong" w:eastAsia="FangSong" w:cs="FangSong"/>
          <w:sz w:val="25"/>
          <w:szCs w:val="25"/>
          <w:spacing w:val="37"/>
        </w:rPr>
        <w:t xml:space="preserve"> </w:t>
      </w:r>
      <w:r>
        <w:rPr>
          <w:rFonts w:ascii="FangSong" w:hAnsi="FangSong" w:eastAsia="FangSong" w:cs="FangSong"/>
          <w:sz w:val="25"/>
          <w:szCs w:val="25"/>
          <w:spacing w:val="-7"/>
        </w:rPr>
        <w:t>”，0个项目自评等级为“差</w:t>
      </w:r>
      <w:r>
        <w:rPr>
          <w:rFonts w:ascii="FangSong" w:hAnsi="FangSong" w:eastAsia="FangSong" w:cs="FangSong"/>
          <w:sz w:val="25"/>
          <w:szCs w:val="25"/>
          <w:spacing w:val="36"/>
        </w:rPr>
        <w:t xml:space="preserve"> </w:t>
      </w:r>
      <w:r>
        <w:rPr>
          <w:rFonts w:ascii="FangSong" w:hAnsi="FangSong" w:eastAsia="FangSong" w:cs="FangSong"/>
          <w:sz w:val="25"/>
          <w:szCs w:val="25"/>
          <w:spacing w:val="-7"/>
        </w:rPr>
        <w:t>”。对于自评结果为“</w:t>
      </w:r>
      <w:r>
        <w:rPr>
          <w:rFonts w:ascii="FangSong" w:hAnsi="FangSong" w:eastAsia="FangSong" w:cs="FangSong"/>
          <w:sz w:val="25"/>
          <w:szCs w:val="25"/>
          <w:spacing w:val="52"/>
        </w:rPr>
        <w:t xml:space="preserve"> </w:t>
      </w:r>
      <w:r>
        <w:rPr>
          <w:rFonts w:ascii="FangSong" w:hAnsi="FangSong" w:eastAsia="FangSong" w:cs="FangSong"/>
          <w:sz w:val="25"/>
          <w:szCs w:val="25"/>
          <w:spacing w:val="-7"/>
        </w:rPr>
        <w:t>中</w:t>
      </w:r>
      <w:r>
        <w:rPr>
          <w:rFonts w:ascii="FangSong" w:hAnsi="FangSong" w:eastAsia="FangSong" w:cs="FangSong"/>
          <w:sz w:val="25"/>
          <w:szCs w:val="25"/>
          <w:spacing w:val="37"/>
        </w:rPr>
        <w:t xml:space="preserve"> </w:t>
      </w:r>
      <w:r>
        <w:rPr>
          <w:rFonts w:ascii="FangSong" w:hAnsi="FangSong" w:eastAsia="FangSong" w:cs="FangSong"/>
          <w:sz w:val="25"/>
          <w:szCs w:val="25"/>
          <w:spacing w:val="-7"/>
        </w:rPr>
        <w:t>”和“差</w:t>
      </w:r>
      <w:r>
        <w:rPr>
          <w:rFonts w:ascii="FangSong" w:hAnsi="FangSong" w:eastAsia="FangSong" w:cs="FangSong"/>
          <w:sz w:val="25"/>
          <w:szCs w:val="25"/>
          <w:spacing w:val="36"/>
        </w:rPr>
        <w:t xml:space="preserve"> </w:t>
      </w:r>
      <w:r>
        <w:rPr>
          <w:rFonts w:ascii="FangSong" w:hAnsi="FangSong" w:eastAsia="FangSong" w:cs="FangSong"/>
          <w:sz w:val="25"/>
          <w:szCs w:val="25"/>
          <w:spacing w:val="-7"/>
        </w:rPr>
        <w:t>”的</w:t>
      </w:r>
      <w:r>
        <w:rPr>
          <w:rFonts w:ascii="FangSong" w:hAnsi="FangSong" w:eastAsia="FangSong" w:cs="FangSong"/>
          <w:sz w:val="25"/>
          <w:szCs w:val="25"/>
          <w:spacing w:val="1"/>
        </w:rPr>
        <w:t>项目，本</w:t>
      </w:r>
      <w:r>
        <w:rPr>
          <w:rFonts w:ascii="FangSong" w:hAnsi="FangSong" w:eastAsia="FangSong" w:cs="FangSong"/>
          <w:sz w:val="25"/>
          <w:szCs w:val="25"/>
          <w:spacing w:val="1"/>
        </w:rPr>
        <w:t xml:space="preserve"> </w:t>
      </w:r>
      <w:r>
        <w:rPr>
          <w:rFonts w:ascii="FangSong" w:hAnsi="FangSong" w:eastAsia="FangSong" w:cs="FangSong"/>
          <w:sz w:val="25"/>
          <w:szCs w:val="25"/>
          <w:spacing w:val="1"/>
        </w:rPr>
        <w:t>部门（单位）采取的改进管理措施为无支出。涉密项目除外。</w:t>
      </w:r>
    </w:p>
    <w:p>
      <w:pPr>
        <w:ind w:left="1310" w:right="1411" w:firstLine="506"/>
        <w:spacing w:line="319" w:lineRule="auto"/>
        <w:jc w:val="both"/>
        <w:rPr>
          <w:rFonts w:ascii="FangSong" w:hAnsi="FangSong" w:eastAsia="FangSong" w:cs="FangSong"/>
          <w:sz w:val="25"/>
          <w:szCs w:val="25"/>
        </w:rPr>
      </w:pPr>
      <w:r>
        <w:rPr>
          <w:rFonts w:ascii="FangSong" w:hAnsi="FangSong" w:eastAsia="FangSong" w:cs="FangSong"/>
          <w:sz w:val="25"/>
          <w:szCs w:val="25"/>
          <w:spacing w:val="1"/>
        </w:rPr>
        <w:t>兴县孟家坪乡卫生院2023年度部门预算二级项目绩效自评个数0个，涉及资金0</w:t>
      </w:r>
      <w:r>
        <w:rPr>
          <w:rFonts w:ascii="FangSong" w:hAnsi="FangSong" w:eastAsia="FangSong" w:cs="FangSong"/>
          <w:sz w:val="25"/>
          <w:szCs w:val="25"/>
          <w:spacing w:val="-2"/>
        </w:rPr>
        <w:t>元：0个项目自评等级为“优</w:t>
      </w:r>
      <w:r>
        <w:rPr>
          <w:rFonts w:ascii="FangSong" w:hAnsi="FangSong" w:eastAsia="FangSong" w:cs="FangSong"/>
          <w:sz w:val="25"/>
          <w:szCs w:val="25"/>
          <w:spacing w:val="38"/>
        </w:rPr>
        <w:t xml:space="preserve"> </w:t>
      </w:r>
      <w:r>
        <w:rPr>
          <w:rFonts w:ascii="FangSong" w:hAnsi="FangSong" w:eastAsia="FangSong" w:cs="FangSong"/>
          <w:sz w:val="25"/>
          <w:szCs w:val="25"/>
          <w:spacing w:val="-2"/>
        </w:rPr>
        <w:t>’，0个项目自评等级为“</w:t>
      </w:r>
      <w:r>
        <w:rPr>
          <w:rFonts w:ascii="FangSong" w:hAnsi="FangSong" w:eastAsia="FangSong" w:cs="FangSong"/>
          <w:sz w:val="25"/>
          <w:szCs w:val="25"/>
          <w:spacing w:val="57"/>
        </w:rPr>
        <w:t xml:space="preserve"> </w:t>
      </w:r>
      <w:r>
        <w:rPr>
          <w:rFonts w:ascii="FangSong" w:hAnsi="FangSong" w:eastAsia="FangSong" w:cs="FangSong"/>
          <w:sz w:val="25"/>
          <w:szCs w:val="25"/>
          <w:spacing w:val="-2"/>
        </w:rPr>
        <w:t>良</w:t>
      </w:r>
      <w:r>
        <w:rPr>
          <w:rFonts w:ascii="FangSong" w:hAnsi="FangSong" w:eastAsia="FangSong" w:cs="FangSong"/>
          <w:sz w:val="25"/>
          <w:szCs w:val="25"/>
          <w:spacing w:val="36"/>
        </w:rPr>
        <w:t xml:space="preserve"> </w:t>
      </w:r>
      <w:r>
        <w:rPr>
          <w:rFonts w:ascii="FangSong" w:hAnsi="FangSong" w:eastAsia="FangSong" w:cs="FangSong"/>
          <w:sz w:val="25"/>
          <w:szCs w:val="25"/>
          <w:spacing w:val="-2"/>
        </w:rPr>
        <w:t>”</w:t>
      </w:r>
      <w:r>
        <w:rPr>
          <w:rFonts w:ascii="FangSong" w:hAnsi="FangSong" w:eastAsia="FangSong" w:cs="FangSong"/>
          <w:sz w:val="25"/>
          <w:szCs w:val="25"/>
          <w:spacing w:val="-3"/>
        </w:rPr>
        <w:t>，0个项目自评等级</w:t>
      </w:r>
      <w:r>
        <w:rPr>
          <w:rFonts w:ascii="FangSong" w:hAnsi="FangSong" w:eastAsia="FangSong" w:cs="FangSong"/>
          <w:sz w:val="25"/>
          <w:szCs w:val="25"/>
          <w:spacing w:val="-6"/>
        </w:rPr>
        <w:t>为“</w:t>
      </w:r>
      <w:r>
        <w:rPr>
          <w:rFonts w:ascii="FangSong" w:hAnsi="FangSong" w:eastAsia="FangSong" w:cs="FangSong"/>
          <w:sz w:val="25"/>
          <w:szCs w:val="25"/>
          <w:spacing w:val="57"/>
        </w:rPr>
        <w:t xml:space="preserve"> </w:t>
      </w:r>
      <w:r>
        <w:rPr>
          <w:rFonts w:ascii="FangSong" w:hAnsi="FangSong" w:eastAsia="FangSong" w:cs="FangSong"/>
          <w:sz w:val="25"/>
          <w:szCs w:val="25"/>
          <w:spacing w:val="-6"/>
        </w:rPr>
        <w:t>中</w:t>
      </w:r>
      <w:r>
        <w:rPr>
          <w:rFonts w:ascii="FangSong" w:hAnsi="FangSong" w:eastAsia="FangSong" w:cs="FangSong"/>
          <w:sz w:val="25"/>
          <w:szCs w:val="25"/>
          <w:spacing w:val="36"/>
        </w:rPr>
        <w:t xml:space="preserve"> </w:t>
      </w:r>
      <w:r>
        <w:rPr>
          <w:rFonts w:ascii="FangSong" w:hAnsi="FangSong" w:eastAsia="FangSong" w:cs="FangSong"/>
          <w:sz w:val="25"/>
          <w:szCs w:val="25"/>
          <w:spacing w:val="-6"/>
        </w:rPr>
        <w:t>”，0个项目自评等级为“差</w:t>
      </w:r>
      <w:r>
        <w:rPr>
          <w:rFonts w:ascii="FangSong" w:hAnsi="FangSong" w:eastAsia="FangSong" w:cs="FangSong"/>
          <w:sz w:val="25"/>
          <w:szCs w:val="25"/>
          <w:spacing w:val="37"/>
        </w:rPr>
        <w:t xml:space="preserve"> </w:t>
      </w:r>
      <w:r>
        <w:rPr>
          <w:rFonts w:ascii="FangSong" w:hAnsi="FangSong" w:eastAsia="FangSong" w:cs="FangSong"/>
          <w:sz w:val="25"/>
          <w:szCs w:val="25"/>
          <w:spacing w:val="-6"/>
        </w:rPr>
        <w:t>”。对于自评结果为“</w:t>
      </w:r>
      <w:r>
        <w:rPr>
          <w:rFonts w:ascii="FangSong" w:hAnsi="FangSong" w:eastAsia="FangSong" w:cs="FangSong"/>
          <w:sz w:val="25"/>
          <w:szCs w:val="25"/>
          <w:spacing w:val="52"/>
        </w:rPr>
        <w:t xml:space="preserve"> </w:t>
      </w:r>
      <w:r>
        <w:rPr>
          <w:rFonts w:ascii="FangSong" w:hAnsi="FangSong" w:eastAsia="FangSong" w:cs="FangSong"/>
          <w:sz w:val="25"/>
          <w:szCs w:val="25"/>
          <w:spacing w:val="-6"/>
        </w:rPr>
        <w:t>中</w:t>
      </w:r>
      <w:r>
        <w:rPr>
          <w:rFonts w:ascii="FangSong" w:hAnsi="FangSong" w:eastAsia="FangSong" w:cs="FangSong"/>
          <w:sz w:val="25"/>
          <w:szCs w:val="25"/>
          <w:spacing w:val="37"/>
        </w:rPr>
        <w:t xml:space="preserve"> </w:t>
      </w:r>
      <w:r>
        <w:rPr>
          <w:rFonts w:ascii="FangSong" w:hAnsi="FangSong" w:eastAsia="FangSong" w:cs="FangSong"/>
          <w:sz w:val="25"/>
          <w:szCs w:val="25"/>
          <w:spacing w:val="-6"/>
        </w:rPr>
        <w:t>”和“差</w:t>
      </w:r>
      <w:r>
        <w:rPr>
          <w:rFonts w:ascii="FangSong" w:hAnsi="FangSong" w:eastAsia="FangSong" w:cs="FangSong"/>
          <w:sz w:val="25"/>
          <w:szCs w:val="25"/>
          <w:spacing w:val="36"/>
        </w:rPr>
        <w:t xml:space="preserve"> </w:t>
      </w:r>
      <w:r>
        <w:rPr>
          <w:rFonts w:ascii="FangSong" w:hAnsi="FangSong" w:eastAsia="FangSong" w:cs="FangSong"/>
          <w:sz w:val="25"/>
          <w:szCs w:val="25"/>
          <w:spacing w:val="-6"/>
        </w:rPr>
        <w:t>”的项</w:t>
      </w:r>
      <w:r>
        <w:rPr>
          <w:rFonts w:ascii="FangSong" w:hAnsi="FangSong" w:eastAsia="FangSong" w:cs="FangSong"/>
          <w:sz w:val="25"/>
          <w:szCs w:val="25"/>
          <w:spacing w:val="1"/>
        </w:rPr>
        <w:t>目，本单位采取的改进管理措施为无支出。涉密项目除外。具体公开的每个项目绩</w:t>
      </w:r>
      <w:r>
        <w:rPr>
          <w:rFonts w:ascii="FangSong" w:hAnsi="FangSong" w:eastAsia="FangSong" w:cs="FangSong"/>
          <w:sz w:val="25"/>
          <w:szCs w:val="25"/>
        </w:rPr>
        <w:t>效自评结果如下表述：</w:t>
      </w:r>
      <w:r>
        <w:rPr>
          <w:rFonts w:ascii="FangSong" w:hAnsi="FangSong" w:eastAsia="FangSong" w:cs="FangSong"/>
          <w:sz w:val="25"/>
          <w:szCs w:val="25"/>
        </w:rPr>
        <w:t xml:space="preserve"> </w:t>
      </w:r>
      <w:r>
        <w:rPr>
          <w:rFonts w:ascii="FangSong" w:hAnsi="FangSong" w:eastAsia="FangSong" w:cs="FangSong"/>
          <w:sz w:val="25"/>
          <w:szCs w:val="25"/>
        </w:rPr>
        <w:t>无支出。</w:t>
      </w:r>
    </w:p>
    <w:p>
      <w:pPr>
        <w:ind w:left="1306" w:right="1537" w:firstLine="5"/>
        <w:spacing w:before="1" w:line="319" w:lineRule="auto"/>
        <w:rPr>
          <w:rFonts w:ascii="FangSong" w:hAnsi="FangSong" w:eastAsia="FangSong" w:cs="FangSong"/>
          <w:sz w:val="25"/>
          <w:szCs w:val="25"/>
        </w:rPr>
      </w:pPr>
      <w:r>
        <w:rPr>
          <w:rFonts w:ascii="FangSong" w:hAnsi="FangSong" w:eastAsia="FangSong" w:cs="FangSong"/>
          <w:sz w:val="25"/>
          <w:szCs w:val="25"/>
          <w:spacing w:val="1"/>
        </w:rPr>
        <w:t>年度绩效目标完成情况：一是重新组织梳理了单位主要经济业务管理制度及流程。</w:t>
      </w:r>
      <w:r>
        <w:rPr>
          <w:rFonts w:ascii="FangSong" w:hAnsi="FangSong" w:eastAsia="FangSong" w:cs="FangSong"/>
          <w:sz w:val="25"/>
          <w:szCs w:val="25"/>
          <w:spacing w:val="2"/>
        </w:rPr>
        <w:t>针对预算管理建立了相应规章制度。二是通</w:t>
      </w:r>
      <w:r>
        <w:rPr>
          <w:rFonts w:ascii="FangSong" w:hAnsi="FangSong" w:eastAsia="FangSong" w:cs="FangSong"/>
          <w:sz w:val="25"/>
          <w:szCs w:val="25"/>
          <w:spacing w:val="1"/>
        </w:rPr>
        <w:t>过重新梳理的各个业务流程，强化预算</w:t>
      </w:r>
      <w:r>
        <w:rPr>
          <w:rFonts w:ascii="FangSong" w:hAnsi="FangSong" w:eastAsia="FangSong" w:cs="FangSong"/>
          <w:sz w:val="25"/>
          <w:szCs w:val="25"/>
          <w:spacing w:val="-4"/>
        </w:rPr>
        <w:t>执</w:t>
      </w:r>
      <w:r>
        <w:rPr>
          <w:rFonts w:ascii="FangSong" w:hAnsi="FangSong" w:eastAsia="FangSong" w:cs="FangSong"/>
          <w:sz w:val="25"/>
          <w:szCs w:val="25"/>
          <w:spacing w:val="28"/>
        </w:rPr>
        <w:t xml:space="preserve"> </w:t>
      </w:r>
      <w:r>
        <w:rPr>
          <w:rFonts w:ascii="FangSong" w:hAnsi="FangSong" w:eastAsia="FangSong" w:cs="FangSong"/>
          <w:sz w:val="25"/>
          <w:szCs w:val="25"/>
          <w:spacing w:val="-4"/>
        </w:rPr>
        <w:t>行，绩效评价。</w:t>
      </w:r>
    </w:p>
    <w:p>
      <w:pPr>
        <w:ind w:left="1306" w:right="1411" w:firstLine="511"/>
        <w:spacing w:before="4" w:line="318" w:lineRule="auto"/>
        <w:rPr>
          <w:rFonts w:ascii="FangSong" w:hAnsi="FangSong" w:eastAsia="FangSong" w:cs="FangSong"/>
          <w:sz w:val="25"/>
          <w:szCs w:val="25"/>
        </w:rPr>
      </w:pPr>
      <w:r>
        <w:rPr>
          <w:rFonts w:ascii="FangSong" w:hAnsi="FangSong" w:eastAsia="FangSong" w:cs="FangSong"/>
          <w:sz w:val="25"/>
          <w:szCs w:val="25"/>
          <w:spacing w:val="1"/>
        </w:rPr>
        <w:t>发现的主要问题及原因：一是目前本单位各人员对预算管理，绩效评价的理解</w:t>
      </w:r>
      <w:r>
        <w:rPr>
          <w:rFonts w:ascii="FangSong" w:hAnsi="FangSong" w:eastAsia="FangSong" w:cs="FangSong"/>
          <w:sz w:val="25"/>
          <w:szCs w:val="25"/>
          <w:spacing w:val="1"/>
        </w:rPr>
        <w:t>和</w:t>
      </w:r>
      <w:r>
        <w:rPr>
          <w:rFonts w:ascii="FangSong" w:hAnsi="FangSong" w:eastAsia="FangSong" w:cs="FangSong"/>
          <w:sz w:val="25"/>
          <w:szCs w:val="25"/>
          <w:spacing w:val="1"/>
        </w:rPr>
        <w:t xml:space="preserve"> </w:t>
      </w:r>
      <w:r>
        <w:rPr>
          <w:rFonts w:ascii="FangSong" w:hAnsi="FangSong" w:eastAsia="FangSong" w:cs="FangSong"/>
          <w:sz w:val="25"/>
          <w:szCs w:val="25"/>
          <w:spacing w:val="1"/>
        </w:rPr>
        <w:t>知识有待加强。二是目前本单位内部控制领导小组、牵头部门和监督部门的职责</w:t>
      </w:r>
      <w:r>
        <w:rPr>
          <w:rFonts w:ascii="FangSong" w:hAnsi="FangSong" w:eastAsia="FangSong" w:cs="FangSong"/>
          <w:sz w:val="25"/>
          <w:szCs w:val="25"/>
          <w:spacing w:val="1"/>
        </w:rPr>
        <w:t>还不够细致，导致预算内工作的开展有些困难，进度比较慢。</w:t>
      </w:r>
    </w:p>
    <w:p>
      <w:pPr>
        <w:ind w:left="1306" w:right="1405" w:firstLine="389"/>
        <w:spacing w:before="1" w:line="319" w:lineRule="auto"/>
        <w:rPr>
          <w:rFonts w:ascii="FangSong" w:hAnsi="FangSong" w:eastAsia="FangSong" w:cs="FangSong"/>
          <w:sz w:val="25"/>
          <w:szCs w:val="25"/>
        </w:rPr>
      </w:pPr>
      <w:r>
        <w:rPr>
          <w:rFonts w:ascii="FangSong" w:hAnsi="FangSong" w:eastAsia="FangSong" w:cs="FangSong"/>
          <w:sz w:val="25"/>
          <w:szCs w:val="25"/>
          <w:spacing w:val="1"/>
        </w:rPr>
        <w:t>下一步改进措施：一是进一步灌输预算管理的重要性，全员参与的理念及相关知</w:t>
      </w:r>
      <w:r>
        <w:rPr>
          <w:rFonts w:ascii="FangSong" w:hAnsi="FangSong" w:eastAsia="FangSong" w:cs="FangSong"/>
          <w:sz w:val="25"/>
          <w:szCs w:val="25"/>
          <w:spacing w:val="1"/>
        </w:rPr>
        <w:t>识，引起业务科室的重视。二是建议尽快将单位层面、业务层面的预算管理办法。</w:t>
      </w:r>
    </w:p>
    <w:p>
      <w:pPr>
        <w:ind w:left="1309" w:right="7460" w:firstLine="496"/>
        <w:spacing w:before="1" w:line="319"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1"/>
        </w:rPr>
        <w:t>无其他需要说明的事项</w:t>
      </w:r>
    </w:p>
    <w:p>
      <w:pPr>
        <w:spacing w:line="319" w:lineRule="auto"/>
        <w:sectPr>
          <w:headerReference w:type="default" r:id="rId33"/>
          <w:footerReference w:type="default" r:id="rId34"/>
          <w:pgSz w:w="11900" w:h="16840"/>
          <w:pgMar w:top="642" w:right="0" w:bottom="340" w:left="0" w:header="326" w:footer="91" w:gutter="0"/>
        </w:sectPr>
        <w:rPr>
          <w:rFonts w:ascii="FangSong" w:hAnsi="FangSong" w:eastAsia="FangSong" w:cs="FangSong"/>
          <w:sz w:val="25"/>
          <w:szCs w:val="25"/>
        </w:rPr>
      </w:pPr>
    </w:p>
    <w:p>
      <w:pPr>
        <w:spacing w:line="345" w:lineRule="auto"/>
        <w:rPr>
          <w:rFonts w:ascii="Arial"/>
          <w:sz w:val="21"/>
        </w:rPr>
      </w:pPr>
      <w:r/>
    </w:p>
    <w:p>
      <w:pPr>
        <w:spacing w:line="346" w:lineRule="auto"/>
        <w:rPr>
          <w:rFonts w:ascii="Arial"/>
          <w:sz w:val="21"/>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spacing w:line="263" w:lineRule="auto"/>
        <w:rPr>
          <w:rFonts w:ascii="Arial"/>
          <w:sz w:val="21"/>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3"/>
        </w:rPr>
        <w:t>出中的公用经费支出。</w:t>
      </w:r>
    </w:p>
    <w:p>
      <w:pPr>
        <w:ind w:left="1309"/>
        <w:spacing w:before="165" w:line="227" w:lineRule="auto"/>
        <w:rPr>
          <w:rFonts w:ascii="FangSong" w:hAnsi="FangSong" w:eastAsia="FangSong" w:cs="FangSong"/>
          <w:sz w:val="25"/>
          <w:szCs w:val="25"/>
        </w:rPr>
      </w:pPr>
      <w:r>
        <w:rPr>
          <w:rFonts w:ascii="FangSong" w:hAnsi="FangSong" w:eastAsia="FangSong" w:cs="FangSong"/>
          <w:sz w:val="25"/>
          <w:szCs w:val="25"/>
        </w:rPr>
        <w:t>无</w:t>
      </w:r>
    </w:p>
    <w:p>
      <w:pPr>
        <w:ind w:left="5129"/>
        <w:spacing w:before="161"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headerReference w:type="default" r:id="rId35"/>
          <w:footerReference w:type="default" r:id="rId36"/>
          <w:pgSz w:w="11900" w:h="16840"/>
          <w:pgMar w:top="642" w:right="0" w:bottom="340" w:left="0" w:header="326" w:footer="93" w:gutter="0"/>
        </w:sectPr>
        <w:rPr>
          <w:rFonts w:ascii="SimHei" w:hAnsi="SimHei" w:eastAsia="SimHei" w:cs="SimHei"/>
          <w:sz w:val="25"/>
          <w:szCs w:val="25"/>
        </w:rPr>
      </w:pPr>
    </w:p>
    <w:p>
      <w:pPr>
        <w:ind w:firstLine="1170"/>
        <w:spacing w:before="152" w:line="13468" w:lineRule="exact"/>
        <w:rPr/>
      </w:pPr>
      <w:r>
        <w:pict>
          <v:shape id="_x0000_s290" style="position:absolute;margin-left:-13.08pt;margin-top:255.988pt;mso-position-vertical-relative:text;mso-position-horizontal-relative:text;width:119.4pt;height:18.85pt;z-index:251668480;rotation:330;" fillcolor="#404040" filled="true" stroked="false" type="#_x0000_t136">
            <v:fill opacity="0.400000"/>
            <v:textpath style="font-family:&quot;STSong&quot;;font-size:20;v-text-kern:t;mso-text-shadow:auto" string="仅供内部审核"/>
          </v:shape>
        </w:pict>
      </w:r>
      <w:r>
        <w:pict>
          <v:shape id="_x0000_s292" style="position:absolute;margin-left:86.92pt;margin-top:499.988pt;mso-position-vertical-relative:text;mso-position-horizontal-relative:text;width:119.4pt;height:18.85pt;z-index:251669504;rotation:330;" fillcolor="#404040" filled="true" stroked="false" type="#_x0000_t136">
            <v:fill opacity="0.400000"/>
            <v:textpath style="font-family:&quot;STSong&quot;;font-size:20;v-text-kern:t;mso-text-shadow:auto" string="仅供内部审核"/>
          </v:shape>
        </w:pict>
      </w:r>
      <w:r>
        <w:pict>
          <v:shape id="_x0000_s294" style="position:absolute;margin-left:491.92pt;margin-top:499.988pt;mso-position-vertical-relative:text;mso-position-horizontal-relative:text;width:119.4pt;height:18.85pt;z-index:251670528;rotation:330;" fillcolor="#404040" filled="true" stroked="false" type="#_x0000_t136">
            <v:fill opacity="0.400000"/>
            <v:textpath style="font-family:&quot;STSong&quot;;font-size:20;v-text-kern:t;mso-text-shadow:auto" string="仅供内部审核"/>
          </v:shape>
        </w:pict>
      </w:r>
      <w:r>
        <w:pict>
          <v:shape id="_x0000_s296" style="position:absolute;margin-left:491.92pt;margin-top:44.1055pt;mso-position-vertical-relative:page;mso-position-horizontal-relative:page;width:119.4pt;height:18.85pt;z-index:251671552;rotation:330;" o:allowincell="f" fillcolor="#404040" filled="true" stroked="false" type="#_x0000_t136">
            <v:fill opacity="0.400000"/>
            <v:textpath style="font-family:&quot;STSong&quot;;font-size:20;v-text-kern:t;mso-text-shadow:auto" string="仅供内部审核"/>
          </v:shape>
        </w:pict>
      </w:r>
      <w:r>
        <w:pict>
          <v:shape id="_x0000_s298" style="position:absolute;margin-left:391.92pt;margin-top:255.988pt;mso-position-vertical-relative:text;mso-position-horizontal-relative:text;width:119.4pt;height:18.85pt;z-index:251672576;rotation:330;" fillcolor="#404040" filled="true" stroked="false" type="#_x0000_t136">
            <v:fill opacity="0.400000"/>
            <v:textpath style="font-family:&quot;STSong&quot;;font-size:20;v-text-kern:t;mso-text-shadow:auto" string="仅供内部审核"/>
          </v:shape>
        </w:pict>
      </w:r>
      <w:r>
        <w:rPr>
          <w:position w:val="-269"/>
        </w:rPr>
        <w:drawing>
          <wp:inline distT="0" distB="0" distL="0" distR="0">
            <wp:extent cx="6097700" cy="8552024"/>
            <wp:effectExtent l="0" t="0" r="0" b="0"/>
            <wp:docPr id="6" name="IM 6"/>
            <wp:cNvGraphicFramePr/>
            <a:graphic>
              <a:graphicData uri="http://schemas.openxmlformats.org/drawingml/2006/picture">
                <pic:pic>
                  <pic:nvPicPr>
                    <pic:cNvPr id="6" name="IM 6"/>
                    <pic:cNvPicPr/>
                  </pic:nvPicPr>
                  <pic:blipFill>
                    <a:blip r:embed="rId39"/>
                    <a:stretch>
                      <a:fillRect/>
                    </a:stretch>
                  </pic:blipFill>
                  <pic:spPr>
                    <a:xfrm rot="0">
                      <a:off x="0" y="0"/>
                      <a:ext cx="6097700" cy="8552024"/>
                    </a:xfrm>
                    <a:prstGeom prst="rect">
                      <a:avLst/>
                    </a:prstGeom>
                  </pic:spPr>
                </pic:pic>
              </a:graphicData>
            </a:graphic>
          </wp:inline>
        </w:drawing>
      </w:r>
    </w:p>
    <w:p>
      <w:pPr>
        <w:spacing w:line="13468" w:lineRule="exact"/>
        <w:sectPr>
          <w:headerReference w:type="default" r:id="rId37"/>
          <w:footerReference w:type="default" r:id="rId38"/>
          <w:pgSz w:w="11900" w:h="16840"/>
          <w:pgMar w:top="642" w:right="0" w:bottom="340" w:left="0" w:header="326" w:footer="93" w:gutter="0"/>
        </w:sectPr>
        <w:rPr/>
      </w:pPr>
    </w:p>
    <w:p>
      <w:pPr>
        <w:ind w:firstLine="1170"/>
        <w:spacing w:before="152" w:line="13468" w:lineRule="exact"/>
        <w:rPr/>
      </w:pPr>
      <w:r>
        <w:pict>
          <v:shape id="_x0000_s300" style="position:absolute;margin-left:-13.08pt;margin-top:255.988pt;mso-position-vertical-relative:text;mso-position-horizontal-relative:text;width:119.4pt;height:18.85pt;z-index:251673600;rotation:330;" fillcolor="#404040" filled="true" stroked="false" type="#_x0000_t136">
            <v:fill opacity="0.400000"/>
            <v:textpath style="font-family:&quot;STSong&quot;;font-size:20;v-text-kern:t;mso-text-shadow:auto" string="仅供内部审核"/>
          </v:shape>
        </w:pict>
      </w:r>
      <w:r>
        <w:pict>
          <v:shape id="_x0000_s302" style="position:absolute;margin-left:86.92pt;margin-top:499.988pt;mso-position-vertical-relative:text;mso-position-horizontal-relative:text;width:119.4pt;height:18.85pt;z-index:251674624;rotation:330;" fillcolor="#404040" filled="true" stroked="false" type="#_x0000_t136">
            <v:fill opacity="0.400000"/>
            <v:textpath style="font-family:&quot;STSong&quot;;font-size:20;v-text-kern:t;mso-text-shadow:auto" string="仅供内部审核"/>
          </v:shape>
        </w:pict>
      </w:r>
      <w:r>
        <w:pict>
          <v:shape id="_x0000_s304" style="position:absolute;margin-left:491.92pt;margin-top:499.988pt;mso-position-vertical-relative:text;mso-position-horizontal-relative:text;width:119.4pt;height:18.85pt;z-index:251675648;rotation:330;" fillcolor="#404040" filled="true" stroked="false" type="#_x0000_t136">
            <v:fill opacity="0.400000"/>
            <v:textpath style="font-family:&quot;STSong&quot;;font-size:20;v-text-kern:t;mso-text-shadow:auto" string="仅供内部审核"/>
          </v:shape>
        </w:pict>
      </w:r>
      <w:r>
        <w:pict>
          <v:shape id="_x0000_s306" style="position:absolute;margin-left:391.92pt;margin-top:255.988pt;mso-position-vertical-relative:text;mso-position-horizontal-relative:text;width:119.4pt;height:18.85pt;z-index:251676672;rotation:330;" fillcolor="#404040" filled="true" stroked="false" type="#_x0000_t136">
            <v:fill opacity="0.400000"/>
            <v:textpath style="font-family:&quot;STSong&quot;;font-size:20;v-text-kern:t;mso-text-shadow:auto" string="仅供内部审核"/>
          </v:shape>
        </w:pict>
      </w:r>
      <w:r>
        <w:pict>
          <v:shape id="_x0000_s308" style="position:absolute;margin-left:491.92pt;margin-top:44.1055pt;mso-position-vertical-relative:page;mso-position-horizontal-relative:page;width:119.4pt;height:18.85pt;z-index:251677696;rotation:330;" o:allowincell="f" fillcolor="#404040" filled="true" stroked="false" type="#_x0000_t136">
            <v:fill opacity="0.400000"/>
            <v:textpath style="font-family:&quot;STSong&quot;;font-size:20;v-text-kern:t;mso-text-shadow:auto" string="仅供内部审核"/>
          </v:shape>
        </w:pict>
      </w:r>
      <w:r>
        <w:rPr>
          <w:position w:val="-269"/>
        </w:rPr>
        <w:drawing>
          <wp:inline distT="0" distB="0" distL="0" distR="0">
            <wp:extent cx="6097700" cy="8552024"/>
            <wp:effectExtent l="0" t="0" r="0" b="0"/>
            <wp:docPr id="8" name="IM 8"/>
            <wp:cNvGraphicFramePr/>
            <a:graphic>
              <a:graphicData uri="http://schemas.openxmlformats.org/drawingml/2006/picture">
                <pic:pic>
                  <pic:nvPicPr>
                    <pic:cNvPr id="8" name="IM 8"/>
                    <pic:cNvPicPr/>
                  </pic:nvPicPr>
                  <pic:blipFill>
                    <a:blip r:embed="rId41"/>
                    <a:stretch>
                      <a:fillRect/>
                    </a:stretch>
                  </pic:blipFill>
                  <pic:spPr>
                    <a:xfrm rot="0">
                      <a:off x="0" y="0"/>
                      <a:ext cx="6097700" cy="8552024"/>
                    </a:xfrm>
                    <a:prstGeom prst="rect">
                      <a:avLst/>
                    </a:prstGeom>
                  </pic:spPr>
                </pic:pic>
              </a:graphicData>
            </a:graphic>
          </wp:inline>
        </w:drawing>
      </w:r>
    </w:p>
    <w:p>
      <w:pPr>
        <w:spacing w:line="13468" w:lineRule="exact"/>
        <w:sectPr>
          <w:footerReference w:type="default" r:id="rId40"/>
          <w:pgSz w:w="11900" w:h="16840"/>
          <w:pgMar w:top="642" w:right="0" w:bottom="340" w:left="0" w:header="326" w:footer="93" w:gutter="0"/>
        </w:sectPr>
        <w:rPr/>
      </w:pPr>
    </w:p>
    <w:p>
      <w:pPr>
        <w:ind w:firstLine="1170"/>
        <w:spacing w:before="152" w:line="13468" w:lineRule="exact"/>
        <w:rPr/>
      </w:pPr>
      <w:r>
        <w:pict>
          <v:shape id="_x0000_s310" style="position:absolute;margin-left:-13.08pt;margin-top:255.988pt;mso-position-vertical-relative:text;mso-position-horizontal-relative:text;width:119.4pt;height:18.85pt;z-index:251678720;rotation:330;" fillcolor="#404040" filled="true" stroked="false" type="#_x0000_t136">
            <v:fill opacity="0.400000"/>
            <v:textpath style="font-family:&quot;STSong&quot;;font-size:20;v-text-kern:t;mso-text-shadow:auto" string="仅供内部审核"/>
          </v:shape>
        </w:pict>
      </w:r>
      <w:r>
        <w:pict>
          <v:shape id="_x0000_s312" style="position:absolute;margin-left:491.92pt;margin-top:44.1055pt;mso-position-vertical-relative:page;mso-position-horizontal-relative:page;width:119.4pt;height:18.85pt;z-index:251679744;rotation:330;" o:allowincell="f" fillcolor="#404040" filled="true" stroked="false" type="#_x0000_t136">
            <v:fill opacity="0.400000"/>
            <v:textpath style="font-family:&quot;STSong&quot;;font-size:20;v-text-kern:t;mso-text-shadow:auto" string="仅供内部审核"/>
          </v:shape>
        </w:pict>
      </w:r>
      <w:r>
        <w:pict>
          <v:shape id="_x0000_s314" style="position:absolute;margin-left:86.92pt;margin-top:499.988pt;mso-position-vertical-relative:text;mso-position-horizontal-relative:text;width:119.4pt;height:18.85pt;z-index:251680768;rotation:330;" fillcolor="#404040" filled="true" stroked="false" type="#_x0000_t136">
            <v:fill opacity="0.400000"/>
            <v:textpath style="font-family:&quot;STSong&quot;;font-size:20;v-text-kern:t;mso-text-shadow:auto" string="仅供内部审核"/>
          </v:shape>
        </w:pict>
      </w:r>
      <w:r>
        <w:pict>
          <v:shape id="_x0000_s316" style="position:absolute;margin-left:391.92pt;margin-top:255.988pt;mso-position-vertical-relative:text;mso-position-horizontal-relative:text;width:119.4pt;height:18.85pt;z-index:251681792;rotation:330;" fillcolor="#404040" filled="true" stroked="false" type="#_x0000_t136">
            <v:fill opacity="0.400000"/>
            <v:textpath style="font-family:&quot;STSong&quot;;font-size:20;v-text-kern:t;mso-text-shadow:auto" string="仅供内部审核"/>
          </v:shape>
        </w:pict>
      </w:r>
      <w:r>
        <w:pict>
          <v:shape id="_x0000_s318" style="position:absolute;margin-left:491.92pt;margin-top:499.988pt;mso-position-vertical-relative:text;mso-position-horizontal-relative:text;width:119.4pt;height:18.85pt;z-index:251682816;rotation:330;" fillcolor="#404040" filled="true" stroked="false" type="#_x0000_t136">
            <v:fill opacity="0.400000"/>
            <v:textpath style="font-family:&quot;STSong&quot;;font-size:20;v-text-kern:t;mso-text-shadow:auto" string="仅供内部审核"/>
          </v:shape>
        </w:pict>
      </w:r>
      <w:r>
        <w:rPr>
          <w:position w:val="-269"/>
        </w:rPr>
        <w:drawing>
          <wp:inline distT="0" distB="0" distL="0" distR="0">
            <wp:extent cx="6097700" cy="8552024"/>
            <wp:effectExtent l="0" t="0" r="0" b="0"/>
            <wp:docPr id="10" name="IM 10"/>
            <wp:cNvGraphicFramePr/>
            <a:graphic>
              <a:graphicData uri="http://schemas.openxmlformats.org/drawingml/2006/picture">
                <pic:pic>
                  <pic:nvPicPr>
                    <pic:cNvPr id="10" name="IM 10"/>
                    <pic:cNvPicPr/>
                  </pic:nvPicPr>
                  <pic:blipFill>
                    <a:blip r:embed="rId43"/>
                    <a:stretch>
                      <a:fillRect/>
                    </a:stretch>
                  </pic:blipFill>
                  <pic:spPr>
                    <a:xfrm rot="0">
                      <a:off x="0" y="0"/>
                      <a:ext cx="6097700" cy="8552024"/>
                    </a:xfrm>
                    <a:prstGeom prst="rect">
                      <a:avLst/>
                    </a:prstGeom>
                  </pic:spPr>
                </pic:pic>
              </a:graphicData>
            </a:graphic>
          </wp:inline>
        </w:drawing>
      </w:r>
    </w:p>
    <w:sectPr>
      <w:footerReference w:type="default" r:id="rId42"/>
      <w:pgSz w:w="11900" w:h="16840"/>
      <w:pgMar w:top="642" w:right="0" w:bottom="340" w:left="0" w:header="326" w:footer="9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STSong">
    <w:panose1 w:val="02010600040101010101"/>
    <w:charset w:val="86"/>
    <w:family w:val="auto"/>
    <w:pitch w:val="variable"/>
    <w:sig w:usb0="00000287" w:usb1="080F0000" w:usb2="00000000" w:usb3="00000000" w:csb0="0004009F" w:csb1="DFD7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TSong&quot;;font-size:20;v-text-kern:t;mso-text-shadow:auto" string="仅供内部审核"/>
        </v:shape>
      </w:pict>
    </w:r>
    <w:r>
      <w:pict>
        <v:shape id="PowerPlusWaterMarkObject6" style="position:absolute;margin-left:86.92pt;margin-top:44.1055pt;mso-position-vertical-relative:page;mso-position-horizontal-relative:page;width:119.4pt;height:18.85pt;z-index:-251656192;rotation:330;" o:allowincell="f" fillcolor="#404040" filled="true" stroked="false" type="#_x0000_t136">
          <v:fill opacity="0.400000"/>
          <v:textpath style="font-family:&quot;STSong&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TSong&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TSong&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TSong&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TSong&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TSong&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60" style="position:absolute;margin-left:30pt;margin-top:29.5pt;mso-position-vertical-relative:page;mso-position-horizontal-relative:page;width:782pt;height:1pt;z-index:-251573248;" o:allowincell="f" filled="false" strokecolor="#646464" strokeweight="1.00pt" coordsize="15640,20" coordorigin="0,0" path="m0,10l15640,10e">
          <v:stroke joinstyle="miter" miterlimit="10"/>
        </v:shape>
      </w:pict>
    </w:r>
    <w:r>
      <w:pict>
        <v:shape id="PowerPlusWaterMarkObject162" style="position:absolute;margin-left:86.92pt;margin-top:287.106pt;mso-position-vertical-relative:page;mso-position-horizontal-relative:page;width:119.4pt;height:18.85pt;z-index:-251577344;rotation:330;" o:allowincell="f" fillcolor="#404040" filled="true" stroked="false" type="#_x0000_t136">
          <v:fill opacity="0.400000"/>
          <v:textpath style="font-family:&quot;STSong&quot;;font-size:20;v-text-kern:t;mso-text-shadow:auto" string="仅供内部审核"/>
        </v:shape>
      </w:pict>
    </w:r>
    <w:r>
      <w:pict>
        <v:shape id="PowerPlusWaterMarkObject164" style="position:absolute;margin-left:-45.0434pt;margin-top:406.395pt;mso-position-vertical-relative:page;mso-position-horizontal-relative:page;width:609.35pt;height:22.25pt;z-index:-251576320;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66" style="position:absolute;margin-left:280.957pt;margin-top:406.395pt;mso-position-vertical-relative:page;mso-position-horizontal-relative:page;width:609.35pt;height:22.25pt;z-index:-251575296;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68" style="position:absolute;margin-left:638.92pt;margin-top:529.106pt;mso-position-vertical-relative:page;mso-position-horizontal-relative:page;width:119.4pt;height:18.85pt;z-index:-251574272;rotation:330;" o:allowincell="f" fillcolor="#404040" filled="true" stroked="false" type="#_x0000_t136">
          <v:fill opacity="0.400000"/>
          <v:textpath style="font-family:&quot;STSong&quot;;font-size:20;v-text-kern:t;mso-text-shadow:auto" string="仅供内部审核"/>
        </v:shape>
      </w:pict>
    </w:r>
    <w:r>
      <w:pict>
        <v:shape id="PowerPlusWaterMarkObject170" style="position:absolute;margin-left:312.92pt;margin-top:45.1055pt;mso-position-vertical-relative:page;mso-position-horizontal-relative:page;width:119.4pt;height:18.85pt;z-index:-251572224;rotation:330;" o:allowincell="f" fillcolor="#404040" filled="true" stroked="false" type="#_x0000_t136">
          <v:fill opacity="0.400000"/>
          <v:textpath style="font-family:&quot;STSong&quot;;font-size:20;v-text-kern:t;mso-text-shadow:auto" string="仅供内部审核"/>
        </v:shape>
      </w:pict>
    </w:r>
    <w:r>
      <w:pict>
        <v:shape id="PowerPlusWaterMarkObject172" style="position:absolute;margin-left:638.92pt;margin-top:45.1055pt;mso-position-vertical-relative:page;mso-position-horizontal-relative:page;width:119.4pt;height:18.85pt;z-index:-251571200;rotation:330;" o:allowincell="f" fillcolor="#404040" filled="true" stroked="false" type="#_x0000_t136">
          <v:fill opacity="0.400000"/>
          <v:textpath style="font-family:&quot;STSong&quot;;font-size:20;v-text-kern:t;mso-text-shadow:auto" string="仅供内部审核"/>
        </v:shape>
      </w:pict>
    </w:r>
    <w:r>
      <w:pict>
        <v:shape id="PowerPlusWaterMarkObject174" style="position:absolute;margin-left:-13.08pt;margin-top:28.7862pt;mso-position-vertical-relative:text;mso-position-horizontal-relative:text;width:119.4pt;height:18.85pt;z-index:-251570176;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兴县孟家坪乡卫生院2023年单位决算公开报告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76" style="position:absolute;margin-left:-13.08pt;margin-top:28.7862pt;mso-position-vertical-relative:text;mso-position-horizontal-relative:text;width:119.4pt;height:18.85pt;z-index:-251561984;rotation:330;" fillcolor="#404040" filled="true" stroked="false" type="#_x0000_t136">
          <v:fill opacity="0.400000"/>
          <v:textpath style="font-family:&quot;STSong&quot;;font-size:20;v-text-kern:t;mso-text-shadow:auto" string="仅供内部审核"/>
        </v:shape>
      </w:pict>
    </w:r>
    <w:r>
      <w:pict>
        <v:shape id="PowerPlusWaterMarkObject178" style="position:absolute;margin-left:312.92pt;margin-top:45.1055pt;mso-position-vertical-relative:page;mso-position-horizontal-relative:page;width:119.4pt;height:18.85pt;z-index:-251564032;rotation:330;" o:allowincell="f" fillcolor="#404040" filled="true" stroked="false" type="#_x0000_t136">
          <v:fill opacity="0.400000"/>
          <v:textpath style="font-family:&quot;STSong&quot;;font-size:20;v-text-kern:t;mso-text-shadow:auto" string="仅供内部审核"/>
        </v:shape>
      </w:pict>
    </w:r>
    <w:r>
      <w:pict>
        <v:shape id="PowerPlusWaterMarkObject180" style="position:absolute;margin-left:86.92pt;margin-top:287.106pt;mso-position-vertical-relative:page;mso-position-horizontal-relative:page;width:119.4pt;height:18.85pt;z-index:-251567104;rotation:330;" o:allowincell="f" fillcolor="#404040" filled="true" stroked="false" type="#_x0000_t136">
          <v:fill opacity="0.400000"/>
          <v:textpath style="font-family:&quot;STSong&quot;;font-size:20;v-text-kern:t;mso-text-shadow:auto" string="仅供内部审核"/>
        </v:shape>
      </w:pict>
    </w:r>
    <w:r>
      <w:pict>
        <v:shape id="PowerPlusWaterMarkObject182" style="position:absolute;margin-left:638.92pt;margin-top:45.1055pt;mso-position-vertical-relative:page;mso-position-horizontal-relative:page;width:119.4pt;height:18.85pt;z-index:-251563008;rotation:330;" o:allowincell="f" fillcolor="#404040" filled="true" stroked="false" type="#_x0000_t136">
          <v:fill opacity="0.400000"/>
          <v:textpath style="font-family:&quot;STSong&quot;;font-size:20;v-text-kern:t;mso-text-shadow:auto" string="仅供内部审核"/>
        </v:shape>
      </w:pict>
    </w:r>
    <w:r>
      <w:pict>
        <v:shape id="PowerPlusWaterMarkObject184" style="position:absolute;margin-left:-45.0434pt;margin-top:406.395pt;mso-position-vertical-relative:page;mso-position-horizontal-relative:page;width:609.35pt;height:22.25pt;z-index:-251569152;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6" style="position:absolute;margin-left:280.957pt;margin-top:406.395pt;mso-position-vertical-relative:page;mso-position-horizontal-relative:page;width:609.35pt;height:22.25pt;z-index:-251568128;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8" style="position:absolute;margin-left:638.92pt;margin-top:529.106pt;mso-position-vertical-relative:page;mso-position-horizontal-relative:page;width:119.4pt;height:18.85pt;z-index:-251566080;rotation:330;" o:allowincell="f" fillcolor="#404040" filled="true" stroked="false" type="#_x0000_t136">
          <v:fill opacity="0.400000"/>
          <v:textpath style="font-family:&quot;STSong&quot;;font-size:20;v-text-kern:t;mso-text-shadow:auto" string="仅供内部审核"/>
        </v:shape>
      </w:pict>
    </w:r>
    <w:r>
      <w:pict>
        <v:shape id="_x0000_s190" style="position:absolute;margin-left:30pt;margin-top:29.5pt;mso-position-vertical-relative:page;mso-position-horizontal-relative:page;width:782pt;height:1pt;z-index:-251565056;"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兴县孟家坪乡卫生院2023年单位决算公开报告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92" style="position:absolute;margin-left:86.92pt;margin-top:27.7862pt;mso-position-vertical-relative:text;mso-position-horizontal-relative:text;width:119.4pt;height:18.85pt;z-index:-251554816;rotation:330;" fillcolor="#404040" filled="true" stroked="false" type="#_x0000_t136">
          <v:fill opacity="0.400000"/>
          <v:textpath style="font-family:&quot;STSong&quot;;font-size:20;v-text-kern:t;mso-text-shadow:auto" string="仅供内部审核"/>
        </v:shape>
      </w:pict>
    </w:r>
    <w:r>
      <w:pict>
        <v:shape id="PowerPlusWaterMarkObject194" style="position:absolute;margin-left:-13.08pt;margin-top:288.105pt;mso-position-vertical-relative:page;mso-position-horizontal-relative:page;width:119.4pt;height:18.85pt;z-index:-251560960;rotation:330;" o:allowincell="f" fillcolor="#404040" filled="true" stroked="false" type="#_x0000_t136">
          <v:fill opacity="0.400000"/>
          <v:textpath style="font-family:&quot;STSong&quot;;font-size:20;v-text-kern:t;mso-text-shadow:auto" string="仅供内部审核"/>
        </v:shape>
      </w:pict>
    </w:r>
    <w:r>
      <w:pict>
        <v:shape id="PowerPlusWaterMarkObject196" style="position:absolute;margin-left:491.92pt;margin-top:44.1055pt;mso-position-vertical-relative:page;mso-position-horizontal-relative:page;width:119.4pt;height:18.85pt;z-index:-251555840;rotation:330;" o:allowincell="f" fillcolor="#404040" filled="true" stroked="false" type="#_x0000_t136">
          <v:fill opacity="0.400000"/>
          <v:textpath style="font-family:&quot;STSong&quot;;font-size:20;v-text-kern:t;mso-text-shadow:auto" string="仅供内部审核"/>
        </v:shape>
      </w:pict>
    </w:r>
    <w:r>
      <w:pict>
        <v:shape id="PowerPlusWaterMarkObject198" style="position:absolute;margin-left:391.92pt;margin-top:288.105pt;mso-position-vertical-relative:page;mso-position-horizontal-relative:page;width:119.4pt;height:18.85pt;z-index:-251557888;rotation:330;" o:allowincell="f" fillcolor="#404040" filled="true" stroked="false" type="#_x0000_t136">
          <v:fill opacity="0.400000"/>
          <v:textpath style="font-family:&quot;STSong&quot;;font-size:20;v-text-kern:t;mso-text-shadow:auto" string="仅供内部审核"/>
        </v:shape>
      </w:pict>
    </w:r>
    <w:r>
      <w:pict>
        <v:shape id="PowerPlusWaterMarkObject200" style="position:absolute;margin-left:86.92pt;margin-top:532.106pt;mso-position-vertical-relative:page;mso-position-horizontal-relative:page;width:119.4pt;height:18.85pt;z-index:-251559936;rotation:330;" o:allowincell="f" fillcolor="#404040" filled="true" stroked="false" type="#_x0000_t136">
          <v:fill opacity="0.400000"/>
          <v:textpath style="font-family:&quot;STSong&quot;;font-size:20;v-text-kern:t;mso-text-shadow:auto" string="仅供内部审核"/>
        </v:shape>
      </w:pict>
    </w:r>
    <w:r>
      <w:pict>
        <v:shape id="PowerPlusWaterMarkObject202" style="position:absolute;margin-left:491.92pt;margin-top:532.106pt;mso-position-vertical-relative:page;mso-position-horizontal-relative:page;width:119.4pt;height:18.85pt;z-index:-251558912;rotation:330;" o:allowincell="f" fillcolor="#404040" filled="true" stroked="false" type="#_x0000_t136">
          <v:fill opacity="0.400000"/>
          <v:textpath style="font-family:&quot;STSong&quot;;font-size:20;v-text-kern:t;mso-text-shadow:auto" string="仅供内部审核"/>
        </v:shape>
      </w:pict>
    </w:r>
    <w:r>
      <w:pict>
        <v:shape id="_x0000_s204" style="position:absolute;margin-left:30pt;margin-top:29.5pt;mso-position-vertical-relative:page;mso-position-horizontal-relative:page;width:535pt;height:1pt;z-index:-2515568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10" style="position:absolute;margin-left:86.92pt;margin-top:27.7862pt;mso-position-vertical-relative:text;mso-position-horizontal-relative:text;width:119.4pt;height:18.85pt;z-index:-251547648;rotation:330;" fillcolor="#404040" filled="true" stroked="false" type="#_x0000_t136">
          <v:fill opacity="0.400000"/>
          <v:textpath style="font-family:&quot;STSong&quot;;font-size:20;v-text-kern:t;mso-text-shadow:auto" string="仅供内部审核"/>
        </v:shape>
      </w:pict>
    </w:r>
    <w:r>
      <w:pict>
        <v:shape id="PowerPlusWaterMarkObject212" style="position:absolute;margin-left:-13.08pt;margin-top:288.105pt;mso-position-vertical-relative:page;mso-position-horizontal-relative:page;width:119.4pt;height:18.85pt;z-index:-251553792;rotation:330;" o:allowincell="f" fillcolor="#404040" filled="true" stroked="false" type="#_x0000_t136">
          <v:fill opacity="0.400000"/>
          <v:textpath style="font-family:&quot;STSong&quot;;font-size:20;v-text-kern:t;mso-text-shadow:auto" string="仅供内部审核"/>
        </v:shape>
      </w:pict>
    </w:r>
    <w:r>
      <w:pict>
        <v:shape id="PowerPlusWaterMarkObject214" style="position:absolute;margin-left:491.92pt;margin-top:44.1055pt;mso-position-vertical-relative:page;mso-position-horizontal-relative:page;width:119.4pt;height:18.85pt;z-index:-251548672;rotation:330;" o:allowincell="f" fillcolor="#404040" filled="true" stroked="false" type="#_x0000_t136">
          <v:fill opacity="0.400000"/>
          <v:textpath style="font-family:&quot;STSong&quot;;font-size:20;v-text-kern:t;mso-text-shadow:auto" string="仅供内部审核"/>
        </v:shape>
      </w:pict>
    </w:r>
    <w:r>
      <w:pict>
        <v:shape id="PowerPlusWaterMarkObject216" style="position:absolute;margin-left:391.92pt;margin-top:288.105pt;mso-position-vertical-relative:page;mso-position-horizontal-relative:page;width:119.4pt;height:18.85pt;z-index:-251552768;rotation:330;" o:allowincell="f" fillcolor="#404040" filled="true" stroked="false" type="#_x0000_t136">
          <v:fill opacity="0.400000"/>
          <v:textpath style="font-family:&quot;STSong&quot;;font-size:20;v-text-kern:t;mso-text-shadow:auto" string="仅供内部审核"/>
        </v:shape>
      </w:pict>
    </w:r>
    <w:r>
      <w:pict>
        <v:shape id="PowerPlusWaterMarkObject218" style="position:absolute;margin-left:86.92pt;margin-top:532.106pt;mso-position-vertical-relative:page;mso-position-horizontal-relative:page;width:119.4pt;height:18.85pt;z-index:-251551744;rotation:330;" o:allowincell="f" fillcolor="#404040" filled="true" stroked="false" type="#_x0000_t136">
          <v:fill opacity="0.400000"/>
          <v:textpath style="font-family:&quot;STSong&quot;;font-size:20;v-text-kern:t;mso-text-shadow:auto" string="仅供内部审核"/>
        </v:shape>
      </w:pict>
    </w:r>
    <w:r>
      <w:pict>
        <v:shape id="PowerPlusWaterMarkObject220" style="position:absolute;margin-left:491.92pt;margin-top:532.106pt;mso-position-vertical-relative:page;mso-position-horizontal-relative:page;width:119.4pt;height:18.85pt;z-index:-251550720;rotation:330;" o:allowincell="f" fillcolor="#404040" filled="true" stroked="false" type="#_x0000_t136">
          <v:fill opacity="0.400000"/>
          <v:textpath style="font-family:&quot;STSong&quot;;font-size:20;v-text-kern:t;mso-text-shadow:auto" string="仅供内部审核"/>
        </v:shape>
      </w:pict>
    </w:r>
    <w:r>
      <w:pict>
        <v:shape id="_x0000_s222" style="position:absolute;margin-left:30pt;margin-top:29.5pt;mso-position-vertical-relative:page;mso-position-horizontal-relative:page;width:535pt;height:1pt;z-index:-2515496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28" style="position:absolute;margin-left:86.92pt;margin-top:27.7862pt;mso-position-vertical-relative:text;mso-position-horizontal-relative:text;width:119.4pt;height:18.85pt;z-index:-251538432;rotation:330;" fillcolor="#404040" filled="true" stroked="false" type="#_x0000_t136">
          <v:fill opacity="0.400000"/>
          <v:textpath style="font-family:&quot;STSong&quot;;font-size:20;v-text-kern:t;mso-text-shadow:auto" string="仅供内部审核"/>
        </v:shape>
      </w:pict>
    </w:r>
    <w:r>
      <w:pict>
        <v:shape id="PowerPlusWaterMarkObject230" style="position:absolute;margin-left:-13.08pt;margin-top:288.105pt;mso-position-vertical-relative:page;mso-position-horizontal-relative:page;width:119.4pt;height:18.85pt;z-index:-251546624;rotation:330;" o:allowincell="f" fillcolor="#404040" filled="true" stroked="false" type="#_x0000_t136">
          <v:fill opacity="0.400000"/>
          <v:textpath style="font-family:&quot;STSong&quot;;font-size:20;v-text-kern:t;mso-text-shadow:auto" string="仅供内部审核"/>
        </v:shape>
      </w:pict>
    </w:r>
    <w:r>
      <w:pict>
        <v:shape id="PowerPlusWaterMarkObject232" style="position:absolute;margin-left:491.92pt;margin-top:44.1055pt;mso-position-vertical-relative:page;mso-position-horizontal-relative:page;width:119.4pt;height:18.85pt;z-index:-251539456;rotation:330;" o:allowincell="f" fillcolor="#404040" filled="true" stroked="false" type="#_x0000_t136">
          <v:fill opacity="0.400000"/>
          <v:textpath style="font-family:&quot;STSong&quot;;font-size:20;v-text-kern:t;mso-text-shadow:auto" string="仅供内部审核"/>
        </v:shape>
      </w:pict>
    </w:r>
    <w:r>
      <w:pict>
        <v:shape id="PowerPlusWaterMarkObject234" style="position:absolute;margin-left:391.92pt;margin-top:288.105pt;mso-position-vertical-relative:page;mso-position-horizontal-relative:page;width:119.4pt;height:18.85pt;z-index:-251545600;rotation:330;" o:allowincell="f" fillcolor="#404040" filled="true" stroked="false" type="#_x0000_t136">
          <v:fill opacity="0.400000"/>
          <v:textpath style="font-family:&quot;STSong&quot;;font-size:20;v-text-kern:t;mso-text-shadow:auto" string="仅供内部审核"/>
        </v:shape>
      </w:pict>
    </w:r>
    <w:r>
      <w:pict>
        <v:shape id="PowerPlusWaterMarkObject236" style="position:absolute;margin-left:86.92pt;margin-top:532.106pt;mso-position-vertical-relative:page;mso-position-horizontal-relative:page;width:119.4pt;height:18.85pt;z-index:-251544576;rotation:330;" o:allowincell="f" fillcolor="#404040" filled="true" stroked="false" type="#_x0000_t136">
          <v:fill opacity="0.400000"/>
          <v:textpath style="font-family:&quot;STSong&quot;;font-size:20;v-text-kern:t;mso-text-shadow:auto" string="仅供内部审核"/>
        </v:shape>
      </w:pict>
    </w:r>
    <w:r>
      <w:pict>
        <v:shape id="PowerPlusWaterMarkObject238" style="position:absolute;margin-left:-13.08pt;margin-top:776.106pt;mso-position-vertical-relative:page;mso-position-horizontal-relative:page;width:119.4pt;height:18.85pt;z-index:-251542528;rotation:330;" o:allowincell="f" fillcolor="#404040" filled="true" stroked="false" type="#_x0000_t136">
          <v:fill opacity="0.400000"/>
          <v:textpath style="font-family:&quot;STSong&quot;;font-size:20;v-text-kern:t;mso-text-shadow:auto" string="仅供内部审核"/>
        </v:shape>
      </w:pict>
    </w:r>
    <w:r>
      <w:pict>
        <v:shape id="PowerPlusWaterMarkObject240" style="position:absolute;margin-left:491.92pt;margin-top:532.106pt;mso-position-vertical-relative:page;mso-position-horizontal-relative:page;width:119.4pt;height:18.85pt;z-index:-251543552;rotation:330;" o:allowincell="f" fillcolor="#404040" filled="true" stroked="false" type="#_x0000_t136">
          <v:fill opacity="0.400000"/>
          <v:textpath style="font-family:&quot;STSong&quot;;font-size:20;v-text-kern:t;mso-text-shadow:auto" string="仅供内部审核"/>
        </v:shape>
      </w:pict>
    </w:r>
    <w:r>
      <w:pict>
        <v:shape id="PowerPlusWaterMarkObject242" style="position:absolute;margin-left:391.92pt;margin-top:776.106pt;mso-position-vertical-relative:page;mso-position-horizontal-relative:page;width:119.4pt;height:18.85pt;z-index:-251541504;rotation:330;" o:allowincell="f" fillcolor="#404040" filled="true" stroked="false" type="#_x0000_t136">
          <v:fill opacity="0.400000"/>
          <v:textpath style="font-family:&quot;STSong&quot;;font-size:20;v-text-kern:t;mso-text-shadow:auto" string="仅供内部审核"/>
        </v:shape>
      </w:pict>
    </w:r>
    <w:r>
      <w:pict>
        <v:shape id="_x0000_s244" style="position:absolute;margin-left:30pt;margin-top:29.5pt;mso-position-vertical-relative:page;mso-position-horizontal-relative:page;width:535pt;height:1pt;z-index:-2515404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46" style="position:absolute;margin-left:86.92pt;margin-top:27.7862pt;mso-position-vertical-relative:text;mso-position-horizontal-relative:text;width:119.4pt;height:18.85pt;z-index:-251529216;rotation:330;" fillcolor="#404040" filled="true" stroked="false" type="#_x0000_t136">
          <v:fill opacity="0.400000"/>
          <v:textpath style="font-family:&quot;STSong&quot;;font-size:20;v-text-kern:t;mso-text-shadow:auto" string="仅供内部审核"/>
        </v:shape>
      </w:pict>
    </w:r>
    <w:r>
      <w:pict>
        <v:shape id="PowerPlusWaterMarkObject248" style="position:absolute;margin-left:-13.08pt;margin-top:288.105pt;mso-position-vertical-relative:page;mso-position-horizontal-relative:page;width:119.4pt;height:18.85pt;z-index:-251536384;rotation:330;" o:allowincell="f" fillcolor="#404040" filled="true" stroked="false" type="#_x0000_t136">
          <v:fill opacity="0.400000"/>
          <v:textpath style="font-family:&quot;STSong&quot;;font-size:20;v-text-kern:t;mso-text-shadow:auto" string="仅供内部审核"/>
        </v:shape>
      </w:pict>
    </w:r>
    <w:r>
      <w:pict>
        <v:shape id="PowerPlusWaterMarkObject250" style="position:absolute;margin-left:491.92pt;margin-top:44.1055pt;mso-position-vertical-relative:page;mso-position-horizontal-relative:page;width:119.4pt;height:18.85pt;z-index:-251530240;rotation:330;" o:allowincell="f" fillcolor="#404040" filled="true" stroked="false" type="#_x0000_t136">
          <v:fill opacity="0.400000"/>
          <v:textpath style="font-family:&quot;STSong&quot;;font-size:20;v-text-kern:t;mso-text-shadow:auto" string="仅供内部审核"/>
        </v:shape>
      </w:pict>
    </w:r>
    <w:r>
      <w:pict>
        <v:shape id="PowerPlusWaterMarkObject252" style="position:absolute;margin-left:391.92pt;margin-top:288.105pt;mso-position-vertical-relative:page;mso-position-horizontal-relative:page;width:119.4pt;height:18.85pt;z-index:-251537408;rotation:330;" o:allowincell="f" fillcolor="#404040" filled="true" stroked="false" type="#_x0000_t136">
          <v:fill opacity="0.400000"/>
          <v:textpath style="font-family:&quot;STSong&quot;;font-size:20;v-text-kern:t;mso-text-shadow:auto" string="仅供内部审核"/>
        </v:shape>
      </w:pict>
    </w:r>
    <w:r>
      <w:pict>
        <v:shape id="PowerPlusWaterMarkObject254" style="position:absolute;margin-left:86.92pt;margin-top:532.106pt;mso-position-vertical-relative:page;mso-position-horizontal-relative:page;width:119.4pt;height:18.85pt;z-index:-251535360;rotation:330;" o:allowincell="f" fillcolor="#404040" filled="true" stroked="false" type="#_x0000_t136">
          <v:fill opacity="0.400000"/>
          <v:textpath style="font-family:&quot;STSong&quot;;font-size:20;v-text-kern:t;mso-text-shadow:auto" string="仅供内部审核"/>
        </v:shape>
      </w:pict>
    </w:r>
    <w:r>
      <w:pict>
        <v:shape id="PowerPlusWaterMarkObject256" style="position:absolute;margin-left:-13.08pt;margin-top:776.106pt;mso-position-vertical-relative:page;mso-position-horizontal-relative:page;width:119.4pt;height:18.85pt;z-index:-251532288;rotation:330;" o:allowincell="f" fillcolor="#404040" filled="true" stroked="false" type="#_x0000_t136">
          <v:fill opacity="0.400000"/>
          <v:textpath style="font-family:&quot;STSong&quot;;font-size:20;v-text-kern:t;mso-text-shadow:auto" string="仅供内部审核"/>
        </v:shape>
      </w:pict>
    </w:r>
    <w:r>
      <w:pict>
        <v:shape id="PowerPlusWaterMarkObject258" style="position:absolute;margin-left:491.92pt;margin-top:532.106pt;mso-position-vertical-relative:page;mso-position-horizontal-relative:page;width:119.4pt;height:18.85pt;z-index:-251534336;rotation:330;" o:allowincell="f" fillcolor="#404040" filled="true" stroked="false" type="#_x0000_t136">
          <v:fill opacity="0.400000"/>
          <v:textpath style="font-family:&quot;STSong&quot;;font-size:20;v-text-kern:t;mso-text-shadow:auto" string="仅供内部审核"/>
        </v:shape>
      </w:pict>
    </w:r>
    <w:r>
      <w:pict>
        <v:shape id="PowerPlusWaterMarkObject260" style="position:absolute;margin-left:391.92pt;margin-top:776.106pt;mso-position-vertical-relative:page;mso-position-horizontal-relative:page;width:119.4pt;height:18.85pt;z-index:-251533312;rotation:330;" o:allowincell="f" fillcolor="#404040" filled="true" stroked="false" type="#_x0000_t136">
          <v:fill opacity="0.400000"/>
          <v:textpath style="font-family:&quot;STSong&quot;;font-size:20;v-text-kern:t;mso-text-shadow:auto" string="仅供内部审核"/>
        </v:shape>
      </w:pict>
    </w:r>
    <w:r>
      <w:pict>
        <v:shape id="_x0000_s262" style="position:absolute;margin-left:30pt;margin-top:29.5pt;mso-position-vertical-relative:page;mso-position-horizontal-relative:page;width:535pt;height:1pt;z-index:-2515312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64" style="position:absolute;margin-left:86.92pt;margin-top:27.7862pt;mso-position-vertical-relative:text;mso-position-horizontal-relative:text;width:119.4pt;height:18.85pt;z-index:-251520000;rotation:330;" fillcolor="#404040" filled="true" stroked="false" type="#_x0000_t136">
          <v:fill opacity="0.400000"/>
          <v:textpath style="font-family:&quot;STSong&quot;;font-size:20;v-text-kern:t;mso-text-shadow:auto" string="仅供内部审核"/>
        </v:shape>
      </w:pict>
    </w:r>
    <w:r>
      <w:pict>
        <v:shape id="PowerPlusWaterMarkObject266" style="position:absolute;margin-left:-13.08pt;margin-top:288.105pt;mso-position-vertical-relative:page;mso-position-horizontal-relative:page;width:119.4pt;height:18.85pt;z-index:-251528192;rotation:330;" o:allowincell="f" fillcolor="#404040" filled="true" stroked="false" type="#_x0000_t136">
          <v:fill opacity="0.400000"/>
          <v:textpath style="font-family:&quot;STSong&quot;;font-size:20;v-text-kern:t;mso-text-shadow:auto" string="仅供内部审核"/>
        </v:shape>
      </w:pict>
    </w:r>
    <w:r>
      <w:pict>
        <v:shape id="PowerPlusWaterMarkObject268" style="position:absolute;margin-left:491.92pt;margin-top:44.1055pt;mso-position-vertical-relative:page;mso-position-horizontal-relative:page;width:119.4pt;height:18.85pt;z-index:-251521024;rotation:330;" o:allowincell="f" fillcolor="#404040" filled="true" stroked="false" type="#_x0000_t136">
          <v:fill opacity="0.400000"/>
          <v:textpath style="font-family:&quot;STSong&quot;;font-size:20;v-text-kern:t;mso-text-shadow:auto" string="仅供内部审核"/>
        </v:shape>
      </w:pict>
    </w:r>
    <w:r>
      <w:pict>
        <v:shape id="PowerPlusWaterMarkObject270" style="position:absolute;margin-left:391.92pt;margin-top:288.105pt;mso-position-vertical-relative:page;mso-position-horizontal-relative:page;width:119.4pt;height:18.85pt;z-index:-251525120;rotation:330;" o:allowincell="f" fillcolor="#404040" filled="true" stroked="false" type="#_x0000_t136">
          <v:fill opacity="0.400000"/>
          <v:textpath style="font-family:&quot;STSong&quot;;font-size:20;v-text-kern:t;mso-text-shadow:auto" string="仅供内部审核"/>
        </v:shape>
      </w:pict>
    </w:r>
    <w:r>
      <w:pict>
        <v:shape id="PowerPlusWaterMarkObject272" style="position:absolute;margin-left:86.92pt;margin-top:532.106pt;mso-position-vertical-relative:page;mso-position-horizontal-relative:page;width:119.4pt;height:18.85pt;z-index:-251526144;rotation:330;" o:allowincell="f" fillcolor="#404040" filled="true" stroked="false" type="#_x0000_t136">
          <v:fill opacity="0.400000"/>
          <v:textpath style="font-family:&quot;STSong&quot;;font-size:20;v-text-kern:t;mso-text-shadow:auto" string="仅供内部审核"/>
        </v:shape>
      </w:pict>
    </w:r>
    <w:r>
      <w:pict>
        <v:shape id="PowerPlusWaterMarkObject274" style="position:absolute;margin-left:-13.08pt;margin-top:776.106pt;mso-position-vertical-relative:page;mso-position-horizontal-relative:page;width:119.4pt;height:18.85pt;z-index:-251523072;rotation:330;" o:allowincell="f" fillcolor="#404040" filled="true" stroked="false" type="#_x0000_t136">
          <v:fill opacity="0.400000"/>
          <v:textpath style="font-family:&quot;STSong&quot;;font-size:20;v-text-kern:t;mso-text-shadow:auto" string="仅供内部审核"/>
        </v:shape>
      </w:pict>
    </w:r>
    <w:r>
      <w:pict>
        <v:shape id="PowerPlusWaterMarkObject276" style="position:absolute;margin-left:491.92pt;margin-top:532.106pt;mso-position-vertical-relative:page;mso-position-horizontal-relative:page;width:119.4pt;height:18.85pt;z-index:-251527168;rotation:330;" o:allowincell="f" fillcolor="#404040" filled="true" stroked="false" type="#_x0000_t136">
          <v:fill opacity="0.400000"/>
          <v:textpath style="font-family:&quot;STSong&quot;;font-size:20;v-text-kern:t;mso-text-shadow:auto" string="仅供内部审核"/>
        </v:shape>
      </w:pict>
    </w:r>
    <w:r>
      <w:pict>
        <v:shape id="PowerPlusWaterMarkObject278" style="position:absolute;margin-left:391.92pt;margin-top:776.106pt;mso-position-vertical-relative:page;mso-position-horizontal-relative:page;width:119.4pt;height:18.85pt;z-index:-251524096;rotation:330;" o:allowincell="f" fillcolor="#404040" filled="true" stroked="false" type="#_x0000_t136">
          <v:fill opacity="0.400000"/>
          <v:textpath style="font-family:&quot;STSong&quot;;font-size:20;v-text-kern:t;mso-text-shadow:auto" string="仅供内部审核"/>
        </v:shape>
      </w:pict>
    </w:r>
    <w:r>
      <w:pict>
        <v:shape id="_x0000_s280" style="position:absolute;margin-left:30pt;margin-top:29.5pt;mso-position-vertical-relative:page;mso-position-horizontal-relative:page;width:535pt;height:1pt;z-index:-2515220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82" style="position:absolute;margin-left:86.92pt;margin-top:27.7862pt;mso-position-vertical-relative:text;mso-position-horizontal-relative:text;width:119.4pt;height:18.85pt;z-index:-251515904;rotation:330;" fillcolor="#404040" filled="true" stroked="false" type="#_x0000_t136">
          <v:fill opacity="0.400000"/>
          <v:textpath style="font-family:&quot;STSong&quot;;font-size:20;v-text-kern:t;mso-text-shadow:auto" string="仅供内部审核"/>
        </v:shape>
      </w:pict>
    </w:r>
    <w:r>
      <w:pict>
        <v:shape id="PowerPlusWaterMarkObject284" style="position:absolute;margin-left:-13.08pt;margin-top:776.106pt;mso-position-vertical-relative:page;mso-position-horizontal-relative:page;width:119.4pt;height:18.85pt;z-index:-251517952;rotation:330;" o:allowincell="f" fillcolor="#404040" filled="true" stroked="false" type="#_x0000_t136">
          <v:fill opacity="0.400000"/>
          <v:textpath style="font-family:&quot;STSong&quot;;font-size:20;v-text-kern:t;mso-text-shadow:auto" string="仅供内部审核"/>
        </v:shape>
      </w:pict>
    </w:r>
    <w:r>
      <w:pict>
        <v:shape id="PowerPlusWaterMarkObject286" style="position:absolute;margin-left:391.92pt;margin-top:776.106pt;mso-position-vertical-relative:page;mso-position-horizontal-relative:page;width:119.4pt;height:18.85pt;z-index:-251518976;rotation:330;" o:allowincell="f" fillcolor="#404040" filled="true" stroked="false" type="#_x0000_t136">
          <v:fill opacity="0.400000"/>
          <v:textpath style="font-family:&quot;STSong&quot;;font-size:20;v-text-kern:t;mso-text-shadow:auto" string="仅供内部审核"/>
        </v:shape>
      </w:pict>
    </w:r>
    <w:r>
      <w:pict>
        <v:shape id="_x0000_s288" style="position:absolute;margin-left:30pt;margin-top:29.5pt;mso-position-vertical-relative:page;mso-position-horizontal-relative:page;width:535pt;height:1pt;z-index:-25151692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8" style="position:absolute;margin-left:86.92pt;margin-top:532.106pt;mso-position-vertical-relative:page;mso-position-horizontal-relative:page;width:119.4pt;height:18.85pt;z-index:-251650048;rotation:330;" o:allowincell="f" fillcolor="#404040" filled="true" stroked="false" type="#_x0000_t136">
          <v:fill opacity="0.400000"/>
          <v:textpath style="font-family:&quot;STSong&quot;;font-size:20;v-text-kern:t;mso-text-shadow:auto" string="仅供内部审核"/>
        </v:shape>
      </w:pict>
    </w:r>
    <w:r>
      <w:pict>
        <v:shape id="PowerPlusWaterMarkObject20" style="position:absolute;margin-left:-13.08pt;margin-top:776.106pt;mso-position-vertical-relative:page;mso-position-horizontal-relative:page;width:119.4pt;height:18.85pt;z-index:-251649024;rotation:330;" o:allowincell="f" fillcolor="#404040" filled="true" stroked="false" type="#_x0000_t136">
          <v:fill opacity="0.400000"/>
          <v:textpath style="font-family:&quot;STSong&quot;;font-size:20;v-text-kern:t;mso-text-shadow:auto" string="仅供内部审核"/>
        </v:shape>
      </w:pict>
    </w:r>
    <w:r>
      <w:pict>
        <v:shape id="PowerPlusWaterMarkObject22" style="position:absolute;margin-left:491.92pt;margin-top:532.106pt;mso-position-vertical-relative:page;mso-position-horizontal-relative:page;width:119.4pt;height:18.85pt;z-index:-251648000;rotation:330;" o:allowincell="f" fillcolor="#404040" filled="true" stroked="false" type="#_x0000_t136">
          <v:fill opacity="0.400000"/>
          <v:textpath style="font-family:&quot;STSong&quot;;font-size:20;v-text-kern:t;mso-text-shadow:auto" string="仅供内部审核"/>
        </v:shape>
      </w:pict>
    </w:r>
    <w:r>
      <w:pict>
        <v:shape id="PowerPlusWaterMarkObject24" style="position:absolute;margin-left:-13.08pt;margin-top:288.105pt;mso-position-vertical-relative:page;mso-position-horizontal-relative:page;width:119.4pt;height:18.85pt;z-index:-251646976;rotation:330;" o:allowincell="f" fillcolor="#404040" filled="true" stroked="false" type="#_x0000_t136">
          <v:fill opacity="0.400000"/>
          <v:textpath style="font-family:&quot;STSong&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TSong&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TSong&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TSong&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TSong&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34"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TSong&quot;;font-size:20;v-text-kern:t;mso-text-shadow:auto" string="仅供内部审核"/>
        </v:shape>
      </w:pict>
    </w:r>
    <w:r>
      <w:pict>
        <v:shape id="PowerPlusWaterMarkObject38"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TSong&quot;;font-size:20;v-text-kern:t;mso-text-shadow:auto" string="仅供内部审核"/>
        </v:shape>
      </w:pict>
    </w:r>
    <w:r>
      <w:pict>
        <v:shape id="PowerPlusWaterMarkObject40" style="position:absolute;margin-left:-13.08pt;margin-top:776.106pt;mso-position-vertical-relative:page;mso-position-horizontal-relative:page;width:119.4pt;height:18.85pt;z-index:-251639808;rotation:330;" o:allowincell="f" fillcolor="#404040" filled="true" stroked="false" type="#_x0000_t136">
          <v:fill opacity="0.400000"/>
          <v:textpath style="font-family:&quot;STSong&quot;;font-size:20;v-text-kern:t;mso-text-shadow:auto" string="仅供内部审核"/>
        </v:shape>
      </w:pict>
    </w:r>
    <w:r>
      <w:pict>
        <v:shape id="PowerPlusWaterMarkObject42" style="position:absolute;margin-left:391.92pt;margin-top:776.106pt;mso-position-vertical-relative:page;mso-position-horizontal-relative:page;width:119.4pt;height:18.85pt;z-index:-251638784;rotation:330;" o:allowincell="f" fillcolor="#404040" filled="true" stroked="false" type="#_x0000_t136">
          <v:fill opacity="0.400000"/>
          <v:textpath style="font-family:&quot;STSong&quot;;font-size:20;v-text-kern:t;mso-text-shadow:auto" string="仅供内部审核"/>
        </v:shape>
      </w:pict>
    </w:r>
    <w:r>
      <w:pict>
        <v:shape id="PowerPlusWaterMarkObject44" style="position:absolute;margin-left:86.92pt;margin-top:532.106pt;mso-position-vertical-relative:page;mso-position-horizontal-relative:page;width:119.4pt;height:18.85pt;z-index:-251637760;rotation:330;" o:allowincell="f" fillcolor="#404040" filled="true" stroked="false" type="#_x0000_t136">
          <v:fill opacity="0.400000"/>
          <v:textpath style="font-family:&quot;STSong&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6736;rotation:330;" o:allowincell="f" fillcolor="#404040" filled="true" stroked="false" type="#_x0000_t136">
          <v:fill opacity="0.400000"/>
          <v:textpath style="font-family:&quot;STSong&quot;;font-size:20;v-text-kern:t;mso-text-shadow:auto" string="仅供内部审核"/>
        </v:shape>
      </w:pict>
    </w:r>
    <w:r>
      <w:pict>
        <v:shape id="PowerPlusWaterMarkObject4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TSong&quot;;font-size:20;v-text-kern:t;mso-text-shadow:auto" string="仅供内部审核"/>
        </v:shape>
      </w:pict>
    </w:r>
    <w:r>
      <w:pict>
        <v:shape id="PowerPlusWaterMarkObject50" style="position:absolute;margin-left:86.92pt;margin-top:27.7862pt;mso-position-vertical-relative:text;mso-position-horizontal-relative:text;width:119.4pt;height:18.85pt;z-index:-251633664;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兴县孟家坪乡卫生院2023年单位决算公开报告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52" style="position:absolute;margin-left:86.92pt;margin-top:27.7862pt;mso-position-vertical-relative:text;mso-position-horizontal-relative:text;width:119.4pt;height:18.85pt;z-index:-251624448;rotation:330;" fillcolor="#404040" filled="true" stroked="false" type="#_x0000_t136">
          <v:fill opacity="0.400000"/>
          <v:textpath style="font-family:&quot;STSong&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TSong&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TSong&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28544;rotation:330;" o:allowincell="f" fillcolor="#404040" filled="true" stroked="false" type="#_x0000_t136">
          <v:fill opacity="0.400000"/>
          <v:textpath style="font-family:&quot;STSong&quot;;font-size:20;v-text-kern:t;mso-text-shadow:auto" string="仅供内部审核"/>
        </v:shape>
      </w:pict>
    </w:r>
    <w:r>
      <w:pict>
        <v:shape id="PowerPlusWaterMarkObject60" style="position:absolute;margin-left:86.92pt;margin-top:532.106pt;mso-position-vertical-relative:page;mso-position-horizontal-relative:page;width:119.4pt;height:18.85pt;z-index:-251627520;rotation:330;" o:allowincell="f" fillcolor="#404040" filled="true" stroked="false" type="#_x0000_t136">
          <v:fill opacity="0.400000"/>
          <v:textpath style="font-family:&quot;STSong&quot;;font-size:20;v-text-kern:t;mso-text-shadow:auto" string="仅供内部审核"/>
        </v:shape>
      </w:pict>
    </w:r>
    <w:r>
      <w:pict>
        <v:shape id="PowerPlusWaterMarkObject62" style="position:absolute;margin-left:-13.08pt;margin-top:776.106pt;mso-position-vertical-relative:page;mso-position-horizontal-relative:page;width:119.4pt;height:18.85pt;z-index:-251630592;rotation:330;" o:allowincell="f" fillcolor="#404040" filled="true" stroked="false" type="#_x0000_t136">
          <v:fill opacity="0.400000"/>
          <v:textpath style="font-family:&quot;STSong&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9568;rotation:330;" o:allowincell="f" fillcolor="#404040" filled="true" stroked="false" type="#_x0000_t136">
          <v:fill opacity="0.400000"/>
          <v:textpath style="font-family:&quot;STSong&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31616;rotation:330;" o:allowincell="f" fillcolor="#404040" filled="true" stroked="false" type="#_x0000_t136">
          <v:fill opacity="0.400000"/>
          <v:textpath style="font-family:&quot;STSong&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70" style="position:absolute;margin-left:86.92pt;margin-top:27.7862pt;mso-position-vertical-relative:text;mso-position-horizontal-relative:text;width:119.4pt;height:18.85pt;z-index:-251615232;rotation:330;" fillcolor="#404040" filled="true" stroked="false" type="#_x0000_t136">
          <v:fill opacity="0.400000"/>
          <v:textpath style="font-family:&quot;STSong&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0352;rotation:330;" o:allowincell="f" fillcolor="#404040" filled="true" stroked="false" type="#_x0000_t136">
          <v:fill opacity="0.400000"/>
          <v:textpath style="font-family:&quot;STSong&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TSong&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1376;rotation:330;" o:allowincell="f" fillcolor="#404040" filled="true" stroked="false" type="#_x0000_t136">
          <v:fill opacity="0.400000"/>
          <v:textpath style="font-family:&quot;STSong&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3424;rotation:330;" o:allowincell="f" fillcolor="#404040" filled="true" stroked="false" type="#_x0000_t136">
          <v:fill opacity="0.400000"/>
          <v:textpath style="font-family:&quot;STSong&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TSong&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2400;rotation:330;" o:allowincell="f" fillcolor="#404040" filled="true" stroked="false" type="#_x0000_t136">
          <v:fill opacity="0.400000"/>
          <v:textpath style="font-family:&quot;STSong&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TSong&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88" style="position:absolute;margin-left:86.92pt;margin-top:27.7862pt;mso-position-vertical-relative:text;mso-position-horizontal-relative:text;width:119.4pt;height:18.85pt;z-index:-251606016;rotation:330;" fillcolor="#404040" filled="true" stroked="false" type="#_x0000_t136">
          <v:fill opacity="0.400000"/>
          <v:textpath style="font-family:&quot;STSong&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2160;rotation:330;" o:allowincell="f" fillcolor="#404040" filled="true" stroked="false" type="#_x0000_t136">
          <v:fill opacity="0.400000"/>
          <v:textpath style="font-family:&quot;STSong&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TSong&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4208;rotation:330;" o:allowincell="f" fillcolor="#404040" filled="true" stroked="false" type="#_x0000_t136">
          <v:fill opacity="0.400000"/>
          <v:textpath style="font-family:&quot;STSong&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3184;rotation:330;" o:allowincell="f" fillcolor="#404040" filled="true" stroked="false" type="#_x0000_t136">
          <v:fill opacity="0.400000"/>
          <v:textpath style="font-family:&quot;STSong&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TSong&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1136;rotation:330;" o:allowincell="f" fillcolor="#404040" filled="true" stroked="false" type="#_x0000_t136">
          <v:fill opacity="0.400000"/>
          <v:textpath style="font-family:&quot;STSong&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TSong&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06" style="position:absolute;margin-left:86.92pt;margin-top:27.7862pt;mso-position-vertical-relative:text;mso-position-horizontal-relative:text;width:119.4pt;height:18.85pt;z-index:-251596800;rotation:330;" fillcolor="#404040" filled="true" stroked="false" type="#_x0000_t136">
          <v:fill opacity="0.400000"/>
          <v:textpath style="font-family:&quot;STSong&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3968;rotation:330;" o:allowincell="f" fillcolor="#404040" filled="true" stroked="false" type="#_x0000_t136">
          <v:fill opacity="0.400000"/>
          <v:textpath style="font-family:&quot;STSong&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TSong&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2944;rotation:330;" o:allowincell="f" fillcolor="#404040" filled="true" stroked="false" type="#_x0000_t136">
          <v:fill opacity="0.400000"/>
          <v:textpath style="font-family:&quot;STSong&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1920;rotation:330;" o:allowincell="f" fillcolor="#404040" filled="true" stroked="false" type="#_x0000_t136">
          <v:fill opacity="0.400000"/>
          <v:textpath style="font-family:&quot;STSong&quot;;font-size:20;v-text-kern:t;mso-text-shadow:auto" string="仅供内部审核"/>
        </v:shape>
      </w:pict>
    </w:r>
    <w:r>
      <w:pict>
        <v:shape id="PowerPlusWaterMarkObject116" style="position:absolute;margin-left:-13.08pt;margin-top:776.106pt;mso-position-vertical-relative:page;mso-position-horizontal-relative:page;width:119.4pt;height:18.85pt;z-index:-251604992;rotation:330;" o:allowincell="f" fillcolor="#404040" filled="true" stroked="false" type="#_x0000_t136">
          <v:fill opacity="0.400000"/>
          <v:textpath style="font-family:&quot;STSong&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0896;rotation:330;" o:allowincell="f" fillcolor="#404040" filled="true" stroked="false" type="#_x0000_t136">
          <v:fill opacity="0.400000"/>
          <v:textpath style="font-family:&quot;STSong&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599872;rotation:330;" o:allowincell="f" fillcolor="#404040" filled="true" stroked="false" type="#_x0000_t136">
          <v:fill opacity="0.400000"/>
          <v:textpath style="font-family:&quot;STSong&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24" style="position:absolute;margin-left:86.92pt;margin-top:27.7862pt;mso-position-vertical-relative:text;mso-position-horizontal-relative:text;width:119.4pt;height:18.85pt;z-index:-251587584;rotation:330;" fillcolor="#404040" filled="true" stroked="false" type="#_x0000_t136">
          <v:fill opacity="0.400000"/>
          <v:textpath style="font-family:&quot;STSong&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0656;rotation:330;" o:allowincell="f" fillcolor="#404040" filled="true" stroked="false" type="#_x0000_t136">
          <v:fill opacity="0.400000"/>
          <v:textpath style="font-family:&quot;STSong&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TSong&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1680;rotation:330;" o:allowincell="f" fillcolor="#404040" filled="true" stroked="false" type="#_x0000_t136">
          <v:fill opacity="0.400000"/>
          <v:textpath style="font-family:&quot;STSong&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4752;rotation:330;" o:allowincell="f" fillcolor="#404040" filled="true" stroked="false" type="#_x0000_t136">
          <v:fill opacity="0.400000"/>
          <v:textpath style="font-family:&quot;STSong&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2704;rotation:330;" o:allowincell="f" fillcolor="#404040" filled="true" stroked="false" type="#_x0000_t136">
          <v:fill opacity="0.400000"/>
          <v:textpath style="font-family:&quot;STSong&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5776;rotation:330;" o:allowincell="f" fillcolor="#404040" filled="true" stroked="false" type="#_x0000_t136">
          <v:fill opacity="0.400000"/>
          <v:textpath style="font-family:&quot;STSong&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3728;rotation:330;" o:allowincell="f" fillcolor="#404040" filled="true" stroked="false" type="#_x0000_t136">
          <v:fill opacity="0.400000"/>
          <v:textpath style="font-family:&quot;STSong&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42" style="position:absolute;margin-left:86.92pt;margin-top:27.7862pt;mso-position-vertical-relative:text;mso-position-horizontal-relative:text;width:119.4pt;height:18.85pt;z-index:-251578368;rotation:330;" fillcolor="#404040" filled="true" stroked="false" type="#_x0000_t136">
          <v:fill opacity="0.400000"/>
          <v:textpath style="font-family:&quot;STSong&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6560;rotation:330;" o:allowincell="f" fillcolor="#404040" filled="true" stroked="false" type="#_x0000_t136">
          <v:fill opacity="0.400000"/>
          <v:textpath style="font-family:&quot;STSong&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TSong&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5536;rotation:330;" o:allowincell="f" fillcolor="#404040" filled="true" stroked="false" type="#_x0000_t136">
          <v:fill opacity="0.400000"/>
          <v:textpath style="font-family:&quot;STSong&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3488;rotation:330;" o:allowincell="f" fillcolor="#404040" filled="true" stroked="false" type="#_x0000_t136">
          <v:fill opacity="0.400000"/>
          <v:textpath style="font-family:&quot;STSong&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1440;rotation:330;" o:allowincell="f" fillcolor="#404040" filled="true" stroked="false" type="#_x0000_t136">
          <v:fill opacity="0.400000"/>
          <v:textpath style="font-family:&quot;STSong&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4512;rotation:330;" o:allowincell="f" fillcolor="#404040" filled="true" stroked="false" type="#_x0000_t136">
          <v:fill opacity="0.400000"/>
          <v:textpath style="font-family:&quot;STSong&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2464;rotation:330;" o:allowincell="f" fillcolor="#404040" filled="true" stroked="false" type="#_x0000_t136">
          <v:fill opacity="0.400000"/>
          <v:textpath style="font-family:&quot;STSong&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兴县孟家坪乡卫生院2023年单位决算公开报告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TZhongsong" w:hAnsi="STZhongsong" w:eastAsia="STZhongsong" w:cs="STZhongsong"/>
      <w:sz w:val="34"/>
      <w:szCs w:val="34"/>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6" Type="http://schemas.openxmlformats.org/officeDocument/2006/relationships/fontTable" Target="fontTable.xml"/><Relationship Id="rId45" Type="http://schemas.openxmlformats.org/officeDocument/2006/relationships/styles" Target="styles.xml"/><Relationship Id="rId44" Type="http://schemas.openxmlformats.org/officeDocument/2006/relationships/settings" Target="settings.xml"/><Relationship Id="rId43" Type="http://schemas.openxmlformats.org/officeDocument/2006/relationships/image" Target="media/image5.jpeg"/><Relationship Id="rId42" Type="http://schemas.openxmlformats.org/officeDocument/2006/relationships/footer" Target="footer21.xml"/><Relationship Id="rId41" Type="http://schemas.openxmlformats.org/officeDocument/2006/relationships/image" Target="media/image4.jpeg"/><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image" Target="media/image3.jpeg"/><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image" Target="media/image2.jpeg"/><Relationship Id="rId3" Type="http://schemas.openxmlformats.org/officeDocument/2006/relationships/header" Target="header3.xml"/><Relationship Id="rId29" Type="http://schemas.openxmlformats.org/officeDocument/2006/relationships/footer" Target="footer15.xml"/><Relationship Id="rId28" Type="http://schemas.openxmlformats.org/officeDocument/2006/relationships/header" Target="header13.xml"/><Relationship Id="rId27" Type="http://schemas.openxmlformats.org/officeDocument/2006/relationships/image" Target="media/image1.jpeg"/><Relationship Id="rId26" Type="http://schemas.openxmlformats.org/officeDocument/2006/relationships/footer" Target="footer14.xml"/><Relationship Id="rId25" Type="http://schemas.openxmlformats.org/officeDocument/2006/relationships/header" Target="header12.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header" Target="header2.xml"/><Relationship Id="rId19" Type="http://schemas.openxmlformats.org/officeDocument/2006/relationships/header" Target="header11.xml"/><Relationship Id="rId18" Type="http://schemas.openxmlformats.org/officeDocument/2006/relationships/footer" Target="footer8.xml"/><Relationship Id="rId17" Type="http://schemas.openxmlformats.org/officeDocument/2006/relationships/header" Target="header10.xml"/><Relationship Id="rId16" Type="http://schemas.openxmlformats.org/officeDocument/2006/relationships/footer" Target="footer7.xml"/><Relationship Id="rId15" Type="http://schemas.openxmlformats.org/officeDocument/2006/relationships/header" Target="header9.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2024-10-02T19:15:40Z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2025-09-26T09:17:14</vt:filetime>
  </property>
</Properties>
</file>