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542"/>
        <w:spacing w:before="159" w:line="195" w:lineRule="auto"/>
        <w:rPr>
          <w:rFonts w:ascii="STZhongsong" w:hAnsi="STZhongsong" w:eastAsia="STZhongsong" w:cs="STZhongsong"/>
          <w:sz w:val="43"/>
          <w:szCs w:val="43"/>
        </w:rPr>
      </w:pPr>
      <w:r>
        <w:rPr>
          <w:rFonts w:ascii="STZhongsong" w:hAnsi="STZhongsong" w:eastAsia="STZhongsong" w:cs="STZhongsong"/>
          <w:sz w:val="43"/>
          <w:szCs w:val="43"/>
          <w:spacing w:val="3"/>
        </w:rPr>
        <w:t>兴</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3"/>
        </w:rPr>
        <w:t>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3"/>
        </w:rPr>
        <w:t>孟 家</w:t>
      </w:r>
      <w:r>
        <w:rPr>
          <w:rFonts w:ascii="STZhongsong" w:hAnsi="STZhongsong" w:eastAsia="STZhongsong" w:cs="STZhongsong"/>
          <w:sz w:val="43"/>
          <w:szCs w:val="43"/>
          <w:spacing w:val="-32"/>
        </w:rPr>
        <w:t xml:space="preserve"> </w:t>
      </w:r>
      <w:r>
        <w:rPr>
          <w:rFonts w:ascii="STZhongsong" w:hAnsi="STZhongsong" w:eastAsia="STZhongsong" w:cs="STZhongsong"/>
          <w:sz w:val="43"/>
          <w:szCs w:val="43"/>
          <w:spacing w:val="3"/>
        </w:rPr>
        <w:t>坪</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3"/>
        </w:rPr>
        <w:t>乡卫 生 院</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5 年</w:t>
      </w:r>
      <w:r>
        <w:rPr>
          <w:rFonts w:ascii="STZhongsong" w:hAnsi="STZhongsong" w:eastAsia="STZhongsong" w:cs="STZhongsong"/>
          <w:sz w:val="43"/>
          <w:szCs w:val="43"/>
          <w:spacing w:val="-12"/>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30"/>
          <w:position w:val="7"/>
        </w:rPr>
        <w:t xml:space="preserve"> </w:t>
      </w:r>
      <w:r>
        <w:rPr>
          <w:rFonts w:ascii="STZhongsong" w:hAnsi="STZhongsong" w:eastAsia="STZhongsong" w:cs="STZhongsong"/>
          <w:sz w:val="43"/>
          <w:szCs w:val="43"/>
          <w:spacing w:val="-11"/>
          <w:position w:val="7"/>
        </w:rPr>
        <w:t>预</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18</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b/>
                <w:bCs/>
                <w:spacing w:val="-9"/>
              </w:rPr>
              <w:t>77</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26"/>
        <w:spacing w:before="283" w:line="222" w:lineRule="auto"/>
        <w:rPr>
          <w:rFonts w:ascii="FangSong" w:hAnsi="FangSong" w:eastAsia="FangSong" w:cs="FangSong"/>
          <w:sz w:val="24"/>
          <w:szCs w:val="24"/>
        </w:rPr>
      </w:pPr>
      <w:r>
        <w:rPr>
          <w:rFonts w:ascii="FangSong" w:hAnsi="FangSong" w:eastAsia="FangSong" w:cs="FangSong"/>
          <w:sz w:val="24"/>
          <w:szCs w:val="24"/>
          <w:spacing w:val="-2"/>
        </w:rPr>
        <w:t>1、提供基本医疗服务，以常见病、多发病的诊疗、护理、康复等综合服务为主。</w:t>
      </w:r>
    </w:p>
    <w:p>
      <w:pPr>
        <w:ind w:left="1522" w:right="1475" w:hanging="11"/>
        <w:spacing w:before="115" w:line="267" w:lineRule="auto"/>
        <w:rPr>
          <w:rFonts w:ascii="FangSong" w:hAnsi="FangSong" w:eastAsia="FangSong" w:cs="FangSong"/>
          <w:sz w:val="24"/>
          <w:szCs w:val="24"/>
        </w:rPr>
      </w:pPr>
      <w:r>
        <w:rPr>
          <w:rFonts w:ascii="FangSong" w:hAnsi="FangSong" w:eastAsia="FangSong" w:cs="FangSong"/>
          <w:sz w:val="24"/>
          <w:szCs w:val="24"/>
          <w:spacing w:val="4"/>
        </w:rPr>
        <w:t>2、提供基本公共卫生服务，承担辖区内的公共卫生管理工作，负责对村卫生室的综</w:t>
      </w:r>
      <w:r>
        <w:rPr>
          <w:rFonts w:ascii="FangSong" w:hAnsi="FangSong" w:eastAsia="FangSong" w:cs="FangSong"/>
          <w:sz w:val="24"/>
          <w:szCs w:val="24"/>
          <w:spacing w:val="-4"/>
        </w:rPr>
        <w:t>合管理、技术指导、乡医的培训等。</w:t>
      </w:r>
    </w:p>
    <w:p>
      <w:pPr>
        <w:ind w:left="1517" w:right="1475" w:hanging="4"/>
        <w:spacing w:before="102" w:line="272" w:lineRule="auto"/>
        <w:rPr>
          <w:rFonts w:ascii="FangSong" w:hAnsi="FangSong" w:eastAsia="FangSong" w:cs="FangSong"/>
          <w:sz w:val="24"/>
          <w:szCs w:val="24"/>
        </w:rPr>
      </w:pPr>
      <w:r>
        <w:rPr>
          <w:rFonts w:ascii="FangSong" w:hAnsi="FangSong" w:eastAsia="FangSong" w:cs="FangSong"/>
          <w:sz w:val="24"/>
          <w:szCs w:val="24"/>
          <w:spacing w:val="4"/>
        </w:rPr>
        <w:t>3、实施国家基本药物制度和城乡居民医疗保险制度，推行分级诊疗和乡村一体化管</w:t>
      </w:r>
      <w:r>
        <w:rPr>
          <w:rFonts w:ascii="FangSong" w:hAnsi="FangSong" w:eastAsia="FangSong" w:cs="FangSong"/>
          <w:sz w:val="24"/>
          <w:szCs w:val="24"/>
          <w:spacing w:val="-13"/>
        </w:rPr>
        <w:t>理。</w:t>
      </w:r>
    </w:p>
    <w:p>
      <w:pPr>
        <w:ind w:left="1513"/>
        <w:spacing w:before="28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spacing w:before="102" w:line="221" w:lineRule="auto"/>
        <w:rPr>
          <w:rFonts w:ascii="FangSong" w:hAnsi="FangSong" w:eastAsia="FangSong" w:cs="FangSong"/>
          <w:sz w:val="24"/>
          <w:szCs w:val="24"/>
        </w:rPr>
      </w:pPr>
      <w:r>
        <w:rPr>
          <w:rFonts w:ascii="FangSong" w:hAnsi="FangSong" w:eastAsia="FangSong" w:cs="FangSong"/>
          <w:sz w:val="24"/>
          <w:szCs w:val="24"/>
          <w:spacing w:val="-3"/>
        </w:rPr>
        <w:t>本单位内设科室有2个，分别为业务科、办公室。</w:t>
      </w:r>
    </w:p>
    <w:p>
      <w:pPr>
        <w:spacing w:line="221"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186.35</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158.49</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158.49</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11"/>
              </w:rPr>
              <w:t>186.</w:t>
            </w:r>
            <w:r>
              <w:rPr>
                <w:sz w:val="13"/>
                <w:szCs w:val="13"/>
                <w:color w:val="212529"/>
                <w:spacing w:val="15"/>
                <w:w w:val="101"/>
              </w:rPr>
              <w:t xml:space="preserve"> </w:t>
            </w:r>
            <w:r>
              <w:rPr>
                <w:sz w:val="13"/>
                <w:szCs w:val="13"/>
                <w:color w:val="212529"/>
                <w:spacing w:val="11"/>
              </w:rPr>
              <w:t>35</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172" w:lineRule="auto"/>
              <w:rPr>
                <w:sz w:val="16"/>
                <w:szCs w:val="16"/>
              </w:rPr>
            </w:pPr>
            <w:r>
              <w:rPr>
                <w:sz w:val="16"/>
                <w:szCs w:val="16"/>
                <w:color w:val="212529"/>
                <w:spacing w:val="4"/>
              </w:rPr>
              <w:t>186.35</w:t>
            </w:r>
          </w:p>
        </w:tc>
        <w:tc>
          <w:tcPr>
            <w:tcW w:w="1153" w:type="dxa"/>
            <w:vAlign w:val="top"/>
          </w:tcPr>
          <w:p>
            <w:pPr>
              <w:pStyle w:val="TableText"/>
              <w:ind w:left="588"/>
              <w:spacing w:before="186" w:line="172" w:lineRule="auto"/>
              <w:rPr>
                <w:sz w:val="16"/>
                <w:szCs w:val="16"/>
              </w:rPr>
            </w:pPr>
            <w:r>
              <w:rPr>
                <w:sz w:val="16"/>
                <w:szCs w:val="16"/>
                <w:color w:val="212529"/>
                <w:spacing w:val="4"/>
              </w:rPr>
              <w:t>186.35</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11"/>
              </w:rPr>
              <w:t>186.</w:t>
            </w:r>
            <w:r>
              <w:rPr>
                <w:sz w:val="13"/>
                <w:szCs w:val="13"/>
                <w:color w:val="212529"/>
                <w:spacing w:val="15"/>
                <w:w w:val="101"/>
              </w:rPr>
              <w:t xml:space="preserve"> </w:t>
            </w:r>
            <w:r>
              <w:rPr>
                <w:sz w:val="13"/>
                <w:szCs w:val="13"/>
                <w:color w:val="212529"/>
                <w:spacing w:val="11"/>
              </w:rPr>
              <w:t>35</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172" w:lineRule="auto"/>
              <w:rPr>
                <w:sz w:val="16"/>
                <w:szCs w:val="16"/>
              </w:rPr>
            </w:pPr>
            <w:r>
              <w:rPr>
                <w:sz w:val="16"/>
                <w:szCs w:val="16"/>
                <w:color w:val="212529"/>
                <w:spacing w:val="4"/>
              </w:rPr>
              <w:t>186.35</w:t>
            </w:r>
          </w:p>
        </w:tc>
        <w:tc>
          <w:tcPr>
            <w:tcW w:w="1153" w:type="dxa"/>
            <w:vAlign w:val="top"/>
          </w:tcPr>
          <w:p>
            <w:pPr>
              <w:pStyle w:val="TableText"/>
              <w:ind w:left="588"/>
              <w:spacing w:before="188" w:line="172" w:lineRule="auto"/>
              <w:rPr>
                <w:sz w:val="16"/>
                <w:szCs w:val="16"/>
              </w:rPr>
            </w:pPr>
            <w:r>
              <w:rPr>
                <w:sz w:val="16"/>
                <w:szCs w:val="16"/>
                <w:color w:val="212529"/>
                <w:spacing w:val="4"/>
              </w:rPr>
              <w:t>186.35</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11"/>
              </w:rPr>
              <w:t>186.</w:t>
            </w:r>
            <w:r>
              <w:rPr>
                <w:sz w:val="13"/>
                <w:szCs w:val="13"/>
                <w:color w:val="212529"/>
                <w:spacing w:val="15"/>
                <w:w w:val="101"/>
              </w:rPr>
              <w:t xml:space="preserve"> </w:t>
            </w:r>
            <w:r>
              <w:rPr>
                <w:sz w:val="13"/>
                <w:szCs w:val="13"/>
                <w:color w:val="212529"/>
                <w:spacing w:val="11"/>
              </w:rPr>
              <w:t>35</w:t>
            </w:r>
          </w:p>
        </w:tc>
        <w:tc>
          <w:tcPr>
            <w:tcW w:w="1274" w:type="dxa"/>
            <w:vAlign w:val="top"/>
          </w:tcPr>
          <w:p>
            <w:pPr>
              <w:pStyle w:val="TableText"/>
              <w:ind w:left="714"/>
              <w:spacing w:before="149" w:line="172" w:lineRule="auto"/>
              <w:rPr>
                <w:sz w:val="16"/>
                <w:szCs w:val="16"/>
              </w:rPr>
            </w:pPr>
            <w:r>
              <w:rPr>
                <w:sz w:val="16"/>
                <w:szCs w:val="16"/>
                <w:color w:val="212529"/>
                <w:spacing w:val="4"/>
              </w:rPr>
              <w:t>186.35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14.57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158.49</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152.51</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152.51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144.11</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144.11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8.40</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8.40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5.98</w:t>
            </w:r>
          </w:p>
        </w:tc>
        <w:tc>
          <w:tcPr>
            <w:tcW w:w="1274"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5.98</w:t>
            </w:r>
          </w:p>
        </w:tc>
        <w:tc>
          <w:tcPr>
            <w:tcW w:w="1274"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1361" w:type="dxa"/>
            <w:vAlign w:val="top"/>
          </w:tcPr>
          <w:p>
            <w:pPr>
              <w:pStyle w:val="TableText"/>
              <w:ind w:left="861"/>
              <w:spacing w:before="99" w:line="186" w:lineRule="auto"/>
              <w:rPr>
                <w:sz w:val="13"/>
                <w:szCs w:val="13"/>
              </w:rPr>
            </w:pPr>
            <w:r>
              <w:rPr>
                <w:sz w:val="13"/>
                <w:szCs w:val="13"/>
                <w:color w:val="212529"/>
                <w:spacing w:val="2"/>
              </w:rPr>
              <w:t>174.</w:t>
            </w:r>
            <w:r>
              <w:rPr>
                <w:sz w:val="13"/>
                <w:szCs w:val="13"/>
                <w:color w:val="212529"/>
                <w:spacing w:val="17"/>
              </w:rPr>
              <w:t xml:space="preserve"> </w:t>
            </w:r>
            <w:r>
              <w:rPr>
                <w:sz w:val="13"/>
                <w:szCs w:val="13"/>
                <w:color w:val="212529"/>
                <w:spacing w:val="2"/>
              </w:rPr>
              <w:t>72</w:t>
            </w:r>
          </w:p>
        </w:tc>
        <w:tc>
          <w:tcPr>
            <w:tcW w:w="1280" w:type="dxa"/>
            <w:vAlign w:val="top"/>
          </w:tcPr>
          <w:p>
            <w:pPr>
              <w:pStyle w:val="TableText"/>
              <w:ind w:left="860"/>
              <w:spacing w:before="99" w:line="186"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63</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61" w:type="dxa"/>
            <w:vAlign w:val="top"/>
          </w:tcPr>
          <w:p>
            <w:pPr>
              <w:pStyle w:val="TableText"/>
              <w:ind w:left="942"/>
              <w:spacing w:before="99" w:line="187" w:lineRule="auto"/>
              <w:rPr>
                <w:sz w:val="13"/>
                <w:szCs w:val="13"/>
              </w:rPr>
            </w:pPr>
            <w:r>
              <w:rPr>
                <w:sz w:val="13"/>
                <w:szCs w:val="13"/>
                <w:color w:val="212529"/>
                <w:spacing w:val="1"/>
              </w:rPr>
              <w:t>14.</w:t>
            </w:r>
            <w:r>
              <w:rPr>
                <w:sz w:val="13"/>
                <w:szCs w:val="13"/>
                <w:color w:val="212529"/>
                <w:spacing w:val="15"/>
                <w:w w:val="101"/>
              </w:rPr>
              <w:t xml:space="preserve"> </w:t>
            </w:r>
            <w:r>
              <w:rPr>
                <w:sz w:val="13"/>
                <w:szCs w:val="13"/>
                <w:color w:val="212529"/>
                <w:spacing w:val="1"/>
              </w:rPr>
              <w:t>57</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61" w:type="dxa"/>
            <w:vAlign w:val="top"/>
          </w:tcPr>
          <w:p>
            <w:pPr>
              <w:pStyle w:val="TableText"/>
              <w:ind w:left="942"/>
              <w:spacing w:before="99" w:line="186" w:lineRule="auto"/>
              <w:rPr>
                <w:sz w:val="13"/>
                <w:szCs w:val="13"/>
              </w:rPr>
            </w:pPr>
            <w:r>
              <w:rPr>
                <w:sz w:val="13"/>
                <w:szCs w:val="13"/>
                <w:color w:val="212529"/>
                <w:spacing w:val="1"/>
              </w:rPr>
              <w:t>14.</w:t>
            </w:r>
            <w:r>
              <w:rPr>
                <w:sz w:val="13"/>
                <w:szCs w:val="13"/>
                <w:color w:val="212529"/>
                <w:spacing w:val="15"/>
                <w:w w:val="101"/>
              </w:rPr>
              <w:t xml:space="preserve"> </w:t>
            </w:r>
            <w:r>
              <w:rPr>
                <w:sz w:val="13"/>
                <w:szCs w:val="13"/>
                <w:color w:val="212529"/>
                <w:spacing w:val="1"/>
              </w:rPr>
              <w:t>57</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158.49</w:t>
            </w:r>
          </w:p>
        </w:tc>
        <w:tc>
          <w:tcPr>
            <w:tcW w:w="1361" w:type="dxa"/>
            <w:vAlign w:val="top"/>
          </w:tcPr>
          <w:p>
            <w:pPr>
              <w:pStyle w:val="TableText"/>
              <w:ind w:left="861"/>
              <w:spacing w:before="101" w:line="162" w:lineRule="auto"/>
              <w:rPr>
                <w:sz w:val="15"/>
                <w:szCs w:val="15"/>
              </w:rPr>
            </w:pPr>
            <w:r>
              <w:rPr>
                <w:sz w:val="15"/>
                <w:szCs w:val="15"/>
                <w:color w:val="212529"/>
              </w:rPr>
              <w:t>146.87</w:t>
            </w:r>
          </w:p>
        </w:tc>
        <w:tc>
          <w:tcPr>
            <w:tcW w:w="1280" w:type="dxa"/>
            <w:vAlign w:val="top"/>
          </w:tcPr>
          <w:p>
            <w:pPr>
              <w:pStyle w:val="TableText"/>
              <w:ind w:left="860"/>
              <w:spacing w:before="101" w:line="187"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63</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152.51</w:t>
            </w:r>
          </w:p>
        </w:tc>
        <w:tc>
          <w:tcPr>
            <w:tcW w:w="1361" w:type="dxa"/>
            <w:vAlign w:val="top"/>
          </w:tcPr>
          <w:p>
            <w:pPr>
              <w:pStyle w:val="TableText"/>
              <w:ind w:left="861"/>
              <w:spacing w:before="101" w:line="162" w:lineRule="auto"/>
              <w:rPr>
                <w:sz w:val="15"/>
                <w:szCs w:val="15"/>
              </w:rPr>
            </w:pPr>
            <w:r>
              <w:rPr>
                <w:sz w:val="15"/>
                <w:szCs w:val="15"/>
                <w:color w:val="212529"/>
              </w:rPr>
              <w:t>140.89</w:t>
            </w:r>
          </w:p>
        </w:tc>
        <w:tc>
          <w:tcPr>
            <w:tcW w:w="1280" w:type="dxa"/>
            <w:vAlign w:val="top"/>
          </w:tcPr>
          <w:p>
            <w:pPr>
              <w:pStyle w:val="TableText"/>
              <w:ind w:left="860"/>
              <w:spacing w:before="101" w:line="187"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63</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144.11</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140.89</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280"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361" w:type="dxa"/>
            <w:vAlign w:val="top"/>
          </w:tcPr>
          <w:p>
            <w:pPr>
              <w:pStyle w:val="TableText"/>
              <w:ind w:left="942"/>
              <w:spacing w:before="103"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28</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361" w:type="dxa"/>
            <w:vAlign w:val="top"/>
          </w:tcPr>
          <w:p>
            <w:pPr>
              <w:pStyle w:val="TableText"/>
              <w:ind w:left="942"/>
              <w:spacing w:before="104" w:line="186" w:lineRule="auto"/>
              <w:rPr>
                <w:sz w:val="13"/>
                <w:szCs w:val="13"/>
              </w:rPr>
            </w:pPr>
            <w:r>
              <w:rPr>
                <w:sz w:val="13"/>
                <w:szCs w:val="13"/>
                <w:color w:val="212529"/>
                <w:spacing w:val="1"/>
              </w:rPr>
              <w:t>13.</w:t>
            </w:r>
            <w:r>
              <w:rPr>
                <w:sz w:val="13"/>
                <w:szCs w:val="13"/>
                <w:color w:val="212529"/>
                <w:spacing w:val="15"/>
                <w:w w:val="101"/>
              </w:rPr>
              <w:t xml:space="preserve"> </w:t>
            </w:r>
            <w:r>
              <w:rPr>
                <w:sz w:val="13"/>
                <w:szCs w:val="13"/>
                <w:color w:val="212529"/>
                <w:spacing w:val="1"/>
              </w:rPr>
              <w:t>28</w:t>
            </w:r>
          </w:p>
        </w:tc>
        <w:tc>
          <w:tcPr>
            <w:tcW w:w="1280"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280"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186.35</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158.49</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158.49</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1069" w:type="dxa"/>
            <w:vAlign w:val="top"/>
          </w:tcPr>
          <w:p>
            <w:pPr>
              <w:pStyle w:val="TableText"/>
              <w:ind w:left="296"/>
              <w:spacing w:before="137" w:line="162" w:lineRule="auto"/>
              <w:rPr>
                <w:sz w:val="15"/>
                <w:szCs w:val="15"/>
              </w:rPr>
            </w:pPr>
            <w:r>
              <w:rPr>
                <w:sz w:val="15"/>
                <w:szCs w:val="15"/>
                <w:color w:val="212529"/>
              </w:rPr>
              <w:t>186.35</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1069" w:type="dxa"/>
            <w:vAlign w:val="top"/>
          </w:tcPr>
          <w:p>
            <w:pPr>
              <w:pStyle w:val="TableText"/>
              <w:ind w:left="296"/>
              <w:spacing w:before="135" w:line="162" w:lineRule="auto"/>
              <w:rPr>
                <w:sz w:val="15"/>
                <w:szCs w:val="15"/>
              </w:rPr>
            </w:pPr>
            <w:r>
              <w:rPr>
                <w:sz w:val="15"/>
                <w:szCs w:val="15"/>
                <w:color w:val="212529"/>
              </w:rPr>
              <w:t>186.35</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35</w:t>
            </w:r>
          </w:p>
        </w:tc>
        <w:tc>
          <w:tcPr>
            <w:tcW w:w="1415" w:type="dxa"/>
            <w:vAlign w:val="top"/>
          </w:tcPr>
          <w:p>
            <w:pPr>
              <w:pStyle w:val="TableText"/>
              <w:ind w:left="914"/>
              <w:spacing w:before="87" w:line="186" w:lineRule="auto"/>
              <w:rPr>
                <w:sz w:val="13"/>
                <w:szCs w:val="13"/>
              </w:rPr>
            </w:pPr>
            <w:r>
              <w:rPr>
                <w:sz w:val="13"/>
                <w:szCs w:val="13"/>
                <w:color w:val="212529"/>
                <w:spacing w:val="3"/>
              </w:rPr>
              <w:t>174.</w:t>
            </w:r>
            <w:r>
              <w:rPr>
                <w:sz w:val="13"/>
                <w:szCs w:val="13"/>
                <w:color w:val="212529"/>
                <w:spacing w:val="11"/>
              </w:rPr>
              <w:t xml:space="preserve"> </w:t>
            </w:r>
            <w:r>
              <w:rPr>
                <w:sz w:val="13"/>
                <w:szCs w:val="13"/>
                <w:color w:val="212529"/>
                <w:spacing w:val="3"/>
              </w:rPr>
              <w:t>72</w:t>
            </w:r>
          </w:p>
        </w:tc>
        <w:tc>
          <w:tcPr>
            <w:tcW w:w="1377" w:type="dxa"/>
            <w:vAlign w:val="top"/>
          </w:tcPr>
          <w:p>
            <w:pPr>
              <w:pStyle w:val="TableText"/>
              <w:ind w:left="957"/>
              <w:spacing w:before="87" w:line="186"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63</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158.49</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146.87</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11.63</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152.51</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140.89</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11.63</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144.11</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140.89</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3.23</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8.40</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377" w:type="dxa"/>
            <w:vAlign w:val="top"/>
          </w:tcPr>
          <w:p>
            <w:pPr>
              <w:pStyle w:val="TableText"/>
              <w:rPr/>
            </w:pPr>
            <w:r/>
          </w:p>
        </w:tc>
      </w:tr>
      <w:tr>
        <w:trPr>
          <w:trHeight w:val="292" w:hRule="atLeast"/>
        </w:trPr>
        <w:tc>
          <w:tcPr>
            <w:tcW w:w="1679"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5.98</w:t>
            </w:r>
          </w:p>
        </w:tc>
        <w:tc>
          <w:tcPr>
            <w:tcW w:w="1415" w:type="dxa"/>
            <w:vAlign w:val="top"/>
          </w:tcPr>
          <w:p>
            <w:pPr>
              <w:ind w:left="1067"/>
              <w:spacing w:before="7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.28</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377"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8"/>
            <w:bookmarkEnd w:id="18"/>
            <w:bookmarkStart w:name="bookmark11" w:id="19"/>
            <w:bookmarkEnd w:id="19"/>
            <w:bookmarkStart w:name="bookmark12" w:id="20"/>
            <w:bookmarkEnd w:id="20"/>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7" w:line="186" w:lineRule="auto"/>
              <w:rPr>
                <w:sz w:val="13"/>
                <w:szCs w:val="13"/>
              </w:rPr>
            </w:pPr>
            <w:r>
              <w:rPr>
                <w:sz w:val="13"/>
                <w:szCs w:val="13"/>
                <w:color w:val="212529"/>
                <w:spacing w:val="3"/>
              </w:rPr>
              <w:t>174.</w:t>
            </w:r>
            <w:r>
              <w:rPr>
                <w:sz w:val="13"/>
                <w:szCs w:val="13"/>
                <w:color w:val="212529"/>
                <w:spacing w:val="11"/>
              </w:rPr>
              <w:t xml:space="preserve"> </w:t>
            </w:r>
            <w:r>
              <w:rPr>
                <w:sz w:val="13"/>
                <w:szCs w:val="13"/>
                <w:color w:val="212529"/>
                <w:spacing w:val="3"/>
              </w:rPr>
              <w:t>72</w:t>
            </w:r>
          </w:p>
        </w:tc>
        <w:tc>
          <w:tcPr>
            <w:tcW w:w="1188" w:type="dxa"/>
            <w:vAlign w:val="top"/>
          </w:tcPr>
          <w:p>
            <w:pPr>
              <w:pStyle w:val="TableText"/>
              <w:ind w:left="694"/>
              <w:spacing w:before="87" w:line="186" w:lineRule="auto"/>
              <w:rPr>
                <w:sz w:val="13"/>
                <w:szCs w:val="13"/>
              </w:rPr>
            </w:pPr>
            <w:r>
              <w:rPr>
                <w:sz w:val="13"/>
                <w:szCs w:val="13"/>
                <w:color w:val="212529"/>
                <w:spacing w:val="1"/>
              </w:rPr>
              <w:t>162.</w:t>
            </w:r>
            <w:r>
              <w:rPr>
                <w:sz w:val="13"/>
                <w:szCs w:val="13"/>
                <w:color w:val="212529"/>
                <w:spacing w:val="16"/>
                <w:w w:val="101"/>
              </w:rPr>
              <w:t xml:space="preserve"> </w:t>
            </w:r>
            <w:r>
              <w:rPr>
                <w:sz w:val="13"/>
                <w:szCs w:val="13"/>
                <w:color w:val="212529"/>
                <w:spacing w:val="1"/>
              </w:rPr>
              <w:t>21</w:t>
            </w:r>
          </w:p>
        </w:tc>
        <w:tc>
          <w:tcPr>
            <w:tcW w:w="1118" w:type="dxa"/>
            <w:vAlign w:val="top"/>
          </w:tcPr>
          <w:p>
            <w:pPr>
              <w:pStyle w:val="TableText"/>
              <w:ind w:left="699"/>
              <w:spacing w:before="87" w:line="186" w:lineRule="auto"/>
              <w:rPr>
                <w:sz w:val="13"/>
                <w:szCs w:val="13"/>
              </w:rPr>
            </w:pPr>
            <w:r>
              <w:rPr>
                <w:sz w:val="13"/>
                <w:szCs w:val="13"/>
                <w:color w:val="212529"/>
              </w:rPr>
              <w:t>12.</w:t>
            </w:r>
            <w:r>
              <w:rPr>
                <w:sz w:val="13"/>
                <w:szCs w:val="13"/>
                <w:color w:val="212529"/>
                <w:spacing w:val="14"/>
                <w:w w:val="101"/>
              </w:rPr>
              <w:t xml:space="preserve"> </w:t>
            </w:r>
            <w:r>
              <w:rPr>
                <w:sz w:val="13"/>
                <w:szCs w:val="13"/>
                <w:color w:val="212529"/>
              </w:rPr>
              <w:t>51</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150.71</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150.71</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52.10</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52.10</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24.73</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24.73</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36.99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36.99</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14.57</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5.92</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5.92</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13.28</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12.51</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53"/>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1.82</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c>
          <w:tcPr>
            <w:tcW w:w="1118" w:type="dxa"/>
            <w:vAlign w:val="top"/>
          </w:tcPr>
          <w:p>
            <w:pPr>
              <w:pStyle w:val="TableText"/>
              <w:rPr/>
            </w:pPr>
            <w:r/>
          </w:p>
        </w:tc>
      </w:tr>
      <w:tr>
        <w:trPr>
          <w:trHeight w:val="298" w:hRule="atLeast"/>
        </w:trPr>
        <w:tc>
          <w:tcPr>
            <w:tcW w:w="3310" w:type="dxa"/>
            <w:vAlign w:val="top"/>
          </w:tcPr>
          <w:p>
            <w:pPr>
              <w:ind w:left="330"/>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278" w:type="dxa"/>
            <w:vAlign w:val="top"/>
          </w:tcPr>
          <w:p>
            <w:pPr>
              <w:ind w:left="325"/>
              <w:spacing w:before="76"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w:t>
            </w:r>
          </w:p>
        </w:tc>
        <w:tc>
          <w:tcPr>
            <w:tcW w:w="1118"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1"/>
            <w:bookmarkEnd w:id="21"/>
            <w:bookmarkStart w:name="bookmark13" w:id="22"/>
            <w:bookmarkEnd w:id="22"/>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3"/>
            <w:bookmarkEnd w:id="23"/>
            <w:bookmarkStart w:name="bookmark14" w:id="24"/>
            <w:bookmarkEnd w:id="24"/>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5"/>
            <w:bookmarkEnd w:id="25"/>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6"/>
            <w:bookmarkEnd w:id="26"/>
            <w:bookmarkStart w:name="bookmark16" w:id="27"/>
            <w:bookmarkEnd w:id="27"/>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8"/>
            <w:bookmarkEnd w:id="28"/>
            <w:bookmarkStart w:name="bookmark17" w:id="29"/>
            <w:bookmarkEnd w:id="29"/>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369" w:right="50"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42" w:type="dxa"/>
            <w:vAlign w:val="top"/>
          </w:tcPr>
          <w:p>
            <w:pPr>
              <w:ind w:left="523" w:right="60"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兴县孟家坪乡卫生院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11.63</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0.43</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9"/>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8"/>
              </w:rPr>
              <w:t>室）晋财社［2024］208号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2.28</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658"/>
              <w:spacing w:before="19" w:line="226" w:lineRule="auto"/>
              <w:rPr>
                <w:rFonts w:ascii="SimSun" w:hAnsi="SimSun" w:eastAsia="SimSun" w:cs="SimSun"/>
                <w:sz w:val="15"/>
                <w:szCs w:val="15"/>
              </w:rPr>
            </w:pPr>
            <w:r>
              <w:rPr>
                <w:rFonts w:ascii="SimSun" w:hAnsi="SimSun" w:eastAsia="SimSun" w:cs="SimSun"/>
                <w:sz w:val="15"/>
                <w:szCs w:val="15"/>
                <w:color w:val="212529"/>
                <w:spacing w:val="11"/>
              </w:rPr>
              <w:t>省级财政医疗卫生机构改革与发</w:t>
            </w:r>
          </w:p>
          <w:p>
            <w:pPr>
              <w:ind w:left="492" w:right="91" w:firstLine="164"/>
              <w:spacing w:before="1" w:line="207" w:lineRule="auto"/>
              <w:rPr>
                <w:rFonts w:ascii="SimSun" w:hAnsi="SimSun" w:eastAsia="SimSun" w:cs="SimSun"/>
                <w:sz w:val="15"/>
                <w:szCs w:val="15"/>
              </w:rPr>
            </w:pPr>
            <w:r>
              <w:rPr>
                <w:rFonts w:ascii="SimSun" w:hAnsi="SimSun" w:eastAsia="SimSun" w:cs="SimSun"/>
                <w:sz w:val="15"/>
                <w:szCs w:val="15"/>
                <w:color w:val="212529"/>
                <w:spacing w:val="11"/>
              </w:rPr>
              <w:t>金（村卫生室运行维护费）晋财</w:t>
            </w:r>
            <w:r>
              <w:rPr>
                <w:rFonts w:ascii="SimSun" w:hAnsi="SimSun" w:eastAsia="SimSun" w:cs="SimSun"/>
                <w:sz w:val="15"/>
                <w:szCs w:val="15"/>
                <w:color w:val="212529"/>
                <w:spacing w:val="5"/>
              </w:rPr>
              <w:t>4]209号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0.56</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0.56</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1" w:right="172" w:firstLine="181"/>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0.76</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0.76</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0"/>
            <w:bookmarkEnd w:id="30"/>
            <w:bookmarkStart w:name="bookmark18" w:id="31"/>
            <w:bookmarkEnd w:id="31"/>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9"/>
          <w:position w:val="-1"/>
        </w:rPr>
        <w:t>一、单位预算收支数据变动情况及原因</w:t>
      </w:r>
    </w:p>
    <w:p>
      <w:pPr>
        <w:ind w:left="1259" w:right="1223" w:firstLine="461"/>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2025年度兴县孟家坪乡卫生院预算收入总计186.35万元，</w:t>
      </w:r>
      <w:r>
        <w:rPr>
          <w:rFonts w:ascii="FangSong" w:hAnsi="FangSong" w:eastAsia="FangSong" w:cs="FangSong"/>
          <w:sz w:val="23"/>
          <w:szCs w:val="23"/>
          <w:spacing w:val="4"/>
        </w:rPr>
        <w:t>其中：本年收入186.35万元，</w:t>
      </w:r>
      <w:r>
        <w:rPr>
          <w:rFonts w:ascii="FangSong" w:hAnsi="FangSong" w:eastAsia="FangSong" w:cs="FangSong"/>
          <w:sz w:val="23"/>
          <w:szCs w:val="23"/>
          <w:spacing w:val="4"/>
        </w:rPr>
        <w:t>上年结转0万元，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比上年减少24.94万元，下降11.80%，</w:t>
      </w:r>
      <w:r>
        <w:rPr>
          <w:rFonts w:ascii="FangSong" w:hAnsi="FangSong" w:eastAsia="FangSong" w:cs="FangSong"/>
          <w:sz w:val="23"/>
          <w:szCs w:val="23"/>
          <w:spacing w:val="3"/>
        </w:rPr>
        <w:t>主要原因是项目资金减少。；本年单</w:t>
      </w:r>
      <w:r>
        <w:rPr>
          <w:rFonts w:ascii="FangSong" w:hAnsi="FangSong" w:eastAsia="FangSong" w:cs="FangSong"/>
          <w:sz w:val="23"/>
          <w:szCs w:val="23"/>
          <w:spacing w:val="2"/>
        </w:rPr>
        <w:t>位预算支出总计186.35万元，其中：本年预算安排186.35万元，上年结转0万元，比上年减少</w:t>
      </w:r>
      <w:r>
        <w:rPr>
          <w:rFonts w:ascii="FangSong" w:hAnsi="FangSong" w:eastAsia="FangSong" w:cs="FangSong"/>
          <w:sz w:val="23"/>
          <w:szCs w:val="23"/>
        </w:rPr>
        <w:t>24.94万元，下降11.80%，主要原因是项目资金减少。</w:t>
      </w:r>
    </w:p>
    <w:p>
      <w:pPr>
        <w:ind w:left="1261"/>
        <w:spacing w:line="229"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8"/>
          <w:position w:val="-1"/>
        </w:rPr>
        <w:t>二、收入预算情况说明</w:t>
      </w:r>
    </w:p>
    <w:p>
      <w:pPr>
        <w:ind w:left="1263" w:right="1223" w:firstLine="456"/>
        <w:spacing w:before="172" w:line="325" w:lineRule="auto"/>
        <w:tabs>
          <w:tab w:val="left" w:pos="1510"/>
        </w:tabs>
        <w:rPr>
          <w:rFonts w:ascii="FangSong" w:hAnsi="FangSong" w:eastAsia="FangSong" w:cs="FangSong"/>
          <w:sz w:val="23"/>
          <w:szCs w:val="23"/>
        </w:rPr>
      </w:pPr>
      <w:r>
        <w:rPr>
          <w:rFonts w:ascii="FangSong" w:hAnsi="FangSong" w:eastAsia="FangSong" w:cs="FangSong"/>
          <w:sz w:val="23"/>
          <w:szCs w:val="23"/>
          <w:spacing w:val="11"/>
        </w:rPr>
        <w:t>2025年度兴县孟家坪乡卫生院预算收入186.3</w:t>
      </w:r>
      <w:r>
        <w:rPr>
          <w:rFonts w:ascii="FangSong" w:hAnsi="FangSong" w:eastAsia="FangSong" w:cs="FangSong"/>
          <w:sz w:val="23"/>
          <w:szCs w:val="23"/>
          <w:spacing w:val="10"/>
        </w:rPr>
        <w:t>5万元，主要包括一般公共预算拨款收入</w:t>
      </w:r>
      <w:r>
        <w:rPr>
          <w:rFonts w:ascii="FangSong" w:hAnsi="FangSong" w:eastAsia="FangSong" w:cs="FangSong"/>
          <w:sz w:val="23"/>
          <w:szCs w:val="23"/>
          <w:spacing w:val="1"/>
        </w:rPr>
        <w:t>186.35万元，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spacing w:val="1"/>
        </w:rPr>
        <w:t>国有资</w:t>
      </w:r>
      <w:r>
        <w:rPr>
          <w:rFonts w:ascii="FangSong" w:hAnsi="FangSong" w:eastAsia="FangSong" w:cs="FangSong"/>
          <w:sz w:val="23"/>
          <w:szCs w:val="23"/>
        </w:rPr>
        <w:t>本经营预算拨款收</w:t>
      </w:r>
      <w:r>
        <w:rPr>
          <w:rFonts w:ascii="FangSong" w:hAnsi="FangSong" w:eastAsia="FangSong" w:cs="FangSong"/>
          <w:sz w:val="23"/>
          <w:szCs w:val="23"/>
        </w:rPr>
        <w:t>入0</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spacing w:val="-55"/>
        </w:rPr>
        <w:t xml:space="preserve"> </w:t>
      </w:r>
      <w:r>
        <w:rPr>
          <w:rFonts w:ascii="FangSong" w:hAnsi="FangSong" w:eastAsia="FangSong" w:cs="FangSong"/>
          <w:sz w:val="23"/>
          <w:szCs w:val="23"/>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spacing w:val="-1"/>
        </w:rPr>
        <w:t>%；上</w:t>
      </w:r>
      <w:r>
        <w:rPr>
          <w:rFonts w:ascii="FangSong" w:hAnsi="FangSong" w:eastAsia="FangSong" w:cs="FangSong"/>
          <w:sz w:val="23"/>
          <w:szCs w:val="23"/>
          <w:spacing w:val="8"/>
        </w:rPr>
        <w:t xml:space="preserve">    </w:t>
      </w:r>
      <w:r>
        <w:rPr>
          <w:rFonts w:ascii="FangSong" w:hAnsi="FangSong" w:eastAsia="FangSong" w:cs="FangSong"/>
          <w:sz w:val="23"/>
          <w:szCs w:val="23"/>
          <w:spacing w:val="-1"/>
        </w:rPr>
        <w:t>转0万</w:t>
      </w:r>
      <w:r>
        <w:rPr>
          <w:rFonts w:ascii="FangSong" w:hAnsi="FangSong" w:eastAsia="FangSong" w:cs="FangSong"/>
          <w:sz w:val="23"/>
          <w:szCs w:val="23"/>
        </w:rPr>
        <w:tab/>
      </w:r>
      <w:r>
        <w:rPr>
          <w:rFonts w:ascii="FangSong" w:hAnsi="FangSong" w:eastAsia="FangSong" w:cs="FangSong"/>
          <w:sz w:val="23"/>
          <w:szCs w:val="23"/>
          <w:spacing w:val="-22"/>
        </w:rPr>
        <w:t>,</w:t>
      </w:r>
      <w:r>
        <w:rPr>
          <w:rFonts w:ascii="FangSong" w:hAnsi="FangSong" w:eastAsia="FangSong" w:cs="FangSong"/>
          <w:sz w:val="23"/>
          <w:szCs w:val="23"/>
          <w:spacing w:val="19"/>
        </w:rPr>
        <w:t xml:space="preserve">   </w:t>
      </w:r>
      <w:r>
        <w:rPr>
          <w:rFonts w:ascii="FangSong" w:hAnsi="FangSong" w:eastAsia="FangSong" w:cs="FangSong"/>
          <w:sz w:val="23"/>
          <w:szCs w:val="23"/>
          <w:spacing w:val="-22"/>
        </w:rPr>
        <w:t>0%。</w:t>
      </w:r>
    </w:p>
    <w:p>
      <w:pPr>
        <w:pStyle w:val="BodyText"/>
        <w:spacing w:line="367" w:lineRule="auto"/>
        <w:rPr/>
      </w:pPr>
      <w:r/>
    </w:p>
    <w:p>
      <w:pPr>
        <w:ind w:firstLine="3685"/>
        <w:spacing w:before="1"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9"/>
        </w:rPr>
        <w:t>2025年度兴县</w:t>
      </w:r>
      <w:r>
        <w:rPr>
          <w:rFonts w:ascii="FangSong" w:hAnsi="FangSong" w:eastAsia="FangSong" w:cs="FangSong"/>
          <w:sz w:val="23"/>
          <w:szCs w:val="23"/>
          <w:spacing w:val="9"/>
        </w:rPr>
        <w:t xml:space="preserve">        </w:t>
      </w:r>
      <w:r>
        <w:rPr>
          <w:rFonts w:ascii="FangSong" w:hAnsi="FangSong" w:eastAsia="FangSong" w:cs="FangSong"/>
          <w:sz w:val="23"/>
          <w:szCs w:val="23"/>
          <w:spacing w:val="9"/>
        </w:rPr>
        <w:t>卫生院支出预算186.35万元，其中：基本</w:t>
      </w:r>
      <w:r>
        <w:rPr>
          <w:rFonts w:ascii="FangSong" w:hAnsi="FangSong" w:eastAsia="FangSong" w:cs="FangSong"/>
          <w:sz w:val="23"/>
          <w:szCs w:val="23"/>
          <w:spacing w:val="8"/>
        </w:rPr>
        <w:t>支出174.72万元，</w:t>
      </w:r>
      <w:r>
        <w:rPr>
          <w:rFonts w:ascii="FangSong" w:hAnsi="FangSong" w:eastAsia="FangSong" w:cs="FangSong"/>
          <w:sz w:val="23"/>
          <w:szCs w:val="23"/>
          <w:spacing w:val="-46"/>
        </w:rPr>
        <w:t xml:space="preserve"> </w:t>
      </w:r>
      <w:r>
        <w:rPr>
          <w:rFonts w:ascii="FangSong" w:hAnsi="FangSong" w:eastAsia="FangSong" w:cs="FangSong"/>
          <w:sz w:val="23"/>
          <w:szCs w:val="23"/>
          <w:spacing w:val="8"/>
        </w:rPr>
        <w:t>占</w:t>
      </w:r>
    </w:p>
    <w:p>
      <w:pPr>
        <w:ind w:left="1257"/>
        <w:spacing w:before="123" w:line="223" w:lineRule="auto"/>
        <w:rPr>
          <w:rFonts w:ascii="FangSong" w:hAnsi="FangSong" w:eastAsia="FangSong" w:cs="FangSong"/>
          <w:sz w:val="23"/>
          <w:szCs w:val="23"/>
        </w:rPr>
      </w:pPr>
      <w:r>
        <w:rPr>
          <w:rFonts w:ascii="FangSong" w:hAnsi="FangSong" w:eastAsia="FangSong" w:cs="FangSong"/>
          <w:sz w:val="23"/>
          <w:szCs w:val="23"/>
          <w:spacing w:val="-3"/>
        </w:rPr>
        <w:t>93.76%；项目</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5"/>
        </w:rPr>
        <w:t xml:space="preserve"> </w:t>
      </w:r>
      <w:r>
        <w:rPr>
          <w:rFonts w:ascii="FangSong" w:hAnsi="FangSong" w:eastAsia="FangSong" w:cs="FangSong"/>
          <w:sz w:val="23"/>
          <w:szCs w:val="23"/>
          <w:spacing w:val="-3"/>
        </w:rPr>
        <w:t>3万元，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占6.24%。</w:t>
      </w:r>
    </w:p>
    <w:p>
      <w:pPr>
        <w:ind w:left="1271"/>
        <w:spacing w:before="129"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2025年度兴县孟家坪乡卫生院财政拨款收支总预算186.35万元。其中：一般公共预算拨</w:t>
      </w:r>
      <w:r>
        <w:rPr>
          <w:rFonts w:ascii="FangSong" w:hAnsi="FangSong" w:eastAsia="FangSong" w:cs="FangSong"/>
          <w:sz w:val="23"/>
          <w:szCs w:val="23"/>
          <w:spacing w:val="3"/>
        </w:rPr>
        <w:t>款186.35万元，政府性基金预算拨款0万元，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spacing w:val="5"/>
        </w:rPr>
        <w:t>收入186.35万元，上年结转收入0万元。支出包括：社会</w:t>
      </w:r>
      <w:r>
        <w:rPr>
          <w:rFonts w:ascii="FangSong" w:hAnsi="FangSong" w:eastAsia="FangSong" w:cs="FangSong"/>
          <w:sz w:val="23"/>
          <w:szCs w:val="23"/>
          <w:spacing w:val="4"/>
        </w:rPr>
        <w:t>保障和就业支出14.57万元、卫生健</w:t>
      </w:r>
      <w:r>
        <w:rPr>
          <w:rFonts w:ascii="FangSong" w:hAnsi="FangSong" w:eastAsia="FangSong" w:cs="FangSong"/>
          <w:sz w:val="23"/>
          <w:szCs w:val="23"/>
        </w:rPr>
        <w:t>康支出158.49万元、住房保障支出13.28</w:t>
      </w:r>
      <w:r>
        <w:rPr>
          <w:rFonts w:ascii="FangSong" w:hAnsi="FangSong" w:eastAsia="FangSong" w:cs="FangSong"/>
          <w:sz w:val="23"/>
          <w:szCs w:val="23"/>
          <w:spacing w:val="-1"/>
        </w:rPr>
        <w:t>万元等。</w:t>
      </w:r>
    </w:p>
    <w:p>
      <w:pPr>
        <w:ind w:left="1264"/>
        <w:spacing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3" w:line="322" w:lineRule="auto"/>
        <w:rPr>
          <w:rFonts w:ascii="FangSong" w:hAnsi="FangSong" w:eastAsia="FangSong" w:cs="FangSong"/>
          <w:sz w:val="23"/>
          <w:szCs w:val="23"/>
        </w:rPr>
      </w:pPr>
      <w:r>
        <w:rPr>
          <w:rFonts w:ascii="FangSong" w:hAnsi="FangSong" w:eastAsia="FangSong" w:cs="FangSong"/>
          <w:sz w:val="23"/>
          <w:szCs w:val="23"/>
          <w:spacing w:val="8"/>
        </w:rPr>
        <w:t>2025年度兴县孟家坪乡卫生院一般公共预算当年支出18</w:t>
      </w:r>
      <w:r>
        <w:rPr>
          <w:rFonts w:ascii="FangSong" w:hAnsi="FangSong" w:eastAsia="FangSong" w:cs="FangSong"/>
          <w:sz w:val="23"/>
          <w:szCs w:val="23"/>
          <w:spacing w:val="7"/>
        </w:rPr>
        <w:t>6.35万元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比上年减少24.94万</w:t>
      </w:r>
      <w:r>
        <w:rPr>
          <w:rFonts w:ascii="FangSong" w:hAnsi="FangSong" w:eastAsia="FangSong" w:cs="FangSong"/>
          <w:sz w:val="23"/>
          <w:szCs w:val="23"/>
          <w:spacing w:val="-2"/>
        </w:rPr>
        <w:t>元，下降11.8%。</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年度兴县孟家坪乡卫生院一般公共预算当年支出186.35万元,主要用于以</w:t>
      </w:r>
      <w:r>
        <w:rPr>
          <w:rFonts w:ascii="FangSong" w:hAnsi="FangSong" w:eastAsia="FangSong" w:cs="FangSong"/>
          <w:sz w:val="23"/>
          <w:szCs w:val="23"/>
          <w:spacing w:val="2"/>
        </w:rPr>
        <w:t xml:space="preserve">      </w:t>
      </w:r>
      <w:r>
        <w:rPr>
          <w:rFonts w:ascii="FangSong" w:hAnsi="FangSong" w:eastAsia="FangSong" w:cs="FangSong"/>
          <w:sz w:val="23"/>
          <w:szCs w:val="23"/>
          <w:spacing w:val="2"/>
        </w:rPr>
        <w:t>：社</w:t>
      </w:r>
    </w:p>
    <w:p>
      <w:pPr>
        <w:ind w:left="1502"/>
        <w:spacing w:before="124" w:line="221" w:lineRule="auto"/>
        <w:rPr>
          <w:rFonts w:ascii="FangSong" w:hAnsi="FangSong" w:eastAsia="FangSong" w:cs="FangSong"/>
          <w:sz w:val="23"/>
          <w:szCs w:val="23"/>
        </w:rPr>
      </w:pPr>
      <w:r>
        <w:rPr>
          <w:rFonts w:ascii="FangSong" w:hAnsi="FangSong" w:eastAsia="FangSong" w:cs="FangSong"/>
          <w:sz w:val="23"/>
          <w:szCs w:val="23"/>
          <w:spacing w:val="2"/>
        </w:rPr>
        <w:t>保障和就业支出14.57万元，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占7.82%；卫生健康支出</w:t>
      </w:r>
      <w:r>
        <w:rPr>
          <w:rFonts w:ascii="FangSong" w:hAnsi="FangSong" w:eastAsia="FangSong" w:cs="FangSong"/>
          <w:sz w:val="23"/>
          <w:szCs w:val="23"/>
          <w:spacing w:val="1"/>
        </w:rPr>
        <w:t>158.49万元，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住房保障支</w:t>
      </w:r>
    </w:p>
    <w:p>
      <w:pPr>
        <w:ind w:left="1287"/>
        <w:spacing w:before="135" w:line="224" w:lineRule="auto"/>
        <w:rPr>
          <w:rFonts w:ascii="FangSong" w:hAnsi="FangSong" w:eastAsia="FangSong" w:cs="FangSong"/>
          <w:sz w:val="23"/>
          <w:szCs w:val="23"/>
        </w:rPr>
      </w:pPr>
      <w:r>
        <w:rPr>
          <w:rFonts w:ascii="FangSong" w:hAnsi="FangSong" w:eastAsia="FangSong" w:cs="FangSong"/>
          <w:sz w:val="23"/>
          <w:szCs w:val="23"/>
          <w:spacing w:val="-6"/>
        </w:rPr>
        <w:t>出13.28万元，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占7.13%等。</w:t>
      </w:r>
    </w:p>
    <w:p>
      <w:pPr>
        <w:spacing w:line="224" w:lineRule="auto"/>
        <w:sectPr>
          <w:headerReference w:type="default" r:id="rId35"/>
          <w:footerReference w:type="default" r:id="rId36"/>
          <w:pgSz w:w="11900" w:h="16840"/>
          <w:pgMar w:top="642" w:right="0" w:bottom="340" w:left="0" w:header="326" w:footer="93"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4664"/>
        <w:spacing w:line="2463" w:lineRule="exact"/>
        <w:rPr/>
      </w:pPr>
      <w:r>
        <w:rPr>
          <w:position w:val="-49"/>
        </w:rPr>
        <w:drawing>
          <wp:inline distT="0" distB="0" distL="0" distR="0">
            <wp:extent cx="1915185"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15185" cy="1564258"/>
                    </a:xfrm>
                    <a:prstGeom prst="rect">
                      <a:avLst/>
                    </a:prstGeom>
                  </pic:spPr>
                </pic:pic>
              </a:graphicData>
            </a:graphic>
          </wp:inline>
        </w:drawing>
      </w:r>
    </w:p>
    <w:p>
      <w:pPr>
        <w:pStyle w:val="BodyText"/>
        <w:spacing w:line="265" w:lineRule="auto"/>
        <w:rPr/>
      </w:pPr>
      <w:r/>
    </w:p>
    <w:p>
      <w:pPr>
        <w:pStyle w:val="BodyText"/>
        <w:spacing w:line="265"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2025年度兴县孟家坪乡卫生院一般公共预算安排基本支出174.72万元，其中：</w:t>
      </w:r>
    </w:p>
    <w:p>
      <w:pPr>
        <w:ind w:left="1979"/>
        <w:spacing w:before="134" w:line="222" w:lineRule="auto"/>
        <w:rPr>
          <w:rFonts w:ascii="FangSong" w:hAnsi="FangSong" w:eastAsia="FangSong" w:cs="FangSong"/>
          <w:sz w:val="23"/>
          <w:szCs w:val="23"/>
        </w:rPr>
      </w:pPr>
      <w:r>
        <w:rPr>
          <w:rFonts w:ascii="FangSong" w:hAnsi="FangSong" w:eastAsia="FangSong" w:cs="FangSong"/>
          <w:sz w:val="23"/>
          <w:szCs w:val="23"/>
          <w:spacing w:val="4"/>
        </w:rPr>
        <w:t>员经费162.21万元，主要包括：其他对个人和家庭的补助、其他工资福利</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w:t>
      </w:r>
    </w:p>
    <w:p>
      <w:pPr>
        <w:ind w:left="1984"/>
        <w:spacing w:before="123" w:line="221" w:lineRule="auto"/>
        <w:rPr>
          <w:rFonts w:ascii="FangSong" w:hAnsi="FangSong" w:eastAsia="FangSong" w:cs="FangSong"/>
          <w:sz w:val="23"/>
          <w:szCs w:val="23"/>
        </w:rPr>
      </w:pPr>
      <w:r>
        <w:rPr>
          <w:rFonts w:ascii="FangSong" w:hAnsi="FangSong" w:eastAsia="FangSong" w:cs="FangSong"/>
          <w:sz w:val="23"/>
          <w:szCs w:val="23"/>
          <w:spacing w:val="4"/>
        </w:rPr>
        <w:t>障缴费、绩效工资、基本工资、机关事业单位基本养老保险缴费、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金、职工</w:t>
      </w:r>
    </w:p>
    <w:p>
      <w:pPr>
        <w:ind w:left="1263"/>
        <w:spacing w:before="125" w:line="221" w:lineRule="auto"/>
        <w:rPr>
          <w:rFonts w:ascii="FangSong" w:hAnsi="FangSong" w:eastAsia="FangSong" w:cs="FangSong"/>
          <w:sz w:val="23"/>
          <w:szCs w:val="23"/>
        </w:rPr>
      </w:pPr>
      <w:r>
        <w:rPr>
          <w:rFonts w:ascii="FangSong" w:hAnsi="FangSong" w:eastAsia="FangSong" w:cs="FangSong"/>
          <w:sz w:val="23"/>
          <w:szCs w:val="23"/>
          <w:spacing w:val="-1"/>
        </w:rPr>
        <w:t>基本医疗保险缴费、津贴补贴等；</w:t>
      </w:r>
    </w:p>
    <w:p>
      <w:pPr>
        <w:ind w:left="1729"/>
        <w:spacing w:before="135" w:line="223" w:lineRule="auto"/>
        <w:rPr>
          <w:rFonts w:ascii="FangSong" w:hAnsi="FangSong" w:eastAsia="FangSong" w:cs="FangSong"/>
          <w:sz w:val="23"/>
          <w:szCs w:val="23"/>
        </w:rPr>
      </w:pPr>
      <w:r>
        <w:rPr>
          <w:rFonts w:ascii="FangSong" w:hAnsi="FangSong" w:eastAsia="FangSong" w:cs="FangSong"/>
          <w:sz w:val="23"/>
          <w:szCs w:val="23"/>
        </w:rPr>
        <w:t>公用经费12.51万元，主要包括：福利费、工会经费、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8"/>
        <w:spacing w:before="122" w:line="225" w:lineRule="exact"/>
        <w:outlineLvl w:val="1"/>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9"/>
          <w:position w:val="-1"/>
        </w:rPr>
        <w:t>九、政府采购情况</w:t>
      </w:r>
    </w:p>
    <w:p>
      <w:pPr>
        <w:ind w:left="1264" w:right="1260" w:firstLine="455"/>
        <w:spacing w:before="189" w:line="319" w:lineRule="auto"/>
        <w:rPr>
          <w:rFonts w:ascii="FangSong" w:hAnsi="FangSong" w:eastAsia="FangSong" w:cs="FangSong"/>
          <w:sz w:val="23"/>
          <w:szCs w:val="23"/>
        </w:rPr>
      </w:pPr>
      <w:r>
        <w:rPr>
          <w:rFonts w:ascii="FangSong" w:hAnsi="FangSong" w:eastAsia="FangSong" w:cs="FangSong"/>
          <w:sz w:val="23"/>
          <w:szCs w:val="23"/>
          <w:spacing w:val="4"/>
        </w:rPr>
        <w:t>2025年兴县孟家坪乡卫生院政府采购预算总额0万元。其中：政府采购货物预算0万元、</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1260"/>
        <w:spacing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64"/>
        <w:spacing w:before="123" w:line="221" w:lineRule="auto"/>
        <w:rPr>
          <w:rFonts w:ascii="FangSong" w:hAnsi="FangSong" w:eastAsia="FangSong" w:cs="FangSong"/>
          <w:sz w:val="23"/>
          <w:szCs w:val="23"/>
        </w:rPr>
      </w:pPr>
      <w:r>
        <w:rPr>
          <w:rFonts w:ascii="FangSong" w:hAnsi="FangSong" w:eastAsia="FangSong" w:cs="FangSong"/>
          <w:sz w:val="23"/>
          <w:szCs w:val="23"/>
          <w:spacing w:val="-1"/>
        </w:rPr>
        <w:t>本单位无大型</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0"/>
        </w:rPr>
        <w:t xml:space="preserve">  </w:t>
      </w:r>
      <w:r>
        <w:rPr>
          <w:rFonts w:ascii="FangSong" w:hAnsi="FangSong" w:eastAsia="FangSong" w:cs="FangSong"/>
          <w:sz w:val="23"/>
          <w:szCs w:val="23"/>
          <w:spacing w:val="-1"/>
        </w:rPr>
        <w:t>有基本项目，无整体绩效目标</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4" w:right="1223" w:firstLine="455"/>
        <w:spacing w:before="135" w:line="323" w:lineRule="auto"/>
        <w:rPr>
          <w:rFonts w:ascii="FangSong" w:hAnsi="FangSong" w:eastAsia="FangSong" w:cs="FangSong"/>
          <w:sz w:val="23"/>
          <w:szCs w:val="23"/>
        </w:rPr>
      </w:pPr>
      <w:r>
        <w:rPr>
          <w:rFonts w:ascii="FangSong" w:hAnsi="FangSong" w:eastAsia="FangSong" w:cs="FangSong"/>
          <w:sz w:val="23"/>
          <w:szCs w:val="23"/>
          <w:spacing w:val="5"/>
        </w:rPr>
        <w:t>20</w:t>
      </w:r>
      <w:r>
        <w:rPr>
          <w:rFonts w:ascii="FangSong" w:hAnsi="FangSong" w:eastAsia="FangSong" w:cs="FangSong"/>
          <w:sz w:val="23"/>
          <w:szCs w:val="23"/>
          <w:spacing w:val="5"/>
        </w:rPr>
        <w:t xml:space="preserve">  </w:t>
      </w:r>
      <w:r>
        <w:rPr>
          <w:rFonts w:ascii="FangSong" w:hAnsi="FangSong" w:eastAsia="FangSong" w:cs="FangSong"/>
          <w:sz w:val="23"/>
          <w:szCs w:val="23"/>
          <w:spacing w:val="5"/>
        </w:rPr>
        <w:t>年兴县孟家坪乡卫生院纳入绩效目标管理的二级项目6个，共计金额11.63万元。其</w:t>
      </w:r>
      <w:r>
        <w:rPr>
          <w:rFonts w:ascii="FangSong" w:hAnsi="FangSong" w:eastAsia="FangSong" w:cs="FangSong"/>
          <w:sz w:val="23"/>
          <w:szCs w:val="23"/>
          <w:spacing w:val="5"/>
        </w:rPr>
        <w:t>中：其他运转类项目0个，涉及金额0万元；特定目标类项目6个，涉及金额</w:t>
      </w:r>
      <w:r>
        <w:rPr>
          <w:rFonts w:ascii="FangSong" w:hAnsi="FangSong" w:eastAsia="FangSong" w:cs="FangSong"/>
          <w:sz w:val="23"/>
          <w:szCs w:val="23"/>
          <w:spacing w:val="4"/>
        </w:rPr>
        <w:t>11.63万元。公开</w:t>
      </w:r>
      <w:r>
        <w:rPr>
          <w:rFonts w:ascii="FangSong" w:hAnsi="FangSong" w:eastAsia="FangSong" w:cs="FangSong"/>
          <w:sz w:val="23"/>
          <w:szCs w:val="23"/>
          <w:spacing w:val="3"/>
        </w:rPr>
        <w:t>项目绩效目标6个，涉及项目金额11.63万元，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其他运转类项目0个，涉及项目金额0万元；特定目标类项目6个，涉及项目金额11.63万元。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91" w:gutter="0"/>
        </w:sectPr>
        <w:rPr>
          <w:rFonts w:ascii="FangSong" w:hAnsi="FangSong" w:eastAsia="FangSong" w:cs="FangSong"/>
          <w:sz w:val="23"/>
          <w:szCs w:val="23"/>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3"/>
      <w:bookmarkEnd w:id="43"/>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2"/>
        </w:rPr>
        <w:t>截至2025年4月30日，兴县孟家坪乡卫生院共有公务用车编制0辆，实有0辆，其中：领导</w:t>
      </w:r>
      <w:r>
        <w:rPr>
          <w:rFonts w:ascii="FangSong" w:hAnsi="FangSong" w:eastAsia="FangSong" w:cs="FangSong"/>
          <w:sz w:val="23"/>
          <w:szCs w:val="23"/>
          <w:spacing w:val="5"/>
        </w:rPr>
        <w:t>用车辆，机要通信用车0辆，应急保障用车0辆，执法执勤用车0辆，特种专业技术用车0辆，</w:t>
      </w:r>
      <w:r>
        <w:rPr>
          <w:rFonts w:ascii="FangSong" w:hAnsi="FangSong" w:eastAsia="FangSong" w:cs="FangSong"/>
          <w:sz w:val="23"/>
          <w:szCs w:val="23"/>
          <w:spacing w:val="-1"/>
        </w:rPr>
        <w:t>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截至2025年4月30日，兴县孟家坪乡卫生院使用的办公用房建筑总面积845平方米。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58" w:right="1223" w:firstLine="466"/>
        <w:spacing w:before="135" w:line="320" w:lineRule="auto"/>
        <w:rPr>
          <w:rFonts w:ascii="FangSong" w:hAnsi="FangSong" w:eastAsia="FangSong" w:cs="FangSong"/>
          <w:sz w:val="23"/>
          <w:szCs w:val="23"/>
        </w:rPr>
      </w:pPr>
      <w:r>
        <w:rPr>
          <w:rFonts w:ascii="FangSong" w:hAnsi="FangSong" w:eastAsia="FangSong" w:cs="FangSong"/>
          <w:sz w:val="23"/>
          <w:szCs w:val="23"/>
          <w:spacing w:val="2"/>
        </w:rPr>
        <w:t>截至2025年4月30日，兴县孟家坪乡卫生院占有使用价值50万元（原值）以上的通用设备</w:t>
      </w:r>
      <w:r>
        <w:rPr>
          <w:rFonts w:ascii="FangSong" w:hAnsi="FangSong" w:eastAsia="FangSong" w:cs="FangSong"/>
          <w:sz w:val="23"/>
          <w:szCs w:val="23"/>
        </w:rPr>
        <w:t>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兴县孟家坪乡卫生院占有使用价值100万元（原值）以上的</w:t>
      </w:r>
      <w:r>
        <w:rPr>
          <w:rFonts w:ascii="FangSong" w:hAnsi="FangSong" w:eastAsia="FangSong" w:cs="FangSong"/>
          <w:sz w:val="23"/>
          <w:szCs w:val="23"/>
          <w:spacing w:val="-1"/>
        </w:rPr>
        <w:t>通用设备0台（套）。</w:t>
      </w:r>
    </w:p>
    <w:p>
      <w:pPr>
        <w:ind w:left="1260"/>
        <w:spacing w:line="227" w:lineRule="exact"/>
        <w:outlineLvl w:val="1"/>
        <w:rPr>
          <w:rFonts w:ascii="Microsoft YaHei" w:hAnsi="Microsoft YaHei" w:eastAsia="Microsoft YaHei" w:cs="Microsoft YaHei"/>
          <w:sz w:val="22"/>
          <w:szCs w:val="22"/>
        </w:rPr>
      </w:pPr>
      <w:bookmarkStart w:name="bookmark31" w:id="44"/>
      <w:bookmarkEnd w:id="44"/>
      <w:r>
        <w:rPr>
          <w:rFonts w:ascii="Microsoft YaHei" w:hAnsi="Microsoft YaHei" w:eastAsia="Microsoft YaHei" w:cs="Microsoft YaHei"/>
          <w:sz w:val="22"/>
          <w:szCs w:val="22"/>
          <w:spacing w:val="7"/>
          <w:position w:val="-1"/>
        </w:rPr>
        <w:t>十二、其他说明</w:t>
      </w:r>
    </w:p>
    <w:p>
      <w:pPr>
        <w:ind w:left="1959"/>
        <w:spacing w:before="185" w:line="221" w:lineRule="auto"/>
        <w:outlineLvl w:val="2"/>
        <w:rPr>
          <w:rFonts w:ascii="FangSong" w:hAnsi="FangSong" w:eastAsia="FangSong" w:cs="FangSong"/>
          <w:sz w:val="23"/>
          <w:szCs w:val="23"/>
        </w:rPr>
      </w:pPr>
      <w:bookmarkStart w:name="bookmark32" w:id="45"/>
      <w:bookmarkEnd w:id="45"/>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6"/>
      <w:bookmarkEnd w:id="46"/>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41"/>
          <w:footerReference w:type="default" r:id="rId42"/>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19"/>
        <w:spacing w:line="12639" w:lineRule="exact"/>
        <w:rPr/>
      </w:pPr>
      <w:r>
        <w:pict>
          <v:shape id="_x0000_s466" style="position:absolute;margin-left:391.92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68" style="position:absolute;margin-left:86.92pt;margin-top:472.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27211" cy="8025532"/>
            <wp:effectExtent l="0" t="0" r="0" b="0"/>
            <wp:docPr id="8" name="IM 8"/>
            <wp:cNvGraphicFramePr/>
            <a:graphic>
              <a:graphicData uri="http://schemas.openxmlformats.org/drawingml/2006/picture">
                <pic:pic>
                  <pic:nvPicPr>
                    <pic:cNvPr id="8" name="IM 8"/>
                    <pic:cNvPicPr/>
                  </pic:nvPicPr>
                  <pic:blipFill>
                    <a:blip r:embed="rId45"/>
                    <a:stretch>
                      <a:fillRect/>
                    </a:stretch>
                  </pic:blipFill>
                  <pic:spPr>
                    <a:xfrm rot="0">
                      <a:off x="0" y="0"/>
                      <a:ext cx="4627211" cy="8025532"/>
                    </a:xfrm>
                    <a:prstGeom prst="rect">
                      <a:avLst/>
                    </a:prstGeom>
                  </pic:spPr>
                </pic:pic>
              </a:graphicData>
            </a:graphic>
          </wp:inline>
        </w:drawing>
      </w:r>
    </w:p>
    <w:p>
      <w:pPr>
        <w:spacing w:line="12639" w:lineRule="exact"/>
        <w:sectPr>
          <w:headerReference w:type="default" r:id="rId43"/>
          <w:footerReference w:type="default" r:id="rId4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29"/>
        <w:spacing w:line="12639" w:lineRule="exact"/>
        <w:rPr/>
      </w:pPr>
      <w:r>
        <w:pict>
          <v:shape id="_x0000_s470"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72"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13480" cy="8025532"/>
            <wp:effectExtent l="0" t="0" r="0" b="0"/>
            <wp:docPr id="10" name="IM 10"/>
            <wp:cNvGraphicFramePr/>
            <a:graphic>
              <a:graphicData uri="http://schemas.openxmlformats.org/drawingml/2006/picture">
                <pic:pic>
                  <pic:nvPicPr>
                    <pic:cNvPr id="10" name="IM 10"/>
                    <pic:cNvPicPr/>
                  </pic:nvPicPr>
                  <pic:blipFill>
                    <a:blip r:embed="rId47"/>
                    <a:stretch>
                      <a:fillRect/>
                    </a:stretch>
                  </pic:blipFill>
                  <pic:spPr>
                    <a:xfrm rot="0">
                      <a:off x="0" y="0"/>
                      <a:ext cx="4613480" cy="8025532"/>
                    </a:xfrm>
                    <a:prstGeom prst="rect">
                      <a:avLst/>
                    </a:prstGeom>
                  </pic:spPr>
                </pic:pic>
              </a:graphicData>
            </a:graphic>
          </wp:inline>
        </w:drawing>
      </w:r>
    </w:p>
    <w:p>
      <w:pPr>
        <w:spacing w:line="12639" w:lineRule="exact"/>
        <w:sectPr>
          <w:footerReference w:type="default" r:id="rId4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74"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476"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 name="IM 12"/>
            <wp:cNvGraphicFramePr/>
            <a:graphic>
              <a:graphicData uri="http://schemas.openxmlformats.org/drawingml/2006/picture">
                <pic:pic>
                  <pic:nvPicPr>
                    <pic:cNvPr id="12" name="IM 12"/>
                    <pic:cNvPicPr/>
                  </pic:nvPicPr>
                  <pic:blipFill>
                    <a:blip r:embed="rId4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4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78" style="position:absolute;margin-left:86.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80" style="position:absolute;margin-left:391.92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4" name="IM 14"/>
            <wp:cNvGraphicFramePr/>
            <a:graphic>
              <a:graphicData uri="http://schemas.openxmlformats.org/drawingml/2006/picture">
                <pic:pic>
                  <pic:nvPicPr>
                    <pic:cNvPr id="14" name="IM 14"/>
                    <pic:cNvPicPr/>
                  </pic:nvPicPr>
                  <pic:blipFill>
                    <a:blip r:embed="rId5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0"/>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82"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484"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6" name="IM 16"/>
            <wp:cNvGraphicFramePr/>
            <a:graphic>
              <a:graphicData uri="http://schemas.openxmlformats.org/drawingml/2006/picture">
                <pic:pic>
                  <pic:nvPicPr>
                    <pic:cNvPr id="16" name="IM 16"/>
                    <pic:cNvPicPr/>
                  </pic:nvPicPr>
                  <pic:blipFill>
                    <a:blip r:embed="rId5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86"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488"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8" name="IM 18"/>
            <wp:cNvGraphicFramePr/>
            <a:graphic>
              <a:graphicData uri="http://schemas.openxmlformats.org/drawingml/2006/picture">
                <pic:pic>
                  <pic:nvPicPr>
                    <pic:cNvPr id="18" name="IM 18"/>
                    <pic:cNvPicPr/>
                  </pic:nvPicPr>
                  <pic:blipFill>
                    <a:blip r:embed="rId5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90"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492"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0" name="IM 20"/>
            <wp:cNvGraphicFramePr/>
            <a:graphic>
              <a:graphicData uri="http://schemas.openxmlformats.org/drawingml/2006/picture">
                <pic:pic>
                  <pic:nvPicPr>
                    <pic:cNvPr id="20" name="IM 20"/>
                    <pic:cNvPicPr/>
                  </pic:nvPicPr>
                  <pic:blipFill>
                    <a:blip r:embed="rId5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94"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496" style="position:absolute;margin-left:86.92pt;margin-top:472.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2" name="IM 22"/>
            <wp:cNvGraphicFramePr/>
            <a:graphic>
              <a:graphicData uri="http://schemas.openxmlformats.org/drawingml/2006/picture">
                <pic:pic>
                  <pic:nvPicPr>
                    <pic:cNvPr id="22" name="IM 22"/>
                    <pic:cNvPicPr/>
                  </pic:nvPicPr>
                  <pic:blipFill>
                    <a:blip r:embed="rId5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498"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00"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0"/>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02"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504"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06"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08"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0" style="position:absolute;margin-left:86.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512" style="position:absolute;margin-left:391.92pt;margin-top:228.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4" style="position:absolute;margin-left:391.92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516" style="position:absolute;margin-left:86.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8"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520"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22"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524"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6" name="IM 36"/>
            <wp:cNvGraphicFramePr/>
            <a:graphic>
              <a:graphicData uri="http://schemas.openxmlformats.org/drawingml/2006/picture">
                <pic:pic>
                  <pic:nvPicPr>
                    <pic:cNvPr id="36" name="IM 36"/>
                    <pic:cNvPicPr/>
                  </pic:nvPicPr>
                  <pic:blipFill>
                    <a:blip r:embed="rId7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26" style="position:absolute;margin-left:391.92pt;margin-top:228.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528"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0"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532" style="position:absolute;margin-left:86.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0" name="IM 40"/>
            <wp:cNvGraphicFramePr/>
            <a:graphic>
              <a:graphicData uri="http://schemas.openxmlformats.org/drawingml/2006/picture">
                <pic:pic>
                  <pic:nvPicPr>
                    <pic:cNvPr id="40" name="IM 40"/>
                    <pic:cNvPicPr/>
                  </pic:nvPicPr>
                  <pic:blipFill>
                    <a:blip r:embed="rId7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4" style="position:absolute;margin-left:391.92pt;margin-top:228.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536" style="position:absolute;margin-left:86.92pt;margin-top:472.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2" name="IM 42"/>
            <wp:cNvGraphicFramePr/>
            <a:graphic>
              <a:graphicData uri="http://schemas.openxmlformats.org/drawingml/2006/picture">
                <pic:pic>
                  <pic:nvPicPr>
                    <pic:cNvPr id="42" name="IM 42"/>
                    <pic:cNvPicPr/>
                  </pic:nvPicPr>
                  <pic:blipFill>
                    <a:blip r:embed="rId7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8"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540" style="position:absolute;margin-left:86.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4" name="IM 44"/>
            <wp:cNvGraphicFramePr/>
            <a:graphic>
              <a:graphicData uri="http://schemas.openxmlformats.org/drawingml/2006/picture">
                <pic:pic>
                  <pic:nvPicPr>
                    <pic:cNvPr id="44" name="IM 44"/>
                    <pic:cNvPicPr/>
                  </pic:nvPicPr>
                  <pic:blipFill>
                    <a:blip r:embed="rId8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42" style="position:absolute;margin-left:391.92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544" style="position:absolute;margin-left:86.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6" name="IM 46"/>
            <wp:cNvGraphicFramePr/>
            <a:graphic>
              <a:graphicData uri="http://schemas.openxmlformats.org/drawingml/2006/picture">
                <pic:pic>
                  <pic:nvPicPr>
                    <pic:cNvPr id="46" name="IM 46"/>
                    <pic:cNvPicPr/>
                  </pic:nvPicPr>
                  <pic:blipFill>
                    <a:blip r:embed="rId8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46" style="position:absolute;margin-left:86.92pt;margin-top:472.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548" style="position:absolute;margin-left:391.92pt;margin-top:228.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48" name="IM 48"/>
            <wp:cNvGraphicFramePr/>
            <a:graphic>
              <a:graphicData uri="http://schemas.openxmlformats.org/drawingml/2006/picture">
                <pic:pic>
                  <pic:nvPicPr>
                    <pic:cNvPr id="48" name="IM 48"/>
                    <pic:cNvPicPr/>
                  </pic:nvPicPr>
                  <pic:blipFill>
                    <a:blip r:embed="rId8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0"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552" style="position:absolute;margin-left:86.92pt;margin-top:472.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0" name="IM 50"/>
            <wp:cNvGraphicFramePr/>
            <a:graphic>
              <a:graphicData uri="http://schemas.openxmlformats.org/drawingml/2006/picture">
                <pic:pic>
                  <pic:nvPicPr>
                    <pic:cNvPr id="50" name="IM 50"/>
                    <pic:cNvPicPr/>
                  </pic:nvPicPr>
                  <pic:blipFill>
                    <a:blip r:embed="rId8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4" style="position:absolute;margin-left:391.92pt;margin-top:228.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pict>
          <v:shape id="_x0000_s556" style="position:absolute;margin-left:86.92pt;margin-top:472.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2" name="IM 52"/>
            <wp:cNvGraphicFramePr/>
            <a:graphic>
              <a:graphicData uri="http://schemas.openxmlformats.org/drawingml/2006/picture">
                <pic:pic>
                  <pic:nvPicPr>
                    <pic:cNvPr id="52" name="IM 52"/>
                    <pic:cNvPicPr/>
                  </pic:nvPicPr>
                  <pic:blipFill>
                    <a:blip r:embed="rId8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8" style="position:absolute;margin-left:391.92pt;margin-top:228.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560" style="position:absolute;margin-left:86.92pt;margin-top:472.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4" name="IM 54"/>
            <wp:cNvGraphicFramePr/>
            <a:graphic>
              <a:graphicData uri="http://schemas.openxmlformats.org/drawingml/2006/picture">
                <pic:pic>
                  <pic:nvPicPr>
                    <pic:cNvPr id="54" name="IM 54"/>
                    <pic:cNvPicPr/>
                  </pic:nvPicPr>
                  <pic:blipFill>
                    <a:blip r:embed="rId9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62" style="position:absolute;margin-left:86.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564" style="position:absolute;margin-left:391.92pt;margin-top:228.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6" name="IM 56"/>
            <wp:cNvGraphicFramePr/>
            <a:graphic>
              <a:graphicData uri="http://schemas.openxmlformats.org/drawingml/2006/picture">
                <pic:pic>
                  <pic:nvPicPr>
                    <pic:cNvPr id="56" name="IM 56"/>
                    <pic:cNvPicPr/>
                  </pic:nvPicPr>
                  <pic:blipFill>
                    <a:blip r:embed="rId9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66" style="position:absolute;margin-left:391.92pt;margin-top:228.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568"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58" name="IM 58"/>
            <wp:cNvGraphicFramePr/>
            <a:graphic>
              <a:graphicData uri="http://schemas.openxmlformats.org/drawingml/2006/picture">
                <pic:pic>
                  <pic:nvPicPr>
                    <pic:cNvPr id="58" name="IM 58"/>
                    <pic:cNvPicPr/>
                  </pic:nvPicPr>
                  <pic:blipFill>
                    <a:blip r:embed="rId9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0"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572" style="position:absolute;margin-left:86.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0" name="IM 60"/>
            <wp:cNvGraphicFramePr/>
            <a:graphic>
              <a:graphicData uri="http://schemas.openxmlformats.org/drawingml/2006/picture">
                <pic:pic>
                  <pic:nvPicPr>
                    <pic:cNvPr id="60" name="IM 60"/>
                    <pic:cNvPicPr/>
                  </pic:nvPicPr>
                  <pic:blipFill>
                    <a:blip r:embed="rId9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4" style="position:absolute;margin-left:391.92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576" style="position:absolute;margin-left:86.92pt;margin-top:472.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2" name="IM 62"/>
            <wp:cNvGraphicFramePr/>
            <a:graphic>
              <a:graphicData uri="http://schemas.openxmlformats.org/drawingml/2006/picture">
                <pic:pic>
                  <pic:nvPicPr>
                    <pic:cNvPr id="62" name="IM 62"/>
                    <pic:cNvPicPr/>
                  </pic:nvPicPr>
                  <pic:blipFill>
                    <a:blip r:embed="rId9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8" style="position:absolute;margin-left:391.92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580" style="position:absolute;margin-left:86.92pt;margin-top:472.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4" name="IM 64"/>
            <wp:cNvGraphicFramePr/>
            <a:graphic>
              <a:graphicData uri="http://schemas.openxmlformats.org/drawingml/2006/picture">
                <pic:pic>
                  <pic:nvPicPr>
                    <pic:cNvPr id="64" name="IM 64"/>
                    <pic:cNvPicPr/>
                  </pic:nvPicPr>
                  <pic:blipFill>
                    <a:blip r:embed="rId10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82" style="position:absolute;margin-left:86.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584" style="position:absolute;margin-left:391.92pt;margin-top:228.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6" name="IM 66"/>
            <wp:cNvGraphicFramePr/>
            <a:graphic>
              <a:graphicData uri="http://schemas.openxmlformats.org/drawingml/2006/picture">
                <pic:pic>
                  <pic:nvPicPr>
                    <pic:cNvPr id="66" name="IM 66"/>
                    <pic:cNvPicPr/>
                  </pic:nvPicPr>
                  <pic:blipFill>
                    <a:blip r:embed="rId10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86" style="position:absolute;margin-left:86.92pt;margin-top:472.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588" style="position:absolute;margin-left:391.92pt;margin-top:228.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68" name="IM 68"/>
            <wp:cNvGraphicFramePr/>
            <a:graphic>
              <a:graphicData uri="http://schemas.openxmlformats.org/drawingml/2006/picture">
                <pic:pic>
                  <pic:nvPicPr>
                    <pic:cNvPr id="68" name="IM 68"/>
                    <pic:cNvPicPr/>
                  </pic:nvPicPr>
                  <pic:blipFill>
                    <a:blip r:embed="rId10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0" style="position:absolute;margin-left:86.92pt;margin-top:472.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592" style="position:absolute;margin-left:391.92pt;margin-top:228.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0" name="IM 70"/>
            <wp:cNvGraphicFramePr/>
            <a:graphic>
              <a:graphicData uri="http://schemas.openxmlformats.org/drawingml/2006/picture">
                <pic:pic>
                  <pic:nvPicPr>
                    <pic:cNvPr id="70" name="IM 70"/>
                    <pic:cNvPicPr/>
                  </pic:nvPicPr>
                  <pic:blipFill>
                    <a:blip r:embed="rId10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4" style="position:absolute;margin-left:86.92pt;margin-top:472.067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pict>
          <v:shape id="_x0000_s596" style="position:absolute;margin-left:391.92pt;margin-top:228.067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2" name="IM 72"/>
            <wp:cNvGraphicFramePr/>
            <a:graphic>
              <a:graphicData uri="http://schemas.openxmlformats.org/drawingml/2006/picture">
                <pic:pic>
                  <pic:nvPicPr>
                    <pic:cNvPr id="72" name="IM 72"/>
                    <pic:cNvPicPr/>
                  </pic:nvPicPr>
                  <pic:blipFill>
                    <a:blip r:embed="rId10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8" style="position:absolute;margin-left:391.92pt;margin-top:228.067pt;mso-position-vertical-relative:text;mso-position-horizontal-relative:text;width:119.4pt;height:18.85pt;z-index:251725824;rotation:330;" fillcolor="#404040" filled="true" stroked="false" type="#_x0000_t136">
            <v:fill opacity="0.400000"/>
            <v:textpath style="font-family:&quot;STSong&quot;;font-size:20;v-text-kern:t;mso-text-shadow:auto" string="仅供内部审核"/>
          </v:shape>
        </w:pict>
      </w:r>
      <w:r>
        <w:pict>
          <v:shape id="_x0000_s600" style="position:absolute;margin-left:86.92pt;margin-top:472.067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4" name="IM 74"/>
            <wp:cNvGraphicFramePr/>
            <a:graphic>
              <a:graphicData uri="http://schemas.openxmlformats.org/drawingml/2006/picture">
                <pic:pic>
                  <pic:nvPicPr>
                    <pic:cNvPr id="74" name="IM 74"/>
                    <pic:cNvPicPr/>
                  </pic:nvPicPr>
                  <pic:blipFill>
                    <a:blip r:embed="rId11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02" style="position:absolute;margin-left:391.92pt;margin-top:228.067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604" style="position:absolute;margin-left:86.92pt;margin-top:472.067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6" name="IM 76"/>
            <wp:cNvGraphicFramePr/>
            <a:graphic>
              <a:graphicData uri="http://schemas.openxmlformats.org/drawingml/2006/picture">
                <pic:pic>
                  <pic:nvPicPr>
                    <pic:cNvPr id="76" name="IM 76"/>
                    <pic:cNvPicPr/>
                  </pic:nvPicPr>
                  <pic:blipFill>
                    <a:blip r:embed="rId11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06" style="position:absolute;margin-left:391.92pt;margin-top:228.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608" style="position:absolute;margin-left:86.92pt;margin-top:472.067pt;mso-position-vertical-relative:text;mso-position-horizontal-relative:text;width:119.4pt;height:18.85pt;z-index:25173094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78" name="IM 78"/>
            <wp:cNvGraphicFramePr/>
            <a:graphic>
              <a:graphicData uri="http://schemas.openxmlformats.org/drawingml/2006/picture">
                <pic:pic>
                  <pic:nvPicPr>
                    <pic:cNvPr id="78" name="IM 78"/>
                    <pic:cNvPicPr/>
                  </pic:nvPicPr>
                  <pic:blipFill>
                    <a:blip r:embed="rId11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0" style="position:absolute;margin-left:391.92pt;margin-top:228.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612" style="position:absolute;margin-left:86.92pt;margin-top:472.067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0" name="IM 80"/>
            <wp:cNvGraphicFramePr/>
            <a:graphic>
              <a:graphicData uri="http://schemas.openxmlformats.org/drawingml/2006/picture">
                <pic:pic>
                  <pic:nvPicPr>
                    <pic:cNvPr id="80" name="IM 80"/>
                    <pic:cNvPicPr/>
                  </pic:nvPicPr>
                  <pic:blipFill>
                    <a:blip r:embed="rId11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4" style="position:absolute;margin-left:391.92pt;margin-top:228.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pict>
          <v:shape id="_x0000_s616" style="position:absolute;margin-left:86.92pt;margin-top:472.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2" name="IM 82"/>
            <wp:cNvGraphicFramePr/>
            <a:graphic>
              <a:graphicData uri="http://schemas.openxmlformats.org/drawingml/2006/picture">
                <pic:pic>
                  <pic:nvPicPr>
                    <pic:cNvPr id="82" name="IM 82"/>
                    <pic:cNvPicPr/>
                  </pic:nvPicPr>
                  <pic:blipFill>
                    <a:blip r:embed="rId11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8" style="position:absolute;margin-left:391.92pt;margin-top:228.067pt;mso-position-vertical-relative:text;mso-position-horizontal-relative:text;width:119.4pt;height:18.85pt;z-index:251736064;rotation:330;" fillcolor="#404040" filled="true" stroked="false" type="#_x0000_t136">
            <v:fill opacity="0.400000"/>
            <v:textpath style="font-family:&quot;STSong&quot;;font-size:20;v-text-kern:t;mso-text-shadow:auto" string="仅供内部审核"/>
          </v:shape>
        </w:pict>
      </w:r>
      <w:r>
        <w:pict>
          <v:shape id="_x0000_s620" style="position:absolute;margin-left:86.92pt;margin-top:472.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4" name="IM 84"/>
            <wp:cNvGraphicFramePr/>
            <a:graphic>
              <a:graphicData uri="http://schemas.openxmlformats.org/drawingml/2006/picture">
                <pic:pic>
                  <pic:nvPicPr>
                    <pic:cNvPr id="84" name="IM 84"/>
                    <pic:cNvPicPr/>
                  </pic:nvPicPr>
                  <pic:blipFill>
                    <a:blip r:embed="rId12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22" style="position:absolute;margin-left:391.92pt;margin-top:228.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pict>
          <v:shape id="_x0000_s624" style="position:absolute;margin-left:86.92pt;margin-top:472.067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6" name="IM 86"/>
            <wp:cNvGraphicFramePr/>
            <a:graphic>
              <a:graphicData uri="http://schemas.openxmlformats.org/drawingml/2006/picture">
                <pic:pic>
                  <pic:nvPicPr>
                    <pic:cNvPr id="86" name="IM 86"/>
                    <pic:cNvPicPr/>
                  </pic:nvPicPr>
                  <pic:blipFill>
                    <a:blip r:embed="rId12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26" style="position:absolute;margin-left:86.92pt;margin-top:472.067pt;mso-position-vertical-relative:text;mso-position-horizontal-relative:text;width:119.4pt;height:18.85pt;z-index:251740160;rotation:330;" fillcolor="#404040" filled="true" stroked="false" type="#_x0000_t136">
            <v:fill opacity="0.400000"/>
            <v:textpath style="font-family:&quot;STSong&quot;;font-size:20;v-text-kern:t;mso-text-shadow:auto" string="仅供内部审核"/>
          </v:shape>
        </w:pict>
      </w:r>
      <w:r>
        <w:pict>
          <v:shape id="_x0000_s628" style="position:absolute;margin-left:391.92pt;margin-top:228.067pt;mso-position-vertical-relative:text;mso-position-horizontal-relative:text;width:119.4pt;height:18.85pt;z-index:25174118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88" name="IM 88"/>
            <wp:cNvGraphicFramePr/>
            <a:graphic>
              <a:graphicData uri="http://schemas.openxmlformats.org/drawingml/2006/picture">
                <pic:pic>
                  <pic:nvPicPr>
                    <pic:cNvPr id="88" name="IM 88"/>
                    <pic:cNvPicPr/>
                  </pic:nvPicPr>
                  <pic:blipFill>
                    <a:blip r:embed="rId12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0" style="position:absolute;margin-left:391.92pt;margin-top:228.067pt;mso-position-vertical-relative:text;mso-position-horizontal-relative:text;width:119.4pt;height:18.85pt;z-index:251742208;rotation:330;" fillcolor="#404040" filled="true" stroked="false" type="#_x0000_t136">
            <v:fill opacity="0.400000"/>
            <v:textpath style="font-family:&quot;STSong&quot;;font-size:20;v-text-kern:t;mso-text-shadow:auto" string="仅供内部审核"/>
          </v:shape>
        </w:pict>
      </w:r>
      <w:r>
        <w:pict>
          <v:shape id="_x0000_s632" style="position:absolute;margin-left:86.92pt;margin-top:472.067pt;mso-position-vertical-relative:text;mso-position-horizontal-relative:text;width:119.4pt;height:18.85pt;z-index:25174323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0" name="IM 90"/>
            <wp:cNvGraphicFramePr/>
            <a:graphic>
              <a:graphicData uri="http://schemas.openxmlformats.org/drawingml/2006/picture">
                <pic:pic>
                  <pic:nvPicPr>
                    <pic:cNvPr id="90" name="IM 90"/>
                    <pic:cNvPicPr/>
                  </pic:nvPicPr>
                  <pic:blipFill>
                    <a:blip r:embed="rId12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4" style="position:absolute;margin-left:391.92pt;margin-top:228.067pt;mso-position-vertical-relative:text;mso-position-horizontal-relative:text;width:119.4pt;height:18.85pt;z-index:251744256;rotation:330;" fillcolor="#404040" filled="true" stroked="false" type="#_x0000_t136">
            <v:fill opacity="0.400000"/>
            <v:textpath style="font-family:&quot;STSong&quot;;font-size:20;v-text-kern:t;mso-text-shadow:auto" string="仅供内部审核"/>
          </v:shape>
        </w:pict>
      </w:r>
      <w:r>
        <w:pict>
          <v:shape id="_x0000_s636" style="position:absolute;margin-left:86.92pt;margin-top:472.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2" name="IM 92"/>
            <wp:cNvGraphicFramePr/>
            <a:graphic>
              <a:graphicData uri="http://schemas.openxmlformats.org/drawingml/2006/picture">
                <pic:pic>
                  <pic:nvPicPr>
                    <pic:cNvPr id="92" name="IM 92"/>
                    <pic:cNvPicPr/>
                  </pic:nvPicPr>
                  <pic:blipFill>
                    <a:blip r:embed="rId12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8" style="position:absolute;margin-left:86.92pt;margin-top:472.067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pict>
          <v:shape id="_x0000_s640" style="position:absolute;margin-left:391.92pt;margin-top:228.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4" name="IM 94"/>
            <wp:cNvGraphicFramePr/>
            <a:graphic>
              <a:graphicData uri="http://schemas.openxmlformats.org/drawingml/2006/picture">
                <pic:pic>
                  <pic:nvPicPr>
                    <pic:cNvPr id="94" name="IM 94"/>
                    <pic:cNvPicPr/>
                  </pic:nvPicPr>
                  <pic:blipFill>
                    <a:blip r:embed="rId13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42" style="position:absolute;margin-left:391.92pt;margin-top:228.067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pict>
          <v:shape id="_x0000_s644" style="position:absolute;margin-left:86.92pt;margin-top:472.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6" name="IM 96"/>
            <wp:cNvGraphicFramePr/>
            <a:graphic>
              <a:graphicData uri="http://schemas.openxmlformats.org/drawingml/2006/picture">
                <pic:pic>
                  <pic:nvPicPr>
                    <pic:cNvPr id="96" name="IM 96"/>
                    <pic:cNvPicPr/>
                  </pic:nvPicPr>
                  <pic:blipFill>
                    <a:blip r:embed="rId13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46" style="position:absolute;margin-left:86.92pt;margin-top:472.067pt;mso-position-vertical-relative:text;mso-position-horizontal-relative:text;width:119.4pt;height:18.85pt;z-index:251750400;rotation:330;" fillcolor="#404040" filled="true" stroked="false" type="#_x0000_t136">
            <v:fill opacity="0.400000"/>
            <v:textpath style="font-family:&quot;STSong&quot;;font-size:20;v-text-kern:t;mso-text-shadow:auto" string="仅供内部审核"/>
          </v:shape>
        </w:pict>
      </w:r>
      <w:r>
        <w:pict>
          <v:shape id="_x0000_s648" style="position:absolute;margin-left:391.92pt;margin-top:228.067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98" name="IM 98"/>
            <wp:cNvGraphicFramePr/>
            <a:graphic>
              <a:graphicData uri="http://schemas.openxmlformats.org/drawingml/2006/picture">
                <pic:pic>
                  <pic:nvPicPr>
                    <pic:cNvPr id="98" name="IM 98"/>
                    <pic:cNvPicPr/>
                  </pic:nvPicPr>
                  <pic:blipFill>
                    <a:blip r:embed="rId13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0" style="position:absolute;margin-left:391.92pt;margin-top:228.067pt;mso-position-vertical-relative:text;mso-position-horizontal-relative:text;width:119.4pt;height:18.85pt;z-index:251752448;rotation:330;" fillcolor="#404040" filled="true" stroked="false" type="#_x0000_t136">
            <v:fill opacity="0.400000"/>
            <v:textpath style="font-family:&quot;STSong&quot;;font-size:20;v-text-kern:t;mso-text-shadow:auto" string="仅供内部审核"/>
          </v:shape>
        </w:pict>
      </w:r>
      <w:r>
        <w:pict>
          <v:shape id="_x0000_s652" style="position:absolute;margin-left:86.92pt;margin-top:472.067pt;mso-position-vertical-relative:text;mso-position-horizontal-relative:text;width:119.4pt;height:18.85pt;z-index:25175347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0" name="IM 100"/>
            <wp:cNvGraphicFramePr/>
            <a:graphic>
              <a:graphicData uri="http://schemas.openxmlformats.org/drawingml/2006/picture">
                <pic:pic>
                  <pic:nvPicPr>
                    <pic:cNvPr id="100" name="IM 100"/>
                    <pic:cNvPicPr/>
                  </pic:nvPicPr>
                  <pic:blipFill>
                    <a:blip r:embed="rId13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4" style="position:absolute;margin-left:391.92pt;margin-top:228.067pt;mso-position-vertical-relative:text;mso-position-horizontal-relative:text;width:119.4pt;height:18.85pt;z-index:251754496;rotation:330;" fillcolor="#404040" filled="true" stroked="false" type="#_x0000_t136">
            <v:fill opacity="0.400000"/>
            <v:textpath style="font-family:&quot;STSong&quot;;font-size:20;v-text-kern:t;mso-text-shadow:auto" string="仅供内部审核"/>
          </v:shape>
        </w:pict>
      </w:r>
      <w:r>
        <w:pict>
          <v:shape id="_x0000_s656" style="position:absolute;margin-left:86.92pt;margin-top:472.067pt;mso-position-vertical-relative:text;mso-position-horizontal-relative:text;width:119.4pt;height:18.85pt;z-index:25175552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2" name="IM 102"/>
            <wp:cNvGraphicFramePr/>
            <a:graphic>
              <a:graphicData uri="http://schemas.openxmlformats.org/drawingml/2006/picture">
                <pic:pic>
                  <pic:nvPicPr>
                    <pic:cNvPr id="102" name="IM 102"/>
                    <pic:cNvPicPr/>
                  </pic:nvPicPr>
                  <pic:blipFill>
                    <a:blip r:embed="rId13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8" style="position:absolute;margin-left:391.92pt;margin-top:228.067pt;mso-position-vertical-relative:text;mso-position-horizontal-relative:text;width:119.4pt;height:18.85pt;z-index:251756544;rotation:330;" fillcolor="#404040" filled="true" stroked="false" type="#_x0000_t136">
            <v:fill opacity="0.400000"/>
            <v:textpath style="font-family:&quot;STSong&quot;;font-size:20;v-text-kern:t;mso-text-shadow:auto" string="仅供内部审核"/>
          </v:shape>
        </w:pict>
      </w:r>
      <w:r>
        <w:pict>
          <v:shape id="_x0000_s660" style="position:absolute;margin-left:86.92pt;margin-top:472.067pt;mso-position-vertical-relative:text;mso-position-horizontal-relative:text;width:119.4pt;height:18.85pt;z-index:25175756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4" name="IM 104"/>
            <wp:cNvGraphicFramePr/>
            <a:graphic>
              <a:graphicData uri="http://schemas.openxmlformats.org/drawingml/2006/picture">
                <pic:pic>
                  <pic:nvPicPr>
                    <pic:cNvPr id="104" name="IM 104"/>
                    <pic:cNvPicPr/>
                  </pic:nvPicPr>
                  <pic:blipFill>
                    <a:blip r:embed="rId14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62" style="position:absolute;margin-left:391.92pt;margin-top:228.067pt;mso-position-vertical-relative:text;mso-position-horizontal-relative:text;width:119.4pt;height:18.85pt;z-index:251758592;rotation:330;" fillcolor="#404040" filled="true" stroked="false" type="#_x0000_t136">
            <v:fill opacity="0.400000"/>
            <v:textpath style="font-family:&quot;STSong&quot;;font-size:20;v-text-kern:t;mso-text-shadow:auto" string="仅供内部审核"/>
          </v:shape>
        </w:pict>
      </w:r>
      <w:r>
        <w:pict>
          <v:shape id="_x0000_s664" style="position:absolute;margin-left:86.92pt;margin-top:472.067pt;mso-position-vertical-relative:text;mso-position-horizontal-relative:text;width:119.4pt;height:18.85pt;z-index:25175961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6" name="IM 106"/>
            <wp:cNvGraphicFramePr/>
            <a:graphic>
              <a:graphicData uri="http://schemas.openxmlformats.org/drawingml/2006/picture">
                <pic:pic>
                  <pic:nvPicPr>
                    <pic:cNvPr id="106" name="IM 106"/>
                    <pic:cNvPicPr/>
                  </pic:nvPicPr>
                  <pic:blipFill>
                    <a:blip r:embed="rId14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66" style="position:absolute;margin-left:391.92pt;margin-top:228.067pt;mso-position-vertical-relative:text;mso-position-horizontal-relative:text;width:119.4pt;height:18.85pt;z-index:251760640;rotation:330;" fillcolor="#404040" filled="true" stroked="false" type="#_x0000_t136">
            <v:fill opacity="0.400000"/>
            <v:textpath style="font-family:&quot;STSong&quot;;font-size:20;v-text-kern:t;mso-text-shadow:auto" string="仅供内部审核"/>
          </v:shape>
        </w:pict>
      </w:r>
      <w:r>
        <w:pict>
          <v:shape id="_x0000_s668" style="position:absolute;margin-left:86.92pt;margin-top:472.067pt;mso-position-vertical-relative:text;mso-position-horizontal-relative:text;width:119.4pt;height:18.85pt;z-index:25176166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08" name="IM 108"/>
            <wp:cNvGraphicFramePr/>
            <a:graphic>
              <a:graphicData uri="http://schemas.openxmlformats.org/drawingml/2006/picture">
                <pic:pic>
                  <pic:nvPicPr>
                    <pic:cNvPr id="108" name="IM 108"/>
                    <pic:cNvPicPr/>
                  </pic:nvPicPr>
                  <pic:blipFill>
                    <a:blip r:embed="rId14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0" style="position:absolute;margin-left:391.92pt;margin-top:228.067pt;mso-position-vertical-relative:text;mso-position-horizontal-relative:text;width:119.4pt;height:18.85pt;z-index:251762688;rotation:330;" fillcolor="#404040" filled="true" stroked="false" type="#_x0000_t136">
            <v:fill opacity="0.400000"/>
            <v:textpath style="font-family:&quot;STSong&quot;;font-size:20;v-text-kern:t;mso-text-shadow:auto" string="仅供内部审核"/>
          </v:shape>
        </w:pict>
      </w:r>
      <w:r>
        <w:pict>
          <v:shape id="_x0000_s672" style="position:absolute;margin-left:86.92pt;margin-top:472.067pt;mso-position-vertical-relative:text;mso-position-horizontal-relative:text;width:119.4pt;height:18.85pt;z-index:25176371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0" name="IM 110"/>
            <wp:cNvGraphicFramePr/>
            <a:graphic>
              <a:graphicData uri="http://schemas.openxmlformats.org/drawingml/2006/picture">
                <pic:pic>
                  <pic:nvPicPr>
                    <pic:cNvPr id="110" name="IM 110"/>
                    <pic:cNvPicPr/>
                  </pic:nvPicPr>
                  <pic:blipFill>
                    <a:blip r:embed="rId14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4" style="position:absolute;margin-left:391.92pt;margin-top:228.067pt;mso-position-vertical-relative:text;mso-position-horizontal-relative:text;width:119.4pt;height:18.85pt;z-index:251764736;rotation:330;" fillcolor="#404040" filled="true" stroked="false" type="#_x0000_t136">
            <v:fill opacity="0.400000"/>
            <v:textpath style="font-family:&quot;STSong&quot;;font-size:20;v-text-kern:t;mso-text-shadow:auto" string="仅供内部审核"/>
          </v:shape>
        </w:pict>
      </w:r>
      <w:r>
        <w:pict>
          <v:shape id="_x0000_s676" style="position:absolute;margin-left:86.92pt;margin-top:472.067pt;mso-position-vertical-relative:text;mso-position-horizontal-relative:text;width:119.4pt;height:18.85pt;z-index:251765760;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2" name="IM 112"/>
            <wp:cNvGraphicFramePr/>
            <a:graphic>
              <a:graphicData uri="http://schemas.openxmlformats.org/drawingml/2006/picture">
                <pic:pic>
                  <pic:nvPicPr>
                    <pic:cNvPr id="112" name="IM 112"/>
                    <pic:cNvPicPr/>
                  </pic:nvPicPr>
                  <pic:blipFill>
                    <a:blip r:embed="rId149"/>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8" style="position:absolute;margin-left:391.92pt;margin-top:228.067pt;mso-position-vertical-relative:text;mso-position-horizontal-relative:text;width:119.4pt;height:18.85pt;z-index:251766784;rotation:330;" fillcolor="#404040" filled="true" stroked="false" type="#_x0000_t136">
            <v:fill opacity="0.400000"/>
            <v:textpath style="font-family:&quot;STSong&quot;;font-size:20;v-text-kern:t;mso-text-shadow:auto" string="仅供内部审核"/>
          </v:shape>
        </w:pict>
      </w:r>
      <w:r>
        <w:pict>
          <v:shape id="_x0000_s680" style="position:absolute;margin-left:86.92pt;margin-top:472.067pt;mso-position-vertical-relative:text;mso-position-horizontal-relative:text;width:119.4pt;height:18.85pt;z-index:251767808;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4" name="IM 114"/>
            <wp:cNvGraphicFramePr/>
            <a:graphic>
              <a:graphicData uri="http://schemas.openxmlformats.org/drawingml/2006/picture">
                <pic:pic>
                  <pic:nvPicPr>
                    <pic:cNvPr id="114" name="IM 114"/>
                    <pic:cNvPicPr/>
                  </pic:nvPicPr>
                  <pic:blipFill>
                    <a:blip r:embed="rId151"/>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0"/>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82" style="position:absolute;margin-left:391.92pt;margin-top:228.067pt;mso-position-vertical-relative:text;mso-position-horizontal-relative:text;width:119.4pt;height:18.85pt;z-index:251768832;rotation:330;" fillcolor="#404040" filled="true" stroked="false" type="#_x0000_t136">
            <v:fill opacity="0.400000"/>
            <v:textpath style="font-family:&quot;STSong&quot;;font-size:20;v-text-kern:t;mso-text-shadow:auto" string="仅供内部审核"/>
          </v:shape>
        </w:pict>
      </w:r>
      <w:r>
        <w:pict>
          <v:shape id="_x0000_s684" style="position:absolute;margin-left:86.92pt;margin-top:472.067pt;mso-position-vertical-relative:text;mso-position-horizontal-relative:text;width:119.4pt;height:18.85pt;z-index:251769856;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6" name="IM 116"/>
            <wp:cNvGraphicFramePr/>
            <a:graphic>
              <a:graphicData uri="http://schemas.openxmlformats.org/drawingml/2006/picture">
                <pic:pic>
                  <pic:nvPicPr>
                    <pic:cNvPr id="116" name="IM 116"/>
                    <pic:cNvPicPr/>
                  </pic:nvPicPr>
                  <pic:blipFill>
                    <a:blip r:embed="rId153"/>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86" style="position:absolute;margin-left:391.92pt;margin-top:228.067pt;mso-position-vertical-relative:text;mso-position-horizontal-relative:text;width:119.4pt;height:18.85pt;z-index:251770880;rotation:330;" fillcolor="#404040" filled="true" stroked="false" type="#_x0000_t136">
            <v:fill opacity="0.400000"/>
            <v:textpath style="font-family:&quot;STSong&quot;;font-size:20;v-text-kern:t;mso-text-shadow:auto" string="仅供内部审核"/>
          </v:shape>
        </w:pict>
      </w:r>
      <w:r>
        <w:pict>
          <v:shape id="_x0000_s688" style="position:absolute;margin-left:86.92pt;margin-top:472.067pt;mso-position-vertical-relative:text;mso-position-horizontal-relative:text;width:119.4pt;height:18.85pt;z-index:251771904;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18" name="IM 118"/>
            <wp:cNvGraphicFramePr/>
            <a:graphic>
              <a:graphicData uri="http://schemas.openxmlformats.org/drawingml/2006/picture">
                <pic:pic>
                  <pic:nvPicPr>
                    <pic:cNvPr id="118" name="IM 118"/>
                    <pic:cNvPicPr/>
                  </pic:nvPicPr>
                  <pic:blipFill>
                    <a:blip r:embed="rId155"/>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90" style="position:absolute;margin-left:86.92pt;margin-top:472.067pt;mso-position-vertical-relative:text;mso-position-horizontal-relative:text;width:119.4pt;height:18.85pt;z-index:251772928;rotation:330;" fillcolor="#404040" filled="true" stroked="false" type="#_x0000_t136">
            <v:fill opacity="0.400000"/>
            <v:textpath style="font-family:&quot;STSong&quot;;font-size:20;v-text-kern:t;mso-text-shadow:auto" string="仅供内部审核"/>
          </v:shape>
        </w:pict>
      </w:r>
      <w:r>
        <w:pict>
          <v:shape id="_x0000_s692" style="position:absolute;margin-left:391.92pt;margin-top:228.067pt;mso-position-vertical-relative:text;mso-position-horizontal-relative:text;width:119.4pt;height:18.85pt;z-index:251773952;rotation:330;" fillcolor="#404040" filled="true" stroked="false" type="#_x0000_t136">
            <v:fill opacity="0.400000"/>
            <v:textpath style="font-family:&quot;STSong&quot;;font-size:20;v-text-kern:t;mso-text-shadow:auto" string="仅供内部审核"/>
          </v:shape>
        </w:pict>
      </w:r>
      <w:r>
        <w:rPr>
          <w:position w:val="-252"/>
        </w:rPr>
        <w:drawing>
          <wp:inline distT="0" distB="0" distL="0" distR="0">
            <wp:extent cx="4640940" cy="8025532"/>
            <wp:effectExtent l="0" t="0" r="0" b="0"/>
            <wp:docPr id="120" name="IM 120"/>
            <wp:cNvGraphicFramePr/>
            <a:graphic>
              <a:graphicData uri="http://schemas.openxmlformats.org/drawingml/2006/picture">
                <pic:pic>
                  <pic:nvPicPr>
                    <pic:cNvPr id="120" name="IM 120"/>
                    <pic:cNvPicPr/>
                  </pic:nvPicPr>
                  <pic:blipFill>
                    <a:blip r:embed="rId157"/>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319"/>
        <w:spacing w:line="12088" w:lineRule="exact"/>
        <w:rPr/>
      </w:pPr>
      <w:r>
        <w:pict>
          <v:shape id="_x0000_s694" style="position:absolute;margin-left:391.92pt;margin-top:228.067pt;mso-position-vertical-relative:text;mso-position-horizontal-relative:text;width:119.4pt;height:18.85pt;z-index:251774976;rotation:330;" fillcolor="#404040" filled="true" stroked="false" type="#_x0000_t136">
            <v:fill opacity="0.400000"/>
            <v:textpath style="font-family:&quot;STSong&quot;;font-size:20;v-text-kern:t;mso-text-shadow:auto" string="仅供内部审核"/>
          </v:shape>
        </w:pict>
      </w:r>
      <w:r>
        <w:pict>
          <v:shape id="_x0000_s696" style="position:absolute;margin-left:86.92pt;margin-top:472.067pt;mso-position-vertical-relative:text;mso-position-horizontal-relative:text;width:119.4pt;height:18.85pt;z-index:251776000;rotation:330;" fillcolor="#404040" filled="true" stroked="false" type="#_x0000_t136">
            <v:fill opacity="0.400000"/>
            <v:textpath style="font-family:&quot;STSong&quot;;font-size:20;v-text-kern:t;mso-text-shadow:auto" string="仅供内部审核"/>
          </v:shape>
        </w:pict>
      </w:r>
      <w:r>
        <w:rPr>
          <w:position w:val="-241"/>
        </w:rPr>
        <w:drawing>
          <wp:inline distT="0" distB="0" distL="0" distR="0">
            <wp:extent cx="4627211" cy="7675403"/>
            <wp:effectExtent l="0" t="0" r="0" b="0"/>
            <wp:docPr id="122" name="IM 122"/>
            <wp:cNvGraphicFramePr/>
            <a:graphic>
              <a:graphicData uri="http://schemas.openxmlformats.org/drawingml/2006/picture">
                <pic:pic>
                  <pic:nvPicPr>
                    <pic:cNvPr id="122" name="IM 122"/>
                    <pic:cNvPicPr/>
                  </pic:nvPicPr>
                  <pic:blipFill>
                    <a:blip r:embed="rId159"/>
                    <a:stretch>
                      <a:fillRect/>
                    </a:stretch>
                  </pic:blipFill>
                  <pic:spPr>
                    <a:xfrm rot="0">
                      <a:off x="0" y="0"/>
                      <a:ext cx="4627211" cy="7675403"/>
                    </a:xfrm>
                    <a:prstGeom prst="rect">
                      <a:avLst/>
                    </a:prstGeom>
                  </pic:spPr>
                </pic:pic>
              </a:graphicData>
            </a:graphic>
          </wp:inline>
        </w:drawing>
      </w:r>
    </w:p>
    <w:p>
      <w:pPr>
        <w:spacing w:line="12088" w:lineRule="exact"/>
        <w:sectPr>
          <w:footerReference w:type="default" r:id="rId158"/>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8"/>
      <w:bookmarkEnd w:id="48"/>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60"/>
      <w:footerReference w:type="default" r:id="rId161"/>
      <w:pgSz w:w="11900" w:h="16840"/>
      <w:pgMar w:top="642" w:right="0" w:bottom="340" w:left="0" w:header="326" w:footer="9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47"/>
    <w:bookmarkEnd w:id="47"/>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80" style="position:absolute;margin-left:86.92pt;margin-top:27.7862pt;mso-position-vertical-relative:text;mso-position-horizontal-relative:text;width:119.4pt;height:18.85pt;z-index:-251552768;rotation:330;" fillcolor="#404040" filled="true" stroked="false" type="#_x0000_t136">
          <v:fill opacity="0.400000"/>
          <v:textpath style="font-family:&quot;STSong&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74.4118pt;margin-top:267.372pt;mso-position-vertical-relative:page;mso-position-horizontal-relative:page;width:15.25pt;height:7.9pt;z-index:-251561984;" o:allowincell="f" fillcolor="#212529" filled="true" stroked="false" type="#_x0000_t136">
          <v:textpath style="font-family:&quot;SimSun&quot;;font-size:7.5;v-text-kern:t;mso-text-shadow:auto" string="1011"/>
        </v:shape>
      </w:pict>
    </w:r>
    <w:r>
      <w:pict>
        <v:shape id="PowerPlusWaterMarkObject188" style="position:absolute;margin-left:69.8661pt;margin-top:282.508pt;mso-position-vertical-relative:page;mso-position-horizontal-relative:page;width:11.7pt;height:7.9pt;z-index:-251560960;"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449.083pt;margin-top:282.508pt;mso-position-vertical-relative:page;mso-position-horizontal-relative:page;width:7.7pt;height:7.9pt;z-index:-251566080;" o:allowincell="f" fillcolor="#212529" filled="true" stroked="false" type="#_x0000_t136">
          <v:textpath style="font-family:&quot;SimSun&quot;;font-size:7.5;v-text-kern:t;mso-text-shadow:auto" string="98"/>
        </v:shape>
      </w:pict>
    </w:r>
    <w:r>
      <w:pict>
        <v:shape id="PowerPlusWaterMarkObject194" style="position:absolute;margin-left:437.475pt;margin-top:297.644pt;mso-position-vertical-relative:page;mso-position-horizontal-relative:page;width:19.3pt;height:7.9pt;z-index:-251564032;" o:allowincell="f" fillcolor="#212529" filled="true" stroked="false" type="#_x0000_t136">
          <v:textpath style="font-family:&quot;SimSun&quot;;font-size:7.5;v-text-kern:t;mso-text-shadow:auto" string="13 28"/>
        </v:shape>
      </w:pict>
    </w:r>
    <w:r>
      <w:pict>
        <v:shape id="PowerPlusWaterMarkObject196" style="position:absolute;margin-left:437.475pt;margin-top:312.78pt;mso-position-vertical-relative:page;mso-position-horizontal-relative:page;width:7.15pt;height:7.9pt;z-index:-251565056;" o:allowincell="f" fillcolor="#212529" filled="true" stroked="false" type="#_x0000_t136">
          <v:textpath style="font-family:&quot;SimSun&quot;;font-size:7.5;v-text-kern:t;mso-text-shadow:auto" string="13"/>
        </v:shape>
      </w:pict>
    </w:r>
    <w:r>
      <w:pict>
        <v:shape id="PowerPlusWaterMarkObject19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0" style="position:absolute;margin-left:86.02pt;margin-top:267.372pt;mso-position-vertical-relative:page;mso-position-horizontal-relative:page;width:15.7pt;height:7.9pt;z-index:-251546624;" o:allowincell="f" fillcolor="#212529" filled="true" stroked="false" type="#_x0000_t136">
          <v:textpath style="font-family:&quot;SimSun&quot;;font-size:7.5;v-text-kern:t;mso-text-shadow:auto" string="住房"/>
        </v:shape>
      </w:pict>
    </w:r>
    <w:r>
      <w:pict>
        <v:shape id="PowerPlusWaterMarkObject212" style="position:absolute;margin-left:86.92pt;margin-top:27.7862pt;mso-position-vertical-relative:text;mso-position-horizontal-relative:text;width:119.4pt;height:18.85pt;z-index:-251538432;rotation:330;" fillcolor="#404040" filled="true" stroked="false" type="#_x0000_t136">
          <v:fill opacity="0.400000"/>
          <v:textpath style="font-family:&quot;STSong&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50.574pt;margin-top:282.508pt;mso-position-vertical-relative:page;mso-position-horizontal-relative:page;width:15.75pt;height:7.9pt;z-index:-251550720;" o:allowincell="f" fillcolor="#212529" filled="true" stroked="false" type="#_x0000_t136">
          <v:textpath style="font-family:&quot;SimSun&quot;;font-size:7.5;v-text-kern:t;mso-text-shadow:auto" string="2 79"/>
        </v:shape>
      </w:pict>
    </w:r>
    <w:r>
      <w:pict>
        <v:shape id="PowerPlusWaterMarkObject224" style="position:absolute;margin-left:399.19pt;margin-top:312.78pt;mso-position-vertical-relative:page;mso-position-horizontal-relative:page;width:7.55pt;height:7.9pt;z-index:-251549696;" o:allowincell="f" fillcolor="#212529" filled="true" stroked="false" type="#_x0000_t136">
          <v:textpath style="font-family:&quot;SimSun&quot;;font-size:7.5;v-text-kern:t;mso-text-shadow:auto" string="50"/>
        </v:shape>
      </w:pict>
    </w:r>
    <w:r>
      <w:pict>
        <v:shape id="PowerPlusWaterMarkObject226" style="position:absolute;margin-left:399.063pt;margin-top:327.916pt;mso-position-vertical-relative:page;mso-position-horizontal-relative:page;width:7.7pt;height:7.9pt;z-index:-251548672;" o:allowincell="f" fillcolor="#212529" filled="true" stroked="false" type="#_x0000_t136">
          <v:textpath style="font-family:&quot;SimSun&quot;;font-size:7.5;v-text-kern:t;mso-text-shadow:auto" string="82"/>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8" style="position:absolute;margin-left:86.92pt;margin-top:27.7862pt;mso-position-vertical-relative:text;mso-position-horizontal-relative:text;width:119.4pt;height:18.85pt;z-index:-251528192;rotation:330;" fillcolor="#404040" filled="true" stroked="false" type="#_x0000_t136">
          <v:fill opacity="0.400000"/>
          <v:textpath style="font-family:&quot;STSong&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58" style="position:absolute;margin-left:86.92pt;margin-top:27.7862pt;mso-position-vertical-relative:text;mso-position-horizontal-relative:text;width:119.4pt;height:18.85pt;z-index:-251517952;rotation:330;" fillcolor="#404040" filled="true" stroked="false" type="#_x0000_t136">
          <v:fill opacity="0.400000"/>
          <v:textpath style="font-family:&quot;STSong&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78" style="position:absolute;margin-left:86.92pt;margin-top:27.7862pt;mso-position-vertical-relative:text;mso-position-horizontal-relative:text;width:119.4pt;height:18.85pt;z-index:-251507712;rotation:330;" fillcolor="#404040" filled="true" stroked="false" type="#_x0000_t136">
          <v:fill opacity="0.400000"/>
          <v:textpath style="font-family:&quot;STSong&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8" style="position:absolute;margin-left:86.92pt;margin-top:27.7862pt;mso-position-vertical-relative:text;mso-position-horizontal-relative:text;width:119.4pt;height:18.85pt;z-index:-251497472;rotation:330;"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8" style="position:absolute;margin-left:77.9747pt;margin-top:262.507pt;mso-position-vertical-relative:page;mso-position-horizontal-relative:page;width:23.75pt;height:7.9pt;z-index:-251493376;" o:allowincell="f" fillcolor="#212529" filled="true" stroked="false" type="#_x0000_t136">
          <v:textpath style="font-family:&quot;SimSun&quot;;font-size:7.5;v-text-kern:t;mso-text-shadow:auto" string="2025年"/>
        </v:shape>
      </w:pict>
    </w:r>
    <w:r>
      <w:pict>
        <v:shape id="PowerPlusWaterMarkObject320" style="position:absolute;margin-left:69.8344pt;margin-top:271.696pt;mso-position-vertical-relative:page;mso-position-horizontal-relative:page;width:31.9pt;height:7.9pt;z-index:-251494400;" o:allowincell="f" fillcolor="#212529" filled="true" stroked="false" type="#_x0000_t136">
          <v:textpath style="font-family:&quot;SimSun&quot;;font-size:7.5;v-text-kern:t;mso-text-shadow:auto" string="展补助资"/>
        </v:shape>
      </w:pict>
    </w:r>
    <w:r>
      <w:pict>
        <v:shape id="PowerPlusWaterMarkObject322" style="position:absolute;margin-left:69.8344pt;margin-top:280.886pt;mso-position-vertical-relative:page;mso-position-horizontal-relative:page;width:23.9pt;height:7.9pt;z-index:-251492352;" o:allowincell="f" fillcolor="#212529" filled="true" stroked="false" type="#_x0000_t136">
          <v:textpath style="font-family:&quot;SimSun&quot;;font-size:7.5;v-text-kern:t;mso-text-shadow:auto" string="社[202"/>
        </v:shape>
      </w:pict>
    </w:r>
    <w:r>
      <w:pict>
        <v:shape id="PowerPlusWaterMarkObject324" style="position:absolute;margin-left:86.92pt;margin-top:27.7862pt;mso-position-vertical-relative:text;mso-position-horizontal-relative:text;width:119.4pt;height:18.85pt;z-index:-251484160;rotation:330;"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487.09pt;margin-top:73.4279pt;mso-position-vertical-relative:page;mso-position-horizontal-relative:page;width:38.65pt;height:6.5pt;z-index:-251485184;" o:allowincell="f" fillcolor="#212529" filled="true" stroked="false" type="#_x0000_t136">
          <v:textpath style="font-family:&quot;SimSun&quot;;font-size:6;v-text-kern:t;mso-text-shadow:auto" string="预算公开表12"/>
        </v:shape>
      </w:pict>
    </w:r>
    <w:r>
      <w:pict>
        <v:shape id="PowerPlusWaterMarkObject334" style="position:absolute;margin-left:491.92pt;margin-top:44.105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391.92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_x0000_s342" style="position:absolute;margin-left:30pt;margin-top:29.5pt;mso-position-vertical-relative:page;mso-position-horizontal-relative:page;width:535pt;height:1pt;z-index:-2514872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44" style="position:absolute;margin-left:86.92pt;margin-top:27.7862pt;mso-position-vertical-relative:text;mso-position-horizontal-relative:text;width:119.4pt;height:18.85pt;z-index:-251473920;rotation:330;"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86.92pt;margin-top:532.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13.08pt;margin-top:776.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487.09pt;margin-top:73.4279pt;mso-position-vertical-relative:page;mso-position-horizontal-relative:page;width:38.65pt;height:6.5pt;z-index:-251474944;" o:allowincell="f" fillcolor="#212529" filled="true" stroked="false" type="#_x0000_t136">
          <v:textpath style="font-family:&quot;SimSun&quot;;font-size:6;v-text-kern:t;mso-text-shadow:auto" string="预算公开表13"/>
        </v:shape>
      </w:pict>
    </w:r>
    <w:r>
      <w:pict>
        <v:shape id="PowerPlusWaterMarkObject354" style="position:absolute;margin-left:491.92pt;margin-top:44.1055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_x0000_s362" style="position:absolute;margin-left:30pt;margin-top:29.5pt;mso-position-vertical-relative:page;mso-position-horizontal-relative:page;width:535pt;height:1pt;z-index:-2514769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64" style="position:absolute;margin-left:86.92pt;margin-top:27.7862pt;mso-position-vertical-relative:text;mso-position-horizontal-relative:text;width:119.4pt;height:18.85pt;z-index:-251457536;rotation:330;" fillcolor="#404040" filled="true" stroked="false" type="#_x0000_t136">
          <v:fill opacity="0.400000"/>
          <v:textpath style="font-family:&quot;STSong&quot;;font-size:20;v-text-kern:t;mso-text-shadow:auto" string="仅供内部审核"/>
        </v:shape>
      </w:pict>
    </w:r>
    <w:r>
      <w:pict>
        <v:shape id="PowerPlusWaterMarkObject366" style="position:absolute;margin-left:491.92pt;margin-top:44.105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81.118pt;margin-top:258.837pt;mso-position-vertical-relative:page;mso-position-horizontal-relative:page;width:22.5pt;height:11.8pt;z-index:-251470848;" o:allowincell="f" fillcolor="#000000" filled="true" stroked="false" type="#_x0000_t136">
          <v:textpath style="font-family:&quot;FangSong&quot;;font-size:11.5;v-text-kern:t;mso-text-shadow:auto" string="万元"/>
        </v:shape>
      </w:pict>
    </w:r>
    <w:r>
      <w:pict>
        <v:shape id="PowerPlusWaterMarkObject370" style="position:absolute;margin-left:63.38pt;margin-top:278.838pt;mso-position-vertical-relative:page;mso-position-horizontal-relative:page;width:33.65pt;height:11.8pt;z-index:-251471872;" o:allowincell="f" fillcolor="#000000" filled="true" stroked="false" type="#_x0000_t136">
          <v:textpath style="font-family:&quot;FangSong&quot;;font-size:11.5;v-text-kern:t;mso-text-shadow:auto" string="元  占"/>
        </v:shape>
      </w:pict>
    </w:r>
    <w:r>
      <w:pict>
        <v:shape id="PowerPlusWaterMarkObject372" style="position:absolute;margin-left:-13.08pt;margin-top:288.105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481.843pt;margin-top:258.837pt;mso-position-vertical-relative:page;mso-position-horizontal-relative:page;width:22.35pt;height:11.8pt;z-index:-251468800;" o:allowincell="f" fillcolor="#000000" filled="true" stroked="false" type="#_x0000_t136">
          <v:textpath style="font-family:&quot;FangSong&quot;;font-size:11.5;v-text-kern:t;mso-text-shadow:auto" string="年结"/>
        </v:shape>
      </w:pict>
    </w:r>
    <w:r>
      <w:pict>
        <v:shape id="PowerPlusWaterMarkObject376" style="position:absolute;margin-left:391.92pt;margin-top:288.105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159.075pt;margin-top:513.988pt;mso-position-vertical-relative:page;mso-position-horizontal-relative:page;width:47.35pt;height:11.8pt;z-index:-251466752;" o:allowincell="f" fillcolor="#000000" filled="true" stroked="false" type="#_x0000_t136">
          <v:textpath style="font-family:&quot;FangSong&quot;;font-size:11.5;v-text-kern:t;mso-text-shadow:auto" string="孟家坪乡"/>
        </v:shape>
      </w:pict>
    </w:r>
    <w:r>
      <w:pict>
        <v:shape id="PowerPlusWaterMarkObject380" style="position:absolute;margin-left:132.372pt;margin-top:533.99pt;mso-position-vertical-relative:page;mso-position-horizontal-relative:page;width:45.4pt;height:11.8pt;z-index:-251465728;" o:allowincell="f" fillcolor="#000000" filled="true" stroked="false" type="#_x0000_t136">
          <v:textpath style="font-family:&quot;FangSong&quot;;font-size:11.5;v-text-kern:t;mso-text-shadow:auto" string="支出11 6"/>
        </v:shape>
      </w:pict>
    </w:r>
    <w:r>
      <w:pict>
        <v:shape id="PowerPlusWaterMarkObject382" style="position:absolute;margin-left:86.92pt;margin-top:532.106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491.92pt;margin-top:532.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86.0353pt;margin-top:756.166pt;mso-position-vertical-relative:page;mso-position-horizontal-relative:page;width:424.5pt;height:11.8pt;z-index:-251461632;" o:allowincell="f" fillcolor="#000000" filled="true" stroked="false" type="#_x0000_t136">
          <v:textpath style="font-family:&quot;FangSong&quot;;font-size:11.5;v-text-kern:t;mso-text-shadow:auto" string="2025                                                                下方面"/>
        </v:shape>
      </w:pict>
    </w:r>
    <w:r>
      <w:pict>
        <v:shape id="PowerPlusWaterMarkObject388" style="position:absolute;margin-left:63.5645pt;margin-top:776.167pt;mso-position-vertical-relative:page;mso-position-horizontal-relative:page;width:408.4pt;height:11.8pt;z-index:-251460608;" o:allowincell="f" fillcolor="#000000" filled="true" stroked="false" type="#_x0000_t136">
          <v:textpath style="font-family:&quot;FangSong&quot;;font-size:11.5;v-text-kern:t;mso-text-shadow:auto" string="会                                                              5 05%；"/>
        </v:shape>
      </w:pict>
    </w:r>
    <w:r>
      <w:pict>
        <v:shape id="PowerPlusWaterMarkObject390" style="position:absolute;margin-left:-13.08pt;margin-top:776.106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_x0000_s394" style="position:absolute;margin-left:30pt;margin-top:29.5pt;mso-position-vertical-relative:page;mso-position-horizontal-relative:page;width:535pt;height:1pt;z-index:-2514595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96" style="position:absolute;margin-left:86.92pt;margin-top:27.7862pt;mso-position-vertical-relative:text;mso-position-horizontal-relative:text;width:119.4pt;height:18.85pt;z-index:-251440128;rotation:330;" fillcolor="#404040" filled="true" stroked="false" type="#_x0000_t136">
          <v:fill opacity="0.400000"/>
          <v:textpath style="font-family:&quot;STSong&quot;;font-size:20;v-text-kern:t;mso-text-shadow:auto" string="仅供内部审核"/>
        </v:shape>
      </w:pict>
    </w:r>
    <w:r>
      <w:pict>
        <v:shape id="PowerPlusWaterMarkObject398" style="position:absolute;margin-left:491.92pt;margin-top:44.1055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86.4389pt;margin-top:266.946pt;mso-position-vertical-relative:page;mso-position-horizontal-relative:page;width:10.6pt;height:11.8pt;z-index:-251454464;" o:allowincell="f" fillcolor="#000000" filled="true" stroked="false" type="#_x0000_t136">
          <v:textpath style="font-family:&quot;FangSong&quot;;font-size:11.5;v-text-kern:t;mso-text-shadow:auto" string="人"/>
        </v:shape>
      </w:pict>
    </w:r>
    <w:r>
      <w:pict>
        <v:shape id="PowerPlusWaterMarkObject402" style="position:absolute;margin-left:63.1955pt;margin-top:286.947pt;mso-position-vertical-relative:page;mso-position-horizontal-relative:page;width:34.4pt;height:11.8pt;z-index:-251455488;" o:allowincell="f" fillcolor="#000000" filled="true" stroked="false" type="#_x0000_t136">
          <v:textpath style="font-family:&quot;FangSong&quot;;font-size:11.5;v-text-kern:t;mso-text-shadow:auto" string="社会保"/>
        </v:shape>
      </w:pict>
    </w:r>
    <w:r>
      <w:pict>
        <v:shape id="PowerPlusWaterMarkObject404" style="position:absolute;margin-left:-13.08pt;margin-top:288.105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475.773pt;margin-top:266.946pt;mso-position-vertical-relative:page;mso-position-horizontal-relative:page;width:22.6pt;height:11.8pt;z-index:-251452416;" o:allowincell="f" fillcolor="#000000" filled="true" stroked="false" type="#_x0000_t136">
          <v:textpath style="font-family:&quot;FangSong&quot;;font-size:11.5;v-text-kern:t;mso-text-shadow:auto" string="支出"/>
        </v:shape>
      </w:pict>
    </w:r>
    <w:r>
      <w:pict>
        <v:shape id="PowerPlusWaterMarkObject408" style="position:absolute;margin-left:440.517pt;margin-top:286.947pt;mso-position-vertical-relative:page;mso-position-horizontal-relative:page;width:46.15pt;height:11.8pt;z-index:-251451392;" o:allowincell="f" fillcolor="#000000" filled="true" stroked="false" type="#_x0000_t136">
          <v:textpath style="font-family:&quot;FangSong&quot;;font-size:11.5;v-text-kern:t;mso-text-shadow:auto" string="住房公积"/>
        </v:shape>
      </w:pict>
    </w:r>
    <w:r>
      <w:pict>
        <v:shape id="PowerPlusWaterMarkObject410"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161.161pt;margin-top:509.123pt;mso-position-vertical-relative:page;mso-position-horizontal-relative:page;width:10.85pt;height:11.8pt;z-index:-251449344;" o:allowincell="f" fillcolor="#000000" filled="true" stroked="false" type="#_x0000_t136">
          <v:textpath style="font-family:&quot;FangSong&quot;;font-size:11.5;v-text-kern:t;mso-text-shadow:auto" string="标"/>
        </v:shape>
      </w:pict>
    </w:r>
    <w:r>
      <w:pict>
        <v:shape id="PowerPlusWaterMarkObject414" style="position:absolute;margin-left:132.418pt;margin-top:529.125pt;mso-position-vertical-relative:page;mso-position-horizontal-relative:page;width:45.35pt;height:11.8pt;z-index:-251448320;" o:allowincell="f" fillcolor="#000000" filled="true" stroked="false" type="#_x0000_t136">
          <v:textpath style="font-family:&quot;FangSong&quot;;font-size:11.5;v-text-kern:t;mso-text-shadow:auto" string="项目  只"/>
        </v:shape>
      </w:pict>
    </w:r>
    <w:r>
      <w:pict>
        <v:shape id="PowerPlusWaterMarkObject416" style="position:absolute;margin-left:103.595pt;margin-top:549.126pt;mso-position-vertical-relative:page;mso-position-horizontal-relative:page;width:45.35pt;height:11.8pt;z-index:-251447296;" o:allowincell="f" fillcolor="#000000" filled="true" stroked="false" type="#_x0000_t136">
          <v:textpath style="font-family:&quot;FangSong&quot;;font-size:11.5;v-text-kern:t;mso-text-shadow:auto" string="项目绩效"/>
        </v:shape>
      </w:pict>
    </w:r>
    <w:r>
      <w:pict>
        <v:shape id="PowerPlusWaterMarkObject418" style="position:absolute;margin-left:97.5647pt;margin-top:569.668pt;mso-position-vertical-relative:page;mso-position-horizontal-relative:page;width:11pt;height:11.8pt;z-index:-251446272;" o:allowincell="f" fillcolor="#000000" filled="true" stroked="false" type="#_x0000_t136">
          <v:textpath style="font-family:&quot;FangSong&quot;;font-size:11.5;v-text-kern:t;mso-text-shadow:auto" string="25"/>
        </v:shape>
      </w:pict>
    </w:r>
    <w:r>
      <w:pict>
        <v:shape id="PowerPlusWaterMarkObject420" style="position:absolute;margin-left:86.92pt;margin-top:532.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PowerPlusWaterMarkObject422" style="position:absolute;margin-left:491.92pt;margin-top:532.106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24" style="position:absolute;margin-left:-13.08pt;margin-top:776.106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426" style="position:absolute;margin-left:391.92pt;margin-top:776.106pt;mso-position-vertical-relative:page;mso-position-horizontal-relative:page;width:119.4pt;height:18.85pt;z-index:-251444224;rotation:330;" o:allowincell="f" fillcolor="#404040" filled="true" stroked="false" type="#_x0000_t136">
          <v:fill opacity="0.400000"/>
          <v:textpath style="font-family:&quot;STSong&quot;;font-size:20;v-text-kern:t;mso-text-shadow:auto" string="仅供内部审核"/>
        </v:shape>
      </w:pict>
    </w:r>
    <w:r>
      <w:pict>
        <v:shape id="_x0000_s428" style="position:absolute;margin-left:30pt;margin-top:29.5pt;mso-position-vertical-relative:page;mso-position-horizontal-relative:page;width:535pt;height:1pt;z-index:-251442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30" style="position:absolute;margin-left:86.92pt;margin-top:27.7862pt;mso-position-vertical-relative:text;mso-position-horizontal-relative:text;width:119.4pt;height:18.85pt;z-index:-251428864;rotation:330;" fillcolor="#404040" filled="true" stroked="false" type="#_x0000_t136">
          <v:fill opacity="0.400000"/>
          <v:textpath style="font-family:&quot;STSong&quot;;font-size:20;v-text-kern:t;mso-text-shadow:auto" string="仅供内部审核"/>
        </v:shape>
      </w:pict>
    </w:r>
    <w:r>
      <w:pict>
        <v:shape id="PowerPlusWaterMarkObject432"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86.2591pt;margin-top:245.863pt;mso-position-vertical-relative:page;mso-position-horizontal-relative:page;width:3.35pt;height:11.8pt;z-index:-251437056;" o:allowincell="f" fillcolor="#000000" filled="true" stroked="false" type="#_x0000_t136">
          <v:textpath style="font-family:&quot;FangSong&quot;;font-size:11.5;v-text-kern:t;mso-text-shadow:auto" string="("/>
        </v:shape>
      </w:pict>
    </w:r>
    <w:r>
      <w:pict>
        <v:shape id="PowerPlusWaterMarkObject436" style="position:absolute;margin-left:92.0196pt;margin-top:286.406pt;mso-position-vertical-relative:page;mso-position-horizontal-relative:page;width:3.35pt;height:11.8pt;z-index:-251438080;" o:allowincell="f" fillcolor="#000000" filled="true" stroked="false" type="#_x0000_t136">
          <v:textpath style="font-family:&quot;FangSong&quot;;font-size:11.5;v-text-kern:t;mso-text-shadow:auto" string="("/>
        </v:shape>
      </w:pict>
    </w:r>
    <w:r>
      <w:pict>
        <v:shape id="PowerPlusWaterMarkObject438" style="position:absolute;margin-left:-13.08pt;margin-top:288.105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40" style="position:absolute;margin-left:391.92pt;margin-top:288.105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42" style="position:absolute;margin-left:86.92pt;margin-top:532.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491.92pt;margin-top:532.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_x0000_s450"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52" style="position:absolute;margin-left:86.92pt;margin-top:27.7862pt;mso-position-vertical-relative:text;mso-position-horizontal-relative:text;width:119.4pt;height:18.85pt;z-index:-251421696;rotation:330;" fillcolor="#404040" filled="true" stroked="false" type="#_x0000_t136">
          <v:fill opacity="0.400000"/>
          <v:textpath style="font-family:&quot;STSong&quot;;font-size:20;v-text-kern:t;mso-text-shadow:auto" string="仅供内部审核"/>
        </v:shape>
      </w:pict>
    </w:r>
    <w:r>
      <w:pict>
        <v:shape id="PowerPlusWaterMarkObject454" style="position:absolute;margin-left:-13.08pt;margin-top:288.105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PowerPlusWaterMarkObject456"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458"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_x0000_s464"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98" style="position:absolute;margin-left:86.92pt;margin-top:27.7862pt;mso-position-vertical-relative:text;mso-position-horizontal-relative:text;width:119.4pt;height:18.85pt;z-index:-251412480;rotation:330;" fillcolor="#404040" filled="true" stroked="false" type="#_x0000_t136">
          <v:fill opacity="0.400000"/>
          <v:textpath style="font-family:&quot;STSong&quot;;font-size:20;v-text-kern:t;mso-text-shadow:auto" string="仅供内部审核"/>
        </v:shape>
      </w:pict>
    </w:r>
    <w:r>
      <w:pict>
        <v:shape id="PowerPlusWaterMarkObject700" style="position:absolute;margin-left:-13.08pt;margin-top:288.105pt;mso-position-vertical-relative:page;mso-position-horizontal-relative:page;width:119.4pt;height:18.85pt;z-index:-251420672;rotation:330;" o:allowincell="f" fillcolor="#404040" filled="true" stroked="false" type="#_x0000_t136">
          <v:fill opacity="0.400000"/>
          <v:textpath style="font-family:&quot;STSong&quot;;font-size:20;v-text-kern:t;mso-text-shadow:auto" string="仅供内部审核"/>
        </v:shape>
      </w:pict>
    </w:r>
    <w:r>
      <w:pict>
        <v:shape id="PowerPlusWaterMarkObject702" style="position:absolute;margin-left:491.92pt;margin-top:44.1055pt;mso-position-vertical-relative:page;mso-position-horizontal-relative:page;width:119.4pt;height:18.85pt;z-index:-251413504;rotation:330;" o:allowincell="f" fillcolor="#404040" filled="true" stroked="false" type="#_x0000_t136">
          <v:fill opacity="0.400000"/>
          <v:textpath style="font-family:&quot;STSong&quot;;font-size:20;v-text-kern:t;mso-text-shadow:auto" string="仅供内部审核"/>
        </v:shape>
      </w:pict>
    </w:r>
    <w:r>
      <w:pict>
        <v:shape id="PowerPlusWaterMarkObject704" style="position:absolute;margin-left:391.92pt;margin-top:288.105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706" style="position:absolute;margin-left:86.92pt;margin-top:532.106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PowerPlusWaterMarkObject708" style="position:absolute;margin-left:-13.08pt;margin-top:776.106pt;mso-position-vertical-relative:page;mso-position-horizontal-relative:page;width:119.4pt;height:18.85pt;z-index:-251415552;rotation:330;" o:allowincell="f" fillcolor="#404040" filled="true" stroked="false" type="#_x0000_t136">
          <v:fill opacity="0.400000"/>
          <v:textpath style="font-family:&quot;STSong&quot;;font-size:20;v-text-kern:t;mso-text-shadow:auto" string="仅供内部审核"/>
        </v:shape>
      </w:pict>
    </w:r>
    <w:r>
      <w:pict>
        <v:shape id="PowerPlusWaterMarkObject710" style="position:absolute;margin-left:491.92pt;margin-top:532.106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PowerPlusWaterMarkObject712" style="position:absolute;margin-left:391.92pt;margin-top:776.106pt;mso-position-vertical-relative:page;mso-position-horizontal-relative:page;width:119.4pt;height:18.85pt;z-index:-251416576;rotation:330;" o:allowincell="f" fillcolor="#404040" filled="true" stroked="false" type="#_x0000_t136">
          <v:fill opacity="0.400000"/>
          <v:textpath style="font-family:&quot;STSong&quot;;font-size:20;v-text-kern:t;mso-text-shadow:auto" string="仅供内部审核"/>
        </v:shape>
      </w:pict>
    </w:r>
    <w:r>
      <w:pict>
        <v:shape id="_x0000_s714" style="position:absolute;margin-left:30pt;margin-top:29.5pt;mso-position-vertical-relative:page;mso-position-horizontal-relative:page;width:535pt;height:1pt;z-index:-2514145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05.911pt;margin-top:325.754pt;mso-position-vertical-relative:page;mso-position-horizontal-relative:page;width:7.15pt;height:7.9pt;z-index:-251587584;" o:allowincell="f" fillcolor="#212529" filled="true" stroked="false" type="#_x0000_t136">
          <v:textpath style="font-family:&quot;SimSun&quot;;font-size:7.5;v-text-kern:t;mso-text-shadow:auto" string="14"/>
        </v:shape>
      </w:pict>
    </w:r>
    <w:r>
      <w:pict>
        <v:shape id="PowerPlusWaterMarkObject146"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2.png"/><Relationship Id="rId98" Type="http://schemas.openxmlformats.org/officeDocument/2006/relationships/footer" Target="footer46.xml"/><Relationship Id="rId97" Type="http://schemas.openxmlformats.org/officeDocument/2006/relationships/image" Target="media/image31.png"/><Relationship Id="rId96" Type="http://schemas.openxmlformats.org/officeDocument/2006/relationships/footer" Target="footer45.xml"/><Relationship Id="rId95" Type="http://schemas.openxmlformats.org/officeDocument/2006/relationships/image" Target="media/image30.png"/><Relationship Id="rId94" Type="http://schemas.openxmlformats.org/officeDocument/2006/relationships/footer" Target="footer44.xml"/><Relationship Id="rId93" Type="http://schemas.openxmlformats.org/officeDocument/2006/relationships/image" Target="media/image29.png"/><Relationship Id="rId92" Type="http://schemas.openxmlformats.org/officeDocument/2006/relationships/footer" Target="footer43.xml"/><Relationship Id="rId91" Type="http://schemas.openxmlformats.org/officeDocument/2006/relationships/image" Target="media/image28.png"/><Relationship Id="rId90" Type="http://schemas.openxmlformats.org/officeDocument/2006/relationships/footer" Target="footer42.xml"/><Relationship Id="rId9" Type="http://schemas.openxmlformats.org/officeDocument/2006/relationships/header" Target="header6.xml"/><Relationship Id="rId89" Type="http://schemas.openxmlformats.org/officeDocument/2006/relationships/image" Target="media/image27.png"/><Relationship Id="rId88" Type="http://schemas.openxmlformats.org/officeDocument/2006/relationships/footer" Target="footer41.xml"/><Relationship Id="rId87" Type="http://schemas.openxmlformats.org/officeDocument/2006/relationships/image" Target="media/image26.png"/><Relationship Id="rId86" Type="http://schemas.openxmlformats.org/officeDocument/2006/relationships/footer" Target="footer40.xml"/><Relationship Id="rId85" Type="http://schemas.openxmlformats.org/officeDocument/2006/relationships/image" Target="media/image25.png"/><Relationship Id="rId84" Type="http://schemas.openxmlformats.org/officeDocument/2006/relationships/footer" Target="footer39.xml"/><Relationship Id="rId83" Type="http://schemas.openxmlformats.org/officeDocument/2006/relationships/image" Target="media/image24.png"/><Relationship Id="rId82" Type="http://schemas.openxmlformats.org/officeDocument/2006/relationships/footer" Target="footer38.xml"/><Relationship Id="rId81" Type="http://schemas.openxmlformats.org/officeDocument/2006/relationships/image" Target="media/image23.png"/><Relationship Id="rId80" Type="http://schemas.openxmlformats.org/officeDocument/2006/relationships/footer" Target="footer37.xml"/><Relationship Id="rId8" Type="http://schemas.openxmlformats.org/officeDocument/2006/relationships/footer" Target="footer2.xml"/><Relationship Id="rId79" Type="http://schemas.openxmlformats.org/officeDocument/2006/relationships/image" Target="media/image22.png"/><Relationship Id="rId78" Type="http://schemas.openxmlformats.org/officeDocument/2006/relationships/footer" Target="footer36.xml"/><Relationship Id="rId77" Type="http://schemas.openxmlformats.org/officeDocument/2006/relationships/image" Target="media/image21.png"/><Relationship Id="rId76" Type="http://schemas.openxmlformats.org/officeDocument/2006/relationships/footer" Target="footer35.xml"/><Relationship Id="rId75" Type="http://schemas.openxmlformats.org/officeDocument/2006/relationships/image" Target="media/image20.png"/><Relationship Id="rId74" Type="http://schemas.openxmlformats.org/officeDocument/2006/relationships/footer" Target="footer34.xml"/><Relationship Id="rId73" Type="http://schemas.openxmlformats.org/officeDocument/2006/relationships/image" Target="media/image19.png"/><Relationship Id="rId72" Type="http://schemas.openxmlformats.org/officeDocument/2006/relationships/footer" Target="footer3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2.png"/><Relationship Id="rId58" Type="http://schemas.openxmlformats.org/officeDocument/2006/relationships/footer" Target="footer26.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image" Target="media/image10.png"/><Relationship Id="rId54" Type="http://schemas.openxmlformats.org/officeDocument/2006/relationships/footer" Target="footer24.xml"/><Relationship Id="rId53" Type="http://schemas.openxmlformats.org/officeDocument/2006/relationships/image" Target="media/image9.png"/><Relationship Id="rId52" Type="http://schemas.openxmlformats.org/officeDocument/2006/relationships/footer" Target="footer23.xml"/><Relationship Id="rId51" Type="http://schemas.openxmlformats.org/officeDocument/2006/relationships/image" Target="media/image8.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1.xml"/><Relationship Id="rId47" Type="http://schemas.openxmlformats.org/officeDocument/2006/relationships/image" Target="media/image6.png"/><Relationship Id="rId46" Type="http://schemas.openxmlformats.org/officeDocument/2006/relationships/footer" Target="footer20.xml"/><Relationship Id="rId45" Type="http://schemas.openxmlformats.org/officeDocument/2006/relationships/image" Target="media/image5.png"/><Relationship Id="rId44" Type="http://schemas.openxmlformats.org/officeDocument/2006/relationships/footer" Target="footer19.xml"/><Relationship Id="rId43" Type="http://schemas.openxmlformats.org/officeDocument/2006/relationships/header" Target="header22.xml"/><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4" Type="http://schemas.openxmlformats.org/officeDocument/2006/relationships/fontTable" Target="fontTable.xml"/><Relationship Id="rId163" Type="http://schemas.openxmlformats.org/officeDocument/2006/relationships/styles" Target="styles.xml"/><Relationship Id="rId162" Type="http://schemas.openxmlformats.org/officeDocument/2006/relationships/settings" Target="settings.xml"/><Relationship Id="rId161" Type="http://schemas.openxmlformats.org/officeDocument/2006/relationships/footer" Target="footer77.xml"/><Relationship Id="rId160" Type="http://schemas.openxmlformats.org/officeDocument/2006/relationships/header" Target="header23.xml"/><Relationship Id="rId16" Type="http://schemas.openxmlformats.org/officeDocument/2006/relationships/footer" Target="footer6.xml"/><Relationship Id="rId159" Type="http://schemas.openxmlformats.org/officeDocument/2006/relationships/image" Target="media/image62.png"/><Relationship Id="rId158" Type="http://schemas.openxmlformats.org/officeDocument/2006/relationships/footer" Target="footer76.xml"/><Relationship Id="rId157" Type="http://schemas.openxmlformats.org/officeDocument/2006/relationships/image" Target="media/image61.png"/><Relationship Id="rId156" Type="http://schemas.openxmlformats.org/officeDocument/2006/relationships/footer" Target="footer75.xml"/><Relationship Id="rId155" Type="http://schemas.openxmlformats.org/officeDocument/2006/relationships/image" Target="media/image60.png"/><Relationship Id="rId154" Type="http://schemas.openxmlformats.org/officeDocument/2006/relationships/footer" Target="footer74.xml"/><Relationship Id="rId153" Type="http://schemas.openxmlformats.org/officeDocument/2006/relationships/image" Target="media/image59.png"/><Relationship Id="rId152" Type="http://schemas.openxmlformats.org/officeDocument/2006/relationships/footer" Target="footer73.xml"/><Relationship Id="rId151" Type="http://schemas.openxmlformats.org/officeDocument/2006/relationships/image" Target="media/image58.png"/><Relationship Id="rId150" Type="http://schemas.openxmlformats.org/officeDocument/2006/relationships/footer" Target="footer72.xml"/><Relationship Id="rId15" Type="http://schemas.openxmlformats.org/officeDocument/2006/relationships/header" Target="header9.xml"/><Relationship Id="rId149" Type="http://schemas.openxmlformats.org/officeDocument/2006/relationships/image" Target="media/image57.png"/><Relationship Id="rId148" Type="http://schemas.openxmlformats.org/officeDocument/2006/relationships/footer" Target="footer71.xml"/><Relationship Id="rId147" Type="http://schemas.openxmlformats.org/officeDocument/2006/relationships/image" Target="media/image56.png"/><Relationship Id="rId146" Type="http://schemas.openxmlformats.org/officeDocument/2006/relationships/footer" Target="footer70.xml"/><Relationship Id="rId145" Type="http://schemas.openxmlformats.org/officeDocument/2006/relationships/image" Target="media/image55.png"/><Relationship Id="rId144" Type="http://schemas.openxmlformats.org/officeDocument/2006/relationships/footer" Target="footer69.xml"/><Relationship Id="rId143" Type="http://schemas.openxmlformats.org/officeDocument/2006/relationships/image" Target="media/image54.png"/><Relationship Id="rId142" Type="http://schemas.openxmlformats.org/officeDocument/2006/relationships/footer" Target="footer68.xml"/><Relationship Id="rId141" Type="http://schemas.openxmlformats.org/officeDocument/2006/relationships/image" Target="media/image53.png"/><Relationship Id="rId140" Type="http://schemas.openxmlformats.org/officeDocument/2006/relationships/footer" Target="footer67.xml"/><Relationship Id="rId14" Type="http://schemas.openxmlformats.org/officeDocument/2006/relationships/footer" Target="footer5.xml"/><Relationship Id="rId139" Type="http://schemas.openxmlformats.org/officeDocument/2006/relationships/image" Target="media/image52.png"/><Relationship Id="rId138" Type="http://schemas.openxmlformats.org/officeDocument/2006/relationships/footer" Target="footer66.xml"/><Relationship Id="rId137" Type="http://schemas.openxmlformats.org/officeDocument/2006/relationships/image" Target="media/image51.png"/><Relationship Id="rId136" Type="http://schemas.openxmlformats.org/officeDocument/2006/relationships/footer" Target="footer65.xml"/><Relationship Id="rId135" Type="http://schemas.openxmlformats.org/officeDocument/2006/relationships/image" Target="media/image50.png"/><Relationship Id="rId134" Type="http://schemas.openxmlformats.org/officeDocument/2006/relationships/footer" Target="footer64.xml"/><Relationship Id="rId133" Type="http://schemas.openxmlformats.org/officeDocument/2006/relationships/image" Target="media/image49.png"/><Relationship Id="rId132" Type="http://schemas.openxmlformats.org/officeDocument/2006/relationships/footer" Target="footer63.xml"/><Relationship Id="rId131" Type="http://schemas.openxmlformats.org/officeDocument/2006/relationships/image" Target="media/image48.png"/><Relationship Id="rId130" Type="http://schemas.openxmlformats.org/officeDocument/2006/relationships/footer" Target="footer62.xml"/><Relationship Id="rId13" Type="http://schemas.openxmlformats.org/officeDocument/2006/relationships/header" Target="header8.xml"/><Relationship Id="rId129" Type="http://schemas.openxmlformats.org/officeDocument/2006/relationships/image" Target="media/image47.png"/><Relationship Id="rId128" Type="http://schemas.openxmlformats.org/officeDocument/2006/relationships/footer" Target="footer61.xml"/><Relationship Id="rId127" Type="http://schemas.openxmlformats.org/officeDocument/2006/relationships/image" Target="media/image46.png"/><Relationship Id="rId126" Type="http://schemas.openxmlformats.org/officeDocument/2006/relationships/footer" Target="footer60.xml"/><Relationship Id="rId125" Type="http://schemas.openxmlformats.org/officeDocument/2006/relationships/image" Target="media/image45.png"/><Relationship Id="rId124" Type="http://schemas.openxmlformats.org/officeDocument/2006/relationships/footer" Target="footer59.xml"/><Relationship Id="rId123" Type="http://schemas.openxmlformats.org/officeDocument/2006/relationships/image" Target="media/image44.png"/><Relationship Id="rId122" Type="http://schemas.openxmlformats.org/officeDocument/2006/relationships/footer" Target="footer58.xml"/><Relationship Id="rId121" Type="http://schemas.openxmlformats.org/officeDocument/2006/relationships/image" Target="media/image43.png"/><Relationship Id="rId120" Type="http://schemas.openxmlformats.org/officeDocument/2006/relationships/footer" Target="footer57.xml"/><Relationship Id="rId12" Type="http://schemas.openxmlformats.org/officeDocument/2006/relationships/footer" Target="footer4.xml"/><Relationship Id="rId119" Type="http://schemas.openxmlformats.org/officeDocument/2006/relationships/image" Target="media/image42.png"/><Relationship Id="rId118" Type="http://schemas.openxmlformats.org/officeDocument/2006/relationships/footer" Target="footer56.xml"/><Relationship Id="rId117" Type="http://schemas.openxmlformats.org/officeDocument/2006/relationships/image" Target="media/image41.png"/><Relationship Id="rId116" Type="http://schemas.openxmlformats.org/officeDocument/2006/relationships/footer" Target="footer55.xml"/><Relationship Id="rId115" Type="http://schemas.openxmlformats.org/officeDocument/2006/relationships/image" Target="media/image40.png"/><Relationship Id="rId114" Type="http://schemas.openxmlformats.org/officeDocument/2006/relationships/footer" Target="footer54.xml"/><Relationship Id="rId113" Type="http://schemas.openxmlformats.org/officeDocument/2006/relationships/image" Target="media/image39.png"/><Relationship Id="rId112" Type="http://schemas.openxmlformats.org/officeDocument/2006/relationships/footer" Target="footer53.xml"/><Relationship Id="rId111" Type="http://schemas.openxmlformats.org/officeDocument/2006/relationships/image" Target="media/image38.png"/><Relationship Id="rId110" Type="http://schemas.openxmlformats.org/officeDocument/2006/relationships/footer" Target="footer52.xml"/><Relationship Id="rId11" Type="http://schemas.openxmlformats.org/officeDocument/2006/relationships/header" Target="header7.xml"/><Relationship Id="rId109" Type="http://schemas.openxmlformats.org/officeDocument/2006/relationships/image" Target="media/image37.png"/><Relationship Id="rId108" Type="http://schemas.openxmlformats.org/officeDocument/2006/relationships/footer" Target="footer51.xml"/><Relationship Id="rId107" Type="http://schemas.openxmlformats.org/officeDocument/2006/relationships/image" Target="media/image36.png"/><Relationship Id="rId106" Type="http://schemas.openxmlformats.org/officeDocument/2006/relationships/footer" Target="footer50.xml"/><Relationship Id="rId105" Type="http://schemas.openxmlformats.org/officeDocument/2006/relationships/image" Target="media/image35.png"/><Relationship Id="rId104" Type="http://schemas.openxmlformats.org/officeDocument/2006/relationships/footer" Target="footer49.xml"/><Relationship Id="rId103" Type="http://schemas.openxmlformats.org/officeDocument/2006/relationships/image" Target="media/image34.png"/><Relationship Id="rId102" Type="http://schemas.openxmlformats.org/officeDocument/2006/relationships/footer" Target="footer48.xml"/><Relationship Id="rId101" Type="http://schemas.openxmlformats.org/officeDocument/2006/relationships/image" Target="media/image33.png"/><Relationship Id="rId100" Type="http://schemas.openxmlformats.org/officeDocument/2006/relationships/footer" Target="footer4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2025-05-08T10:39:03Z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2025-09-26T09:18:57</vt:filetime>
  </property>
</Properties>
</file>