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3542"/>
        <w:spacing w:before="140" w:line="218" w:lineRule="auto"/>
        <w:rPr/>
      </w:pPr>
      <w:r>
        <w:rPr>
          <w:spacing w:val="4"/>
        </w:rPr>
        <w:t>兴</w:t>
      </w:r>
      <w:r>
        <w:rPr>
          <w:spacing w:val="-98"/>
        </w:rPr>
        <w:t xml:space="preserve"> </w:t>
      </w:r>
      <w:r>
        <w:rPr>
          <w:spacing w:val="4"/>
        </w:rPr>
        <w:t>县</w:t>
      </w:r>
      <w:r>
        <w:rPr>
          <w:spacing w:val="-96"/>
        </w:rPr>
        <w:t xml:space="preserve"> </w:t>
      </w:r>
      <w:r>
        <w:rPr>
          <w:spacing w:val="4"/>
        </w:rPr>
        <w:t>奥</w:t>
      </w:r>
      <w:r>
        <w:rPr>
          <w:spacing w:val="-97"/>
        </w:rPr>
        <w:t xml:space="preserve"> </w:t>
      </w:r>
      <w:r>
        <w:rPr>
          <w:spacing w:val="4"/>
        </w:rPr>
        <w:t>家</w:t>
      </w:r>
      <w:r>
        <w:rPr>
          <w:spacing w:val="-97"/>
        </w:rPr>
        <w:t xml:space="preserve"> </w:t>
      </w:r>
      <w:r>
        <w:rPr>
          <w:spacing w:val="4"/>
        </w:rPr>
        <w:t>湾</w:t>
      </w:r>
      <w:r>
        <w:rPr>
          <w:spacing w:val="-95"/>
        </w:rPr>
        <w:t xml:space="preserve"> </w:t>
      </w:r>
      <w:r>
        <w:rPr>
          <w:spacing w:val="4"/>
        </w:rPr>
        <w:t>乡卫</w:t>
      </w:r>
      <w:r>
        <w:rPr>
          <w:spacing w:val="-75"/>
        </w:rPr>
        <w:t xml:space="preserve"> </w:t>
      </w:r>
      <w:r>
        <w:rPr>
          <w:spacing w:val="4"/>
        </w:rPr>
        <w:t>生</w:t>
      </w:r>
      <w:r>
        <w:rPr>
          <w:spacing w:val="-77"/>
        </w:rPr>
        <w:t xml:space="preserve"> </w:t>
      </w:r>
      <w:r>
        <w:rPr>
          <w:spacing w:val="4"/>
        </w:rPr>
        <w:t>院</w:t>
      </w:r>
    </w:p>
    <w:p>
      <w:pPr>
        <w:spacing w:line="385" w:lineRule="auto"/>
        <w:rPr>
          <w:rFonts w:ascii="Arial"/>
          <w:sz w:val="21"/>
        </w:rPr>
      </w:pPr>
      <w:r/>
    </w:p>
    <w:p>
      <w:pPr>
        <w:pStyle w:val="BodyText"/>
        <w:ind w:left="3079"/>
        <w:spacing w:before="140" w:line="583" w:lineRule="exact"/>
        <w:rPr/>
      </w:pPr>
      <w:r>
        <w:rPr>
          <w:spacing w:val="7"/>
          <w:position w:val="2"/>
        </w:rPr>
        <w:t>2</w:t>
      </w:r>
      <w:r>
        <w:rPr>
          <w:spacing w:val="-88"/>
          <w:position w:val="2"/>
        </w:rPr>
        <w:t xml:space="preserve"> </w:t>
      </w:r>
      <w:r>
        <w:rPr>
          <w:spacing w:val="7"/>
          <w:position w:val="2"/>
        </w:rPr>
        <w:t>0</w:t>
      </w:r>
      <w:r>
        <w:rPr>
          <w:spacing w:val="-93"/>
          <w:position w:val="2"/>
        </w:rPr>
        <w:t xml:space="preserve"> </w:t>
      </w:r>
      <w:r>
        <w:rPr>
          <w:spacing w:val="7"/>
          <w:position w:val="2"/>
        </w:rPr>
        <w:t>2</w:t>
      </w:r>
      <w:r>
        <w:rPr>
          <w:spacing w:val="-77"/>
          <w:position w:val="2"/>
        </w:rPr>
        <w:t xml:space="preserve"> </w:t>
      </w:r>
      <w:r>
        <w:rPr>
          <w:spacing w:val="7"/>
          <w:position w:val="2"/>
        </w:rPr>
        <w:t>5</w:t>
      </w:r>
      <w:r>
        <w:rPr>
          <w:spacing w:val="-98"/>
          <w:position w:val="2"/>
        </w:rPr>
        <w:t xml:space="preserve"> </w:t>
      </w:r>
      <w:r>
        <w:rPr>
          <w:spacing w:val="7"/>
          <w:position w:val="2"/>
        </w:rPr>
        <w:t>年</w:t>
      </w:r>
      <w:r>
        <w:rPr>
          <w:spacing w:val="-96"/>
          <w:position w:val="2"/>
        </w:rPr>
        <w:t xml:space="preserve"> </w:t>
      </w:r>
      <w:r>
        <w:rPr>
          <w:spacing w:val="7"/>
          <w:position w:val="2"/>
        </w:rPr>
        <w:t>度</w:t>
      </w:r>
      <w:r>
        <w:rPr>
          <w:spacing w:val="-95"/>
          <w:position w:val="2"/>
        </w:rPr>
        <w:t xml:space="preserve"> </w:t>
      </w:r>
      <w:r>
        <w:rPr>
          <w:spacing w:val="7"/>
          <w:position w:val="2"/>
        </w:rPr>
        <w:t>单</w:t>
      </w:r>
      <w:r>
        <w:rPr>
          <w:spacing w:val="-104"/>
          <w:position w:val="2"/>
        </w:rPr>
        <w:t xml:space="preserve"> </w:t>
      </w:r>
      <w:r>
        <w:rPr>
          <w:spacing w:val="7"/>
          <w:position w:val="2"/>
        </w:rPr>
        <w:t>位</w:t>
      </w:r>
      <w:r>
        <w:rPr>
          <w:spacing w:val="-108"/>
          <w:position w:val="2"/>
        </w:rPr>
        <w:t xml:space="preserve"> </w:t>
      </w:r>
      <w:r>
        <w:rPr>
          <w:spacing w:val="7"/>
          <w:position w:val="2"/>
        </w:rPr>
        <w:t>预</w:t>
      </w:r>
      <w:r>
        <w:rPr>
          <w:spacing w:val="-94"/>
          <w:position w:val="2"/>
        </w:rPr>
        <w:t xml:space="preserve"> </w:t>
      </w:r>
      <w:r>
        <w:rPr>
          <w:spacing w:val="7"/>
          <w:position w:val="2"/>
        </w:rPr>
        <w:t>算</w:t>
      </w:r>
      <w:r>
        <w:rPr>
          <w:spacing w:val="-104"/>
          <w:position w:val="2"/>
        </w:rPr>
        <w:t xml:space="preserve"> </w:t>
      </w:r>
      <w:r>
        <w:rPr>
          <w:spacing w:val="7"/>
          <w:position w:val="2"/>
        </w:rPr>
        <w:t>公</w:t>
      </w:r>
      <w:r>
        <w:rPr>
          <w:spacing w:val="-98"/>
          <w:position w:val="2"/>
        </w:rPr>
        <w:t xml:space="preserve"> </w:t>
      </w:r>
      <w:r>
        <w:rPr>
          <w:spacing w:val="7"/>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438"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29</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29</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29</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29</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38</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spacing w:line="266" w:lineRule="auto"/>
        <w:rPr>
          <w:rFonts w:ascii="Arial"/>
          <w:sz w:val="21"/>
        </w:rPr>
      </w:pPr>
      <w:r/>
    </w:p>
    <w:p>
      <w:pPr>
        <w:spacing w:line="266" w:lineRule="auto"/>
        <w:rPr>
          <w:rFonts w:ascii="Arial"/>
          <w:sz w:val="21"/>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26"/>
        <w:spacing w:before="283" w:line="222" w:lineRule="auto"/>
        <w:rPr>
          <w:rFonts w:ascii="FangSong" w:hAnsi="FangSong" w:eastAsia="FangSong" w:cs="FangSong"/>
          <w:sz w:val="24"/>
          <w:szCs w:val="24"/>
        </w:rPr>
      </w:pPr>
      <w:r>
        <w:rPr>
          <w:rFonts w:ascii="FangSong" w:hAnsi="FangSong" w:eastAsia="FangSong" w:cs="FangSong"/>
          <w:sz w:val="24"/>
          <w:szCs w:val="24"/>
          <w:spacing w:val="-2"/>
        </w:rPr>
        <w:t>1、提供基本医疗服务,以常见病、多发病的诊疗、护理、康复等综合服务为主。</w:t>
      </w:r>
    </w:p>
    <w:p>
      <w:pPr>
        <w:ind w:left="1522" w:right="1880" w:hanging="11"/>
        <w:spacing w:before="115" w:line="267" w:lineRule="auto"/>
        <w:rPr>
          <w:rFonts w:ascii="FangSong" w:hAnsi="FangSong" w:eastAsia="FangSong" w:cs="FangSong"/>
          <w:sz w:val="24"/>
          <w:szCs w:val="24"/>
        </w:rPr>
      </w:pPr>
      <w:r>
        <w:rPr>
          <w:rFonts w:ascii="FangSong" w:hAnsi="FangSong" w:eastAsia="FangSong" w:cs="FangSong"/>
          <w:sz w:val="24"/>
          <w:szCs w:val="24"/>
        </w:rPr>
        <w:t>2、提供基本公共卫生服务,承担辖区内的公共卫生管</w:t>
      </w:r>
      <w:r>
        <w:rPr>
          <w:rFonts w:ascii="FangSong" w:hAnsi="FangSong" w:eastAsia="FangSong" w:cs="FangSong"/>
          <w:sz w:val="24"/>
          <w:szCs w:val="24"/>
          <w:spacing w:val="-1"/>
        </w:rPr>
        <w:t>理工作,负责对村卫生室的综</w:t>
      </w:r>
      <w:r>
        <w:rPr>
          <w:rFonts w:ascii="FangSong" w:hAnsi="FangSong" w:eastAsia="FangSong" w:cs="FangSong"/>
          <w:sz w:val="24"/>
          <w:szCs w:val="24"/>
        </w:rPr>
        <w:t xml:space="preserve"> </w:t>
      </w:r>
      <w:r>
        <w:rPr>
          <w:rFonts w:ascii="FangSong" w:hAnsi="FangSong" w:eastAsia="FangSong" w:cs="FangSong"/>
          <w:sz w:val="24"/>
          <w:szCs w:val="24"/>
          <w:spacing w:val="-4"/>
        </w:rPr>
        <w:t>合管理、技术指导的乡医的培训等。</w:t>
      </w:r>
    </w:p>
    <w:p>
      <w:pPr>
        <w:ind w:left="1517" w:right="1760" w:hanging="4"/>
        <w:spacing w:before="102" w:line="272" w:lineRule="auto"/>
        <w:rPr>
          <w:rFonts w:ascii="FangSong" w:hAnsi="FangSong" w:eastAsia="FangSong" w:cs="FangSong"/>
          <w:sz w:val="24"/>
          <w:szCs w:val="24"/>
        </w:rPr>
      </w:pPr>
      <w:r>
        <w:rPr>
          <w:rFonts w:ascii="FangSong" w:hAnsi="FangSong" w:eastAsia="FangSong" w:cs="FangSong"/>
          <w:sz w:val="24"/>
          <w:szCs w:val="24"/>
        </w:rPr>
        <w:t>3、实施国家基本药物制度和新型农村合作医疗制</w:t>
      </w:r>
      <w:r>
        <w:rPr>
          <w:rFonts w:ascii="FangSong" w:hAnsi="FangSong" w:eastAsia="FangSong" w:cs="FangSong"/>
          <w:sz w:val="24"/>
          <w:szCs w:val="24"/>
          <w:spacing w:val="-1"/>
        </w:rPr>
        <w:t>度,推行分级诊疗和乡村一体化管</w:t>
      </w:r>
      <w:r>
        <w:rPr>
          <w:rFonts w:ascii="FangSong" w:hAnsi="FangSong" w:eastAsia="FangSong" w:cs="FangSong"/>
          <w:sz w:val="24"/>
          <w:szCs w:val="24"/>
        </w:rPr>
        <w:t xml:space="preserve"> </w:t>
      </w:r>
      <w:r>
        <w:rPr>
          <w:rFonts w:ascii="FangSong" w:hAnsi="FangSong" w:eastAsia="FangSong" w:cs="FangSong"/>
          <w:sz w:val="24"/>
          <w:szCs w:val="24"/>
          <w:spacing w:val="-13"/>
        </w:rPr>
        <w:t>理。</w:t>
      </w:r>
    </w:p>
    <w:p>
      <w:pPr>
        <w:ind w:left="1513"/>
        <w:spacing w:before="281"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9"/>
        <w:spacing w:before="102" w:line="220" w:lineRule="auto"/>
        <w:rPr>
          <w:rFonts w:ascii="FangSong" w:hAnsi="FangSong" w:eastAsia="FangSong" w:cs="FangSong"/>
          <w:sz w:val="24"/>
          <w:szCs w:val="24"/>
        </w:rPr>
      </w:pPr>
      <w:r>
        <w:rPr>
          <w:rFonts w:ascii="FangSong" w:hAnsi="FangSong" w:eastAsia="FangSong" w:cs="FangSong"/>
          <w:sz w:val="24"/>
          <w:szCs w:val="24"/>
          <w:spacing w:val="-3"/>
        </w:rPr>
        <w:t>人员构成:设院长1名,工作人员22名。</w:t>
      </w:r>
    </w:p>
    <w:p>
      <w:pPr>
        <w:ind w:left="1545"/>
        <w:spacing w:before="118" w:line="222" w:lineRule="auto"/>
        <w:rPr>
          <w:rFonts w:ascii="FangSong" w:hAnsi="FangSong" w:eastAsia="FangSong" w:cs="FangSong"/>
          <w:sz w:val="24"/>
          <w:szCs w:val="24"/>
        </w:rPr>
      </w:pPr>
      <w:r>
        <w:rPr>
          <w:rFonts w:ascii="FangSong" w:hAnsi="FangSong" w:eastAsia="FangSong" w:cs="FangSong"/>
          <w:sz w:val="24"/>
          <w:szCs w:val="24"/>
          <w:spacing w:val="-3"/>
        </w:rPr>
        <w:t>内设科室:办公室、门诊、住院、药房、收费室、财务室、农合办等。</w:t>
      </w:r>
    </w:p>
    <w:p>
      <w:pPr>
        <w:spacing w:line="222"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spacing w:line="303" w:lineRule="auto"/>
        <w:rPr>
          <w:rFonts w:ascii="Arial"/>
          <w:sz w:val="21"/>
        </w:rPr>
      </w:pPr>
      <w:r/>
    </w:p>
    <w:p>
      <w:pPr>
        <w:spacing w:line="303" w:lineRule="auto"/>
        <w:rPr>
          <w:rFonts w:ascii="Arial"/>
          <w:sz w:val="21"/>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337" w:type="dxa"/>
            <w:vAlign w:val="top"/>
            <w:gridSpan w:val="3"/>
            <w:tcBorders>
              <w:top w:val="single" w:color="FFFFFF" w:sz="6" w:space="0"/>
              <w:left w:val="single" w:color="FFFFFF" w:sz="2" w:space="0"/>
              <w:right w:val="single" w:color="FFFFFF" w:sz="2" w:space="0"/>
            </w:tcBorders>
          </w:tcPr>
          <w:p>
            <w:pPr>
              <w:ind w:left="13"/>
              <w:spacing w:before="169" w:line="218" w:lineRule="auto"/>
              <w:rPr>
                <w:rFonts w:ascii="SimSun" w:hAnsi="SimSun" w:eastAsia="SimSun" w:cs="SimSun"/>
                <w:sz w:val="18"/>
                <w:szCs w:val="18"/>
              </w:rPr>
            </w:pPr>
            <w:r>
              <w:rPr>
                <w:rFonts w:ascii="SimSun" w:hAnsi="SimSun" w:eastAsia="SimSun" w:cs="SimSun"/>
                <w:sz w:val="18"/>
                <w:szCs w:val="18"/>
                <w:color w:val="212529"/>
                <w:spacing w:val="-1"/>
              </w:rPr>
              <w:t>单位名称：兴县奥家湾乡卫生院</w:t>
            </w:r>
          </w:p>
        </w:tc>
        <w:tc>
          <w:tcPr>
            <w:tcW w:w="3212" w:type="dxa"/>
            <w:vAlign w:val="top"/>
            <w:gridSpan w:val="3"/>
            <w:tcBorders>
              <w:top w:val="single" w:color="FFFFFF" w:sz="6" w:space="0"/>
              <w:left w:val="single" w:color="FFFFFF" w:sz="2" w:space="0"/>
              <w:right w:val="single" w:color="FFFFFF" w:sz="2" w:space="0"/>
            </w:tcBorders>
          </w:tcPr>
          <w:p>
            <w:pPr>
              <w:ind w:left="2281"/>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96" w:type="dxa"/>
            <w:vAlign w:val="top"/>
            <w:gridSpan w:val="2"/>
          </w:tcPr>
          <w:p>
            <w:pPr>
              <w:ind w:left="1409"/>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4"/>
          </w:tcPr>
          <w:p>
            <w:pPr>
              <w:ind w:left="2483"/>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73" w:type="dxa"/>
            <w:vAlign w:val="top"/>
          </w:tcPr>
          <w:p>
            <w:pPr>
              <w:ind w:left="83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8"/>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41" w:type="dxa"/>
            <w:vAlign w:val="top"/>
          </w:tcPr>
          <w:p>
            <w:pPr>
              <w:ind w:left="880"/>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22"/>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38" w:type="dxa"/>
            <w:vAlign w:val="top"/>
          </w:tcPr>
          <w:p>
            <w:pPr>
              <w:ind w:left="29"/>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21" w:type="dxa"/>
            <w:vAlign w:val="top"/>
          </w:tcPr>
          <w:p>
            <w:pPr>
              <w:ind w:left="85"/>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6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07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right="22"/>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328.66</w:t>
            </w:r>
          </w:p>
        </w:tc>
        <w:tc>
          <w:tcPr>
            <w:tcW w:w="2141" w:type="dxa"/>
            <w:vAlign w:val="top"/>
          </w:tcPr>
          <w:p>
            <w:pPr>
              <w:ind w:left="1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pStyle w:val="TableText"/>
              <w:rPr/>
            </w:pPr>
            <w:r/>
          </w:p>
        </w:tc>
        <w:tc>
          <w:tcPr>
            <w:tcW w:w="2141" w:type="dxa"/>
            <w:vAlign w:val="top"/>
          </w:tcPr>
          <w:p>
            <w:pPr>
              <w:ind w:left="1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41" w:type="dxa"/>
            <w:vAlign w:val="top"/>
          </w:tcPr>
          <w:p>
            <w:pPr>
              <w:ind w:left="11"/>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41" w:type="dxa"/>
            <w:vAlign w:val="top"/>
          </w:tcPr>
          <w:p>
            <w:pPr>
              <w:ind w:left="2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41" w:type="dxa"/>
            <w:vAlign w:val="top"/>
          </w:tcPr>
          <w:p>
            <w:pPr>
              <w:ind w:left="1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26.46</w:t>
            </w:r>
          </w:p>
        </w:tc>
        <w:tc>
          <w:tcPr>
            <w:tcW w:w="1138" w:type="dxa"/>
            <w:vAlign w:val="top"/>
          </w:tcPr>
          <w:p>
            <w:pPr>
              <w:ind w:right="1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26.46</w:t>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9"/>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285.35</w:t>
            </w:r>
          </w:p>
        </w:tc>
        <w:tc>
          <w:tcPr>
            <w:tcW w:w="1138" w:type="dxa"/>
            <w:vAlign w:val="top"/>
          </w:tcPr>
          <w:p>
            <w:pPr>
              <w:ind w:right="18"/>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278.00</w:t>
            </w:r>
          </w:p>
        </w:tc>
        <w:tc>
          <w:tcPr>
            <w:tcW w:w="921"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7.36</w:t>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24.20</w:t>
            </w:r>
          </w:p>
        </w:tc>
        <w:tc>
          <w:tcPr>
            <w:tcW w:w="1138" w:type="dxa"/>
            <w:vAlign w:val="top"/>
          </w:tcPr>
          <w:p>
            <w:pPr>
              <w:ind w:right="1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24.20</w:t>
            </w:r>
          </w:p>
        </w:tc>
        <w:tc>
          <w:tcPr>
            <w:tcW w:w="921" w:type="dxa"/>
            <w:vAlign w:val="top"/>
          </w:tcPr>
          <w:p>
            <w:pPr>
              <w:pStyle w:val="TableText"/>
              <w:rPr/>
            </w:pPr>
            <w:r/>
          </w:p>
        </w:tc>
      </w:tr>
      <w:tr>
        <w:trPr>
          <w:trHeight w:val="532"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bl>
    <w:p>
      <w:pPr>
        <w:rPr>
          <w:rFonts w:ascii="Arial"/>
          <w:sz w:val="21"/>
        </w:rPr>
      </w:pPr>
      <w:r/>
    </w:p>
    <w:p>
      <w:pPr>
        <w:sectPr>
          <w:headerReference w:type="default" r:id="rId7"/>
          <w:footerReference w:type="default" r:id="rId8"/>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1"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3"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1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6" w:right="14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pStyle w:val="TableText"/>
              <w:rPr/>
            </w:pPr>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54"/>
              <w:spacing w:before="186" w:line="183" w:lineRule="auto"/>
              <w:rPr>
                <w:sz w:val="15"/>
                <w:szCs w:val="15"/>
              </w:rPr>
            </w:pPr>
            <w:r>
              <w:rPr>
                <w:sz w:val="15"/>
                <w:szCs w:val="15"/>
                <w:color w:val="212529"/>
                <w:spacing w:val="2"/>
              </w:rPr>
              <w:t>328.</w:t>
            </w:r>
            <w:r>
              <w:rPr>
                <w:sz w:val="15"/>
                <w:szCs w:val="15"/>
                <w:color w:val="212529"/>
                <w:spacing w:val="14"/>
              </w:rPr>
              <w:t xml:space="preserve"> </w:t>
            </w:r>
            <w:r>
              <w:rPr>
                <w:sz w:val="15"/>
                <w:szCs w:val="15"/>
                <w:color w:val="212529"/>
                <w:spacing w:val="2"/>
              </w:rPr>
              <w:t>66</w:t>
            </w:r>
          </w:p>
        </w:tc>
        <w:tc>
          <w:tcPr>
            <w:tcW w:w="2141" w:type="dxa"/>
            <w:vAlign w:val="top"/>
          </w:tcPr>
          <w:p>
            <w:pPr>
              <w:ind w:left="1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8"/>
              <w:spacing w:before="186" w:line="183" w:lineRule="auto"/>
              <w:rPr>
                <w:sz w:val="15"/>
                <w:szCs w:val="15"/>
              </w:rPr>
            </w:pPr>
            <w:r>
              <w:rPr>
                <w:sz w:val="15"/>
                <w:szCs w:val="15"/>
                <w:color w:val="212529"/>
                <w:spacing w:val="2"/>
              </w:rPr>
              <w:t>336.</w:t>
            </w:r>
            <w:r>
              <w:rPr>
                <w:sz w:val="15"/>
                <w:szCs w:val="15"/>
                <w:color w:val="212529"/>
                <w:spacing w:val="12"/>
                <w:w w:val="101"/>
              </w:rPr>
              <w:t xml:space="preserve"> </w:t>
            </w:r>
            <w:r>
              <w:rPr>
                <w:sz w:val="15"/>
                <w:szCs w:val="15"/>
                <w:color w:val="212529"/>
                <w:spacing w:val="2"/>
              </w:rPr>
              <w:t>02</w:t>
            </w:r>
          </w:p>
        </w:tc>
        <w:tc>
          <w:tcPr>
            <w:tcW w:w="1138" w:type="dxa"/>
            <w:vAlign w:val="top"/>
          </w:tcPr>
          <w:p>
            <w:pPr>
              <w:pStyle w:val="TableText"/>
              <w:ind w:left="573"/>
              <w:spacing w:before="187" w:line="161" w:lineRule="auto"/>
              <w:rPr>
                <w:sz w:val="17"/>
                <w:szCs w:val="17"/>
              </w:rPr>
            </w:pPr>
            <w:r>
              <w:rPr>
                <w:sz w:val="17"/>
                <w:szCs w:val="17"/>
                <w:color w:val="212529"/>
                <w:spacing w:val="1"/>
              </w:rPr>
              <w:t>328.66</w:t>
            </w:r>
          </w:p>
        </w:tc>
        <w:tc>
          <w:tcPr>
            <w:tcW w:w="921" w:type="dxa"/>
            <w:vAlign w:val="top"/>
          </w:tcPr>
          <w:p>
            <w:pPr>
              <w:pStyle w:val="TableText"/>
              <w:ind w:left="527"/>
              <w:spacing w:before="186" w:line="211" w:lineRule="auto"/>
              <w:rPr>
                <w:sz w:val="13"/>
                <w:szCs w:val="13"/>
              </w:rPr>
            </w:pPr>
            <w:r>
              <w:rPr>
                <w:sz w:val="13"/>
                <w:szCs w:val="13"/>
                <w:color w:val="212529"/>
                <w:spacing w:val="10"/>
              </w:rPr>
              <w:t>7.</w:t>
            </w:r>
            <w:r>
              <w:rPr>
                <w:sz w:val="13"/>
                <w:szCs w:val="13"/>
                <w:color w:val="212529"/>
                <w:spacing w:val="17"/>
                <w:w w:val="101"/>
              </w:rPr>
              <w:t xml:space="preserve"> </w:t>
            </w:r>
            <w:r>
              <w:rPr>
                <w:sz w:val="13"/>
                <w:szCs w:val="13"/>
                <w:color w:val="212529"/>
                <w:spacing w:val="10"/>
              </w:rPr>
              <w:t>36</w:t>
            </w:r>
          </w:p>
        </w:tc>
      </w:tr>
      <w:tr>
        <w:trPr>
          <w:trHeight w:val="524" w:hRule="atLeast"/>
        </w:trPr>
        <w:tc>
          <w:tcPr>
            <w:tcW w:w="207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right="22"/>
              <w:spacing w:before="19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7.36</w:t>
            </w:r>
          </w:p>
        </w:tc>
        <w:tc>
          <w:tcPr>
            <w:tcW w:w="2141" w:type="dxa"/>
            <w:vAlign w:val="top"/>
          </w:tcPr>
          <w:p>
            <w:pPr>
              <w:ind w:left="20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31" w:hRule="atLeast"/>
        </w:trPr>
        <w:tc>
          <w:tcPr>
            <w:tcW w:w="207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54"/>
              <w:spacing w:before="188" w:line="183" w:lineRule="auto"/>
              <w:rPr>
                <w:sz w:val="15"/>
                <w:szCs w:val="15"/>
              </w:rPr>
            </w:pPr>
            <w:r>
              <w:rPr>
                <w:sz w:val="15"/>
                <w:szCs w:val="15"/>
                <w:color w:val="212529"/>
                <w:spacing w:val="2"/>
              </w:rPr>
              <w:t>336.</w:t>
            </w:r>
            <w:r>
              <w:rPr>
                <w:sz w:val="15"/>
                <w:szCs w:val="15"/>
                <w:color w:val="212529"/>
                <w:spacing w:val="12"/>
                <w:w w:val="101"/>
              </w:rPr>
              <w:t xml:space="preserve"> </w:t>
            </w:r>
            <w:r>
              <w:rPr>
                <w:sz w:val="15"/>
                <w:szCs w:val="15"/>
                <w:color w:val="212529"/>
                <w:spacing w:val="2"/>
              </w:rPr>
              <w:t>02</w:t>
            </w:r>
          </w:p>
        </w:tc>
        <w:tc>
          <w:tcPr>
            <w:tcW w:w="2141" w:type="dxa"/>
            <w:vAlign w:val="top"/>
          </w:tcPr>
          <w:p>
            <w:pPr>
              <w:ind w:left="1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8"/>
              <w:spacing w:before="188" w:line="183" w:lineRule="auto"/>
              <w:rPr>
                <w:sz w:val="15"/>
                <w:szCs w:val="15"/>
              </w:rPr>
            </w:pPr>
            <w:r>
              <w:rPr>
                <w:sz w:val="15"/>
                <w:szCs w:val="15"/>
                <w:color w:val="212529"/>
                <w:spacing w:val="2"/>
              </w:rPr>
              <w:t>336.</w:t>
            </w:r>
            <w:r>
              <w:rPr>
                <w:sz w:val="15"/>
                <w:szCs w:val="15"/>
                <w:color w:val="212529"/>
                <w:spacing w:val="12"/>
                <w:w w:val="101"/>
              </w:rPr>
              <w:t xml:space="preserve"> </w:t>
            </w:r>
            <w:r>
              <w:rPr>
                <w:sz w:val="15"/>
                <w:szCs w:val="15"/>
                <w:color w:val="212529"/>
                <w:spacing w:val="2"/>
              </w:rPr>
              <w:t>02</w:t>
            </w:r>
          </w:p>
        </w:tc>
        <w:tc>
          <w:tcPr>
            <w:tcW w:w="1138" w:type="dxa"/>
            <w:vAlign w:val="top"/>
          </w:tcPr>
          <w:p>
            <w:pPr>
              <w:pStyle w:val="TableText"/>
              <w:ind w:left="573"/>
              <w:spacing w:before="189" w:line="161" w:lineRule="auto"/>
              <w:rPr>
                <w:sz w:val="17"/>
                <w:szCs w:val="17"/>
              </w:rPr>
            </w:pPr>
            <w:r>
              <w:rPr>
                <w:sz w:val="17"/>
                <w:szCs w:val="17"/>
                <w:color w:val="212529"/>
                <w:spacing w:val="1"/>
              </w:rPr>
              <w:t>328.66</w:t>
            </w:r>
          </w:p>
        </w:tc>
        <w:tc>
          <w:tcPr>
            <w:tcW w:w="921" w:type="dxa"/>
            <w:vAlign w:val="top"/>
          </w:tcPr>
          <w:p>
            <w:pPr>
              <w:pStyle w:val="TableText"/>
              <w:ind w:left="527"/>
              <w:spacing w:before="188" w:line="211" w:lineRule="auto"/>
              <w:rPr>
                <w:sz w:val="13"/>
                <w:szCs w:val="13"/>
              </w:rPr>
            </w:pPr>
            <w:r>
              <w:rPr>
                <w:sz w:val="13"/>
                <w:szCs w:val="13"/>
                <w:color w:val="212529"/>
                <w:spacing w:val="10"/>
              </w:rPr>
              <w:t>7.</w:t>
            </w:r>
            <w:r>
              <w:rPr>
                <w:sz w:val="13"/>
                <w:szCs w:val="13"/>
                <w:color w:val="212529"/>
                <w:spacing w:val="17"/>
                <w:w w:val="101"/>
              </w:rPr>
              <w:t xml:space="preserve"> </w:t>
            </w:r>
            <w:r>
              <w:rPr>
                <w:sz w:val="13"/>
                <w:szCs w:val="13"/>
                <w:color w:val="212529"/>
                <w:spacing w:val="10"/>
              </w:rPr>
              <w:t>36</w:t>
            </w:r>
          </w:p>
        </w:tc>
      </w:tr>
    </w:tbl>
    <w:p>
      <w:pPr>
        <w:rPr>
          <w:rFonts w:ascii="Arial"/>
          <w:sz w:val="21"/>
        </w:rPr>
      </w:pPr>
      <w:r/>
    </w:p>
    <w:p>
      <w:pPr>
        <w:sectPr>
          <w:headerReference w:type="default" r:id="rId9"/>
          <w:footerReference w:type="default" r:id="rId10"/>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67"/>
        <w:gridCol w:w="1438"/>
        <w:gridCol w:w="1259"/>
        <w:gridCol w:w="1318"/>
        <w:gridCol w:w="1498"/>
        <w:gridCol w:w="1483"/>
        <w:gridCol w:w="974"/>
        <w:gridCol w:w="1101"/>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6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bottom w:val="single" w:color="FFFFFF" w:sz="6" w:space="0"/>
              <w:top w:val="single" w:color="FFFFFF" w:sz="6" w:space="0"/>
            </w:tcBorders>
          </w:tcPr>
          <w:p>
            <w:pPr>
              <w:ind w:left="105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98" w:type="dxa"/>
            <w:vAlign w:val="top"/>
            <w:gridSpan w:val="2"/>
            <w:tcBorders>
              <w:left w:val="single" w:color="FFFFFF" w:sz="2" w:space="0"/>
              <w:right w:val="single" w:color="FFFFFF" w:sz="2" w:space="0"/>
              <w:top w:val="single" w:color="FFFFFF" w:sz="6" w:space="0"/>
            </w:tcBorders>
          </w:tcPr>
          <w:p>
            <w:pPr>
              <w:ind w:left="13"/>
              <w:spacing w:before="124" w:line="218" w:lineRule="auto"/>
              <w:rPr>
                <w:rFonts w:ascii="SimSun" w:hAnsi="SimSun" w:eastAsia="SimSun" w:cs="SimSun"/>
                <w:sz w:val="18"/>
                <w:szCs w:val="18"/>
              </w:rPr>
            </w:pPr>
            <w:r>
              <w:rPr>
                <w:rFonts w:ascii="SimSun" w:hAnsi="SimSun" w:eastAsia="SimSun" w:cs="SimSun"/>
                <w:sz w:val="18"/>
                <w:szCs w:val="18"/>
                <w:color w:val="212529"/>
                <w:spacing w:val="-1"/>
              </w:rPr>
              <w:t>单位名称：兴县奥家湾乡卫生院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59"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top w:val="single" w:color="FFFFFF" w:sz="6" w:space="0"/>
            </w:tcBorders>
          </w:tcPr>
          <w:p>
            <w:pPr>
              <w:ind w:left="114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98" w:type="dxa"/>
            <w:vAlign w:val="top"/>
            <w:gridSpan w:val="2"/>
          </w:tcPr>
          <w:p>
            <w:pPr>
              <w:ind w:left="199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70" w:type="dxa"/>
            <w:vAlign w:val="top"/>
            <w:gridSpan w:val="6"/>
          </w:tcPr>
          <w:p>
            <w:pPr>
              <w:ind w:left="3608"/>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01" w:type="dxa"/>
            <w:vAlign w:val="top"/>
            <w:vMerge w:val="restart"/>
            <w:tcBorders>
              <w:bottom w:val="nil"/>
            </w:tcBorders>
          </w:tcPr>
          <w:p>
            <w:pPr>
              <w:pStyle w:val="TableText"/>
              <w:spacing w:line="273" w:lineRule="auto"/>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67" w:type="dxa"/>
            <w:vAlign w:val="top"/>
          </w:tcPr>
          <w:p>
            <w:pPr>
              <w:ind w:left="109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16"/>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59" w:type="dxa"/>
            <w:vAlign w:val="top"/>
          </w:tcPr>
          <w:p>
            <w:pPr>
              <w:ind w:left="6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98" w:type="dxa"/>
            <w:vAlign w:val="top"/>
          </w:tcPr>
          <w:p>
            <w:pPr>
              <w:ind w:left="28"/>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5"/>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01" w:type="dxa"/>
            <w:vAlign w:val="top"/>
            <w:vMerge w:val="continue"/>
            <w:tcBorders>
              <w:top w:val="nil"/>
            </w:tcBorders>
          </w:tcPr>
          <w:p>
            <w:pPr>
              <w:pStyle w:val="TableText"/>
              <w:rPr/>
            </w:pPr>
            <w:r/>
          </w:p>
        </w:tc>
      </w:tr>
      <w:tr>
        <w:trPr>
          <w:trHeight w:val="434" w:hRule="atLeast"/>
        </w:trPr>
        <w:tc>
          <w:tcPr>
            <w:tcW w:w="4398" w:type="dxa"/>
            <w:vAlign w:val="top"/>
            <w:gridSpan w:val="2"/>
          </w:tcPr>
          <w:p>
            <w:pPr>
              <w:ind w:left="2000"/>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55"/>
              <w:spacing w:before="149" w:line="183" w:lineRule="auto"/>
              <w:rPr>
                <w:sz w:val="15"/>
                <w:szCs w:val="15"/>
              </w:rPr>
            </w:pPr>
            <w:r>
              <w:rPr>
                <w:sz w:val="15"/>
                <w:szCs w:val="15"/>
                <w:color w:val="212529"/>
                <w:spacing w:val="2"/>
              </w:rPr>
              <w:t>328.</w:t>
            </w:r>
            <w:r>
              <w:rPr>
                <w:sz w:val="15"/>
                <w:szCs w:val="15"/>
                <w:color w:val="212529"/>
                <w:spacing w:val="14"/>
              </w:rPr>
              <w:t xml:space="preserve"> </w:t>
            </w:r>
            <w:r>
              <w:rPr>
                <w:sz w:val="15"/>
                <w:szCs w:val="15"/>
                <w:color w:val="212529"/>
                <w:spacing w:val="2"/>
              </w:rPr>
              <w:t>66</w:t>
            </w:r>
          </w:p>
        </w:tc>
        <w:tc>
          <w:tcPr>
            <w:tcW w:w="1259" w:type="dxa"/>
            <w:vAlign w:val="top"/>
          </w:tcPr>
          <w:p>
            <w:pPr>
              <w:pStyle w:val="TableText"/>
              <w:ind w:left="685"/>
              <w:spacing w:before="150" w:line="161" w:lineRule="auto"/>
              <w:rPr>
                <w:sz w:val="17"/>
                <w:szCs w:val="17"/>
              </w:rPr>
            </w:pPr>
            <w:r>
              <w:rPr>
                <w:sz w:val="17"/>
                <w:szCs w:val="17"/>
                <w:color w:val="212529"/>
                <w:spacing w:val="1"/>
              </w:rPr>
              <w:t>328.66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ind w:left="707"/>
              <w:spacing w:before="149" w:line="211" w:lineRule="auto"/>
              <w:rPr>
                <w:sz w:val="13"/>
                <w:szCs w:val="13"/>
              </w:rPr>
            </w:pPr>
            <w:r>
              <w:rPr>
                <w:sz w:val="13"/>
                <w:szCs w:val="13"/>
                <w:color w:val="212529"/>
                <w:spacing w:val="10"/>
              </w:rPr>
              <w:t>7.</w:t>
            </w:r>
            <w:r>
              <w:rPr>
                <w:sz w:val="13"/>
                <w:szCs w:val="13"/>
                <w:color w:val="212529"/>
                <w:spacing w:val="17"/>
                <w:w w:val="101"/>
              </w:rPr>
              <w:t xml:space="preserve"> </w:t>
            </w:r>
            <w:r>
              <w:rPr>
                <w:sz w:val="13"/>
                <w:szCs w:val="13"/>
                <w:color w:val="212529"/>
                <w:spacing w:val="10"/>
              </w:rPr>
              <w:t>36</w:t>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67" w:type="dxa"/>
            <w:vAlign w:val="top"/>
          </w:tcPr>
          <w:p>
            <w:pPr>
              <w:spacing w:before="128" w:line="218"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38" w:type="dxa"/>
            <w:vAlign w:val="top"/>
          </w:tcPr>
          <w:p>
            <w:pPr>
              <w:ind w:left="943"/>
              <w:spacing w:before="129" w:line="238" w:lineRule="auto"/>
              <w:rPr>
                <w:rFonts w:ascii="SimSun" w:hAnsi="SimSun" w:eastAsia="SimSun" w:cs="SimSun"/>
                <w:sz w:val="18"/>
                <w:szCs w:val="18"/>
              </w:rPr>
            </w:pPr>
            <w:r>
              <w:rPr>
                <w:rFonts w:ascii="SimSun" w:hAnsi="SimSun" w:eastAsia="SimSun" w:cs="SimSun"/>
                <w:sz w:val="18"/>
                <w:szCs w:val="18"/>
                <w:color w:val="212529"/>
                <w:spacing w:val="-2"/>
              </w:rPr>
              <w:t>26.46</w:t>
            </w:r>
          </w:p>
        </w:tc>
        <w:tc>
          <w:tcPr>
            <w:tcW w:w="1259" w:type="dxa"/>
            <w:vAlign w:val="top"/>
          </w:tcPr>
          <w:p>
            <w:pPr>
              <w:ind w:right="26"/>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26.46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67" w:type="dxa"/>
            <w:vAlign w:val="top"/>
          </w:tcPr>
          <w:p>
            <w:pPr>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left="943"/>
              <w:spacing w:before="130" w:line="238" w:lineRule="auto"/>
              <w:rPr>
                <w:rFonts w:ascii="SimSun" w:hAnsi="SimSun" w:eastAsia="SimSun" w:cs="SimSun"/>
                <w:sz w:val="18"/>
                <w:szCs w:val="18"/>
              </w:rPr>
            </w:pPr>
            <w:r>
              <w:rPr>
                <w:rFonts w:ascii="SimSun" w:hAnsi="SimSun" w:eastAsia="SimSun" w:cs="SimSun"/>
                <w:sz w:val="18"/>
                <w:szCs w:val="18"/>
                <w:color w:val="212529"/>
                <w:spacing w:val="-2"/>
              </w:rPr>
              <w:t>26.46</w:t>
            </w:r>
          </w:p>
        </w:tc>
        <w:tc>
          <w:tcPr>
            <w:tcW w:w="1259" w:type="dxa"/>
            <w:vAlign w:val="top"/>
          </w:tcPr>
          <w:p>
            <w:pPr>
              <w:ind w:right="26"/>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26.46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67" w:type="dxa"/>
            <w:vAlign w:val="top"/>
          </w:tcPr>
          <w:p>
            <w:pPr>
              <w:spacing w:before="130"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left="943"/>
              <w:spacing w:before="131" w:line="238" w:lineRule="auto"/>
              <w:rPr>
                <w:rFonts w:ascii="SimSun" w:hAnsi="SimSun" w:eastAsia="SimSun" w:cs="SimSun"/>
                <w:sz w:val="18"/>
                <w:szCs w:val="18"/>
              </w:rPr>
            </w:pPr>
            <w:r>
              <w:rPr>
                <w:rFonts w:ascii="SimSun" w:hAnsi="SimSun" w:eastAsia="SimSun" w:cs="SimSun"/>
                <w:sz w:val="18"/>
                <w:szCs w:val="18"/>
                <w:color w:val="212529"/>
                <w:spacing w:val="-2"/>
              </w:rPr>
              <w:t>26.46</w:t>
            </w:r>
          </w:p>
        </w:tc>
        <w:tc>
          <w:tcPr>
            <w:tcW w:w="1259" w:type="dxa"/>
            <w:vAlign w:val="top"/>
          </w:tcPr>
          <w:p>
            <w:pPr>
              <w:ind w:right="26"/>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26.46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67"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left="853"/>
              <w:spacing w:before="132" w:line="238" w:lineRule="auto"/>
              <w:rPr>
                <w:rFonts w:ascii="SimSun" w:hAnsi="SimSun" w:eastAsia="SimSun" w:cs="SimSun"/>
                <w:sz w:val="18"/>
                <w:szCs w:val="18"/>
              </w:rPr>
            </w:pPr>
            <w:r>
              <w:rPr>
                <w:rFonts w:ascii="SimSun" w:hAnsi="SimSun" w:eastAsia="SimSun" w:cs="SimSun"/>
                <w:sz w:val="18"/>
                <w:szCs w:val="18"/>
                <w:color w:val="212529"/>
                <w:spacing w:val="-2"/>
              </w:rPr>
              <w:t>278.00</w:t>
            </w:r>
          </w:p>
        </w:tc>
        <w:tc>
          <w:tcPr>
            <w:tcW w:w="1259" w:type="dxa"/>
            <w:vAlign w:val="top"/>
          </w:tcPr>
          <w:p>
            <w:pPr>
              <w:ind w:right="27"/>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278.00</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7.36</w:t>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67" w:type="dxa"/>
            <w:vAlign w:val="top"/>
          </w:tcPr>
          <w:p>
            <w:pPr>
              <w:spacing w:before="132" w:line="218" w:lineRule="auto"/>
              <w:rPr>
                <w:rFonts w:ascii="SimSun" w:hAnsi="SimSun" w:eastAsia="SimSun" w:cs="SimSun"/>
                <w:sz w:val="18"/>
                <w:szCs w:val="18"/>
              </w:rPr>
            </w:pPr>
            <w:r>
              <w:rPr>
                <w:rFonts w:ascii="SimSun" w:hAnsi="SimSun" w:eastAsia="SimSun" w:cs="SimSun"/>
                <w:sz w:val="18"/>
                <w:szCs w:val="18"/>
                <w:color w:val="212529"/>
                <w:spacing w:val="-2"/>
              </w:rPr>
              <w:t>基层医疗卫生机构</w:t>
            </w:r>
          </w:p>
        </w:tc>
        <w:tc>
          <w:tcPr>
            <w:tcW w:w="1438" w:type="dxa"/>
            <w:vAlign w:val="top"/>
          </w:tcPr>
          <w:p>
            <w:pPr>
              <w:ind w:left="853"/>
              <w:spacing w:before="133" w:line="238" w:lineRule="auto"/>
              <w:rPr>
                <w:rFonts w:ascii="SimSun" w:hAnsi="SimSun" w:eastAsia="SimSun" w:cs="SimSun"/>
                <w:sz w:val="18"/>
                <w:szCs w:val="18"/>
              </w:rPr>
            </w:pPr>
            <w:r>
              <w:rPr>
                <w:rFonts w:ascii="SimSun" w:hAnsi="SimSun" w:eastAsia="SimSun" w:cs="SimSun"/>
                <w:sz w:val="18"/>
                <w:szCs w:val="18"/>
                <w:color w:val="212529"/>
                <w:spacing w:val="-2"/>
              </w:rPr>
              <w:t>267.13</w:t>
            </w:r>
          </w:p>
        </w:tc>
        <w:tc>
          <w:tcPr>
            <w:tcW w:w="1259" w:type="dxa"/>
            <w:vAlign w:val="top"/>
          </w:tcPr>
          <w:p>
            <w:pPr>
              <w:ind w:right="27"/>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267.13</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7.36</w:t>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67" w:type="dxa"/>
            <w:vAlign w:val="top"/>
          </w:tcPr>
          <w:p>
            <w:pPr>
              <w:ind w:left="4"/>
              <w:spacing w:before="133"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left="853"/>
              <w:spacing w:before="134" w:line="238" w:lineRule="auto"/>
              <w:rPr>
                <w:rFonts w:ascii="SimSun" w:hAnsi="SimSun" w:eastAsia="SimSun" w:cs="SimSun"/>
                <w:sz w:val="18"/>
                <w:szCs w:val="18"/>
              </w:rPr>
            </w:pPr>
            <w:r>
              <w:rPr>
                <w:rFonts w:ascii="SimSun" w:hAnsi="SimSun" w:eastAsia="SimSun" w:cs="SimSun"/>
                <w:sz w:val="18"/>
                <w:szCs w:val="18"/>
                <w:color w:val="212529"/>
                <w:spacing w:val="-2"/>
              </w:rPr>
              <w:t>244.92</w:t>
            </w:r>
          </w:p>
        </w:tc>
        <w:tc>
          <w:tcPr>
            <w:tcW w:w="1259" w:type="dxa"/>
            <w:vAlign w:val="top"/>
          </w:tcPr>
          <w:p>
            <w:pPr>
              <w:ind w:right="27"/>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244.92</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67" w:type="dxa"/>
            <w:vAlign w:val="top"/>
          </w:tcPr>
          <w:p>
            <w:pPr>
              <w:spacing w:before="134"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left="943"/>
              <w:spacing w:before="135" w:line="238" w:lineRule="auto"/>
              <w:rPr>
                <w:rFonts w:ascii="SimSun" w:hAnsi="SimSun" w:eastAsia="SimSun" w:cs="SimSun"/>
                <w:sz w:val="18"/>
                <w:szCs w:val="18"/>
              </w:rPr>
            </w:pPr>
            <w:r>
              <w:rPr>
                <w:rFonts w:ascii="SimSun" w:hAnsi="SimSun" w:eastAsia="SimSun" w:cs="SimSun"/>
                <w:sz w:val="18"/>
                <w:szCs w:val="18"/>
                <w:color w:val="212529"/>
                <w:spacing w:val="-2"/>
              </w:rPr>
              <w:t>22.22</w:t>
            </w:r>
          </w:p>
        </w:tc>
        <w:tc>
          <w:tcPr>
            <w:tcW w:w="1259" w:type="dxa"/>
            <w:vAlign w:val="top"/>
          </w:tcPr>
          <w:p>
            <w:pPr>
              <w:ind w:right="26"/>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22.22</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3"/>
              </w:rPr>
              <w:t>7.36</w:t>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67" w:type="dxa"/>
            <w:vAlign w:val="top"/>
          </w:tcPr>
          <w:p>
            <w:pPr>
              <w:spacing w:before="136" w:line="219"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38" w:type="dxa"/>
            <w:vAlign w:val="top"/>
          </w:tcPr>
          <w:p>
            <w:pPr>
              <w:ind w:right="3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10.87</w:t>
            </w:r>
          </w:p>
        </w:tc>
        <w:tc>
          <w:tcPr>
            <w:tcW w:w="1259"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10.87</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67" w:type="dxa"/>
            <w:vAlign w:val="top"/>
          </w:tcPr>
          <w:p>
            <w:pPr>
              <w:spacing w:before="137"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3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10.87</w:t>
            </w:r>
          </w:p>
        </w:tc>
        <w:tc>
          <w:tcPr>
            <w:tcW w:w="1259"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10.87</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8"/>
              <w:rPr>
                <w:rFonts w:ascii="SimSun" w:hAnsi="SimSun" w:eastAsia="SimSun" w:cs="SimSun"/>
                <w:sz w:val="18"/>
                <w:szCs w:val="18"/>
              </w:rPr>
            </w:pPr>
            <w:r>
              <w:rPr>
                <w:rFonts w:ascii="SimSun" w:hAnsi="SimSun" w:eastAsia="SimSun" w:cs="SimSun"/>
                <w:sz w:val="18"/>
                <w:szCs w:val="18"/>
                <w:color w:val="212529"/>
                <w:spacing w:val="-3"/>
              </w:rPr>
              <w:t>221</w:t>
            </w:r>
          </w:p>
        </w:tc>
        <w:tc>
          <w:tcPr>
            <w:tcW w:w="2967" w:type="dxa"/>
            <w:vAlign w:val="top"/>
          </w:tcPr>
          <w:p>
            <w:pPr>
              <w:spacing w:before="137"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left="943"/>
              <w:spacing w:before="138" w:line="238" w:lineRule="auto"/>
              <w:rPr>
                <w:rFonts w:ascii="SimSun" w:hAnsi="SimSun" w:eastAsia="SimSun" w:cs="SimSun"/>
                <w:sz w:val="18"/>
                <w:szCs w:val="18"/>
              </w:rPr>
            </w:pPr>
            <w:r>
              <w:rPr>
                <w:rFonts w:ascii="SimSun" w:hAnsi="SimSun" w:eastAsia="SimSun" w:cs="SimSun"/>
                <w:sz w:val="18"/>
                <w:szCs w:val="18"/>
                <w:color w:val="212529"/>
                <w:spacing w:val="-2"/>
              </w:rPr>
              <w:t>24.20</w:t>
            </w:r>
          </w:p>
        </w:tc>
        <w:tc>
          <w:tcPr>
            <w:tcW w:w="1259" w:type="dxa"/>
            <w:vAlign w:val="top"/>
          </w:tcPr>
          <w:p>
            <w:pPr>
              <w:ind w:right="26"/>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24.20</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left="943"/>
              <w:spacing w:before="139" w:line="238" w:lineRule="auto"/>
              <w:rPr>
                <w:rFonts w:ascii="SimSun" w:hAnsi="SimSun" w:eastAsia="SimSun" w:cs="SimSun"/>
                <w:sz w:val="18"/>
                <w:szCs w:val="18"/>
              </w:rPr>
            </w:pPr>
            <w:r>
              <w:rPr>
                <w:rFonts w:ascii="SimSun" w:hAnsi="SimSun" w:eastAsia="SimSun" w:cs="SimSun"/>
                <w:sz w:val="18"/>
                <w:szCs w:val="18"/>
                <w:color w:val="212529"/>
                <w:spacing w:val="-2"/>
              </w:rPr>
              <w:t>24.20</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24.20</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6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left="943"/>
              <w:spacing w:before="139" w:line="238" w:lineRule="auto"/>
              <w:rPr>
                <w:rFonts w:ascii="SimSun" w:hAnsi="SimSun" w:eastAsia="SimSun" w:cs="SimSun"/>
                <w:sz w:val="18"/>
                <w:szCs w:val="18"/>
              </w:rPr>
            </w:pPr>
            <w:r>
              <w:rPr>
                <w:rFonts w:ascii="SimSun" w:hAnsi="SimSun" w:eastAsia="SimSun" w:cs="SimSun"/>
                <w:sz w:val="18"/>
                <w:szCs w:val="18"/>
                <w:color w:val="212529"/>
                <w:spacing w:val="-2"/>
              </w:rPr>
              <w:t>24.20</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24.20</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bl>
    <w:p>
      <w:pPr>
        <w:rPr>
          <w:rFonts w:ascii="Arial"/>
          <w:sz w:val="21"/>
        </w:rPr>
      </w:pPr>
      <w:r/>
    </w:p>
    <w:p>
      <w:pPr>
        <w:sectPr>
          <w:headerReference w:type="default" r:id="rId11"/>
          <w:footerReference w:type="default" r:id="rId12"/>
          <w:pgSz w:w="16840" w:h="1190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1" w:line="232"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99"/>
              <w:spacing w:before="99" w:line="186" w:lineRule="auto"/>
              <w:rPr>
                <w:sz w:val="13"/>
                <w:szCs w:val="13"/>
              </w:rPr>
            </w:pPr>
            <w:r>
              <w:rPr>
                <w:sz w:val="13"/>
                <w:szCs w:val="13"/>
                <w:color w:val="212529"/>
                <w:spacing w:val="4"/>
              </w:rPr>
              <w:t>336.</w:t>
            </w:r>
            <w:r>
              <w:rPr>
                <w:sz w:val="13"/>
                <w:szCs w:val="13"/>
                <w:color w:val="212529"/>
                <w:spacing w:val="14"/>
              </w:rPr>
              <w:t xml:space="preserve"> </w:t>
            </w:r>
            <w:r>
              <w:rPr>
                <w:sz w:val="13"/>
                <w:szCs w:val="13"/>
                <w:color w:val="212529"/>
                <w:spacing w:val="4"/>
              </w:rPr>
              <w:t>02</w:t>
            </w:r>
          </w:p>
        </w:tc>
        <w:tc>
          <w:tcPr>
            <w:tcW w:w="1361" w:type="dxa"/>
            <w:vAlign w:val="top"/>
          </w:tcPr>
          <w:p>
            <w:pPr>
              <w:pStyle w:val="TableText"/>
              <w:ind w:left="852"/>
              <w:spacing w:before="99" w:line="186" w:lineRule="auto"/>
              <w:rPr>
                <w:sz w:val="13"/>
                <w:szCs w:val="13"/>
              </w:rPr>
            </w:pPr>
            <w:r>
              <w:rPr>
                <w:sz w:val="13"/>
                <w:szCs w:val="13"/>
                <w:color w:val="212529"/>
                <w:spacing w:val="4"/>
              </w:rPr>
              <w:t>304.</w:t>
            </w:r>
            <w:r>
              <w:rPr>
                <w:sz w:val="13"/>
                <w:szCs w:val="13"/>
                <w:color w:val="212529"/>
                <w:spacing w:val="13"/>
                <w:w w:val="102"/>
              </w:rPr>
              <w:t xml:space="preserve"> </w:t>
            </w:r>
            <w:r>
              <w:rPr>
                <w:sz w:val="13"/>
                <w:szCs w:val="13"/>
                <w:color w:val="212529"/>
                <w:spacing w:val="4"/>
              </w:rPr>
              <w:t>08</w:t>
            </w:r>
          </w:p>
        </w:tc>
        <w:tc>
          <w:tcPr>
            <w:tcW w:w="1280" w:type="dxa"/>
            <w:vAlign w:val="top"/>
          </w:tcPr>
          <w:p>
            <w:pPr>
              <w:pStyle w:val="TableText"/>
              <w:ind w:left="851"/>
              <w:spacing w:before="99" w:line="186" w:lineRule="auto"/>
              <w:rPr>
                <w:sz w:val="13"/>
                <w:szCs w:val="13"/>
              </w:rPr>
            </w:pPr>
            <w:r>
              <w:rPr>
                <w:sz w:val="13"/>
                <w:szCs w:val="13"/>
                <w:color w:val="212529"/>
                <w:spacing w:val="3"/>
              </w:rPr>
              <w:t>31.</w:t>
            </w:r>
            <w:r>
              <w:rPr>
                <w:sz w:val="13"/>
                <w:szCs w:val="13"/>
                <w:color w:val="212529"/>
                <w:spacing w:val="17"/>
                <w:w w:val="102"/>
              </w:rPr>
              <w:t xml:space="preserve"> </w:t>
            </w:r>
            <w:r>
              <w:rPr>
                <w:sz w:val="13"/>
                <w:szCs w:val="13"/>
                <w:color w:val="212529"/>
                <w:spacing w:val="3"/>
              </w:rPr>
              <w:t>94</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37"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26.46</w:t>
            </w:r>
          </w:p>
        </w:tc>
        <w:tc>
          <w:tcPr>
            <w:tcW w:w="1361" w:type="dxa"/>
            <w:vAlign w:val="top"/>
          </w:tcPr>
          <w:p>
            <w:pPr>
              <w:pStyle w:val="TableText"/>
              <w:ind w:left="932"/>
              <w:spacing w:before="99" w:line="186" w:lineRule="auto"/>
              <w:rPr>
                <w:sz w:val="13"/>
                <w:szCs w:val="13"/>
              </w:rPr>
            </w:pPr>
            <w:r>
              <w:rPr>
                <w:sz w:val="13"/>
                <w:szCs w:val="13"/>
                <w:color w:val="212529"/>
                <w:spacing w:val="4"/>
              </w:rPr>
              <w:t>26.</w:t>
            </w:r>
            <w:r>
              <w:rPr>
                <w:sz w:val="13"/>
                <w:szCs w:val="13"/>
                <w:color w:val="212529"/>
                <w:spacing w:val="11"/>
                <w:w w:val="101"/>
              </w:rPr>
              <w:t xml:space="preserve"> </w:t>
            </w:r>
            <w:r>
              <w:rPr>
                <w:sz w:val="13"/>
                <w:szCs w:val="13"/>
                <w:color w:val="212529"/>
                <w:spacing w:val="4"/>
              </w:rPr>
              <w:t>46</w:t>
            </w:r>
          </w:p>
        </w:tc>
        <w:tc>
          <w:tcPr>
            <w:tcW w:w="1280" w:type="dxa"/>
            <w:vAlign w:val="top"/>
          </w:tcPr>
          <w:p>
            <w:pPr>
              <w:pStyle w:val="TableText"/>
              <w:rPr/>
            </w:pPr>
            <w:r/>
          </w:p>
        </w:tc>
      </w:tr>
      <w:tr>
        <w:trPr>
          <w:trHeight w:val="313"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37"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26.46</w:t>
            </w:r>
          </w:p>
        </w:tc>
        <w:tc>
          <w:tcPr>
            <w:tcW w:w="1361" w:type="dxa"/>
            <w:vAlign w:val="top"/>
          </w:tcPr>
          <w:p>
            <w:pPr>
              <w:pStyle w:val="TableText"/>
              <w:ind w:left="932"/>
              <w:spacing w:before="99" w:line="186" w:lineRule="auto"/>
              <w:rPr>
                <w:sz w:val="13"/>
                <w:szCs w:val="13"/>
              </w:rPr>
            </w:pPr>
            <w:r>
              <w:rPr>
                <w:sz w:val="13"/>
                <w:szCs w:val="13"/>
                <w:color w:val="212529"/>
                <w:spacing w:val="4"/>
              </w:rPr>
              <w:t>26.</w:t>
            </w:r>
            <w:r>
              <w:rPr>
                <w:sz w:val="13"/>
                <w:szCs w:val="13"/>
                <w:color w:val="212529"/>
                <w:spacing w:val="11"/>
                <w:w w:val="101"/>
              </w:rPr>
              <w:t xml:space="preserve"> </w:t>
            </w:r>
            <w:r>
              <w:rPr>
                <w:sz w:val="13"/>
                <w:szCs w:val="13"/>
                <w:color w:val="212529"/>
                <w:spacing w:val="4"/>
              </w:rPr>
              <w:t>46</w:t>
            </w:r>
          </w:p>
        </w:tc>
        <w:tc>
          <w:tcPr>
            <w:tcW w:w="1280"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3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26.46</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26.46</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285.35</w:t>
            </w:r>
          </w:p>
        </w:tc>
        <w:tc>
          <w:tcPr>
            <w:tcW w:w="1361" w:type="dxa"/>
            <w:vAlign w:val="top"/>
          </w:tcPr>
          <w:p>
            <w:pPr>
              <w:pStyle w:val="TableText"/>
              <w:ind w:left="851"/>
              <w:spacing w:before="101" w:line="187" w:lineRule="auto"/>
              <w:rPr>
                <w:sz w:val="13"/>
                <w:szCs w:val="13"/>
              </w:rPr>
            </w:pPr>
            <w:r>
              <w:rPr>
                <w:sz w:val="13"/>
                <w:szCs w:val="13"/>
                <w:color w:val="212529"/>
                <w:spacing w:val="4"/>
              </w:rPr>
              <w:t>253.</w:t>
            </w:r>
            <w:r>
              <w:rPr>
                <w:sz w:val="13"/>
                <w:szCs w:val="13"/>
                <w:color w:val="212529"/>
                <w:spacing w:val="4"/>
              </w:rPr>
              <w:t xml:space="preserve"> </w:t>
            </w:r>
            <w:r>
              <w:rPr>
                <w:sz w:val="13"/>
                <w:szCs w:val="13"/>
                <w:color w:val="212529"/>
                <w:spacing w:val="4"/>
              </w:rPr>
              <w:t>41</w:t>
            </w:r>
          </w:p>
        </w:tc>
        <w:tc>
          <w:tcPr>
            <w:tcW w:w="1280" w:type="dxa"/>
            <w:vAlign w:val="top"/>
          </w:tcPr>
          <w:p>
            <w:pPr>
              <w:pStyle w:val="TableText"/>
              <w:ind w:left="851"/>
              <w:spacing w:before="101" w:line="162" w:lineRule="auto"/>
              <w:rPr>
                <w:sz w:val="15"/>
                <w:szCs w:val="15"/>
              </w:rPr>
            </w:pPr>
            <w:r>
              <w:rPr>
                <w:sz w:val="15"/>
                <w:szCs w:val="15"/>
                <w:color w:val="212529"/>
                <w:spacing w:val="3"/>
              </w:rPr>
              <w:t>31.94</w:t>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274.49</w:t>
            </w:r>
          </w:p>
        </w:tc>
        <w:tc>
          <w:tcPr>
            <w:tcW w:w="1361" w:type="dxa"/>
            <w:vAlign w:val="top"/>
          </w:tcPr>
          <w:p>
            <w:pPr>
              <w:pStyle w:val="TableText"/>
              <w:ind w:left="851"/>
              <w:spacing w:before="102" w:line="186" w:lineRule="auto"/>
              <w:rPr>
                <w:sz w:val="13"/>
                <w:szCs w:val="13"/>
              </w:rPr>
            </w:pPr>
            <w:r>
              <w:rPr>
                <w:sz w:val="13"/>
                <w:szCs w:val="13"/>
                <w:color w:val="212529"/>
                <w:spacing w:val="5"/>
              </w:rPr>
              <w:t>242.</w:t>
            </w:r>
            <w:r>
              <w:rPr>
                <w:sz w:val="13"/>
                <w:szCs w:val="13"/>
                <w:color w:val="212529"/>
                <w:spacing w:val="9"/>
              </w:rPr>
              <w:t xml:space="preserve"> </w:t>
            </w:r>
            <w:r>
              <w:rPr>
                <w:sz w:val="13"/>
                <w:szCs w:val="13"/>
                <w:color w:val="212529"/>
                <w:spacing w:val="5"/>
              </w:rPr>
              <w:t>55</w:t>
            </w:r>
          </w:p>
        </w:tc>
        <w:tc>
          <w:tcPr>
            <w:tcW w:w="1280" w:type="dxa"/>
            <w:vAlign w:val="top"/>
          </w:tcPr>
          <w:p>
            <w:pPr>
              <w:pStyle w:val="TableText"/>
              <w:ind w:left="851"/>
              <w:spacing w:before="101" w:line="162" w:lineRule="auto"/>
              <w:rPr>
                <w:sz w:val="15"/>
                <w:szCs w:val="15"/>
              </w:rPr>
            </w:pPr>
            <w:r>
              <w:rPr>
                <w:sz w:val="15"/>
                <w:szCs w:val="15"/>
                <w:color w:val="212529"/>
                <w:spacing w:val="3"/>
              </w:rPr>
              <w:t>31.94</w:t>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37" w:type="dxa"/>
            <w:vAlign w:val="top"/>
          </w:tcPr>
          <w:p>
            <w:pPr>
              <w:ind w:left="10"/>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244.92</w:t>
            </w:r>
          </w:p>
        </w:tc>
        <w:tc>
          <w:tcPr>
            <w:tcW w:w="1361"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242.55</w:t>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2.37</w:t>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29.57</w:t>
            </w:r>
          </w:p>
        </w:tc>
        <w:tc>
          <w:tcPr>
            <w:tcW w:w="1361" w:type="dxa"/>
            <w:vAlign w:val="top"/>
          </w:tcPr>
          <w:p>
            <w:pPr>
              <w:pStyle w:val="TableText"/>
              <w:rPr/>
            </w:pPr>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29.57</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37" w:type="dxa"/>
            <w:vAlign w:val="top"/>
          </w:tcPr>
          <w:p>
            <w:pPr>
              <w:ind w:left="3"/>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10.87</w:t>
            </w:r>
          </w:p>
        </w:tc>
        <w:tc>
          <w:tcPr>
            <w:tcW w:w="1361" w:type="dxa"/>
            <w:vAlign w:val="top"/>
          </w:tcPr>
          <w:p>
            <w:pPr>
              <w:pStyle w:val="TableText"/>
              <w:rPr/>
            </w:pPr>
            <w:r/>
          </w:p>
        </w:tc>
        <w:tc>
          <w:tcPr>
            <w:tcW w:w="1280" w:type="dxa"/>
            <w:vAlign w:val="top"/>
          </w:tcPr>
          <w:p>
            <w:pPr>
              <w:pStyle w:val="TableText"/>
              <w:rPr/>
            </w:pPr>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10.87</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10.87</w:t>
            </w:r>
          </w:p>
        </w:tc>
        <w:tc>
          <w:tcPr>
            <w:tcW w:w="1280" w:type="dxa"/>
            <w:vAlign w:val="top"/>
          </w:tcPr>
          <w:p>
            <w:pPr>
              <w:pStyle w:val="TableText"/>
              <w:rPr/>
            </w:pPr>
            <w:r/>
          </w:p>
        </w:tc>
      </w:tr>
      <w:tr>
        <w:trPr>
          <w:trHeight w:val="314" w:hRule="atLeast"/>
        </w:trPr>
        <w:tc>
          <w:tcPr>
            <w:tcW w:w="1776" w:type="dxa"/>
            <w:vAlign w:val="top"/>
          </w:tcPr>
          <w:p>
            <w:pPr>
              <w:ind w:left="8"/>
              <w:spacing w:before="8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37" w:type="dxa"/>
            <w:vAlign w:val="top"/>
          </w:tcPr>
          <w:p>
            <w:pPr>
              <w:ind w:left="3"/>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361" w:type="dxa"/>
            <w:vAlign w:val="top"/>
          </w:tcPr>
          <w:p>
            <w:pPr>
              <w:pStyle w:val="TableText"/>
              <w:ind w:left="932"/>
              <w:spacing w:before="103" w:line="186" w:lineRule="auto"/>
              <w:rPr>
                <w:sz w:val="13"/>
                <w:szCs w:val="13"/>
              </w:rPr>
            </w:pPr>
            <w:r>
              <w:rPr>
                <w:sz w:val="13"/>
                <w:szCs w:val="13"/>
                <w:color w:val="212529"/>
                <w:spacing w:val="4"/>
              </w:rPr>
              <w:t>24.</w:t>
            </w:r>
            <w:r>
              <w:rPr>
                <w:sz w:val="13"/>
                <w:szCs w:val="13"/>
                <w:color w:val="212529"/>
                <w:spacing w:val="11"/>
                <w:w w:val="101"/>
              </w:rPr>
              <w:t xml:space="preserve"> </w:t>
            </w:r>
            <w:r>
              <w:rPr>
                <w:sz w:val="13"/>
                <w:szCs w:val="13"/>
                <w:color w:val="212529"/>
                <w:spacing w:val="4"/>
              </w:rPr>
              <w:t>20</w:t>
            </w:r>
          </w:p>
        </w:tc>
        <w:tc>
          <w:tcPr>
            <w:tcW w:w="1280"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361" w:type="dxa"/>
            <w:vAlign w:val="top"/>
          </w:tcPr>
          <w:p>
            <w:pPr>
              <w:pStyle w:val="TableText"/>
              <w:ind w:left="932"/>
              <w:spacing w:before="104" w:line="186" w:lineRule="auto"/>
              <w:rPr>
                <w:sz w:val="13"/>
                <w:szCs w:val="13"/>
              </w:rPr>
            </w:pPr>
            <w:r>
              <w:rPr>
                <w:sz w:val="13"/>
                <w:szCs w:val="13"/>
                <w:color w:val="212529"/>
                <w:spacing w:val="4"/>
              </w:rPr>
              <w:t>24.</w:t>
            </w:r>
            <w:r>
              <w:rPr>
                <w:sz w:val="13"/>
                <w:szCs w:val="13"/>
                <w:color w:val="212529"/>
                <w:spacing w:val="11"/>
                <w:w w:val="101"/>
              </w:rPr>
              <w:t xml:space="preserve"> </w:t>
            </w:r>
            <w:r>
              <w:rPr>
                <w:sz w:val="13"/>
                <w:szCs w:val="13"/>
                <w:color w:val="212529"/>
                <w:spacing w:val="4"/>
              </w:rPr>
              <w:t>20</w:t>
            </w:r>
          </w:p>
        </w:tc>
        <w:tc>
          <w:tcPr>
            <w:tcW w:w="1280" w:type="dxa"/>
            <w:vAlign w:val="top"/>
          </w:tcPr>
          <w:p>
            <w:pPr>
              <w:pStyle w:val="TableText"/>
              <w:rPr/>
            </w:pPr>
            <w:r/>
          </w:p>
        </w:tc>
      </w:tr>
      <w:tr>
        <w:trPr>
          <w:trHeight w:val="319"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361"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280" w:type="dxa"/>
            <w:vAlign w:val="top"/>
          </w:tcPr>
          <w:p>
            <w:pPr>
              <w:pStyle w:val="TableText"/>
              <w:rPr/>
            </w:pPr>
            <w:r/>
          </w:p>
        </w:tc>
      </w:tr>
    </w:tbl>
    <w:p>
      <w:pPr>
        <w:rPr>
          <w:rFonts w:ascii="Arial"/>
          <w:sz w:val="21"/>
        </w:rPr>
      </w:pPr>
      <w:r/>
    </w:p>
    <w:p>
      <w:pPr>
        <w:sectPr>
          <w:headerReference w:type="default" r:id="rId13"/>
          <w:footerReference w:type="default" r:id="rId14"/>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3" w:line="232"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328.66</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26.46</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.46</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285.35</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285.35</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4"/>
              <w:spacing w:before="137" w:line="186" w:lineRule="auto"/>
              <w:rPr>
                <w:sz w:val="13"/>
                <w:szCs w:val="13"/>
              </w:rPr>
            </w:pPr>
            <w:r>
              <w:rPr>
                <w:sz w:val="13"/>
                <w:szCs w:val="13"/>
                <w:color w:val="212529"/>
                <w:spacing w:val="4"/>
              </w:rPr>
              <w:t>328.</w:t>
            </w:r>
            <w:r>
              <w:rPr>
                <w:sz w:val="13"/>
                <w:szCs w:val="13"/>
                <w:color w:val="212529"/>
                <w:spacing w:val="15"/>
              </w:rPr>
              <w:t xml:space="preserve"> </w:t>
            </w:r>
            <w:r>
              <w:rPr>
                <w:sz w:val="13"/>
                <w:szCs w:val="13"/>
                <w:color w:val="212529"/>
                <w:spacing w:val="4"/>
              </w:rPr>
              <w:t>66</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2"/>
              <w:spacing w:before="137" w:line="186" w:lineRule="auto"/>
              <w:rPr>
                <w:sz w:val="13"/>
                <w:szCs w:val="13"/>
              </w:rPr>
            </w:pPr>
            <w:r>
              <w:rPr>
                <w:sz w:val="13"/>
                <w:szCs w:val="13"/>
                <w:color w:val="212529"/>
                <w:spacing w:val="4"/>
              </w:rPr>
              <w:t>336.</w:t>
            </w:r>
            <w:r>
              <w:rPr>
                <w:sz w:val="13"/>
                <w:szCs w:val="13"/>
                <w:color w:val="212529"/>
                <w:spacing w:val="13"/>
                <w:w w:val="102"/>
              </w:rPr>
              <w:t xml:space="preserve"> </w:t>
            </w:r>
            <w:r>
              <w:rPr>
                <w:sz w:val="13"/>
                <w:szCs w:val="13"/>
                <w:color w:val="212529"/>
                <w:spacing w:val="4"/>
              </w:rPr>
              <w:t>02</w:t>
            </w:r>
          </w:p>
        </w:tc>
        <w:tc>
          <w:tcPr>
            <w:tcW w:w="1069" w:type="dxa"/>
            <w:vAlign w:val="top"/>
          </w:tcPr>
          <w:p>
            <w:pPr>
              <w:pStyle w:val="TableText"/>
              <w:ind w:left="287"/>
              <w:spacing w:before="137" w:line="186" w:lineRule="auto"/>
              <w:rPr>
                <w:sz w:val="13"/>
                <w:szCs w:val="13"/>
              </w:rPr>
            </w:pPr>
            <w:r>
              <w:rPr>
                <w:sz w:val="13"/>
                <w:szCs w:val="13"/>
                <w:color w:val="212529"/>
                <w:spacing w:val="4"/>
              </w:rPr>
              <w:t>336.</w:t>
            </w:r>
            <w:r>
              <w:rPr>
                <w:sz w:val="13"/>
                <w:szCs w:val="13"/>
                <w:color w:val="212529"/>
                <w:spacing w:val="13"/>
                <w:w w:val="102"/>
              </w:rPr>
              <w:t xml:space="preserve"> </w:t>
            </w:r>
            <w:r>
              <w:rPr>
                <w:sz w:val="13"/>
                <w:szCs w:val="13"/>
                <w:color w:val="212529"/>
                <w:spacing w:val="4"/>
              </w:rPr>
              <w:t>02</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5"/>
          <w:footerReference w:type="default" r:id="rId16"/>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7.36</w:t>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7.36</w:t>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4"/>
              <w:spacing w:before="136" w:line="186" w:lineRule="auto"/>
              <w:rPr>
                <w:sz w:val="13"/>
                <w:szCs w:val="13"/>
              </w:rPr>
            </w:pPr>
            <w:r>
              <w:rPr>
                <w:sz w:val="13"/>
                <w:szCs w:val="13"/>
                <w:color w:val="212529"/>
                <w:spacing w:val="4"/>
              </w:rPr>
              <w:t>336.</w:t>
            </w:r>
            <w:r>
              <w:rPr>
                <w:sz w:val="13"/>
                <w:szCs w:val="13"/>
                <w:color w:val="212529"/>
                <w:spacing w:val="14"/>
              </w:rPr>
              <w:t xml:space="preserve"> </w:t>
            </w:r>
            <w:r>
              <w:rPr>
                <w:sz w:val="13"/>
                <w:szCs w:val="13"/>
                <w:color w:val="212529"/>
                <w:spacing w:val="4"/>
              </w:rPr>
              <w:t>02</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2"/>
              <w:spacing w:before="136" w:line="186" w:lineRule="auto"/>
              <w:rPr>
                <w:sz w:val="13"/>
                <w:szCs w:val="13"/>
              </w:rPr>
            </w:pPr>
            <w:r>
              <w:rPr>
                <w:sz w:val="13"/>
                <w:szCs w:val="13"/>
                <w:color w:val="212529"/>
                <w:spacing w:val="4"/>
              </w:rPr>
              <w:t>336.</w:t>
            </w:r>
            <w:r>
              <w:rPr>
                <w:sz w:val="13"/>
                <w:szCs w:val="13"/>
                <w:color w:val="212529"/>
                <w:spacing w:val="14"/>
              </w:rPr>
              <w:t xml:space="preserve"> </w:t>
            </w:r>
            <w:r>
              <w:rPr>
                <w:sz w:val="13"/>
                <w:szCs w:val="13"/>
                <w:color w:val="212529"/>
                <w:spacing w:val="4"/>
              </w:rPr>
              <w:t>02</w:t>
            </w:r>
          </w:p>
        </w:tc>
        <w:tc>
          <w:tcPr>
            <w:tcW w:w="1069" w:type="dxa"/>
            <w:vAlign w:val="top"/>
          </w:tcPr>
          <w:p>
            <w:pPr>
              <w:pStyle w:val="TableText"/>
              <w:ind w:left="287"/>
              <w:spacing w:before="136" w:line="186" w:lineRule="auto"/>
              <w:rPr>
                <w:sz w:val="13"/>
                <w:szCs w:val="13"/>
              </w:rPr>
            </w:pPr>
            <w:r>
              <w:rPr>
                <w:sz w:val="13"/>
                <w:szCs w:val="13"/>
                <w:color w:val="212529"/>
                <w:spacing w:val="4"/>
              </w:rPr>
              <w:t>336.</w:t>
            </w:r>
            <w:r>
              <w:rPr>
                <w:sz w:val="13"/>
                <w:szCs w:val="13"/>
                <w:color w:val="212529"/>
                <w:spacing w:val="13"/>
                <w:w w:val="102"/>
              </w:rPr>
              <w:t xml:space="preserve"> </w:t>
            </w:r>
            <w:r>
              <w:rPr>
                <w:sz w:val="13"/>
                <w:szCs w:val="13"/>
                <w:color w:val="212529"/>
                <w:spacing w:val="4"/>
              </w:rPr>
              <w:t>02</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7"/>
          <w:footerReference w:type="default" r:id="rId18"/>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36"/>
              <w:spacing w:before="87" w:line="172" w:lineRule="auto"/>
              <w:rPr>
                <w:sz w:val="14"/>
                <w:szCs w:val="14"/>
              </w:rPr>
            </w:pPr>
            <w:r>
              <w:rPr>
                <w:sz w:val="14"/>
                <w:szCs w:val="14"/>
                <w:color w:val="212529"/>
              </w:rPr>
              <w:t>328.</w:t>
            </w:r>
            <w:r>
              <w:rPr>
                <w:sz w:val="14"/>
                <w:szCs w:val="14"/>
                <w:color w:val="212529"/>
                <w:spacing w:val="6"/>
              </w:rPr>
              <w:t xml:space="preserve"> </w:t>
            </w:r>
            <w:r>
              <w:rPr>
                <w:sz w:val="14"/>
                <w:szCs w:val="14"/>
                <w:color w:val="212529"/>
              </w:rPr>
              <w:t>66</w:t>
            </w:r>
          </w:p>
        </w:tc>
        <w:tc>
          <w:tcPr>
            <w:tcW w:w="1415" w:type="dxa"/>
            <w:vAlign w:val="top"/>
          </w:tcPr>
          <w:p>
            <w:pPr>
              <w:pStyle w:val="TableText"/>
              <w:ind w:left="905"/>
              <w:spacing w:before="87" w:line="186" w:lineRule="auto"/>
              <w:rPr>
                <w:sz w:val="13"/>
                <w:szCs w:val="13"/>
              </w:rPr>
            </w:pPr>
            <w:r>
              <w:rPr>
                <w:sz w:val="13"/>
                <w:szCs w:val="13"/>
                <w:color w:val="212529"/>
                <w:spacing w:val="4"/>
              </w:rPr>
              <w:t>304.</w:t>
            </w:r>
            <w:r>
              <w:rPr>
                <w:sz w:val="13"/>
                <w:szCs w:val="13"/>
                <w:color w:val="212529"/>
                <w:spacing w:val="13"/>
                <w:w w:val="102"/>
              </w:rPr>
              <w:t xml:space="preserve"> </w:t>
            </w:r>
            <w:r>
              <w:rPr>
                <w:sz w:val="13"/>
                <w:szCs w:val="13"/>
                <w:color w:val="212529"/>
                <w:spacing w:val="4"/>
              </w:rPr>
              <w:t>08</w:t>
            </w:r>
          </w:p>
        </w:tc>
        <w:tc>
          <w:tcPr>
            <w:tcW w:w="1377" w:type="dxa"/>
            <w:vAlign w:val="top"/>
          </w:tcPr>
          <w:p>
            <w:pPr>
              <w:pStyle w:val="TableText"/>
              <w:ind w:left="947"/>
              <w:spacing w:before="87" w:line="186" w:lineRule="auto"/>
              <w:rPr>
                <w:sz w:val="13"/>
                <w:szCs w:val="13"/>
              </w:rPr>
            </w:pPr>
            <w:r>
              <w:rPr>
                <w:sz w:val="13"/>
                <w:szCs w:val="13"/>
                <w:color w:val="212529"/>
                <w:spacing w:val="4"/>
              </w:rPr>
              <w:t>24.</w:t>
            </w:r>
            <w:r>
              <w:rPr>
                <w:sz w:val="13"/>
                <w:szCs w:val="13"/>
                <w:color w:val="212529"/>
                <w:spacing w:val="11"/>
              </w:rPr>
              <w:t xml:space="preserve"> </w:t>
            </w:r>
            <w:r>
              <w:rPr>
                <w:sz w:val="13"/>
                <w:szCs w:val="13"/>
                <w:color w:val="212529"/>
                <w:spacing w:val="4"/>
              </w:rPr>
              <w:t>59</w:t>
            </w:r>
          </w:p>
        </w:tc>
      </w:tr>
      <w:tr>
        <w:trPr>
          <w:trHeight w:val="292" w:hRule="atLeast"/>
        </w:trPr>
        <w:tc>
          <w:tcPr>
            <w:tcW w:w="1679"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43"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26.46</w:t>
            </w:r>
          </w:p>
        </w:tc>
        <w:tc>
          <w:tcPr>
            <w:tcW w:w="1415"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26.46</w:t>
            </w:r>
          </w:p>
        </w:tc>
        <w:tc>
          <w:tcPr>
            <w:tcW w:w="1377" w:type="dxa"/>
            <w:vAlign w:val="top"/>
          </w:tcPr>
          <w:p>
            <w:pPr>
              <w:pStyle w:val="TableText"/>
              <w:rPr/>
            </w:pPr>
            <w:r/>
          </w:p>
        </w:tc>
      </w:tr>
      <w:tr>
        <w:trPr>
          <w:trHeight w:val="292" w:hRule="atLeast"/>
        </w:trPr>
        <w:tc>
          <w:tcPr>
            <w:tcW w:w="1679"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26.46</w:t>
            </w:r>
          </w:p>
        </w:tc>
        <w:tc>
          <w:tcPr>
            <w:tcW w:w="1415"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26.46</w:t>
            </w:r>
          </w:p>
        </w:tc>
        <w:tc>
          <w:tcPr>
            <w:tcW w:w="1377" w:type="dxa"/>
            <w:vAlign w:val="top"/>
          </w:tcPr>
          <w:p>
            <w:pPr>
              <w:pStyle w:val="TableText"/>
              <w:rPr/>
            </w:pPr>
            <w:r/>
          </w:p>
        </w:tc>
      </w:tr>
      <w:tr>
        <w:trPr>
          <w:trHeight w:val="292" w:hRule="atLeast"/>
        </w:trPr>
        <w:tc>
          <w:tcPr>
            <w:tcW w:w="1679"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43"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26.46</w:t>
            </w:r>
          </w:p>
        </w:tc>
        <w:tc>
          <w:tcPr>
            <w:tcW w:w="1415"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26.46</w:t>
            </w:r>
          </w:p>
        </w:tc>
        <w:tc>
          <w:tcPr>
            <w:tcW w:w="1377" w:type="dxa"/>
            <w:vAlign w:val="top"/>
          </w:tcPr>
          <w:p>
            <w:pPr>
              <w:pStyle w:val="TableText"/>
              <w:rPr/>
            </w:pPr>
            <w:r/>
          </w:p>
        </w:tc>
      </w:tr>
      <w:tr>
        <w:trPr>
          <w:trHeight w:val="292" w:hRule="atLeast"/>
        </w:trPr>
        <w:tc>
          <w:tcPr>
            <w:tcW w:w="1679"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278.00</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253.41</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24.59</w:t>
            </w:r>
          </w:p>
        </w:tc>
      </w:tr>
      <w:tr>
        <w:trPr>
          <w:trHeight w:val="292" w:hRule="atLeast"/>
        </w:trPr>
        <w:tc>
          <w:tcPr>
            <w:tcW w:w="1679"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267.13</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242.55</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24.59</w:t>
            </w:r>
          </w:p>
        </w:tc>
      </w:tr>
      <w:tr>
        <w:trPr>
          <w:trHeight w:val="292" w:hRule="atLeast"/>
        </w:trPr>
        <w:tc>
          <w:tcPr>
            <w:tcW w:w="1679"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43" w:type="dxa"/>
            <w:vAlign w:val="top"/>
          </w:tcPr>
          <w:p>
            <w:pPr>
              <w:ind w:left="5"/>
              <w:spacing w:before="72"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244.92</w:t>
            </w:r>
          </w:p>
        </w:tc>
        <w:tc>
          <w:tcPr>
            <w:tcW w:w="1415"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242.55</w:t>
            </w:r>
          </w:p>
        </w:tc>
        <w:tc>
          <w:tcPr>
            <w:tcW w:w="1377"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2.37</w:t>
            </w:r>
          </w:p>
        </w:tc>
      </w:tr>
      <w:tr>
        <w:trPr>
          <w:trHeight w:val="292" w:hRule="atLeast"/>
        </w:trPr>
        <w:tc>
          <w:tcPr>
            <w:tcW w:w="1679"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143" w:type="dxa"/>
            <w:vAlign w:val="top"/>
          </w:tcPr>
          <w:p>
            <w:pPr>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22.22</w:t>
            </w:r>
          </w:p>
        </w:tc>
        <w:tc>
          <w:tcPr>
            <w:tcW w:w="1415" w:type="dxa"/>
            <w:vAlign w:val="top"/>
          </w:tcPr>
          <w:p>
            <w:pPr>
              <w:pStyle w:val="TableText"/>
              <w:rPr/>
            </w:pPr>
            <w:r/>
          </w:p>
        </w:tc>
        <w:tc>
          <w:tcPr>
            <w:tcW w:w="1377"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22.22</w:t>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43"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10.87</w:t>
            </w:r>
          </w:p>
        </w:tc>
        <w:tc>
          <w:tcPr>
            <w:tcW w:w="1415"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10.87</w:t>
            </w:r>
          </w:p>
        </w:tc>
        <w:tc>
          <w:tcPr>
            <w:tcW w:w="1377" w:type="dxa"/>
            <w:vAlign w:val="top"/>
          </w:tcPr>
          <w:p>
            <w:pPr>
              <w:pStyle w:val="TableText"/>
              <w:rPr/>
            </w:pPr>
            <w:r/>
          </w:p>
        </w:tc>
      </w:tr>
      <w:tr>
        <w:trPr>
          <w:trHeight w:val="292" w:hRule="atLeast"/>
        </w:trPr>
        <w:tc>
          <w:tcPr>
            <w:tcW w:w="1679" w:type="dxa"/>
            <w:vAlign w:val="top"/>
          </w:tcPr>
          <w:p>
            <w:pPr>
              <w:ind w:left="261"/>
              <w:spacing w:before="74" w:line="203" w:lineRule="exact"/>
              <w:rPr>
                <w:rFonts w:ascii="SimSun" w:hAnsi="SimSun" w:eastAsia="SimSun" w:cs="SimSun"/>
                <w:sz w:val="15"/>
                <w:szCs w:val="15"/>
              </w:rPr>
            </w:pPr>
            <w:r>
              <w:rPr>
                <w:rFonts w:ascii="SimSun" w:hAnsi="SimSun" w:eastAsia="SimSun" w:cs="SimSun"/>
                <w:sz w:val="15"/>
                <w:szCs w:val="15"/>
                <w:color w:val="212529"/>
                <w:spacing w:val="1"/>
                <w:position w:val="1"/>
              </w:rPr>
              <w:t>1102</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10.87</w:t>
            </w:r>
          </w:p>
        </w:tc>
        <w:tc>
          <w:tcPr>
            <w:tcW w:w="1415" w:type="dxa"/>
            <w:vAlign w:val="top"/>
          </w:tcPr>
          <w:p>
            <w:pPr>
              <w:ind w:left="995"/>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10.</w:t>
            </w:r>
          </w:p>
        </w:tc>
        <w:tc>
          <w:tcPr>
            <w:tcW w:w="1377" w:type="dxa"/>
            <w:vAlign w:val="top"/>
          </w:tcPr>
          <w:p>
            <w:pPr>
              <w:pStyle w:val="TableText"/>
              <w:rPr/>
            </w:pPr>
            <w:r/>
          </w:p>
        </w:tc>
      </w:tr>
      <w:tr>
        <w:trPr>
          <w:trHeight w:val="292" w:hRule="atLeast"/>
        </w:trPr>
        <w:tc>
          <w:tcPr>
            <w:tcW w:w="1679"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415" w:type="dxa"/>
            <w:vAlign w:val="top"/>
          </w:tcPr>
          <w:p>
            <w:pPr>
              <w:ind w:left="1149"/>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377" w:type="dxa"/>
            <w:vAlign w:val="top"/>
          </w:tcPr>
          <w:p>
            <w:pPr>
              <w:pStyle w:val="TableText"/>
              <w:rPr/>
            </w:pPr>
            <w:r/>
          </w:p>
        </w:tc>
      </w:tr>
      <w:tr>
        <w:trPr>
          <w:trHeight w:val="293" w:hRule="atLeast"/>
        </w:trPr>
        <w:tc>
          <w:tcPr>
            <w:tcW w:w="1679"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43" w:type="dxa"/>
            <w:vAlign w:val="top"/>
          </w:tcPr>
          <w:p>
            <w:pPr>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415" w:type="dxa"/>
            <w:vAlign w:val="top"/>
          </w:tcPr>
          <w:p>
            <w:pPr>
              <w:ind w:right="24"/>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.20</w:t>
            </w:r>
          </w:p>
        </w:tc>
        <w:tc>
          <w:tcPr>
            <w:tcW w:w="1377" w:type="dxa"/>
            <w:vAlign w:val="top"/>
          </w:tcPr>
          <w:p>
            <w:pPr>
              <w:pStyle w:val="TableText"/>
              <w:rPr/>
            </w:pPr>
            <w:r/>
          </w:p>
        </w:tc>
      </w:tr>
      <w:tr>
        <w:trPr>
          <w:trHeight w:val="298"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377" w:type="dxa"/>
            <w:vAlign w:val="top"/>
          </w:tcPr>
          <w:p>
            <w:pPr>
              <w:pStyle w:val="TableText"/>
              <w:rPr/>
            </w:pPr>
            <w:r/>
          </w:p>
        </w:tc>
      </w:tr>
    </w:tbl>
    <w:p>
      <w:pPr>
        <w:rPr>
          <w:rFonts w:ascii="Arial"/>
          <w:sz w:val="21"/>
        </w:rPr>
      </w:pPr>
      <w:r/>
    </w:p>
    <w:p>
      <w:pPr>
        <w:sectPr>
          <w:headerReference w:type="default" r:id="rId19"/>
          <w:footerReference w:type="default" r:id="rId20"/>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2"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2"/>
              <w:spacing w:before="87" w:line="186" w:lineRule="auto"/>
              <w:rPr>
                <w:sz w:val="13"/>
                <w:szCs w:val="13"/>
              </w:rPr>
            </w:pPr>
            <w:r>
              <w:rPr>
                <w:sz w:val="13"/>
                <w:szCs w:val="13"/>
                <w:color w:val="212529"/>
                <w:spacing w:val="4"/>
              </w:rPr>
              <w:t>304.</w:t>
            </w:r>
            <w:r>
              <w:rPr>
                <w:sz w:val="13"/>
                <w:szCs w:val="13"/>
                <w:color w:val="212529"/>
                <w:spacing w:val="13"/>
                <w:w w:val="102"/>
              </w:rPr>
              <w:t xml:space="preserve"> </w:t>
            </w:r>
            <w:r>
              <w:rPr>
                <w:sz w:val="13"/>
                <w:szCs w:val="13"/>
                <w:color w:val="212529"/>
                <w:spacing w:val="4"/>
              </w:rPr>
              <w:t>08</w:t>
            </w:r>
          </w:p>
        </w:tc>
        <w:tc>
          <w:tcPr>
            <w:tcW w:w="1188" w:type="dxa"/>
            <w:vAlign w:val="top"/>
          </w:tcPr>
          <w:p>
            <w:pPr>
              <w:pStyle w:val="TableText"/>
              <w:ind w:left="684"/>
              <w:spacing w:before="87" w:line="172" w:lineRule="auto"/>
              <w:rPr>
                <w:sz w:val="14"/>
                <w:szCs w:val="14"/>
              </w:rPr>
            </w:pPr>
            <w:r>
              <w:rPr>
                <w:sz w:val="14"/>
                <w:szCs w:val="14"/>
                <w:color w:val="212529"/>
              </w:rPr>
              <w:t>292.</w:t>
            </w:r>
            <w:r>
              <w:rPr>
                <w:sz w:val="14"/>
                <w:szCs w:val="14"/>
                <w:color w:val="212529"/>
                <w:spacing w:val="6"/>
              </w:rPr>
              <w:t xml:space="preserve"> </w:t>
            </w:r>
            <w:r>
              <w:rPr>
                <w:sz w:val="14"/>
                <w:szCs w:val="14"/>
                <w:color w:val="212529"/>
              </w:rPr>
              <w:t>58</w:t>
            </w:r>
          </w:p>
        </w:tc>
        <w:tc>
          <w:tcPr>
            <w:tcW w:w="1118" w:type="dxa"/>
            <w:vAlign w:val="top"/>
          </w:tcPr>
          <w:p>
            <w:pPr>
              <w:pStyle w:val="TableText"/>
              <w:ind w:left="699"/>
              <w:spacing w:before="87" w:line="186" w:lineRule="auto"/>
              <w:rPr>
                <w:sz w:val="13"/>
                <w:szCs w:val="13"/>
              </w:rPr>
            </w:pPr>
            <w:r>
              <w:rPr>
                <w:sz w:val="13"/>
                <w:szCs w:val="13"/>
                <w:color w:val="212529"/>
                <w:spacing w:val="2"/>
              </w:rPr>
              <w:t>11.</w:t>
            </w:r>
            <w:r>
              <w:rPr>
                <w:sz w:val="13"/>
                <w:szCs w:val="13"/>
                <w:color w:val="212529"/>
                <w:spacing w:val="11"/>
                <w:w w:val="102"/>
              </w:rPr>
              <w:t xml:space="preserve"> </w:t>
            </w:r>
            <w:r>
              <w:rPr>
                <w:sz w:val="13"/>
                <w:szCs w:val="13"/>
                <w:color w:val="212529"/>
                <w:spacing w:val="2"/>
              </w:rPr>
              <w:t>50</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268.75</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268.75</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99.94</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99.94</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45.03</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45.03</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61.76</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61.76</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26.46</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26.46</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0.61</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0.61</w:t>
            </w:r>
          </w:p>
        </w:tc>
        <w:tc>
          <w:tcPr>
            <w:tcW w:w="1118" w:type="dxa"/>
            <w:vAlign w:val="top"/>
          </w:tcPr>
          <w:p>
            <w:pPr>
              <w:pStyle w:val="TableText"/>
              <w:rPr/>
            </w:pPr>
            <w:r/>
          </w:p>
        </w:tc>
      </w:tr>
      <w:tr>
        <w:trPr>
          <w:trHeight w:val="292" w:hRule="atLeast"/>
        </w:trPr>
        <w:tc>
          <w:tcPr>
            <w:tcW w:w="3310"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24.20</w:t>
            </w:r>
          </w:p>
        </w:tc>
        <w:tc>
          <w:tcPr>
            <w:tcW w:w="1118" w:type="dxa"/>
            <w:vAlign w:val="top"/>
          </w:tcPr>
          <w:p>
            <w:pPr>
              <w:pStyle w:val="TableText"/>
              <w:rPr/>
            </w:pPr>
            <w:r/>
          </w:p>
        </w:tc>
      </w:tr>
      <w:tr>
        <w:trPr>
          <w:trHeight w:val="292" w:hRule="atLeast"/>
        </w:trPr>
        <w:tc>
          <w:tcPr>
            <w:tcW w:w="3310"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10"/>
              </w:rPr>
              <w:t>和服务支出</w:t>
            </w:r>
          </w:p>
        </w:tc>
        <w:tc>
          <w:tcPr>
            <w:tcW w:w="2278" w:type="dxa"/>
            <w:vAlign w:val="top"/>
          </w:tcPr>
          <w:p>
            <w:pPr>
              <w:pStyle w:val="TableText"/>
              <w:rPr/>
            </w:pPr>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11.50</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11.50</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2.40</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2.40</w:t>
            </w:r>
          </w:p>
        </w:tc>
      </w:tr>
      <w:tr>
        <w:trPr>
          <w:trHeight w:val="293"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5"/>
              <w:spacing w:before="7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3.31</w:t>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5"/>
              <w:spacing w:before="7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5.79</w:t>
            </w:r>
          </w:p>
        </w:tc>
      </w:tr>
      <w:tr>
        <w:trPr>
          <w:trHeight w:val="293"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23.83</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23.83</w:t>
            </w:r>
          </w:p>
        </w:tc>
        <w:tc>
          <w:tcPr>
            <w:tcW w:w="1118" w:type="dxa"/>
            <w:vAlign w:val="top"/>
          </w:tcPr>
          <w:p>
            <w:pPr>
              <w:pStyle w:val="TableText"/>
              <w:rPr/>
            </w:pPr>
            <w:r/>
          </w:p>
        </w:tc>
      </w:tr>
      <w:tr>
        <w:trPr>
          <w:trHeight w:val="292" w:hRule="atLeast"/>
        </w:trPr>
        <w:tc>
          <w:tcPr>
            <w:tcW w:w="3310"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2.83</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2.83</w:t>
            </w:r>
          </w:p>
        </w:tc>
        <w:tc>
          <w:tcPr>
            <w:tcW w:w="1118" w:type="dxa"/>
            <w:vAlign w:val="top"/>
          </w:tcPr>
          <w:p>
            <w:pPr>
              <w:pStyle w:val="TableText"/>
              <w:rPr/>
            </w:pPr>
            <w:r/>
          </w:p>
        </w:tc>
      </w:tr>
      <w:tr>
        <w:trPr>
          <w:trHeight w:val="298" w:hRule="atLeast"/>
        </w:trPr>
        <w:tc>
          <w:tcPr>
            <w:tcW w:w="3310" w:type="dxa"/>
            <w:vAlign w:val="top"/>
          </w:tcPr>
          <w:p>
            <w:pPr>
              <w:ind w:left="330"/>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78" w:type="dxa"/>
            <w:vAlign w:val="top"/>
          </w:tcPr>
          <w:p>
            <w:pPr>
              <w:ind w:left="325"/>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88" w:type="dxa"/>
            <w:vAlign w:val="top"/>
          </w:tcPr>
          <w:p>
            <w:pPr>
              <w:ind w:right="19"/>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21.00</w:t>
            </w:r>
          </w:p>
        </w:tc>
        <w:tc>
          <w:tcPr>
            <w:tcW w:w="1188" w:type="dxa"/>
            <w:vAlign w:val="top"/>
          </w:tcPr>
          <w:p>
            <w:pPr>
              <w:ind w:right="16"/>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21.00</w:t>
            </w:r>
          </w:p>
        </w:tc>
        <w:tc>
          <w:tcPr>
            <w:tcW w:w="1118" w:type="dxa"/>
            <w:vAlign w:val="top"/>
          </w:tcPr>
          <w:p>
            <w:pPr>
              <w:pStyle w:val="TableText"/>
              <w:rPr/>
            </w:pPr>
            <w:r/>
          </w:p>
        </w:tc>
      </w:tr>
    </w:tbl>
    <w:p>
      <w:pPr>
        <w:rPr>
          <w:rFonts w:ascii="Arial"/>
          <w:sz w:val="21"/>
        </w:rPr>
      </w:pPr>
      <w:r/>
    </w:p>
    <w:p>
      <w:pPr>
        <w:sectPr>
          <w:headerReference w:type="default" r:id="rId21"/>
          <w:footerReference w:type="default" r:id="rId22"/>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23"/>
          <w:footerReference w:type="default" r:id="rId24"/>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3"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25"/>
          <w:footerReference w:type="default" r:id="rId26"/>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4" w:line="232"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27"/>
          <w:footerReference w:type="default" r:id="rId28"/>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5" w:line="232"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29"/>
          <w:footerReference w:type="default" r:id="rId30"/>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18"/>
        <w:gridCol w:w="1069"/>
        <w:gridCol w:w="1080"/>
        <w:gridCol w:w="832"/>
        <w:gridCol w:w="1242"/>
        <w:gridCol w:w="1069"/>
        <w:gridCol w:w="848"/>
      </w:tblGrid>
      <w:tr>
        <w:trPr>
          <w:trHeight w:val="384" w:hRule="atLeast"/>
        </w:trPr>
        <w:tc>
          <w:tcPr>
            <w:tcW w:w="30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17"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41" w:type="dxa"/>
            <w:vAlign w:val="top"/>
            <w:gridSpan w:val="5"/>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w:t>
            </w:r>
          </w:p>
        </w:tc>
        <w:tc>
          <w:tcPr>
            <w:tcW w:w="1917" w:type="dxa"/>
            <w:vAlign w:val="top"/>
            <w:gridSpan w:val="2"/>
            <w:tcBorders>
              <w:top w:val="single" w:color="FFFFFF" w:sz="4" w:space="0"/>
              <w:left w:val="single" w:color="FFFFFF" w:sz="2" w:space="0"/>
              <w:right w:val="single" w:color="FFFFFF" w:sz="2" w:space="0"/>
            </w:tcBorders>
          </w:tcPr>
          <w:p>
            <w:pPr>
              <w:ind w:left="1244"/>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18" w:type="dxa"/>
            <w:vAlign w:val="top"/>
            <w:vMerge w:val="restart"/>
            <w:tcBorders>
              <w:bottom w:val="nil"/>
            </w:tcBorders>
          </w:tcPr>
          <w:p>
            <w:pPr>
              <w:ind w:left="117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69" w:type="dxa"/>
            <w:vAlign w:val="top"/>
            <w:vMerge w:val="restart"/>
            <w:tcBorders>
              <w:bottom w:val="nil"/>
            </w:tcBorders>
          </w:tcPr>
          <w:p>
            <w:pPr>
              <w:ind w:left="36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54" w:type="dxa"/>
            <w:vAlign w:val="top"/>
            <w:gridSpan w:val="3"/>
          </w:tcPr>
          <w:p>
            <w:pPr>
              <w:ind w:left="100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0"/>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0"/>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48" w:type="dxa"/>
            <w:vAlign w:val="top"/>
            <w:vMerge w:val="restart"/>
            <w:tcBorders>
              <w:bottom w:val="nil"/>
            </w:tcBorders>
          </w:tcPr>
          <w:p>
            <w:pPr>
              <w:ind w:left="8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3018"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080" w:type="dxa"/>
            <w:vAlign w:val="top"/>
          </w:tcPr>
          <w:p>
            <w:pPr>
              <w:ind w:left="45"/>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0" w:right="97"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42" w:type="dxa"/>
            <w:vAlign w:val="top"/>
          </w:tcPr>
          <w:p>
            <w:pPr>
              <w:ind w:left="5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9" w:hRule="atLeast"/>
        </w:trPr>
        <w:tc>
          <w:tcPr>
            <w:tcW w:w="3018" w:type="dxa"/>
            <w:vAlign w:val="top"/>
          </w:tcPr>
          <w:p>
            <w:pPr>
              <w:ind w:left="1467"/>
              <w:spacing w:before="113"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69" w:type="dxa"/>
            <w:vAlign w:val="top"/>
          </w:tcPr>
          <w:p>
            <w:pPr>
              <w:ind w:left="485"/>
              <w:spacing w:before="113"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80" w:type="dxa"/>
            <w:vAlign w:val="top"/>
          </w:tcPr>
          <w:p>
            <w:pPr>
              <w:ind w:left="497"/>
              <w:spacing w:before="113"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6"/>
              <w:spacing w:before="113"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2"/>
              <w:spacing w:before="113"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7"/>
              <w:spacing w:before="113"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9"/>
              <w:spacing w:before="113"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3018" w:type="dxa"/>
            <w:vAlign w:val="top"/>
          </w:tcPr>
          <w:p>
            <w:pPr>
              <w:ind w:left="91"/>
              <w:spacing w:before="112" w:line="228" w:lineRule="auto"/>
              <w:rPr>
                <w:rFonts w:ascii="SimSun" w:hAnsi="SimSun" w:eastAsia="SimSun" w:cs="SimSun"/>
                <w:sz w:val="15"/>
                <w:szCs w:val="15"/>
              </w:rPr>
            </w:pPr>
            <w:r>
              <w:rPr>
                <w:rFonts w:ascii="SimSun" w:hAnsi="SimSun" w:eastAsia="SimSun" w:cs="SimSun"/>
                <w:sz w:val="15"/>
                <w:szCs w:val="15"/>
                <w:color w:val="212529"/>
                <w:spacing w:val="10"/>
              </w:rPr>
              <w:t>兴县奥家湾乡卫生院</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24.59</w:t>
            </w:r>
          </w:p>
        </w:tc>
        <w:tc>
          <w:tcPr>
            <w:tcW w:w="1080"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24.59</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69"/>
              <w:spacing w:before="113" w:line="229" w:lineRule="auto"/>
              <w:rPr>
                <w:rFonts w:ascii="SimSun" w:hAnsi="SimSun" w:eastAsia="SimSun" w:cs="SimSun"/>
                <w:sz w:val="15"/>
                <w:szCs w:val="15"/>
              </w:rPr>
            </w:pPr>
            <w:r>
              <w:rPr>
                <w:rFonts w:ascii="SimSun" w:hAnsi="SimSun" w:eastAsia="SimSun" w:cs="SimSun"/>
                <w:sz w:val="15"/>
                <w:szCs w:val="15"/>
                <w:color w:val="212529"/>
                <w:spacing w:val="11"/>
              </w:rPr>
              <w:t>法院执行基层卫生院欠配送企业药款</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0.39</w:t>
            </w:r>
          </w:p>
        </w:tc>
        <w:tc>
          <w:tcPr>
            <w:tcW w:w="1080"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0.39</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 w:right="91" w:firstLine="164"/>
              <w:spacing w:before="27" w:line="210"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9"/>
              </w:rPr>
              <w:t>疗卫生机构）晋财社【2024】208号</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3.45</w:t>
            </w:r>
          </w:p>
        </w:tc>
        <w:tc>
          <w:tcPr>
            <w:tcW w:w="1080"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3.45</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9" w:right="91" w:firstLine="161"/>
              <w:spacing w:before="27" w:line="210"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2025年中央财政基本药物制度（村卫生</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室）晋财社【2024】208号</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3.03</w:t>
            </w:r>
          </w:p>
        </w:tc>
        <w:tc>
          <w:tcPr>
            <w:tcW w:w="1080"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3.03</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1" w:hRule="atLeast"/>
        </w:trPr>
        <w:tc>
          <w:tcPr>
            <w:tcW w:w="3018" w:type="dxa"/>
            <w:vAlign w:val="top"/>
          </w:tcPr>
          <w:p>
            <w:pPr>
              <w:ind w:left="658"/>
              <w:spacing w:before="16" w:line="226" w:lineRule="auto"/>
              <w:rPr>
                <w:rFonts w:ascii="SimSun" w:hAnsi="SimSun" w:eastAsia="SimSun" w:cs="SimSun"/>
                <w:sz w:val="15"/>
                <w:szCs w:val="15"/>
              </w:rPr>
            </w:pPr>
            <w:r>
              <w:rPr>
                <w:rFonts w:ascii="SimSun" w:hAnsi="SimSun" w:eastAsia="SimSun" w:cs="SimSun"/>
                <w:sz w:val="15"/>
                <w:szCs w:val="15"/>
                <w:color w:val="212529"/>
                <w:spacing w:val="11"/>
              </w:rPr>
              <w:t>省级财政医疗卫生机构改革与发</w:t>
            </w:r>
          </w:p>
          <w:p>
            <w:pPr>
              <w:ind w:left="492" w:right="91" w:firstLine="164"/>
              <w:spacing w:line="209" w:lineRule="auto"/>
              <w:rPr>
                <w:rFonts w:ascii="SimSun" w:hAnsi="SimSun" w:eastAsia="SimSun" w:cs="SimSun"/>
                <w:sz w:val="15"/>
                <w:szCs w:val="15"/>
              </w:rPr>
            </w:pPr>
            <w:r>
              <w:rPr>
                <w:rFonts w:ascii="SimSun" w:hAnsi="SimSun" w:eastAsia="SimSun" w:cs="SimSun"/>
                <w:sz w:val="15"/>
                <w:szCs w:val="15"/>
                <w:color w:val="212529"/>
                <w:spacing w:val="11"/>
              </w:rPr>
              <w:t>金（村卫生室运行维护费）晋财</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5"/>
              </w:rPr>
              <w:t>4]209号</w:t>
            </w:r>
          </w:p>
        </w:tc>
        <w:tc>
          <w:tcPr>
            <w:tcW w:w="1069" w:type="dxa"/>
            <w:vAlign w:val="top"/>
          </w:tcPr>
          <w:p>
            <w:pPr>
              <w:ind w:right="18"/>
              <w:spacing w:before="20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0.98</w:t>
            </w:r>
          </w:p>
        </w:tc>
        <w:tc>
          <w:tcPr>
            <w:tcW w:w="1080" w:type="dxa"/>
            <w:vAlign w:val="top"/>
          </w:tcPr>
          <w:p>
            <w:pPr>
              <w:ind w:right="19"/>
              <w:spacing w:before="20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0.98</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1" w:hRule="atLeast"/>
        </w:trPr>
        <w:tc>
          <w:tcPr>
            <w:tcW w:w="3018" w:type="dxa"/>
            <w:vAlign w:val="top"/>
          </w:tcPr>
          <w:p>
            <w:pPr>
              <w:ind w:left="8" w:right="91" w:firstLine="324"/>
              <w:spacing w:before="16" w:line="215" w:lineRule="auto"/>
              <w:jc w:val="both"/>
              <w:rPr>
                <w:rFonts w:ascii="SimSun" w:hAnsi="SimSun" w:eastAsia="SimSun" w:cs="SimSun"/>
                <w:sz w:val="15"/>
                <w:szCs w:val="15"/>
              </w:rPr>
            </w:pPr>
            <w:r>
              <w:rPr>
                <w:rFonts w:ascii="SimSun" w:hAnsi="SimSun" w:eastAsia="SimSun" w:cs="SimSun"/>
                <w:sz w:val="15"/>
                <w:szCs w:val="15"/>
                <w:color w:val="212529"/>
                <w:spacing w:val="10"/>
              </w:rPr>
              <w:t>25年省级财政医疗卫生机构改革与发</w:t>
            </w:r>
            <w:r>
              <w:rPr>
                <w:rFonts w:ascii="SimSun" w:hAnsi="SimSun" w:eastAsia="SimSun" w:cs="SimSun"/>
                <w:sz w:val="15"/>
                <w:szCs w:val="15"/>
                <w:color w:val="212529"/>
                <w:spacing w:val="11"/>
              </w:rPr>
              <w:t xml:space="preserve"> </w:t>
            </w:r>
            <w:r>
              <w:rPr>
                <w:rFonts w:ascii="SimSun" w:hAnsi="SimSun" w:eastAsia="SimSun" w:cs="SimSun"/>
                <w:sz w:val="15"/>
                <w:szCs w:val="15"/>
                <w:color w:val="212529"/>
                <w:spacing w:val="11"/>
              </w:rPr>
              <w:t>展补助资金（村卫生室药品零差额）晋财</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6"/>
              </w:rPr>
              <w:t>社[2024]209号</w:t>
            </w:r>
          </w:p>
        </w:tc>
        <w:tc>
          <w:tcPr>
            <w:tcW w:w="1069" w:type="dxa"/>
            <w:vAlign w:val="top"/>
          </w:tcPr>
          <w:p>
            <w:pPr>
              <w:ind w:right="18"/>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3.99</w:t>
            </w:r>
          </w:p>
        </w:tc>
        <w:tc>
          <w:tcPr>
            <w:tcW w:w="1080" w:type="dxa"/>
            <w:vAlign w:val="top"/>
          </w:tcPr>
          <w:p>
            <w:pPr>
              <w:ind w:right="19"/>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3.99</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24" w:right="91" w:firstLine="146"/>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2025年省级财政卫生健康人才培养（在</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岗村医补助）晋财社{2024年}218号</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8.40</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8.40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1" w:right="172" w:firstLine="181"/>
              <w:spacing w:before="31" w:line="208" w:lineRule="auto"/>
              <w:rPr>
                <w:rFonts w:ascii="SimSun" w:hAnsi="SimSun" w:eastAsia="SimSun" w:cs="SimSun"/>
                <w:sz w:val="15"/>
                <w:szCs w:val="15"/>
              </w:rPr>
            </w:pPr>
            <w:r>
              <w:rPr>
                <w:rFonts w:ascii="SimSun" w:hAnsi="SimSun" w:eastAsia="SimSun" w:cs="SimSun"/>
                <w:sz w:val="15"/>
                <w:szCs w:val="15"/>
                <w:color w:val="212529"/>
                <w:spacing w:val="7"/>
              </w:rPr>
              <w:t>吕财社〔2025〕6号预拨2025年驻村医</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0"/>
              </w:rPr>
              <w:t>生岗位津贴市级补助资金</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1.52</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1.52</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1" w:hRule="atLeast"/>
        </w:trPr>
        <w:tc>
          <w:tcPr>
            <w:tcW w:w="3018" w:type="dxa"/>
            <w:vAlign w:val="top"/>
          </w:tcPr>
          <w:p>
            <w:pPr>
              <w:ind w:left="3" w:right="172" w:firstLine="168"/>
              <w:spacing w:before="19" w:line="214" w:lineRule="auto"/>
              <w:rPr>
                <w:rFonts w:ascii="SimSun" w:hAnsi="SimSun" w:eastAsia="SimSun" w:cs="SimSun"/>
                <w:sz w:val="15"/>
                <w:szCs w:val="15"/>
              </w:rPr>
            </w:pPr>
            <w:r>
              <w:rPr>
                <w:rFonts w:ascii="SimSun" w:hAnsi="SimSun" w:eastAsia="SimSun" w:cs="SimSun"/>
                <w:sz w:val="15"/>
                <w:szCs w:val="15"/>
                <w:color w:val="212529"/>
                <w:spacing w:val="8"/>
              </w:rPr>
              <w:t>兴财社【2023】263号2023年村卫生室</w:t>
            </w:r>
            <w:r>
              <w:rPr>
                <w:rFonts w:ascii="SimSun" w:hAnsi="SimSun" w:eastAsia="SimSun" w:cs="SimSun"/>
                <w:sz w:val="15"/>
                <w:szCs w:val="15"/>
                <w:color w:val="212529"/>
                <w:spacing w:val="10"/>
              </w:rPr>
              <w:t xml:space="preserve"> </w:t>
            </w:r>
            <w:r>
              <w:rPr>
                <w:rFonts w:ascii="SimSun" w:hAnsi="SimSun" w:eastAsia="SimSun" w:cs="SimSun"/>
                <w:sz w:val="15"/>
                <w:szCs w:val="15"/>
                <w:color w:val="212529"/>
                <w:spacing w:val="11"/>
              </w:rPr>
              <w:t>实施基本药物制度设计配套资金吕财社</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4"/>
              </w:rPr>
              <w:t>【2023】</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4"/>
              </w:rPr>
              <w:t>117号</w:t>
            </w:r>
          </w:p>
        </w:tc>
        <w:tc>
          <w:tcPr>
            <w:tcW w:w="1069" w:type="dxa"/>
            <w:vAlign w:val="top"/>
          </w:tcPr>
          <w:p>
            <w:pPr>
              <w:ind w:right="18"/>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0.84</w:t>
            </w:r>
          </w:p>
        </w:tc>
        <w:tc>
          <w:tcPr>
            <w:tcW w:w="1080" w:type="dxa"/>
            <w:vAlign w:val="top"/>
          </w:tcPr>
          <w:p>
            <w:pPr>
              <w:ind w:right="19"/>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0.84</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84" w:hRule="atLeast"/>
        </w:trPr>
        <w:tc>
          <w:tcPr>
            <w:tcW w:w="3018" w:type="dxa"/>
            <w:vAlign w:val="top"/>
          </w:tcPr>
          <w:p>
            <w:pPr>
              <w:ind w:left="172"/>
              <w:spacing w:before="118" w:line="229" w:lineRule="auto"/>
              <w:rPr>
                <w:rFonts w:ascii="SimSun" w:hAnsi="SimSun" w:eastAsia="SimSun" w:cs="SimSun"/>
                <w:sz w:val="15"/>
                <w:szCs w:val="15"/>
              </w:rPr>
            </w:pPr>
            <w:r>
              <w:rPr>
                <w:rFonts w:ascii="SimSun" w:hAnsi="SimSun" w:eastAsia="SimSun" w:cs="SimSun"/>
                <w:sz w:val="15"/>
                <w:szCs w:val="15"/>
                <w:color w:val="212529"/>
                <w:spacing w:val="10"/>
              </w:rPr>
              <w:t>副高职称补助</w:t>
            </w:r>
          </w:p>
        </w:tc>
        <w:tc>
          <w:tcPr>
            <w:tcW w:w="1069" w:type="dxa"/>
            <w:vAlign w:val="top"/>
          </w:tcPr>
          <w:p>
            <w:pPr>
              <w:ind w:right="18"/>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1.98</w:t>
            </w:r>
          </w:p>
        </w:tc>
        <w:tc>
          <w:tcPr>
            <w:tcW w:w="1080"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1.98</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bl>
    <w:p>
      <w:pPr>
        <w:rPr>
          <w:rFonts w:ascii="Arial"/>
          <w:sz w:val="21"/>
        </w:rPr>
      </w:pPr>
      <w:r/>
    </w:p>
    <w:p>
      <w:pPr>
        <w:sectPr>
          <w:headerReference w:type="default" r:id="rId31"/>
          <w:footerReference w:type="default" r:id="rId32"/>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90"/>
        <w:gridCol w:w="1264"/>
        <w:gridCol w:w="1372"/>
        <w:gridCol w:w="1328"/>
        <w:gridCol w:w="1204"/>
      </w:tblGrid>
      <w:tr>
        <w:trPr>
          <w:trHeight w:val="384" w:hRule="atLeast"/>
        </w:trPr>
        <w:tc>
          <w:tcPr>
            <w:tcW w:w="39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54" w:type="dxa"/>
            <w:vAlign w:val="top"/>
            <w:gridSpan w:val="4"/>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单位名称：兴县奥家湾乡卫生院</w:t>
            </w:r>
          </w:p>
        </w:tc>
        <w:tc>
          <w:tcPr>
            <w:tcW w:w="1204" w:type="dxa"/>
            <w:vAlign w:val="top"/>
            <w:tcBorders>
              <w:top w:val="single" w:color="FFFFFF" w:sz="4" w:space="0"/>
              <w:left w:val="single" w:color="FFFFFF" w:sz="2" w:space="0"/>
              <w:right w:val="single" w:color="FFFFFF" w:sz="2" w:space="0"/>
            </w:tcBorders>
          </w:tcPr>
          <w:p>
            <w:pPr>
              <w:ind w:left="531"/>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90" w:type="dxa"/>
            <w:vAlign w:val="top"/>
            <w:vMerge w:val="restart"/>
            <w:tcBorders>
              <w:bottom w:val="nil"/>
            </w:tcBorders>
          </w:tcPr>
          <w:p>
            <w:pPr>
              <w:ind w:left="166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64" w:type="dxa"/>
            <w:vAlign w:val="top"/>
            <w:vMerge w:val="restart"/>
            <w:tcBorders>
              <w:bottom w:val="nil"/>
            </w:tcBorders>
          </w:tcPr>
          <w:p>
            <w:pPr>
              <w:ind w:left="46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04" w:type="dxa"/>
            <w:vAlign w:val="top"/>
            <w:gridSpan w:val="3"/>
          </w:tcPr>
          <w:p>
            <w:pPr>
              <w:ind w:left="137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90" w:type="dxa"/>
            <w:vAlign w:val="top"/>
            <w:vMerge w:val="continue"/>
            <w:tcBorders>
              <w:top w:val="nil"/>
            </w:tcBorders>
          </w:tcPr>
          <w:p>
            <w:pPr>
              <w:pStyle w:val="TableText"/>
              <w:rPr/>
            </w:pPr>
            <w:r/>
          </w:p>
        </w:tc>
        <w:tc>
          <w:tcPr>
            <w:tcW w:w="1264" w:type="dxa"/>
            <w:vAlign w:val="top"/>
            <w:vMerge w:val="continue"/>
            <w:tcBorders>
              <w:top w:val="nil"/>
            </w:tcBorders>
          </w:tcPr>
          <w:p>
            <w:pPr>
              <w:pStyle w:val="TableText"/>
              <w:rPr/>
            </w:pPr>
            <w:r/>
          </w:p>
        </w:tc>
        <w:tc>
          <w:tcPr>
            <w:tcW w:w="1372" w:type="dxa"/>
            <w:vAlign w:val="top"/>
          </w:tcPr>
          <w:p>
            <w:pPr>
              <w:ind w:left="184"/>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245"/>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政府性基金</w:t>
            </w:r>
          </w:p>
          <w:p>
            <w:pPr>
              <w:ind w:left="48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04" w:type="dxa"/>
            <w:vAlign w:val="top"/>
          </w:tcPr>
          <w:p>
            <w:pPr>
              <w:ind w:left="282"/>
              <w:spacing w:before="2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6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990" w:type="dxa"/>
            <w:vAlign w:val="top"/>
          </w:tcPr>
          <w:p>
            <w:pPr>
              <w:ind w:left="1957"/>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64" w:type="dxa"/>
            <w:vAlign w:val="top"/>
          </w:tcPr>
          <w:p>
            <w:pPr>
              <w:ind w:left="583"/>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72" w:type="dxa"/>
            <w:vAlign w:val="top"/>
          </w:tcPr>
          <w:p>
            <w:pPr>
              <w:ind w:left="636"/>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28" w:type="dxa"/>
            <w:vAlign w:val="top"/>
          </w:tcPr>
          <w:p>
            <w:pPr>
              <w:ind w:left="610"/>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04" w:type="dxa"/>
            <w:vAlign w:val="top"/>
          </w:tcPr>
          <w:p>
            <w:pPr>
              <w:ind w:left="554"/>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990"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兴县医疗集团</w:t>
            </w:r>
          </w:p>
        </w:tc>
        <w:tc>
          <w:tcPr>
            <w:tcW w:w="126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7.36</w:t>
            </w:r>
          </w:p>
        </w:tc>
        <w:tc>
          <w:tcPr>
            <w:tcW w:w="1372"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7.36</w:t>
            </w:r>
          </w:p>
        </w:tc>
        <w:tc>
          <w:tcPr>
            <w:tcW w:w="1328" w:type="dxa"/>
            <w:vAlign w:val="top"/>
          </w:tcPr>
          <w:p>
            <w:pPr>
              <w:pStyle w:val="TableText"/>
              <w:rPr/>
            </w:pPr>
            <w:r/>
          </w:p>
        </w:tc>
        <w:tc>
          <w:tcPr>
            <w:tcW w:w="1204" w:type="dxa"/>
            <w:vAlign w:val="top"/>
          </w:tcPr>
          <w:p>
            <w:pPr>
              <w:pStyle w:val="TableText"/>
              <w:rPr/>
            </w:pPr>
            <w:r/>
          </w:p>
        </w:tc>
      </w:tr>
      <w:tr>
        <w:trPr>
          <w:trHeight w:val="378" w:hRule="atLeast"/>
        </w:trPr>
        <w:tc>
          <w:tcPr>
            <w:tcW w:w="3990" w:type="dxa"/>
            <w:vAlign w:val="top"/>
          </w:tcPr>
          <w:p>
            <w:pPr>
              <w:ind w:left="91"/>
              <w:spacing w:before="116" w:line="228" w:lineRule="auto"/>
              <w:rPr>
                <w:rFonts w:ascii="SimSun" w:hAnsi="SimSun" w:eastAsia="SimSun" w:cs="SimSun"/>
                <w:sz w:val="15"/>
                <w:szCs w:val="15"/>
              </w:rPr>
            </w:pPr>
            <w:r>
              <w:rPr>
                <w:rFonts w:ascii="SimSun" w:hAnsi="SimSun" w:eastAsia="SimSun" w:cs="SimSun"/>
                <w:sz w:val="15"/>
                <w:szCs w:val="15"/>
                <w:color w:val="212529"/>
                <w:spacing w:val="10"/>
              </w:rPr>
              <w:t>兴县奥家湾乡卫生院</w:t>
            </w:r>
          </w:p>
        </w:tc>
        <w:tc>
          <w:tcPr>
            <w:tcW w:w="126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7.36</w:t>
            </w:r>
          </w:p>
        </w:tc>
        <w:tc>
          <w:tcPr>
            <w:tcW w:w="1372"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7.36</w:t>
            </w:r>
          </w:p>
        </w:tc>
        <w:tc>
          <w:tcPr>
            <w:tcW w:w="1328" w:type="dxa"/>
            <w:vAlign w:val="top"/>
          </w:tcPr>
          <w:p>
            <w:pPr>
              <w:pStyle w:val="TableText"/>
              <w:rPr/>
            </w:pPr>
            <w:r/>
          </w:p>
        </w:tc>
        <w:tc>
          <w:tcPr>
            <w:tcW w:w="1204" w:type="dxa"/>
            <w:vAlign w:val="top"/>
          </w:tcPr>
          <w:p>
            <w:pPr>
              <w:pStyle w:val="TableText"/>
              <w:rPr/>
            </w:pPr>
            <w:r/>
          </w:p>
        </w:tc>
      </w:tr>
      <w:tr>
        <w:trPr>
          <w:trHeight w:val="379" w:hRule="atLeast"/>
        </w:trPr>
        <w:tc>
          <w:tcPr>
            <w:tcW w:w="3990" w:type="dxa"/>
            <w:vAlign w:val="top"/>
          </w:tcPr>
          <w:p>
            <w:pPr>
              <w:ind w:left="3" w:right="90" w:firstLine="173"/>
              <w:spacing w:before="31" w:line="208" w:lineRule="auto"/>
              <w:rPr>
                <w:rFonts w:ascii="SimSun" w:hAnsi="SimSun" w:eastAsia="SimSun" w:cs="SimSun"/>
                <w:sz w:val="15"/>
                <w:szCs w:val="15"/>
              </w:rPr>
            </w:pPr>
            <w:r>
              <w:rPr>
                <w:rFonts w:ascii="SimSun" w:hAnsi="SimSun" w:eastAsia="SimSun" w:cs="SimSun"/>
                <w:sz w:val="15"/>
                <w:szCs w:val="15"/>
                <w:color w:val="212529"/>
                <w:spacing w:val="10"/>
              </w:rPr>
              <w:t>（兴财社〔2024〕72号）村卫生室基药中央（晋财社</w:t>
            </w:r>
            <w:r>
              <w:rPr>
                <w:rFonts w:ascii="SimSun" w:hAnsi="SimSun" w:eastAsia="SimSun" w:cs="SimSun"/>
                <w:sz w:val="15"/>
                <w:szCs w:val="15"/>
                <w:color w:val="212529"/>
              </w:rPr>
              <w:t xml:space="preserve"> </w:t>
            </w:r>
            <w:r>
              <w:rPr>
                <w:rFonts w:ascii="SimSun" w:hAnsi="SimSun" w:eastAsia="SimSun" w:cs="SimSun"/>
                <w:sz w:val="15"/>
                <w:szCs w:val="15"/>
                <w:color w:val="212529"/>
                <w:spacing w:val="6"/>
              </w:rPr>
              <w:t>【2023】326号）</w:t>
            </w:r>
          </w:p>
        </w:tc>
        <w:tc>
          <w:tcPr>
            <w:tcW w:w="126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4.78</w:t>
            </w:r>
          </w:p>
        </w:tc>
        <w:tc>
          <w:tcPr>
            <w:tcW w:w="1372"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4.78</w:t>
            </w:r>
          </w:p>
        </w:tc>
        <w:tc>
          <w:tcPr>
            <w:tcW w:w="1328" w:type="dxa"/>
            <w:vAlign w:val="top"/>
          </w:tcPr>
          <w:p>
            <w:pPr>
              <w:pStyle w:val="TableText"/>
              <w:rPr/>
            </w:pPr>
            <w:r/>
          </w:p>
        </w:tc>
        <w:tc>
          <w:tcPr>
            <w:tcW w:w="1204" w:type="dxa"/>
            <w:vAlign w:val="top"/>
          </w:tcPr>
          <w:p>
            <w:pPr>
              <w:pStyle w:val="TableText"/>
              <w:rPr/>
            </w:pPr>
            <w:r/>
          </w:p>
        </w:tc>
      </w:tr>
      <w:tr>
        <w:trPr>
          <w:trHeight w:val="379" w:hRule="atLeast"/>
        </w:trPr>
        <w:tc>
          <w:tcPr>
            <w:tcW w:w="3990" w:type="dxa"/>
            <w:vAlign w:val="top"/>
          </w:tcPr>
          <w:p>
            <w:pPr>
              <w:ind w:left="6" w:right="171" w:firstLine="186"/>
              <w:spacing w:before="31" w:line="208" w:lineRule="auto"/>
              <w:rPr>
                <w:rFonts w:ascii="SimSun" w:hAnsi="SimSun" w:eastAsia="SimSun" w:cs="SimSun"/>
                <w:sz w:val="15"/>
                <w:szCs w:val="15"/>
              </w:rPr>
            </w:pPr>
            <w:r>
              <w:rPr>
                <w:rFonts w:ascii="SimSun" w:hAnsi="SimSun" w:eastAsia="SimSun" w:cs="SimSun"/>
                <w:sz w:val="15"/>
                <w:szCs w:val="15"/>
                <w:color w:val="212529"/>
                <w:spacing w:val="8"/>
              </w:rPr>
              <w:t>吕财社[2024]15号-2024年村卫生室实施基本药物制</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9"/>
              </w:rPr>
              <w:t>度市级配套资金（兴财社〔2024〕460号）</w:t>
            </w:r>
          </w:p>
        </w:tc>
        <w:tc>
          <w:tcPr>
            <w:tcW w:w="126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1.28</w:t>
            </w:r>
          </w:p>
        </w:tc>
        <w:tc>
          <w:tcPr>
            <w:tcW w:w="1372"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1.28</w:t>
            </w:r>
          </w:p>
        </w:tc>
        <w:tc>
          <w:tcPr>
            <w:tcW w:w="1328" w:type="dxa"/>
            <w:vAlign w:val="top"/>
          </w:tcPr>
          <w:p>
            <w:pPr>
              <w:pStyle w:val="TableText"/>
              <w:rPr/>
            </w:pPr>
            <w:r/>
          </w:p>
        </w:tc>
        <w:tc>
          <w:tcPr>
            <w:tcW w:w="1204" w:type="dxa"/>
            <w:vAlign w:val="top"/>
          </w:tcPr>
          <w:p>
            <w:pPr>
              <w:pStyle w:val="TableText"/>
              <w:rPr/>
            </w:pPr>
            <w:r/>
          </w:p>
        </w:tc>
      </w:tr>
      <w:tr>
        <w:trPr>
          <w:trHeight w:val="384" w:hRule="atLeast"/>
        </w:trPr>
        <w:tc>
          <w:tcPr>
            <w:tcW w:w="3990" w:type="dxa"/>
            <w:vAlign w:val="top"/>
          </w:tcPr>
          <w:p>
            <w:pPr>
              <w:ind w:left="736" w:right="90" w:hanging="80"/>
              <w:spacing w:before="31" w:line="211" w:lineRule="auto"/>
              <w:rPr>
                <w:rFonts w:ascii="SimSun" w:hAnsi="SimSun" w:eastAsia="SimSun" w:cs="SimSun"/>
                <w:sz w:val="15"/>
                <w:szCs w:val="15"/>
              </w:rPr>
            </w:pPr>
            <w:r>
              <w:rPr>
                <w:rFonts w:ascii="SimSun" w:hAnsi="SimSun" w:eastAsia="SimSun" w:cs="SimSun"/>
                <w:sz w:val="15"/>
                <w:szCs w:val="15"/>
                <w:color w:val="212529"/>
                <w:spacing w:val="10"/>
              </w:rPr>
              <w:t>社〔2024〕54号）村卫生室基药省级（晋财社</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3"/>
              </w:rPr>
              <w:t>90号）</w:t>
            </w:r>
          </w:p>
        </w:tc>
        <w:tc>
          <w:tcPr>
            <w:tcW w:w="1264" w:type="dxa"/>
            <w:vAlign w:val="top"/>
          </w:tcPr>
          <w:p>
            <w:pPr>
              <w:ind w:right="26"/>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1.30</w:t>
            </w:r>
          </w:p>
        </w:tc>
        <w:tc>
          <w:tcPr>
            <w:tcW w:w="1372"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1.30</w:t>
            </w:r>
          </w:p>
        </w:tc>
        <w:tc>
          <w:tcPr>
            <w:tcW w:w="1328" w:type="dxa"/>
            <w:vAlign w:val="top"/>
          </w:tcPr>
          <w:p>
            <w:pPr>
              <w:pStyle w:val="TableText"/>
              <w:rPr/>
            </w:pPr>
            <w:r/>
          </w:p>
        </w:tc>
        <w:tc>
          <w:tcPr>
            <w:tcW w:w="1204" w:type="dxa"/>
            <w:vAlign w:val="top"/>
          </w:tcPr>
          <w:p>
            <w:pPr>
              <w:pStyle w:val="TableText"/>
              <w:rPr/>
            </w:pPr>
            <w:r/>
          </w:p>
        </w:tc>
      </w:tr>
    </w:tbl>
    <w:p>
      <w:pPr>
        <w:rPr>
          <w:rFonts w:ascii="Arial"/>
          <w:sz w:val="21"/>
        </w:rPr>
      </w:pPr>
      <w:r/>
    </w:p>
    <w:p>
      <w:pPr>
        <w:sectPr>
          <w:headerReference w:type="default" r:id="rId33"/>
          <w:footerReference w:type="default" r:id="rId34"/>
          <w:pgSz w:w="11900" w:h="16840"/>
          <w:pgMar w:top="642" w:right="0" w:bottom="340" w:left="0" w:header="326" w:footer="111" w:gutter="0"/>
        </w:sectPr>
        <w:rPr>
          <w:rFonts w:ascii="Arial" w:hAnsi="Arial" w:eastAsia="Arial" w:cs="Arial"/>
          <w:sz w:val="21"/>
          <w:szCs w:val="21"/>
        </w:rPr>
      </w:pPr>
    </w:p>
    <w:p>
      <w:pPr>
        <w:spacing w:line="334" w:lineRule="auto"/>
        <w:rPr>
          <w:rFonts w:ascii="Arial"/>
          <w:sz w:val="21"/>
        </w:rPr>
      </w:pPr>
      <w:r/>
    </w:p>
    <w:p>
      <w:pPr>
        <w:spacing w:line="335" w:lineRule="auto"/>
        <w:rPr>
          <w:rFonts w:ascii="Arial"/>
          <w:sz w:val="21"/>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3" w:right="1223" w:firstLine="456"/>
        <w:spacing w:before="188"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2025年度兴县奥家湾乡卫生院预算收入总计336.02万元，</w:t>
      </w:r>
      <w:r>
        <w:rPr>
          <w:rFonts w:ascii="FangSong" w:hAnsi="FangSong" w:eastAsia="FangSong" w:cs="FangSong"/>
          <w:sz w:val="23"/>
          <w:szCs w:val="23"/>
          <w:spacing w:val="4"/>
        </w:rPr>
        <w:t>其中：本年收入328.66万元，</w:t>
      </w:r>
      <w:r>
        <w:rPr>
          <w:rFonts w:ascii="FangSong" w:hAnsi="FangSong" w:eastAsia="FangSong" w:cs="FangSong"/>
          <w:sz w:val="23"/>
          <w:szCs w:val="23"/>
        </w:rPr>
        <w:t xml:space="preserve"> </w:t>
      </w:r>
      <w:r>
        <w:rPr>
          <w:rFonts w:ascii="FangSong" w:hAnsi="FangSong" w:eastAsia="FangSong" w:cs="FangSong"/>
          <w:sz w:val="23"/>
          <w:szCs w:val="23"/>
          <w:spacing w:val="4"/>
        </w:rPr>
        <w:t>上年结转7.36万元，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比上年减少94.</w:t>
      </w:r>
      <w:r>
        <w:rPr>
          <w:rFonts w:ascii="FangSong" w:hAnsi="FangSong" w:eastAsia="FangSong" w:cs="FangSong"/>
          <w:sz w:val="23"/>
          <w:szCs w:val="23"/>
          <w:spacing w:val="3"/>
        </w:rPr>
        <w:t>31万元，下降21.92%，主要原因是公卫资金,基药资金减</w:t>
      </w:r>
      <w:r>
        <w:rPr>
          <w:rFonts w:ascii="FangSong" w:hAnsi="FangSong" w:eastAsia="FangSong" w:cs="FangSong"/>
          <w:sz w:val="23"/>
          <w:szCs w:val="23"/>
        </w:rPr>
        <w:t xml:space="preserve"> </w:t>
      </w:r>
      <w:r>
        <w:rPr>
          <w:rFonts w:ascii="FangSong" w:hAnsi="FangSong" w:eastAsia="FangSong" w:cs="FangSong"/>
          <w:sz w:val="23"/>
          <w:szCs w:val="23"/>
          <w:spacing w:val="5"/>
        </w:rPr>
        <w:t>少；本年单位预算支出总计336.02万</w:t>
      </w:r>
      <w:r>
        <w:rPr>
          <w:rFonts w:ascii="FangSong" w:hAnsi="FangSong" w:eastAsia="FangSong" w:cs="FangSong"/>
          <w:sz w:val="23"/>
          <w:szCs w:val="23"/>
          <w:spacing w:val="4"/>
        </w:rPr>
        <w:t>元，其中：本年预算安排328.66万元，上年结转7.36万</w:t>
      </w:r>
      <w:r>
        <w:rPr>
          <w:rFonts w:ascii="FangSong" w:hAnsi="FangSong" w:eastAsia="FangSong" w:cs="FangSong"/>
          <w:sz w:val="23"/>
          <w:szCs w:val="23"/>
        </w:rPr>
        <w:t xml:space="preserve"> </w:t>
      </w:r>
      <w:r>
        <w:rPr>
          <w:rFonts w:ascii="FangSong" w:hAnsi="FangSong" w:eastAsia="FangSong" w:cs="FangSong"/>
          <w:sz w:val="23"/>
          <w:szCs w:val="23"/>
        </w:rPr>
        <w:t>元，比上年减少94.31万元，下降21.92%，主要原因是公卫资金,基药资金减少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58" w:right="1223" w:firstLine="462"/>
        <w:spacing w:before="174" w:line="324" w:lineRule="auto"/>
        <w:jc w:val="both"/>
        <w:rPr>
          <w:rFonts w:ascii="FangSong" w:hAnsi="FangSong" w:eastAsia="FangSong" w:cs="FangSong"/>
          <w:sz w:val="23"/>
          <w:szCs w:val="23"/>
        </w:rPr>
      </w:pPr>
      <w:r>
        <w:rPr>
          <w:rFonts w:ascii="FangSong" w:hAnsi="FangSong" w:eastAsia="FangSong" w:cs="FangSong"/>
          <w:sz w:val="23"/>
          <w:szCs w:val="23"/>
          <w:spacing w:val="11"/>
        </w:rPr>
        <w:t>2025年度兴县奥家湾乡卫生院预算收入336.0</w:t>
      </w:r>
      <w:r>
        <w:rPr>
          <w:rFonts w:ascii="FangSong" w:hAnsi="FangSong" w:eastAsia="FangSong" w:cs="FangSong"/>
          <w:sz w:val="23"/>
          <w:szCs w:val="23"/>
          <w:spacing w:val="10"/>
        </w:rPr>
        <w:t>2万元，主要包括一般公共预算拨款收入</w:t>
      </w:r>
      <w:r>
        <w:rPr>
          <w:rFonts w:ascii="FangSong" w:hAnsi="FangSong" w:eastAsia="FangSong" w:cs="FangSong"/>
          <w:sz w:val="23"/>
          <w:szCs w:val="23"/>
        </w:rPr>
        <w:t xml:space="preserve"> </w:t>
      </w:r>
      <w:r>
        <w:rPr>
          <w:rFonts w:ascii="FangSong" w:hAnsi="FangSong" w:eastAsia="FangSong" w:cs="FangSong"/>
          <w:sz w:val="23"/>
          <w:szCs w:val="23"/>
        </w:rPr>
        <w:t>328.66万元，</w:t>
      </w:r>
      <w:r>
        <w:rPr>
          <w:rFonts w:ascii="FangSong" w:hAnsi="FangSong" w:eastAsia="FangSong" w:cs="FangSong"/>
          <w:sz w:val="23"/>
          <w:szCs w:val="23"/>
          <w:spacing w:val="-57"/>
        </w:rPr>
        <w:t xml:space="preserve"> </w:t>
      </w:r>
      <w:r>
        <w:rPr>
          <w:rFonts w:ascii="FangSong" w:hAnsi="FangSong" w:eastAsia="FangSong" w:cs="FangSong"/>
          <w:sz w:val="23"/>
          <w:szCs w:val="23"/>
        </w:rPr>
        <w:t>占97.81%；政府性基金预算拨款收入0万元，</w:t>
      </w:r>
      <w:r>
        <w:rPr>
          <w:rFonts w:ascii="FangSong" w:hAnsi="FangSong" w:eastAsia="FangSong" w:cs="FangSong"/>
          <w:sz w:val="23"/>
          <w:szCs w:val="23"/>
          <w:spacing w:val="-57"/>
        </w:rPr>
        <w:t xml:space="preserve"> </w:t>
      </w:r>
      <w:r>
        <w:rPr>
          <w:rFonts w:ascii="FangSong" w:hAnsi="FangSong" w:eastAsia="FangSong" w:cs="FangSong"/>
          <w:sz w:val="23"/>
          <w:szCs w:val="23"/>
        </w:rPr>
        <w:t>占</w:t>
      </w:r>
      <w:r>
        <w:rPr>
          <w:rFonts w:ascii="FangSong" w:hAnsi="FangSong" w:eastAsia="FangSong" w:cs="FangSong"/>
          <w:sz w:val="23"/>
          <w:szCs w:val="23"/>
          <w:spacing w:val="-1"/>
        </w:rPr>
        <w:t>0%；国有资本经营预算拨款收入</w:t>
      </w:r>
      <w:r>
        <w:rPr>
          <w:rFonts w:ascii="FangSong" w:hAnsi="FangSong" w:eastAsia="FangSong" w:cs="FangSong"/>
          <w:sz w:val="23"/>
          <w:szCs w:val="23"/>
        </w:rPr>
        <w:t xml:space="preserve"> </w:t>
      </w:r>
      <w:r>
        <w:rPr>
          <w:rFonts w:ascii="FangSong" w:hAnsi="FangSong" w:eastAsia="FangSong" w:cs="FangSong"/>
          <w:sz w:val="23"/>
          <w:szCs w:val="23"/>
          <w:spacing w:val="-1"/>
        </w:rPr>
        <w:t>0万</w:t>
      </w:r>
      <w:r>
        <w:rPr>
          <w:rFonts w:ascii="FangSong" w:hAnsi="FangSong" w:eastAsia="FangSong" w:cs="FangSong"/>
          <w:sz w:val="23"/>
          <w:szCs w:val="23"/>
          <w:spacing w:val="-1"/>
        </w:rPr>
        <w:t xml:space="preserve">  </w:t>
      </w:r>
      <w:r>
        <w:rPr>
          <w:rFonts w:ascii="FangSong" w:hAnsi="FangSong" w:eastAsia="FangSong" w:cs="FangSong"/>
          <w:sz w:val="23"/>
          <w:szCs w:val="23"/>
          <w:spacing w:val="-1"/>
        </w:rPr>
        <w:t>，</w:t>
      </w:r>
      <w:r>
        <w:rPr>
          <w:rFonts w:ascii="FangSong" w:hAnsi="FangSong" w:eastAsia="FangSong" w:cs="FangSong"/>
          <w:sz w:val="23"/>
          <w:szCs w:val="23"/>
          <w:spacing w:val="-57"/>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w:t>
      </w:r>
      <w:r>
        <w:rPr>
          <w:rFonts w:ascii="FangSong" w:hAnsi="FangSong" w:eastAsia="FangSong" w:cs="FangSong"/>
          <w:sz w:val="23"/>
          <w:szCs w:val="23"/>
          <w:spacing w:val="-2"/>
        </w:rPr>
        <w:t>；单位资金0万元，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占0%；上年结</w:t>
      </w:r>
      <w:r>
        <w:rPr>
          <w:rFonts w:ascii="FangSong" w:hAnsi="FangSong" w:eastAsia="FangSong" w:cs="FangSong"/>
          <w:sz w:val="23"/>
          <w:szCs w:val="23"/>
          <w:spacing w:val="-2"/>
        </w:rPr>
        <w:t xml:space="preserve">   </w:t>
      </w:r>
      <w:r>
        <w:rPr>
          <w:rFonts w:ascii="FangSong" w:hAnsi="FangSong" w:eastAsia="FangSong" w:cs="FangSong"/>
          <w:sz w:val="23"/>
          <w:szCs w:val="23"/>
          <w:spacing w:val="-2"/>
        </w:rPr>
        <w:t>.36万</w:t>
      </w:r>
    </w:p>
    <w:p>
      <w:pPr>
        <w:ind w:left="1510"/>
        <w:spacing w:before="1" w:line="223" w:lineRule="auto"/>
        <w:rPr>
          <w:rFonts w:ascii="FangSong" w:hAnsi="FangSong" w:eastAsia="FangSong" w:cs="FangSong"/>
          <w:sz w:val="23"/>
          <w:szCs w:val="23"/>
        </w:rPr>
      </w:pPr>
      <w:r>
        <w:rPr>
          <w:rFonts w:ascii="FangSong" w:hAnsi="FangSong" w:eastAsia="FangSong" w:cs="FangSong"/>
          <w:sz w:val="23"/>
          <w:szCs w:val="23"/>
          <w:spacing w:val="-13"/>
        </w:rPr>
        <w:t>,</w:t>
      </w:r>
      <w:r>
        <w:rPr>
          <w:rFonts w:ascii="FangSong" w:hAnsi="FangSong" w:eastAsia="FangSong" w:cs="FangSong"/>
          <w:sz w:val="23"/>
          <w:szCs w:val="23"/>
          <w:spacing w:val="20"/>
        </w:rPr>
        <w:t xml:space="preserve">   </w:t>
      </w:r>
      <w:r>
        <w:rPr>
          <w:rFonts w:ascii="FangSong" w:hAnsi="FangSong" w:eastAsia="FangSong" w:cs="FangSong"/>
          <w:sz w:val="23"/>
          <w:szCs w:val="23"/>
          <w:spacing w:val="-13"/>
        </w:rPr>
        <w:t>2.19%。</w:t>
      </w:r>
    </w:p>
    <w:p>
      <w:pPr>
        <w:spacing w:line="247" w:lineRule="auto"/>
        <w:rPr>
          <w:rFonts w:ascii="Arial"/>
          <w:sz w:val="21"/>
        </w:rPr>
      </w:pPr>
      <w:r/>
    </w:p>
    <w:p>
      <w:pPr>
        <w:spacing w:line="248" w:lineRule="auto"/>
        <w:rPr>
          <w:rFonts w:ascii="Arial"/>
          <w:sz w:val="21"/>
        </w:rPr>
      </w:pPr>
      <w:r/>
    </w:p>
    <w:p>
      <w:pPr>
        <w:ind w:firstLine="3465"/>
        <w:spacing w:line="2856" w:lineRule="exact"/>
        <w:rPr/>
      </w:pPr>
      <w:r>
        <w:rPr>
          <w:position w:val="-57"/>
        </w:rPr>
        <w:drawing>
          <wp:inline distT="0" distB="0" distL="0" distR="0">
            <wp:extent cx="2523986" cy="1813292"/>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523986" cy="1813292"/>
                    </a:xfrm>
                    <a:prstGeom prst="rect">
                      <a:avLst/>
                    </a:prstGeom>
                  </pic:spPr>
                </pic:pic>
              </a:graphicData>
            </a:graphic>
          </wp:inline>
        </w:drawing>
      </w:r>
    </w:p>
    <w:p>
      <w:pPr>
        <w:spacing w:line="284" w:lineRule="auto"/>
        <w:rPr>
          <w:rFonts w:ascii="Arial"/>
          <w:sz w:val="21"/>
        </w:rPr>
      </w:pPr>
      <w:r/>
    </w:p>
    <w:p>
      <w:pPr>
        <w:spacing w:line="284" w:lineRule="auto"/>
        <w:rPr>
          <w:rFonts w:ascii="Arial"/>
          <w:sz w:val="21"/>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spacing w:val="9"/>
        </w:rPr>
        <w:t>2025年度兴县</w:t>
      </w:r>
      <w:r>
        <w:rPr>
          <w:rFonts w:ascii="FangSong" w:hAnsi="FangSong" w:eastAsia="FangSong" w:cs="FangSong"/>
          <w:sz w:val="23"/>
          <w:szCs w:val="23"/>
          <w:spacing w:val="9"/>
        </w:rPr>
        <w:t xml:space="preserve">        </w:t>
      </w:r>
      <w:r>
        <w:rPr>
          <w:rFonts w:ascii="FangSong" w:hAnsi="FangSong" w:eastAsia="FangSong" w:cs="FangSong"/>
          <w:sz w:val="23"/>
          <w:szCs w:val="23"/>
          <w:spacing w:val="9"/>
        </w:rPr>
        <w:t>卫生院支出预算336.02万元，其中：基本</w:t>
      </w:r>
      <w:r>
        <w:rPr>
          <w:rFonts w:ascii="FangSong" w:hAnsi="FangSong" w:eastAsia="FangSong" w:cs="FangSong"/>
          <w:sz w:val="23"/>
          <w:szCs w:val="23"/>
          <w:spacing w:val="8"/>
        </w:rPr>
        <w:t>支出304.08万元，</w:t>
      </w:r>
      <w:r>
        <w:rPr>
          <w:rFonts w:ascii="FangSong" w:hAnsi="FangSong" w:eastAsia="FangSong" w:cs="FangSong"/>
          <w:sz w:val="23"/>
          <w:szCs w:val="23"/>
          <w:spacing w:val="-46"/>
        </w:rPr>
        <w:t xml:space="preserve"> </w:t>
      </w:r>
      <w:r>
        <w:rPr>
          <w:rFonts w:ascii="FangSong" w:hAnsi="FangSong" w:eastAsia="FangSong" w:cs="FangSong"/>
          <w:sz w:val="23"/>
          <w:szCs w:val="23"/>
          <w:spacing w:val="8"/>
        </w:rPr>
        <w:t>占</w:t>
      </w:r>
    </w:p>
    <w:p>
      <w:pPr>
        <w:ind w:left="1257"/>
        <w:spacing w:before="123" w:line="223" w:lineRule="auto"/>
        <w:rPr>
          <w:rFonts w:ascii="FangSong" w:hAnsi="FangSong" w:eastAsia="FangSong" w:cs="FangSong"/>
          <w:sz w:val="23"/>
          <w:szCs w:val="23"/>
        </w:rPr>
      </w:pPr>
      <w:r>
        <w:rPr>
          <w:rFonts w:ascii="FangSong" w:hAnsi="FangSong" w:eastAsia="FangSong" w:cs="FangSong"/>
          <w:sz w:val="23"/>
          <w:szCs w:val="23"/>
          <w:spacing w:val="-3"/>
        </w:rPr>
        <w:t>90.49%；项目</w:t>
      </w:r>
      <w:r>
        <w:rPr>
          <w:rFonts w:ascii="FangSong" w:hAnsi="FangSong" w:eastAsia="FangSong" w:cs="FangSong"/>
          <w:sz w:val="23"/>
          <w:szCs w:val="23"/>
          <w:spacing w:val="-3"/>
        </w:rPr>
        <w:t xml:space="preserve">      </w:t>
      </w:r>
      <w:r>
        <w:rPr>
          <w:rFonts w:ascii="FangSong" w:hAnsi="FangSong" w:eastAsia="FangSong" w:cs="FangSong"/>
          <w:sz w:val="23"/>
          <w:szCs w:val="23"/>
          <w:spacing w:val="-3"/>
        </w:rPr>
        <w:t>.</w:t>
      </w:r>
      <w:r>
        <w:rPr>
          <w:rFonts w:ascii="FangSong" w:hAnsi="FangSong" w:eastAsia="FangSong" w:cs="FangSong"/>
          <w:sz w:val="23"/>
          <w:szCs w:val="23"/>
          <w:spacing w:val="25"/>
        </w:rPr>
        <w:t xml:space="preserve"> </w:t>
      </w:r>
      <w:r>
        <w:rPr>
          <w:rFonts w:ascii="FangSong" w:hAnsi="FangSong" w:eastAsia="FangSong" w:cs="FangSong"/>
          <w:sz w:val="23"/>
          <w:szCs w:val="23"/>
          <w:spacing w:val="-3"/>
        </w:rPr>
        <w:t>4万元，</w:t>
      </w:r>
      <w:r>
        <w:rPr>
          <w:rFonts w:ascii="FangSong" w:hAnsi="FangSong" w:eastAsia="FangSong" w:cs="FangSong"/>
          <w:sz w:val="23"/>
          <w:szCs w:val="23"/>
          <w:spacing w:val="-59"/>
        </w:rPr>
        <w:t xml:space="preserve"> </w:t>
      </w:r>
      <w:r>
        <w:rPr>
          <w:rFonts w:ascii="FangSong" w:hAnsi="FangSong" w:eastAsia="FangSong" w:cs="FangSong"/>
          <w:sz w:val="23"/>
          <w:szCs w:val="23"/>
          <w:spacing w:val="-3"/>
        </w:rPr>
        <w:t>占9.51%。</w:t>
      </w:r>
    </w:p>
    <w:p>
      <w:pPr>
        <w:ind w:left="1271"/>
        <w:spacing w:before="129"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3" w:right="1223" w:firstLine="457"/>
        <w:spacing w:before="176"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2025年度兴县奥家湾乡卫生院财政拨款收支总预算336.02万元。其中：一般公共预算拨</w:t>
      </w:r>
      <w:r>
        <w:rPr>
          <w:rFonts w:ascii="FangSong" w:hAnsi="FangSong" w:eastAsia="FangSong" w:cs="FangSong"/>
          <w:sz w:val="23"/>
          <w:szCs w:val="23"/>
        </w:rPr>
        <w:t xml:space="preserve"> </w:t>
      </w:r>
      <w:r>
        <w:rPr>
          <w:rFonts w:ascii="FangSong" w:hAnsi="FangSong" w:eastAsia="FangSong" w:cs="FangSong"/>
          <w:sz w:val="23"/>
          <w:szCs w:val="23"/>
          <w:spacing w:val="3"/>
        </w:rPr>
        <w:t>款336.02万元，政府性基金预算拨款0万元，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国有</w:t>
      </w:r>
      <w:r>
        <w:rPr>
          <w:rFonts w:ascii="FangSong" w:hAnsi="FangSong" w:eastAsia="FangSong" w:cs="FangSong"/>
          <w:sz w:val="23"/>
          <w:szCs w:val="23"/>
          <w:spacing w:val="2"/>
        </w:rPr>
        <w:t>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w:t>
      </w:r>
      <w:r>
        <w:rPr>
          <w:rFonts w:ascii="FangSong" w:hAnsi="FangSong" w:eastAsia="FangSong" w:cs="FangSong"/>
          <w:sz w:val="23"/>
          <w:szCs w:val="23"/>
        </w:rPr>
        <w:t xml:space="preserve"> </w:t>
      </w:r>
      <w:r>
        <w:rPr>
          <w:rFonts w:ascii="FangSong" w:hAnsi="FangSong" w:eastAsia="FangSong" w:cs="FangSong"/>
          <w:sz w:val="23"/>
          <w:szCs w:val="23"/>
          <w:spacing w:val="2"/>
        </w:rPr>
        <w:t>收入328.66万元，上年结转收入7.36万元。支出包括：社会保障和就业支出26.46万元、卫生</w:t>
      </w:r>
      <w:r>
        <w:rPr>
          <w:rFonts w:ascii="FangSong" w:hAnsi="FangSong" w:eastAsia="FangSong" w:cs="FangSong"/>
          <w:sz w:val="23"/>
          <w:szCs w:val="23"/>
          <w:spacing w:val="1"/>
        </w:rPr>
        <w:t xml:space="preserve"> </w:t>
      </w:r>
      <w:r>
        <w:rPr>
          <w:rFonts w:ascii="FangSong" w:hAnsi="FangSong" w:eastAsia="FangSong" w:cs="FangSong"/>
          <w:sz w:val="23"/>
          <w:szCs w:val="23"/>
        </w:rPr>
        <w:t>健康支出285.35万元、住房保障支出24.20万</w:t>
      </w:r>
      <w:r>
        <w:rPr>
          <w:rFonts w:ascii="FangSong" w:hAnsi="FangSong" w:eastAsia="FangSong" w:cs="FangSong"/>
          <w:sz w:val="23"/>
          <w:szCs w:val="23"/>
          <w:spacing w:val="-1"/>
        </w:rPr>
        <w:t>元等。</w:t>
      </w:r>
    </w:p>
    <w:p>
      <w:pPr>
        <w:ind w:left="12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86"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7" w:right="1223" w:firstLine="453"/>
        <w:spacing w:before="123" w:line="322" w:lineRule="auto"/>
        <w:rPr>
          <w:rFonts w:ascii="FangSong" w:hAnsi="FangSong" w:eastAsia="FangSong" w:cs="FangSong"/>
          <w:sz w:val="23"/>
          <w:szCs w:val="23"/>
        </w:rPr>
      </w:pPr>
      <w:r>
        <w:rPr>
          <w:rFonts w:ascii="FangSong" w:hAnsi="FangSong" w:eastAsia="FangSong" w:cs="FangSong"/>
          <w:sz w:val="23"/>
          <w:szCs w:val="23"/>
          <w:spacing w:val="8"/>
        </w:rPr>
        <w:t>2025年度兴县奥家湾乡卫生院一般公共预算当年支出32</w:t>
      </w:r>
      <w:r>
        <w:rPr>
          <w:rFonts w:ascii="FangSong" w:hAnsi="FangSong" w:eastAsia="FangSong" w:cs="FangSong"/>
          <w:sz w:val="23"/>
          <w:szCs w:val="23"/>
          <w:spacing w:val="7"/>
        </w:rPr>
        <w:t>8.66万元</w:t>
      </w:r>
      <w:r>
        <w:rPr>
          <w:rFonts w:ascii="FangSong" w:hAnsi="FangSong" w:eastAsia="FangSong" w:cs="FangSong"/>
          <w:sz w:val="23"/>
          <w:szCs w:val="23"/>
          <w:spacing w:val="-68"/>
        </w:rPr>
        <w:t xml:space="preserve"> </w:t>
      </w:r>
      <w:r>
        <w:rPr>
          <w:rFonts w:ascii="FangSong" w:hAnsi="FangSong" w:eastAsia="FangSong" w:cs="FangSong"/>
          <w:sz w:val="23"/>
          <w:szCs w:val="23"/>
          <w:spacing w:val="7"/>
        </w:rPr>
        <w:t>,</w:t>
      </w:r>
      <w:r>
        <w:rPr>
          <w:rFonts w:ascii="FangSong" w:hAnsi="FangSong" w:eastAsia="FangSong" w:cs="FangSong"/>
          <w:sz w:val="23"/>
          <w:szCs w:val="23"/>
          <w:spacing w:val="-60"/>
        </w:rPr>
        <w:t xml:space="preserve"> </w:t>
      </w:r>
      <w:r>
        <w:rPr>
          <w:rFonts w:ascii="FangSong" w:hAnsi="FangSong" w:eastAsia="FangSong" w:cs="FangSong"/>
          <w:sz w:val="23"/>
          <w:szCs w:val="23"/>
          <w:spacing w:val="7"/>
        </w:rPr>
        <w:t>比上年减少99.81万</w:t>
      </w:r>
      <w:r>
        <w:rPr>
          <w:rFonts w:ascii="FangSong" w:hAnsi="FangSong" w:eastAsia="FangSong" w:cs="FangSong"/>
          <w:sz w:val="23"/>
          <w:szCs w:val="23"/>
        </w:rPr>
        <w:t xml:space="preserve"> </w:t>
      </w:r>
      <w:r>
        <w:rPr>
          <w:rFonts w:ascii="FangSong" w:hAnsi="FangSong" w:eastAsia="FangSong" w:cs="FangSong"/>
          <w:sz w:val="23"/>
          <w:szCs w:val="23"/>
          <w:spacing w:val="-2"/>
        </w:rPr>
        <w:t>元，下降23.29%。</w:t>
      </w:r>
    </w:p>
    <w:p>
      <w:pPr>
        <w:ind w:left="1725"/>
        <w:spacing w:before="9"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2193"/>
        <w:spacing w:before="123" w:line="222" w:lineRule="auto"/>
        <w:rPr>
          <w:rFonts w:ascii="FangSong" w:hAnsi="FangSong" w:eastAsia="FangSong" w:cs="FangSong"/>
          <w:sz w:val="23"/>
          <w:szCs w:val="23"/>
        </w:rPr>
      </w:pPr>
      <w:r>
        <w:rPr>
          <w:rFonts w:ascii="FangSong" w:hAnsi="FangSong" w:eastAsia="FangSong" w:cs="FangSong"/>
          <w:sz w:val="23"/>
          <w:szCs w:val="23"/>
          <w:spacing w:val="2"/>
        </w:rPr>
        <w:t>年度兴县奥家湾乡卫生院一般公共预算当年支出328.66万元,主要用于以</w:t>
      </w:r>
      <w:r>
        <w:rPr>
          <w:rFonts w:ascii="FangSong" w:hAnsi="FangSong" w:eastAsia="FangSong" w:cs="FangSong"/>
          <w:sz w:val="23"/>
          <w:szCs w:val="23"/>
          <w:spacing w:val="2"/>
        </w:rPr>
        <w:t xml:space="preserve">      </w:t>
      </w:r>
      <w:r>
        <w:rPr>
          <w:rFonts w:ascii="FangSong" w:hAnsi="FangSong" w:eastAsia="FangSong" w:cs="FangSong"/>
          <w:sz w:val="23"/>
          <w:szCs w:val="23"/>
          <w:spacing w:val="2"/>
        </w:rPr>
        <w:t>：社</w:t>
      </w:r>
    </w:p>
    <w:p>
      <w:pPr>
        <w:ind w:left="1502"/>
        <w:spacing w:before="124" w:line="221" w:lineRule="auto"/>
        <w:rPr>
          <w:rFonts w:ascii="FangSong" w:hAnsi="FangSong" w:eastAsia="FangSong" w:cs="FangSong"/>
          <w:sz w:val="23"/>
          <w:szCs w:val="23"/>
        </w:rPr>
      </w:pPr>
      <w:r>
        <w:rPr>
          <w:rFonts w:ascii="FangSong" w:hAnsi="FangSong" w:eastAsia="FangSong" w:cs="FangSong"/>
          <w:sz w:val="23"/>
          <w:szCs w:val="23"/>
          <w:spacing w:val="2"/>
        </w:rPr>
        <w:t>保障和就业支出26.46万元，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占8.05%；卫生健康支出</w:t>
      </w:r>
      <w:r>
        <w:rPr>
          <w:rFonts w:ascii="FangSong" w:hAnsi="FangSong" w:eastAsia="FangSong" w:cs="FangSong"/>
          <w:sz w:val="23"/>
          <w:szCs w:val="23"/>
          <w:spacing w:val="1"/>
        </w:rPr>
        <w:t>278.00万元，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占8</w:t>
      </w:r>
      <w:r>
        <w:rPr>
          <w:rFonts w:ascii="FangSong" w:hAnsi="FangSong" w:eastAsia="FangSong" w:cs="FangSong"/>
          <w:sz w:val="23"/>
          <w:szCs w:val="23"/>
          <w:spacing w:val="1"/>
        </w:rPr>
        <w:t xml:space="preserve"> </w:t>
      </w:r>
      <w:r>
        <w:rPr>
          <w:rFonts w:ascii="FangSong" w:hAnsi="FangSong" w:eastAsia="FangSong" w:cs="FangSong"/>
          <w:sz w:val="23"/>
          <w:szCs w:val="23"/>
          <w:spacing w:val="1"/>
        </w:rPr>
        <w:t>.</w:t>
      </w:r>
      <w:r>
        <w:rPr>
          <w:rFonts w:ascii="FangSong" w:hAnsi="FangSong" w:eastAsia="FangSong" w:cs="FangSong"/>
          <w:sz w:val="23"/>
          <w:szCs w:val="23"/>
          <w:spacing w:val="1"/>
        </w:rPr>
        <w:t xml:space="preserve">     </w:t>
      </w:r>
      <w:r>
        <w:rPr>
          <w:rFonts w:ascii="FangSong" w:hAnsi="FangSong" w:eastAsia="FangSong" w:cs="FangSong"/>
          <w:sz w:val="23"/>
          <w:szCs w:val="23"/>
          <w:spacing w:val="1"/>
        </w:rPr>
        <w:t>住房保障支</w:t>
      </w:r>
    </w:p>
    <w:p>
      <w:pPr>
        <w:ind w:left="1287"/>
        <w:spacing w:before="135" w:line="224" w:lineRule="auto"/>
        <w:rPr>
          <w:rFonts w:ascii="FangSong" w:hAnsi="FangSong" w:eastAsia="FangSong" w:cs="FangSong"/>
          <w:sz w:val="23"/>
          <w:szCs w:val="23"/>
        </w:rPr>
      </w:pPr>
      <w:r>
        <w:rPr>
          <w:rFonts w:ascii="FangSong" w:hAnsi="FangSong" w:eastAsia="FangSong" w:cs="FangSong"/>
          <w:sz w:val="23"/>
          <w:szCs w:val="23"/>
          <w:spacing w:val="-6"/>
        </w:rPr>
        <w:t>出24.20万元，</w:t>
      </w:r>
      <w:r>
        <w:rPr>
          <w:rFonts w:ascii="FangSong" w:hAnsi="FangSong" w:eastAsia="FangSong" w:cs="FangSong"/>
          <w:sz w:val="23"/>
          <w:szCs w:val="23"/>
          <w:spacing w:val="-47"/>
        </w:rPr>
        <w:t xml:space="preserve"> </w:t>
      </w:r>
      <w:r>
        <w:rPr>
          <w:rFonts w:ascii="FangSong" w:hAnsi="FangSong" w:eastAsia="FangSong" w:cs="FangSong"/>
          <w:sz w:val="23"/>
          <w:szCs w:val="23"/>
          <w:spacing w:val="-6"/>
        </w:rPr>
        <w:t>占7.36%等。</w:t>
      </w:r>
    </w:p>
    <w:p>
      <w:pPr>
        <w:spacing w:line="224" w:lineRule="auto"/>
        <w:sectPr>
          <w:headerReference w:type="default" r:id="rId35"/>
          <w:footerReference w:type="default" r:id="rId36"/>
          <w:pgSz w:w="11900" w:h="16840"/>
          <w:pgMar w:top="642" w:right="0" w:bottom="340" w:left="0" w:header="326" w:footer="111" w:gutter="0"/>
        </w:sectPr>
        <w:rPr>
          <w:rFonts w:ascii="FangSong" w:hAnsi="FangSong" w:eastAsia="FangSong" w:cs="FangSong"/>
          <w:sz w:val="23"/>
          <w:szCs w:val="23"/>
        </w:rPr>
      </w:pP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firstLine="4644"/>
        <w:spacing w:line="2463" w:lineRule="exact"/>
        <w:rPr/>
      </w:pPr>
      <w:r>
        <w:rPr>
          <w:position w:val="-49"/>
        </w:rPr>
        <w:drawing>
          <wp:inline distT="0" distB="0" distL="0" distR="0">
            <wp:extent cx="1927868" cy="1564258"/>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1927868" cy="1564258"/>
                    </a:xfrm>
                    <a:prstGeom prst="rect">
                      <a:avLst/>
                    </a:prstGeom>
                  </pic:spPr>
                </pic:pic>
              </a:graphicData>
            </a:graphic>
          </wp:inline>
        </w:drawing>
      </w:r>
    </w:p>
    <w:p>
      <w:pPr>
        <w:spacing w:line="265" w:lineRule="auto"/>
        <w:rPr>
          <w:rFonts w:ascii="Arial"/>
          <w:sz w:val="21"/>
        </w:rPr>
      </w:pPr>
      <w:r/>
    </w:p>
    <w:p>
      <w:pPr>
        <w:spacing w:line="265" w:lineRule="auto"/>
        <w:rPr>
          <w:rFonts w:ascii="Arial"/>
          <w:sz w:val="21"/>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2025年度兴县奥家湾乡卫生院一般公共预算安排基本支出304.08万元，其中：</w:t>
      </w:r>
    </w:p>
    <w:p>
      <w:pPr>
        <w:ind w:left="2197"/>
        <w:spacing w:before="134" w:line="221" w:lineRule="auto"/>
        <w:rPr>
          <w:rFonts w:ascii="FangSong" w:hAnsi="FangSong" w:eastAsia="FangSong" w:cs="FangSong"/>
          <w:sz w:val="23"/>
          <w:szCs w:val="23"/>
        </w:rPr>
      </w:pPr>
      <w:r>
        <w:rPr>
          <w:rFonts w:ascii="FangSong" w:hAnsi="FangSong" w:eastAsia="FangSong" w:cs="FangSong"/>
          <w:sz w:val="23"/>
          <w:szCs w:val="23"/>
          <w:spacing w:val="5"/>
        </w:rPr>
        <w:t>经费292.58万元，主要包括：其他对个人和家庭的补助、其他社会保</w:t>
      </w:r>
      <w:r>
        <w:rPr>
          <w:rFonts w:ascii="FangSong" w:hAnsi="FangSong" w:eastAsia="FangSong" w:cs="FangSong"/>
          <w:sz w:val="23"/>
          <w:szCs w:val="23"/>
          <w:spacing w:val="4"/>
        </w:rPr>
        <w:t>障</w:t>
      </w:r>
      <w:r>
        <w:rPr>
          <w:rFonts w:ascii="FangSong" w:hAnsi="FangSong" w:eastAsia="FangSong" w:cs="FangSong"/>
          <w:sz w:val="23"/>
          <w:szCs w:val="23"/>
          <w:spacing w:val="4"/>
        </w:rPr>
        <w:t xml:space="preserve">    </w:t>
      </w:r>
      <w:r>
        <w:rPr>
          <w:rFonts w:ascii="FangSong" w:hAnsi="FangSong" w:eastAsia="FangSong" w:cs="FangSong"/>
          <w:sz w:val="23"/>
          <w:szCs w:val="23"/>
          <w:spacing w:val="4"/>
        </w:rPr>
        <w:t>、绩效</w:t>
      </w:r>
    </w:p>
    <w:p>
      <w:pPr>
        <w:ind w:left="1752"/>
        <w:spacing w:before="124" w:line="221" w:lineRule="auto"/>
        <w:rPr>
          <w:rFonts w:ascii="FangSong" w:hAnsi="FangSong" w:eastAsia="FangSong" w:cs="FangSong"/>
          <w:sz w:val="23"/>
          <w:szCs w:val="23"/>
        </w:rPr>
      </w:pPr>
      <w:r>
        <w:rPr>
          <w:rFonts w:ascii="FangSong" w:hAnsi="FangSong" w:eastAsia="FangSong" w:cs="FangSong"/>
          <w:sz w:val="23"/>
          <w:szCs w:val="23"/>
          <w:spacing w:val="4"/>
        </w:rPr>
        <w:t>、基本工资、机关事业单位基本养老保险缴费、住房公积金、退休费、</w:t>
      </w:r>
      <w:r>
        <w:rPr>
          <w:rFonts w:ascii="FangSong" w:hAnsi="FangSong" w:eastAsia="FangSong" w:cs="FangSong"/>
          <w:sz w:val="23"/>
          <w:szCs w:val="23"/>
          <w:spacing w:val="4"/>
        </w:rPr>
        <w:t xml:space="preserve">      </w:t>
      </w:r>
      <w:r>
        <w:rPr>
          <w:rFonts w:ascii="FangSong" w:hAnsi="FangSong" w:eastAsia="FangSong" w:cs="FangSong"/>
          <w:sz w:val="23"/>
          <w:szCs w:val="23"/>
          <w:spacing w:val="4"/>
        </w:rPr>
        <w:t>本医疗保</w:t>
      </w:r>
    </w:p>
    <w:p>
      <w:pPr>
        <w:ind w:left="1274"/>
        <w:spacing w:before="125" w:line="222" w:lineRule="auto"/>
        <w:rPr>
          <w:rFonts w:ascii="FangSong" w:hAnsi="FangSong" w:eastAsia="FangSong" w:cs="FangSong"/>
          <w:sz w:val="23"/>
          <w:szCs w:val="23"/>
        </w:rPr>
      </w:pPr>
      <w:r>
        <w:rPr>
          <w:rFonts w:ascii="FangSong" w:hAnsi="FangSong" w:eastAsia="FangSong" w:cs="FangSong"/>
          <w:sz w:val="23"/>
          <w:szCs w:val="23"/>
          <w:spacing w:val="-3"/>
        </w:rPr>
        <w:t>险缴费、津贴补贴等；</w:t>
      </w:r>
    </w:p>
    <w:p>
      <w:pPr>
        <w:ind w:left="1729"/>
        <w:spacing w:before="134" w:line="223" w:lineRule="auto"/>
        <w:rPr>
          <w:rFonts w:ascii="FangSong" w:hAnsi="FangSong" w:eastAsia="FangSong" w:cs="FangSong"/>
          <w:sz w:val="23"/>
          <w:szCs w:val="23"/>
        </w:rPr>
      </w:pPr>
      <w:r>
        <w:rPr>
          <w:rFonts w:ascii="FangSong" w:hAnsi="FangSong" w:eastAsia="FangSong" w:cs="FangSong"/>
          <w:sz w:val="23"/>
          <w:szCs w:val="23"/>
        </w:rPr>
        <w:t>公用经费11.50万元，主要包括：福利费、工会经费、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30" w:line="231"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22"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4" w:right="1260" w:firstLine="455"/>
        <w:spacing w:before="189" w:line="319" w:lineRule="auto"/>
        <w:rPr>
          <w:rFonts w:ascii="FangSong" w:hAnsi="FangSong" w:eastAsia="FangSong" w:cs="FangSong"/>
          <w:sz w:val="23"/>
          <w:szCs w:val="23"/>
        </w:rPr>
      </w:pPr>
      <w:r>
        <w:rPr>
          <w:rFonts w:ascii="FangSong" w:hAnsi="FangSong" w:eastAsia="FangSong" w:cs="FangSong"/>
          <w:sz w:val="23"/>
          <w:szCs w:val="23"/>
          <w:spacing w:val="4"/>
        </w:rPr>
        <w:t>2025年兴县奥家湾乡卫生院政府采购预算总额0万元。其中：政府采购货物预算0万元、</w:t>
      </w:r>
      <w:r>
        <w:rPr>
          <w:rFonts w:ascii="FangSong" w:hAnsi="FangSong" w:eastAsia="FangSong" w:cs="FangSong"/>
          <w:sz w:val="23"/>
          <w:szCs w:val="23"/>
          <w:spacing w:val="13"/>
        </w:rPr>
        <w:t xml:space="preserve"> </w:t>
      </w:r>
      <w:r>
        <w:rPr>
          <w:rFonts w:ascii="FangSong" w:hAnsi="FangSong" w:eastAsia="FangSong" w:cs="FangSong"/>
          <w:sz w:val="23"/>
          <w:szCs w:val="23"/>
        </w:rPr>
        <w:t>政府采购工程预算0万元、政府采购服务预算</w:t>
      </w:r>
      <w:r>
        <w:rPr>
          <w:rFonts w:ascii="FangSong" w:hAnsi="FangSong" w:eastAsia="FangSong" w:cs="FangSong"/>
          <w:sz w:val="23"/>
          <w:szCs w:val="23"/>
          <w:spacing w:val="-1"/>
        </w:rPr>
        <w:t>0万元。</w:t>
      </w:r>
    </w:p>
    <w:p>
      <w:pPr>
        <w:ind w:left="1260"/>
        <w:spacing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85" w:line="223" w:lineRule="auto"/>
        <w:rPr>
          <w:rFonts w:ascii="FangSong" w:hAnsi="FangSong" w:eastAsia="FangSong" w:cs="FangSong"/>
          <w:sz w:val="23"/>
          <w:szCs w:val="23"/>
        </w:rPr>
      </w:pPr>
      <w:r>
        <w:rPr>
          <w:rFonts w:ascii="FangSong" w:hAnsi="FangSong" w:eastAsia="FangSong" w:cs="FangSong"/>
          <w:sz w:val="23"/>
          <w:szCs w:val="23"/>
          <w:spacing w:val="-4"/>
        </w:rPr>
        <w:t>1、整体绩效目</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w:t>
      </w:r>
      <w:r>
        <w:rPr>
          <w:rFonts w:ascii="FangSong" w:hAnsi="FangSong" w:eastAsia="FangSong" w:cs="FangSong"/>
          <w:sz w:val="23"/>
          <w:szCs w:val="23"/>
        </w:rPr>
        <w:t xml:space="preserve">        </w:t>
      </w:r>
      <w:r>
        <w:rPr>
          <w:rFonts w:ascii="FangSong" w:hAnsi="FangSong" w:eastAsia="FangSong" w:cs="FangSong"/>
          <w:sz w:val="23"/>
          <w:szCs w:val="23"/>
        </w:rPr>
        <w:t>效目标,涉及资金336.02万元。</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7"/>
        </w:rPr>
        <w:t>2、</w:t>
      </w:r>
      <w:r>
        <w:rPr>
          <w:rFonts w:ascii="FangSong" w:hAnsi="FangSong" w:eastAsia="FangSong" w:cs="FangSong"/>
          <w:sz w:val="23"/>
          <w:szCs w:val="23"/>
          <w:spacing w:val="7"/>
        </w:rPr>
        <w:t xml:space="preserve">        </w:t>
      </w:r>
      <w:r>
        <w:rPr>
          <w:rFonts w:ascii="FangSong" w:hAnsi="FangSong" w:eastAsia="FangSong" w:cs="FangSong"/>
          <w:sz w:val="23"/>
          <w:szCs w:val="23"/>
          <w:spacing w:val="-17"/>
        </w:rPr>
        <w:t>目标</w:t>
      </w:r>
    </w:p>
    <w:p>
      <w:pPr>
        <w:ind w:left="1265" w:right="1223" w:firstLine="454"/>
        <w:spacing w:before="135" w:line="323" w:lineRule="auto"/>
        <w:rPr>
          <w:rFonts w:ascii="FangSong" w:hAnsi="FangSong" w:eastAsia="FangSong" w:cs="FangSong"/>
          <w:sz w:val="23"/>
          <w:szCs w:val="23"/>
        </w:rPr>
      </w:pPr>
      <w:r>
        <w:rPr>
          <w:rFonts w:ascii="FangSong" w:hAnsi="FangSong" w:eastAsia="FangSong" w:cs="FangSong"/>
          <w:sz w:val="23"/>
          <w:szCs w:val="23"/>
          <w:spacing w:val="2"/>
        </w:rPr>
        <w:t>20</w:t>
      </w:r>
      <w:r>
        <w:rPr>
          <w:rFonts w:ascii="FangSong" w:hAnsi="FangSong" w:eastAsia="FangSong" w:cs="FangSong"/>
          <w:sz w:val="23"/>
          <w:szCs w:val="23"/>
          <w:spacing w:val="2"/>
        </w:rPr>
        <w:t xml:space="preserve">  </w:t>
      </w:r>
      <w:r>
        <w:rPr>
          <w:rFonts w:ascii="FangSong" w:hAnsi="FangSong" w:eastAsia="FangSong" w:cs="FangSong"/>
          <w:sz w:val="23"/>
          <w:szCs w:val="23"/>
          <w:spacing w:val="2"/>
        </w:rPr>
        <w:t>年兴县奥家湾乡卫生院纳入绩效目标管理的二级项目9个，共计金额336.02万元。其</w:t>
      </w:r>
      <w:r>
        <w:rPr>
          <w:rFonts w:ascii="FangSong" w:hAnsi="FangSong" w:eastAsia="FangSong" w:cs="FangSong"/>
          <w:sz w:val="23"/>
          <w:szCs w:val="23"/>
          <w:spacing w:val="11"/>
        </w:rPr>
        <w:t xml:space="preserve"> </w:t>
      </w:r>
      <w:r>
        <w:rPr>
          <w:rFonts w:ascii="FangSong" w:hAnsi="FangSong" w:eastAsia="FangSong" w:cs="FangSong"/>
          <w:sz w:val="23"/>
          <w:szCs w:val="23"/>
          <w:spacing w:val="5"/>
        </w:rPr>
        <w:t>中：其他运转类项目0个，涉及金额0万元；特定目标类项目0个，涉及金额0万元。公开项目</w:t>
      </w:r>
      <w:r>
        <w:rPr>
          <w:rFonts w:ascii="FangSong" w:hAnsi="FangSong" w:eastAsia="FangSong" w:cs="FangSong"/>
          <w:sz w:val="23"/>
          <w:szCs w:val="23"/>
        </w:rPr>
        <w:t xml:space="preserve"> </w:t>
      </w:r>
      <w:r>
        <w:rPr>
          <w:rFonts w:ascii="FangSong" w:hAnsi="FangSong" w:eastAsia="FangSong" w:cs="FangSong"/>
          <w:sz w:val="23"/>
          <w:szCs w:val="23"/>
          <w:spacing w:val="1"/>
        </w:rPr>
        <w:t>绩效目标9个，涉及项目金额336.02万元，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占部门（单位）项目支出总额的</w:t>
      </w:r>
      <w:r>
        <w:rPr>
          <w:rFonts w:ascii="FangSong" w:hAnsi="FangSong" w:eastAsia="FangSong" w:cs="FangSong"/>
          <w:sz w:val="23"/>
          <w:szCs w:val="23"/>
        </w:rPr>
        <w:t>100%。其中：其他</w:t>
      </w:r>
      <w:r>
        <w:rPr>
          <w:rFonts w:ascii="FangSong" w:hAnsi="FangSong" w:eastAsia="FangSong" w:cs="FangSong"/>
          <w:sz w:val="23"/>
          <w:szCs w:val="23"/>
        </w:rPr>
        <w:t xml:space="preserve"> </w:t>
      </w:r>
      <w:r>
        <w:rPr>
          <w:rFonts w:ascii="FangSong" w:hAnsi="FangSong" w:eastAsia="FangSong" w:cs="FangSong"/>
          <w:sz w:val="23"/>
          <w:szCs w:val="23"/>
        </w:rPr>
        <w:t>运转类项目0个，涉及项目金额0万元；特定目标类项目0个，涉及项目金额0万元。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8"/>
          <w:footerReference w:type="default" r:id="rId39"/>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2146"/>
        <w:spacing w:line="12282" w:lineRule="exact"/>
        <w:rPr/>
      </w:pPr>
      <w:r>
        <w:pict>
          <v:shape id="_x0000_s452" style="position:absolute;margin-left:391.92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54"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846899" cy="7798977"/>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4846899" cy="7798977"/>
                    </a:xfrm>
                    <a:prstGeom prst="rect">
                      <a:avLst/>
                    </a:prstGeom>
                  </pic:spPr>
                </pic:pic>
              </a:graphicData>
            </a:graphic>
          </wp:inline>
        </w:drawing>
      </w:r>
    </w:p>
    <w:p>
      <w:pPr>
        <w:spacing w:line="12282" w:lineRule="exact"/>
        <w:sectPr>
          <w:headerReference w:type="default" r:id="rId41"/>
          <w:footerReference w:type="default" r:id="rId42"/>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46"/>
        <w:spacing w:line="12217" w:lineRule="exact"/>
        <w:rPr/>
      </w:pPr>
      <w:r>
        <w:pict>
          <v:shape id="_x0000_s456" style="position:absolute;margin-left:391.92pt;margin-top:228.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458" style="position:absolute;margin-left:86.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846899" cy="7757785"/>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4846899" cy="7757785"/>
                    </a:xfrm>
                    <a:prstGeom prst="rect">
                      <a:avLst/>
                    </a:prstGeom>
                  </pic:spPr>
                </pic:pic>
              </a:graphicData>
            </a:graphic>
          </wp:inline>
        </w:drawing>
      </w:r>
    </w:p>
    <w:p>
      <w:pPr>
        <w:spacing w:line="12217" w:lineRule="exact"/>
        <w:sectPr>
          <w:footerReference w:type="default" r:id="rId44"/>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46"/>
        <w:spacing w:line="12001" w:lineRule="exact"/>
        <w:rPr/>
      </w:pPr>
      <w:r>
        <w:pict>
          <v:shape id="_x0000_s460" style="position:absolute;margin-left:86.92pt;margin-top:472.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462" style="position:absolute;margin-left:391.92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40"/>
        </w:rPr>
        <w:drawing>
          <wp:inline distT="0" distB="0" distL="0" distR="0">
            <wp:extent cx="4846899" cy="7620480"/>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4846899" cy="7620480"/>
                    </a:xfrm>
                    <a:prstGeom prst="rect">
                      <a:avLst/>
                    </a:prstGeom>
                  </pic:spPr>
                </pic:pic>
              </a:graphicData>
            </a:graphic>
          </wp:inline>
        </w:drawing>
      </w:r>
    </w:p>
    <w:p>
      <w:pPr>
        <w:spacing w:line="12001" w:lineRule="exact"/>
        <w:sectPr>
          <w:footerReference w:type="default" r:id="rId46"/>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46"/>
        <w:spacing w:line="12282" w:lineRule="exact"/>
        <w:rPr/>
      </w:pPr>
      <w:r>
        <w:pict>
          <v:shape id="_x0000_s464"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66"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846899" cy="7798977"/>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4846899" cy="7798977"/>
                    </a:xfrm>
                    <a:prstGeom prst="rect">
                      <a:avLst/>
                    </a:prstGeom>
                  </pic:spPr>
                </pic:pic>
              </a:graphicData>
            </a:graphic>
          </wp:inline>
        </w:drawing>
      </w:r>
    </w:p>
    <w:p>
      <w:pPr>
        <w:spacing w:line="12282" w:lineRule="exact"/>
        <w:sectPr>
          <w:footerReference w:type="default" r:id="rId48"/>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146"/>
        <w:spacing w:line="12261" w:lineRule="exact"/>
        <w:rPr/>
      </w:pPr>
      <w:r>
        <w:pict>
          <v:shape id="_x0000_s468"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470" style="position:absolute;margin-left:391.92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846899" cy="7785246"/>
            <wp:effectExtent l="0" t="0" r="0" b="0"/>
            <wp:docPr id="16" name="IM 16"/>
            <wp:cNvGraphicFramePr/>
            <a:graphic>
              <a:graphicData uri="http://schemas.openxmlformats.org/drawingml/2006/picture">
                <pic:pic>
                  <pic:nvPicPr>
                    <pic:cNvPr id="16" name="IM 16"/>
                    <pic:cNvPicPr/>
                  </pic:nvPicPr>
                  <pic:blipFill>
                    <a:blip r:embed="rId51"/>
                    <a:stretch>
                      <a:fillRect/>
                    </a:stretch>
                  </pic:blipFill>
                  <pic:spPr>
                    <a:xfrm rot="0">
                      <a:off x="0" y="0"/>
                      <a:ext cx="4846899" cy="7785246"/>
                    </a:xfrm>
                    <a:prstGeom prst="rect">
                      <a:avLst/>
                    </a:prstGeom>
                  </pic:spPr>
                </pic:pic>
              </a:graphicData>
            </a:graphic>
          </wp:inline>
        </w:drawing>
      </w:r>
    </w:p>
    <w:p>
      <w:pPr>
        <w:spacing w:line="12261" w:lineRule="exact"/>
        <w:sectPr>
          <w:footerReference w:type="default" r:id="rId50"/>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146"/>
        <w:spacing w:line="12315" w:lineRule="exact"/>
        <w:rPr/>
      </w:pPr>
      <w:r>
        <w:pict>
          <v:shape id="_x0000_s472" style="position:absolute;margin-left:391.92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474" style="position:absolute;margin-left:86.92pt;margin-top:472.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4846899" cy="7819573"/>
            <wp:effectExtent l="0" t="0" r="0" b="0"/>
            <wp:docPr id="18" name="IM 18"/>
            <wp:cNvGraphicFramePr/>
            <a:graphic>
              <a:graphicData uri="http://schemas.openxmlformats.org/drawingml/2006/picture">
                <pic:pic>
                  <pic:nvPicPr>
                    <pic:cNvPr id="18" name="IM 18"/>
                    <pic:cNvPicPr/>
                  </pic:nvPicPr>
                  <pic:blipFill>
                    <a:blip r:embed="rId53"/>
                    <a:stretch>
                      <a:fillRect/>
                    </a:stretch>
                  </pic:blipFill>
                  <pic:spPr>
                    <a:xfrm rot="0">
                      <a:off x="0" y="0"/>
                      <a:ext cx="4846899" cy="7819573"/>
                    </a:xfrm>
                    <a:prstGeom prst="rect">
                      <a:avLst/>
                    </a:prstGeom>
                  </pic:spPr>
                </pic:pic>
              </a:graphicData>
            </a:graphic>
          </wp:inline>
        </w:drawing>
      </w:r>
    </w:p>
    <w:p>
      <w:pPr>
        <w:spacing w:line="12315" w:lineRule="exact"/>
        <w:sectPr>
          <w:footerReference w:type="default" r:id="rId52"/>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46"/>
        <w:spacing w:line="12282" w:lineRule="exact"/>
        <w:rPr/>
      </w:pPr>
      <w:r>
        <w:pict>
          <v:shape id="_x0000_s476"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478"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846899" cy="7798977"/>
            <wp:effectExtent l="0" t="0" r="0" b="0"/>
            <wp:docPr id="20" name="IM 20"/>
            <wp:cNvGraphicFramePr/>
            <a:graphic>
              <a:graphicData uri="http://schemas.openxmlformats.org/drawingml/2006/picture">
                <pic:pic>
                  <pic:nvPicPr>
                    <pic:cNvPr id="20" name="IM 20"/>
                    <pic:cNvPicPr/>
                  </pic:nvPicPr>
                  <pic:blipFill>
                    <a:blip r:embed="rId55"/>
                    <a:stretch>
                      <a:fillRect/>
                    </a:stretch>
                  </pic:blipFill>
                  <pic:spPr>
                    <a:xfrm rot="0">
                      <a:off x="0" y="0"/>
                      <a:ext cx="4846899" cy="7798977"/>
                    </a:xfrm>
                    <a:prstGeom prst="rect">
                      <a:avLst/>
                    </a:prstGeom>
                  </pic:spPr>
                </pic:pic>
              </a:graphicData>
            </a:graphic>
          </wp:inline>
        </w:drawing>
      </w:r>
    </w:p>
    <w:p>
      <w:pPr>
        <w:spacing w:line="12282" w:lineRule="exact"/>
        <w:sectPr>
          <w:footerReference w:type="default" r:id="rId54"/>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146"/>
        <w:spacing w:line="12217" w:lineRule="exact"/>
        <w:rPr/>
      </w:pPr>
      <w:r>
        <w:pict>
          <v:shape id="_x0000_s480" style="position:absolute;margin-left:391.92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482" style="position:absolute;margin-left:86.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846899" cy="7757785"/>
            <wp:effectExtent l="0" t="0" r="0" b="0"/>
            <wp:docPr id="22" name="IM 22"/>
            <wp:cNvGraphicFramePr/>
            <a:graphic>
              <a:graphicData uri="http://schemas.openxmlformats.org/drawingml/2006/picture">
                <pic:pic>
                  <pic:nvPicPr>
                    <pic:cNvPr id="22" name="IM 22"/>
                    <pic:cNvPicPr/>
                  </pic:nvPicPr>
                  <pic:blipFill>
                    <a:blip r:embed="rId57"/>
                    <a:stretch>
                      <a:fillRect/>
                    </a:stretch>
                  </pic:blipFill>
                  <pic:spPr>
                    <a:xfrm rot="0">
                      <a:off x="0" y="0"/>
                      <a:ext cx="4846899" cy="7757785"/>
                    </a:xfrm>
                    <a:prstGeom prst="rect">
                      <a:avLst/>
                    </a:prstGeom>
                  </pic:spPr>
                </pic:pic>
              </a:graphicData>
            </a:graphic>
          </wp:inline>
        </w:drawing>
      </w:r>
    </w:p>
    <w:p>
      <w:pPr>
        <w:spacing w:line="12217" w:lineRule="exact"/>
        <w:sectPr>
          <w:footerReference w:type="default" r:id="rId56"/>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46"/>
        <w:spacing w:line="12001" w:lineRule="exact"/>
        <w:rPr/>
      </w:pPr>
      <w:r>
        <w:pict>
          <v:shape id="_x0000_s484" style="position:absolute;margin-left:86.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486" style="position:absolute;margin-left:391.92pt;margin-top:228.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240"/>
        </w:rPr>
        <w:drawing>
          <wp:inline distT="0" distB="0" distL="0" distR="0">
            <wp:extent cx="4846899" cy="7620480"/>
            <wp:effectExtent l="0" t="0" r="0" b="0"/>
            <wp:docPr id="24" name="IM 24"/>
            <wp:cNvGraphicFramePr/>
            <a:graphic>
              <a:graphicData uri="http://schemas.openxmlformats.org/drawingml/2006/picture">
                <pic:pic>
                  <pic:nvPicPr>
                    <pic:cNvPr id="24" name="IM 24"/>
                    <pic:cNvPicPr/>
                  </pic:nvPicPr>
                  <pic:blipFill>
                    <a:blip r:embed="rId59"/>
                    <a:stretch>
                      <a:fillRect/>
                    </a:stretch>
                  </pic:blipFill>
                  <pic:spPr>
                    <a:xfrm rot="0">
                      <a:off x="0" y="0"/>
                      <a:ext cx="4846899" cy="7620480"/>
                    </a:xfrm>
                    <a:prstGeom prst="rect">
                      <a:avLst/>
                    </a:prstGeom>
                  </pic:spPr>
                </pic:pic>
              </a:graphicData>
            </a:graphic>
          </wp:inline>
        </w:drawing>
      </w:r>
    </w:p>
    <w:p>
      <w:pPr>
        <w:spacing w:line="12001" w:lineRule="exact"/>
        <w:sectPr>
          <w:footerReference w:type="default" r:id="rId58"/>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46"/>
        <w:spacing w:line="12282" w:lineRule="exact"/>
        <w:rPr/>
      </w:pPr>
      <w:r>
        <w:pict>
          <v:shape id="_x0000_s488" style="position:absolute;margin-left:391.92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490" style="position:absolute;margin-left:86.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846899" cy="7798977"/>
            <wp:effectExtent l="0" t="0" r="0" b="0"/>
            <wp:docPr id="26" name="IM 26"/>
            <wp:cNvGraphicFramePr/>
            <a:graphic>
              <a:graphicData uri="http://schemas.openxmlformats.org/drawingml/2006/picture">
                <pic:pic>
                  <pic:nvPicPr>
                    <pic:cNvPr id="26" name="IM 26"/>
                    <pic:cNvPicPr/>
                  </pic:nvPicPr>
                  <pic:blipFill>
                    <a:blip r:embed="rId61"/>
                    <a:stretch>
                      <a:fillRect/>
                    </a:stretch>
                  </pic:blipFill>
                  <pic:spPr>
                    <a:xfrm rot="0">
                      <a:off x="0" y="0"/>
                      <a:ext cx="4846899" cy="7798977"/>
                    </a:xfrm>
                    <a:prstGeom prst="rect">
                      <a:avLst/>
                    </a:prstGeom>
                  </pic:spPr>
                </pic:pic>
              </a:graphicData>
            </a:graphic>
          </wp:inline>
        </w:drawing>
      </w:r>
    </w:p>
    <w:p>
      <w:pPr>
        <w:spacing w:line="12282" w:lineRule="exact"/>
        <w:sectPr>
          <w:footerReference w:type="default" r:id="rId60"/>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46"/>
        <w:spacing w:line="9893" w:lineRule="exact"/>
        <w:rPr/>
      </w:pPr>
      <w:r>
        <w:pict>
          <v:shape id="_x0000_s492"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494" style="position:absolute;margin-left:86.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4846899" cy="6281747"/>
            <wp:effectExtent l="0" t="0" r="0" b="0"/>
            <wp:docPr id="28" name="IM 28"/>
            <wp:cNvGraphicFramePr/>
            <a:graphic>
              <a:graphicData uri="http://schemas.openxmlformats.org/drawingml/2006/picture">
                <pic:pic>
                  <pic:nvPicPr>
                    <pic:cNvPr id="28" name="IM 28"/>
                    <pic:cNvPicPr/>
                  </pic:nvPicPr>
                  <pic:blipFill>
                    <a:blip r:embed="rId63"/>
                    <a:stretch>
                      <a:fillRect/>
                    </a:stretch>
                  </pic:blipFill>
                  <pic:spPr>
                    <a:xfrm rot="0">
                      <a:off x="0" y="0"/>
                      <a:ext cx="4846899" cy="6281747"/>
                    </a:xfrm>
                    <a:prstGeom prst="rect">
                      <a:avLst/>
                    </a:prstGeom>
                  </pic:spPr>
                </pic:pic>
              </a:graphicData>
            </a:graphic>
          </wp:inline>
        </w:drawing>
      </w:r>
    </w:p>
    <w:p>
      <w:pPr>
        <w:spacing w:line="9893" w:lineRule="exact"/>
        <w:sectPr>
          <w:footerReference w:type="default" r:id="rId62"/>
          <w:pgSz w:w="11900" w:h="16840"/>
          <w:pgMar w:top="642" w:right="0" w:bottom="340" w:left="0" w:header="326" w:footer="111" w:gutter="0"/>
        </w:sectPr>
        <w:rPr/>
      </w:pPr>
    </w:p>
    <w:p>
      <w:pPr>
        <w:spacing w:line="271" w:lineRule="auto"/>
        <w:rPr>
          <w:rFonts w:ascii="Arial"/>
          <w:sz w:val="21"/>
        </w:rPr>
      </w:pPr>
      <w:r/>
    </w:p>
    <w:p>
      <w:pPr>
        <w:spacing w:line="271" w:lineRule="auto"/>
        <w:rPr>
          <w:rFonts w:ascii="Arial"/>
          <w:sz w:val="21"/>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日，兴县奥家湾乡卫生院共有公务用车编制1辆，实有1辆，其中：领</w:t>
      </w:r>
      <w:r>
        <w:rPr>
          <w:rFonts w:ascii="FangSong" w:hAnsi="FangSong" w:eastAsia="FangSong" w:cs="FangSong"/>
          <w:sz w:val="23"/>
          <w:szCs w:val="23"/>
        </w:rPr>
        <w:t xml:space="preserve"> </w:t>
      </w:r>
      <w:r>
        <w:rPr>
          <w:rFonts w:ascii="FangSong" w:hAnsi="FangSong" w:eastAsia="FangSong" w:cs="FangSong"/>
          <w:sz w:val="23"/>
          <w:szCs w:val="23"/>
          <w:spacing w:val="8"/>
        </w:rPr>
        <w:t>导用车0辆，机要通信用车0辆，应急保障用车0辆，执法执勤用车0辆，</w:t>
      </w:r>
      <w:r>
        <w:rPr>
          <w:rFonts w:ascii="FangSong" w:hAnsi="FangSong" w:eastAsia="FangSong" w:cs="FangSong"/>
          <w:sz w:val="23"/>
          <w:szCs w:val="23"/>
          <w:spacing w:val="7"/>
        </w:rPr>
        <w:t>特种专业技术用车1</w:t>
      </w:r>
      <w:r>
        <w:rPr>
          <w:rFonts w:ascii="FangSong" w:hAnsi="FangSong" w:eastAsia="FangSong" w:cs="FangSong"/>
          <w:sz w:val="23"/>
          <w:szCs w:val="23"/>
        </w:rPr>
        <w:t xml:space="preserve"> </w:t>
      </w:r>
      <w:r>
        <w:rPr>
          <w:rFonts w:ascii="FangSong" w:hAnsi="FangSong" w:eastAsia="FangSong" w:cs="FangSong"/>
          <w:sz w:val="23"/>
          <w:szCs w:val="23"/>
          <w:spacing w:val="-1"/>
        </w:rPr>
        <w:t>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rPr>
        <w:t>截至2024年12月31日，兴县奥家湾乡卫生院使用的办公用房建筑总面积1374平方米。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4" w:right="1223" w:firstLine="460"/>
        <w:spacing w:before="134" w:line="323" w:lineRule="auto"/>
        <w:jc w:val="both"/>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1"/>
        </w:rPr>
        <w:t xml:space="preserve"> </w:t>
      </w:r>
      <w:r>
        <w:rPr>
          <w:rFonts w:ascii="FangSong" w:hAnsi="FangSong" w:eastAsia="FangSong" w:cs="FangSong"/>
          <w:sz w:val="23"/>
          <w:szCs w:val="23"/>
          <w:spacing w:val="2"/>
        </w:rPr>
        <w:t>日，兴县奥家湾乡卫生院占有使用价值50万元（原值）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以上的通用设</w:t>
      </w:r>
      <w:r>
        <w:rPr>
          <w:rFonts w:ascii="FangSong" w:hAnsi="FangSong" w:eastAsia="FangSong" w:cs="FangSong"/>
          <w:sz w:val="23"/>
          <w:szCs w:val="23"/>
        </w:rPr>
        <w:t xml:space="preserve"> </w:t>
      </w:r>
      <w:r>
        <w:rPr>
          <w:rFonts w:ascii="FangSong" w:hAnsi="FangSong" w:eastAsia="FangSong" w:cs="FangSong"/>
          <w:sz w:val="23"/>
          <w:szCs w:val="23"/>
          <w:spacing w:val="14"/>
        </w:rPr>
        <w:t>备0台（套</w:t>
      </w:r>
      <w:r>
        <w:rPr>
          <w:rFonts w:ascii="FangSong" w:hAnsi="FangSong" w:eastAsia="FangSong" w:cs="FangSong"/>
          <w:sz w:val="23"/>
          <w:szCs w:val="23"/>
          <w:spacing w:val="11"/>
        </w:rPr>
        <w:t>）</w:t>
      </w:r>
      <w:r>
        <w:rPr>
          <w:rFonts w:ascii="FangSong" w:hAnsi="FangSong" w:eastAsia="FangSong" w:cs="FangSong"/>
          <w:sz w:val="23"/>
          <w:szCs w:val="23"/>
          <w:spacing w:val="-41"/>
        </w:rPr>
        <w:t xml:space="preserve"> </w:t>
      </w:r>
      <w:r>
        <w:rPr>
          <w:rFonts w:ascii="FangSong" w:hAnsi="FangSong" w:eastAsia="FangSong" w:cs="FangSong"/>
          <w:sz w:val="23"/>
          <w:szCs w:val="23"/>
          <w:spacing w:val="11"/>
        </w:rPr>
        <w:t>；</w:t>
      </w:r>
      <w:r>
        <w:rPr>
          <w:rFonts w:ascii="FangSong" w:hAnsi="FangSong" w:eastAsia="FangSong" w:cs="FangSong"/>
          <w:sz w:val="23"/>
          <w:szCs w:val="23"/>
          <w:spacing w:val="14"/>
        </w:rPr>
        <w:t>兴县奥家湾乡卫生院</w:t>
      </w:r>
      <w:r>
        <w:rPr>
          <w:rFonts w:ascii="FangSong" w:hAnsi="FangSong" w:eastAsia="FangSong" w:cs="FangSong"/>
          <w:sz w:val="23"/>
          <w:szCs w:val="23"/>
          <w:spacing w:val="-39"/>
        </w:rPr>
        <w:t xml:space="preserve"> </w:t>
      </w:r>
      <w:r>
        <w:rPr>
          <w:rFonts w:ascii="FangSong" w:hAnsi="FangSong" w:eastAsia="FangSong" w:cs="FangSong"/>
          <w:sz w:val="23"/>
          <w:szCs w:val="23"/>
          <w:spacing w:val="14"/>
        </w:rPr>
        <w:t>占有使用价值100万元（原值）</w:t>
      </w:r>
      <w:r>
        <w:rPr>
          <w:rFonts w:ascii="FangSong" w:hAnsi="FangSong" w:eastAsia="FangSong" w:cs="FangSong"/>
          <w:sz w:val="23"/>
          <w:szCs w:val="23"/>
          <w:spacing w:val="-33"/>
        </w:rPr>
        <w:t xml:space="preserve"> </w:t>
      </w:r>
      <w:r>
        <w:rPr>
          <w:rFonts w:ascii="FangSong" w:hAnsi="FangSong" w:eastAsia="FangSong" w:cs="FangSong"/>
          <w:sz w:val="23"/>
          <w:szCs w:val="23"/>
          <w:spacing w:val="14"/>
        </w:rPr>
        <w:t>以上的通用设备0台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260"/>
        <w:spacing w:before="2" w:line="227"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5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64"/>
          <w:footerReference w:type="default" r:id="rId65"/>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ict>
          <v:shape id="_x0000_s522" style="position:absolute;margin-left:491.92pt;margin-top:44.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35"/>
        <w:spacing w:line="13461" w:lineRule="exact"/>
        <w:rPr/>
      </w:pPr>
      <w:r>
        <w:pict>
          <v:shape id="_x0000_s524" style="position:absolute;margin-left:86.92pt;margin-top:472.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526" style="position:absolute;margin-left:491.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528" style="position:absolute;margin-left:391.92pt;margin-top:228.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530" style="position:absolute;margin-left:-13.08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30" name="IM 30"/>
            <wp:cNvGraphicFramePr/>
            <a:graphic>
              <a:graphicData uri="http://schemas.openxmlformats.org/drawingml/2006/picture">
                <pic:pic>
                  <pic:nvPicPr>
                    <pic:cNvPr id="30" name="IM 30"/>
                    <pic:cNvPicPr/>
                  </pic:nvPicPr>
                  <pic:blipFill>
                    <a:blip r:embed="rId68"/>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66"/>
          <w:footerReference w:type="default" r:id="rId67"/>
          <w:pgSz w:w="11900" w:h="16840"/>
          <w:pgMar w:top="642" w:right="0" w:bottom="340" w:left="0" w:header="326" w:footer="111" w:gutter="0"/>
        </w:sectPr>
        <w:rPr/>
      </w:pPr>
    </w:p>
    <w:p>
      <w:pPr>
        <w:spacing w:line="277" w:lineRule="auto"/>
        <w:rPr>
          <w:rFonts w:ascii="Arial"/>
          <w:sz w:val="21"/>
        </w:rPr>
      </w:pPr>
      <w:r>
        <w:pict>
          <v:shape id="_x0000_s532" style="position:absolute;margin-left:491.92pt;margin-top:44.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78"/>
        <w:spacing w:line="13461" w:lineRule="exact"/>
        <w:rPr/>
      </w:pPr>
      <w:r>
        <w:pict>
          <v:shape id="_x0000_s534" style="position:absolute;margin-left:491.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536" style="position:absolute;margin-left:391.92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538" style="position:absolute;margin-left:86.92pt;margin-top:472.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540" style="position:absolute;margin-left:-13.08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32" name="IM 32"/>
            <wp:cNvGraphicFramePr/>
            <a:graphic>
              <a:graphicData uri="http://schemas.openxmlformats.org/drawingml/2006/picture">
                <pic:pic>
                  <pic:nvPicPr>
                    <pic:cNvPr id="32" name="IM 32"/>
                    <pic:cNvPicPr/>
                  </pic:nvPicPr>
                  <pic:blipFill>
                    <a:blip r:embed="rId70"/>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69"/>
          <w:pgSz w:w="11900" w:h="16840"/>
          <w:pgMar w:top="642" w:right="0" w:bottom="340" w:left="0" w:header="326" w:footer="111" w:gutter="0"/>
        </w:sectPr>
        <w:rPr/>
      </w:pPr>
    </w:p>
    <w:p>
      <w:pPr>
        <w:spacing w:line="277" w:lineRule="auto"/>
        <w:rPr>
          <w:rFonts w:ascii="Arial"/>
          <w:sz w:val="21"/>
        </w:rPr>
      </w:pPr>
      <w:r>
        <w:pict>
          <v:shape id="_x0000_s542" style="position:absolute;margin-left:491.92pt;margin-top:44.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44" style="position:absolute;margin-left:86.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546" style="position:absolute;margin-left:491.92pt;margin-top:472.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548" style="position:absolute;margin-left:-13.08pt;margin-top:228.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550" style="position:absolute;margin-left:391.92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4" name="IM 34"/>
            <wp:cNvGraphicFramePr/>
            <a:graphic>
              <a:graphicData uri="http://schemas.openxmlformats.org/drawingml/2006/picture">
                <pic:pic>
                  <pic:nvPicPr>
                    <pic:cNvPr id="34" name="IM 34"/>
                    <pic:cNvPicPr/>
                  </pic:nvPicPr>
                  <pic:blipFill>
                    <a:blip r:embed="rId72"/>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71"/>
          <w:pgSz w:w="11900" w:h="16840"/>
          <w:pgMar w:top="642" w:right="0" w:bottom="340" w:left="0" w:header="326" w:footer="111" w:gutter="0"/>
        </w:sectPr>
        <w:rPr/>
      </w:pPr>
    </w:p>
    <w:p>
      <w:pPr>
        <w:spacing w:line="277" w:lineRule="auto"/>
        <w:rPr>
          <w:rFonts w:ascii="Arial"/>
          <w:sz w:val="21"/>
        </w:rPr>
      </w:pPr>
      <w:r>
        <w:pict>
          <v:shape id="_x0000_s552" style="position:absolute;margin-left:491.92pt;margin-top:44.1055pt;mso-position-vertical-relative:page;mso-position-horizontal-relative:page;width:119.4pt;height:18.85pt;z-index:251701248;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54" style="position:absolute;margin-left:86.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556" style="position:absolute;margin-left:-13.08pt;margin-top:228.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558" style="position:absolute;margin-left:391.92pt;margin-top:228.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560" style="position:absolute;margin-left:491.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6" name="IM 36"/>
            <wp:cNvGraphicFramePr/>
            <a:graphic>
              <a:graphicData uri="http://schemas.openxmlformats.org/drawingml/2006/picture">
                <pic:pic>
                  <pic:nvPicPr>
                    <pic:cNvPr id="36" name="IM 36"/>
                    <pic:cNvPicPr/>
                  </pic:nvPicPr>
                  <pic:blipFill>
                    <a:blip r:embed="rId74"/>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73"/>
          <w:pgSz w:w="11900" w:h="16840"/>
          <w:pgMar w:top="642" w:right="0" w:bottom="340" w:left="0" w:header="326" w:footer="111" w:gutter="0"/>
        </w:sectPr>
        <w:rPr/>
      </w:pPr>
    </w:p>
    <w:p>
      <w:pPr>
        <w:spacing w:line="277" w:lineRule="auto"/>
        <w:rPr>
          <w:rFonts w:ascii="Arial"/>
          <w:sz w:val="21"/>
        </w:rPr>
      </w:pPr>
      <w:r>
        <w:pict>
          <v:shape id="_x0000_s562" style="position:absolute;margin-left:491.92pt;margin-top:44.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64" style="position:absolute;margin-left:391.92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566" style="position:absolute;margin-left:491.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568" style="position:absolute;margin-left:-13.08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570" style="position:absolute;margin-left:86.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8" name="IM 38"/>
            <wp:cNvGraphicFramePr/>
            <a:graphic>
              <a:graphicData uri="http://schemas.openxmlformats.org/drawingml/2006/picture">
                <pic:pic>
                  <pic:nvPicPr>
                    <pic:cNvPr id="38" name="IM 38"/>
                    <pic:cNvPicPr/>
                  </pic:nvPicPr>
                  <pic:blipFill>
                    <a:blip r:embed="rId76"/>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75"/>
          <w:pgSz w:w="11900" w:h="16840"/>
          <w:pgMar w:top="642" w:right="0" w:bottom="340" w:left="0" w:header="326" w:footer="111" w:gutter="0"/>
        </w:sectPr>
        <w:rPr/>
      </w:pPr>
    </w:p>
    <w:p>
      <w:pPr>
        <w:spacing w:line="277" w:lineRule="auto"/>
        <w:rPr>
          <w:rFonts w:ascii="Arial"/>
          <w:sz w:val="21"/>
        </w:rPr>
      </w:pPr>
      <w:r>
        <w:pict>
          <v:shape id="_x0000_s572" style="position:absolute;margin-left:491.92pt;margin-top:44.1055pt;mso-position-vertical-relative:page;mso-position-horizontal-relative:page;width:119.4pt;height:18.85pt;z-index:25170841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574" style="position:absolute;margin-left:391.92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576" style="position:absolute;margin-left:491.92pt;margin-top:472.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578" style="position:absolute;margin-left:-13.08pt;margin-top:228.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580" style="position:absolute;margin-left:86.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40" name="IM 40"/>
            <wp:cNvGraphicFramePr/>
            <a:graphic>
              <a:graphicData uri="http://schemas.openxmlformats.org/drawingml/2006/picture">
                <pic:pic>
                  <pic:nvPicPr>
                    <pic:cNvPr id="40" name="IM 40"/>
                    <pic:cNvPicPr/>
                  </pic:nvPicPr>
                  <pic:blipFill>
                    <a:blip r:embed="rId78"/>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7"/>
          <w:pgSz w:w="11900" w:h="16840"/>
          <w:pgMar w:top="642" w:right="0" w:bottom="340" w:left="0" w:header="326" w:footer="111" w:gutter="0"/>
        </w:sectPr>
        <w:rPr/>
      </w:pPr>
    </w:p>
    <w:p>
      <w:pPr>
        <w:spacing w:line="277" w:lineRule="auto"/>
        <w:rPr>
          <w:rFonts w:ascii="Arial"/>
          <w:sz w:val="21"/>
        </w:rPr>
      </w:pPr>
      <w:r>
        <w:pict>
          <v:shape id="_x0000_s582" style="position:absolute;margin-left:491.92pt;margin-top:44.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89"/>
        <w:spacing w:line="13461" w:lineRule="exact"/>
        <w:rPr/>
      </w:pPr>
      <w:r>
        <w:pict>
          <v:shape id="_x0000_s584" style="position:absolute;margin-left:491.92pt;margin-top:472.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586" style="position:absolute;margin-left:391.92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588" style="position:absolute;margin-left:-13.08pt;margin-top:228.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590" style="position:absolute;margin-left:86.92pt;margin-top:472.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42" name="IM 42"/>
            <wp:cNvGraphicFramePr/>
            <a:graphic>
              <a:graphicData uri="http://schemas.openxmlformats.org/drawingml/2006/picture">
                <pic:pic>
                  <pic:nvPicPr>
                    <pic:cNvPr id="42" name="IM 42"/>
                    <pic:cNvPicPr/>
                  </pic:nvPicPr>
                  <pic:blipFill>
                    <a:blip r:embed="rId80"/>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79"/>
          <w:pgSz w:w="11900" w:h="16840"/>
          <w:pgMar w:top="642" w:right="0" w:bottom="340" w:left="0" w:header="326" w:footer="111" w:gutter="0"/>
        </w:sectPr>
        <w:rPr/>
      </w:pPr>
    </w:p>
    <w:p>
      <w:pPr>
        <w:spacing w:line="277" w:lineRule="auto"/>
        <w:rPr>
          <w:rFonts w:ascii="Arial"/>
          <w:sz w:val="21"/>
        </w:rPr>
      </w:pPr>
      <w:r>
        <w:pict>
          <v:shape id="_x0000_s592" style="position:absolute;margin-left:491.92pt;margin-top:44.1055pt;mso-position-vertical-relative:page;mso-position-horizontal-relative:page;width:119.4pt;height:18.85pt;z-index:25172275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594" style="position:absolute;margin-left:391.92pt;margin-top:228.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pict>
          <v:shape id="_x0000_s596" style="position:absolute;margin-left:-13.08pt;margin-top:228.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598" style="position:absolute;margin-left:491.92pt;margin-top:472.067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600" style="position:absolute;margin-left:86.92pt;margin-top:472.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44" name="IM 44"/>
            <wp:cNvGraphicFramePr/>
            <a:graphic>
              <a:graphicData uri="http://schemas.openxmlformats.org/drawingml/2006/picture">
                <pic:pic>
                  <pic:nvPicPr>
                    <pic:cNvPr id="44" name="IM 44"/>
                    <pic:cNvPicPr/>
                  </pic:nvPicPr>
                  <pic:blipFill>
                    <a:blip r:embed="rId82"/>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81"/>
          <w:pgSz w:w="11900" w:h="16840"/>
          <w:pgMar w:top="642" w:right="0" w:bottom="340" w:left="0" w:header="326" w:footer="111" w:gutter="0"/>
        </w:sectPr>
        <w:rPr/>
      </w:pPr>
    </w:p>
    <w:p>
      <w:pPr>
        <w:spacing w:line="269" w:lineRule="auto"/>
        <w:rPr>
          <w:rFonts w:ascii="Arial"/>
          <w:sz w:val="21"/>
        </w:rPr>
      </w:pPr>
      <w:r/>
    </w:p>
    <w:p>
      <w:pPr>
        <w:spacing w:line="270"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83"/>
      <w:footerReference w:type="default" r:id="rId84"/>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bookmarkStart w:name="bookmark48" w:id="44"/>
    <w:bookmarkEnd w:id="44"/>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bookmarkStart w:name="bookmark49" w:id="49"/>
    <w:bookmarkEnd w:id="49"/>
    <w:r>
      <w:rPr>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-38-</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62" style="position:absolute;margin-left:94.1286pt;margin-top:66.2782pt;mso-position-vertical-relative:page;mso-position-horizontal-relative:page;width:40.05pt;height:7.9pt;z-index:-251570176;" o:allowincell="f" fillcolor="#212529" filled="true" stroked="false" type="#_x0000_t136">
          <v:textpath style="font-family:&quot;SimSun&quot;;font-size:7.5;v-text-kern:t;mso-text-shadow:auto" string="政拨款结转"/>
        </v:shape>
      </w:pict>
    </w:r>
    <w:r>
      <w:pict>
        <v:shape id="PowerPlusWaterMarkObject164" style="position:absolute;margin-left:86.92pt;margin-top:27.7633pt;mso-position-vertical-relative:text;mso-position-horizontal-relative:text;width:119.4pt;height:18.85pt;z-index:-251567104;rotation:330;" fillcolor="#404040" filled="true" stroked="false" type="#_x0000_t136">
          <v:fill opacity="0.400000"/>
          <v:textpath style="font-family:&quot;SimSun&quot;;font-size:20;v-text-kern:t;mso-text-shadow:auto" string="仅供内部审核"/>
        </v:shape>
      </w:pict>
    </w:r>
    <w:r>
      <w:pict>
        <v:shape id="PowerPlusWaterMarkObject166" style="position:absolute;margin-left:-13.08pt;margin-top:288.10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491.92pt;margin-top:44.1055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391.92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86.92pt;margin-top:532.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13.08pt;margin-top:776.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_x0000_s180" style="position:absolute;margin-left:30pt;margin-top:29.5pt;mso-position-vertical-relative:page;mso-position-horizontal-relative:page;width:535pt;height:1pt;z-index:-251569152;"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82" style="position:absolute;margin-left:86.92pt;margin-top:27.7633pt;mso-position-vertical-relative:text;mso-position-horizontal-relative:text;width:119.4pt;height:18.85pt;z-index:-251551744;rotation:330;" fillcolor="#404040" filled="true" stroked="false" type="#_x0000_t136">
          <v:fill opacity="0.400000"/>
          <v:textpath style="font-family:&quot;SimSun&quot;;font-size:20;v-text-kern:t;mso-text-shadow:auto" string="仅供内部审核"/>
        </v:shape>
      </w:pict>
    </w:r>
    <w:r>
      <w:pict>
        <v:shape id="PowerPlusWaterMarkObject184" style="position:absolute;margin-left:490.282pt;margin-top:71.2915pt;mso-position-vertical-relative:page;mso-position-horizontal-relative:page;width:35.45pt;height:6.5pt;z-index:-251552768;" o:allowincell="f" fillcolor="#212529" filled="true" stroked="false" type="#_x0000_t136">
          <v:textpath style="font-family:&quot;SimSun&quot;;font-size:6;v-text-kern:t;mso-text-shadow:auto" string="预算公开表5"/>
        </v:shape>
      </w:pict>
    </w:r>
    <w:r>
      <w:pict>
        <v:shape id="PowerPlusWaterMarkObject186"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74.4118pt;margin-top:267.372pt;mso-position-vertical-relative:page;mso-position-horizontal-relative:page;width:15.25pt;height:7.9pt;z-index:-251565056;" o:allowincell="f" fillcolor="#212529" filled="true" stroked="false" type="#_x0000_t136">
          <v:textpath style="font-family:&quot;SimSun&quot;;font-size:7.5;v-text-kern:t;mso-text-shadow:auto" string="1011"/>
        </v:shape>
      </w:pict>
    </w:r>
    <w:r>
      <w:pict>
        <v:shape id="PowerPlusWaterMarkObject190" style="position:absolute;margin-left:69.8661pt;margin-top:282.508pt;mso-position-vertical-relative:page;mso-position-horizontal-relative:page;width:11.7pt;height:7.9pt;z-index:-251564032;" o:allowincell="f" fillcolor="#212529" filled="true" stroked="false" type="#_x0000_t136">
          <v:textpath style="font-family:&quot;SimSun&quot;;font-size:7.5;v-text-kern:t;mso-text-shadow:auto" string="210"/>
        </v:shape>
      </w:pict>
    </w:r>
    <w:r>
      <w:pict>
        <v:shape id="PowerPlusWaterMarkObject192" style="position:absolute;margin-left:-13.08pt;margin-top:288.105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449.083pt;margin-top:282.508pt;mso-position-vertical-relative:page;mso-position-horizontal-relative:page;width:7.7pt;height:7.9pt;z-index:-251561984;" o:allowincell="f" fillcolor="#212529" filled="true" stroked="false" type="#_x0000_t136">
          <v:textpath style="font-family:&quot;SimSun&quot;;font-size:7.5;v-text-kern:t;mso-text-shadow:auto" string="87"/>
        </v:shape>
      </w:pict>
    </w:r>
    <w:r>
      <w:pict>
        <v:shape id="PowerPlusWaterMarkObject196" style="position:absolute;margin-left:436.984pt;margin-top:297.644pt;mso-position-vertical-relative:page;mso-position-horizontal-relative:page;width:19.8pt;height:7.9pt;z-index:-251560960;" o:allowincell="f" fillcolor="#212529" filled="true" stroked="false" type="#_x0000_t136">
          <v:textpath style="font-family:&quot;SimSun&quot;;font-size:7.5;v-text-kern:t;mso-text-shadow:auto" string="24 20"/>
        </v:shape>
      </w:pict>
    </w:r>
    <w:r>
      <w:pict>
        <v:shape id="PowerPlusWaterMarkObject198" style="position:absolute;margin-left:436.984pt;margin-top:312.78pt;mso-position-vertical-relative:page;mso-position-horizontal-relative:page;width:7.65pt;height:7.9pt;z-index:-251559936;" o:allowincell="f" fillcolor="#212529" filled="true" stroked="false" type="#_x0000_t136">
          <v:textpath style="font-family:&quot;SimSun&quot;;font-size:7.5;v-text-kern:t;mso-text-shadow:auto" string="24"/>
        </v:shape>
      </w:pict>
    </w:r>
    <w:r>
      <w:pict>
        <v:shape id="PowerPlusWaterMarkObject200" style="position:absolute;margin-left:391.92pt;margin-top:288.10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86.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10"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12" style="position:absolute;margin-left:86.02pt;margin-top:267.372pt;mso-position-vertical-relative:page;mso-position-horizontal-relative:page;width:15.7pt;height:7.9pt;z-index:-251548672;" o:allowincell="f" fillcolor="#212529" filled="true" stroked="false" type="#_x0000_t136">
          <v:textpath style="font-family:&quot;SimSun&quot;;font-size:7.5;v-text-kern:t;mso-text-shadow:auto" string="住房"/>
        </v:shape>
      </w:pict>
    </w:r>
    <w:r>
      <w:pict>
        <v:shape id="PowerPlusWaterMarkObject214" style="position:absolute;margin-left:69.8978pt;margin-top:282.508pt;mso-position-vertical-relative:page;mso-position-horizontal-relative:page;width:15.6pt;height:7.9pt;z-index:-251549696;" o:allowincell="f" fillcolor="#212529" filled="true" stroked="false" type="#_x0000_t136">
          <v:textpath style="font-family:&quot;SimSun&quot;;font-size:7.5;v-text-kern:t;mso-text-shadow:auto" string="商品"/>
        </v:shape>
      </w:pict>
    </w:r>
    <w:r>
      <w:pict>
        <v:shape id="PowerPlusWaterMarkObject216" style="position:absolute;margin-left:86.92pt;margin-top:27.7633pt;mso-position-vertical-relative:text;mso-position-horizontal-relative:text;width:119.4pt;height:18.85pt;z-index:-251537408;rotation:330;" fillcolor="#404040" filled="true" stroked="false" type="#_x0000_t136">
          <v:fill opacity="0.400000"/>
          <v:textpath style="font-family:&quot;SimSun&quot;;font-size:20;v-text-kern:t;mso-text-shadow:auto" string="仅供内部审核"/>
        </v:shape>
      </w:pict>
    </w:r>
    <w:r>
      <w:pict>
        <v:shape id="PowerPlusWaterMarkObject218" style="position:absolute;margin-left:-13.08pt;margin-top:288.105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86.92pt;margin-top:532.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13.08pt;margin-top:776.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486.557pt;margin-top:71.2915pt;mso-position-vertical-relative:page;mso-position-horizontal-relative:page;width:35.45pt;height:6.5pt;z-index:-251538432;" o:allowincell="f" fillcolor="#212529" filled="true" stroked="false" type="#_x0000_t136">
          <v:textpath style="font-family:&quot;SimSun&quot;;font-size:6;v-text-kern:t;mso-text-shadow:auto" string="预算公开表6"/>
        </v:shape>
      </w:pict>
    </w:r>
    <w:r>
      <w:pict>
        <v:shape id="PowerPlusWaterMarkObject226" style="position:absolute;margin-left:399.19pt;margin-top:312.78pt;mso-position-vertical-relative:page;mso-position-horizontal-relative:page;width:7.55pt;height:7.9pt;z-index:-251546624;" o:allowincell="f" fillcolor="#212529" filled="true" stroked="false" type="#_x0000_t136">
          <v:textpath style="font-family:&quot;SimSun&quot;;font-size:7.5;v-text-kern:t;mso-text-shadow:auto" string="31"/>
        </v:shape>
      </w:pict>
    </w:r>
    <w:r>
      <w:pict>
        <v:shape id="PowerPlusWaterMarkObject228" style="position:absolute;margin-left:399.222pt;margin-top:327.916pt;mso-position-vertical-relative:page;mso-position-horizontal-relative:page;width:7.55pt;height:7.9pt;z-index:-251545600;" o:allowincell="f" fillcolor="#212529" filled="true" stroked="false" type="#_x0000_t136">
          <v:textpath style="font-family:&quot;SimSun&quot;;font-size:7.5;v-text-kern:t;mso-text-shadow:auto" string="79"/>
        </v:shape>
      </w:pict>
    </w:r>
    <w:r>
      <w:pict>
        <v:shape id="PowerPlusWaterMarkObject230" style="position:absolute;margin-left:491.92pt;margin-top:44.1055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391.92pt;margin-top:288.105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491.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391.92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_x0000_s238" style="position:absolute;margin-left:30pt;margin-top:29.5pt;mso-position-vertical-relative:page;mso-position-horizontal-relative:page;width:535pt;height:1pt;z-index:-251540480;"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40" style="position:absolute;margin-left:86.92pt;margin-top:27.7633pt;mso-position-vertical-relative:text;mso-position-horizontal-relative:text;width:119.4pt;height:18.85pt;z-index:-251527168;rotation:330;" fillcolor="#404040" filled="true" stroked="false" type="#_x0000_t136">
          <v:fill opacity="0.400000"/>
          <v:textpath style="font-family:&quot;SimSun&quot;;font-size:20;v-text-kern:t;mso-text-shadow:auto" string="仅供内部审核"/>
        </v:shape>
      </w:pict>
    </w:r>
    <w:r>
      <w:pict>
        <v:shape id="PowerPlusWaterMarkObject242" style="position:absolute;margin-left:490.334pt;margin-top:73.4279pt;mso-position-vertical-relative:page;mso-position-horizontal-relative:page;width:35.4pt;height:6.5pt;z-index:-251528192;" o:allowincell="f" fillcolor="#212529" filled="true" stroked="false" type="#_x0000_t136">
          <v:textpath style="font-family:&quot;SimSun&quot;;font-size:6;v-text-kern:t;mso-text-shadow:auto" string="预算公开表7"/>
        </v:shape>
      </w:pict>
    </w:r>
    <w:r>
      <w:pict>
        <v:shape id="PowerPlusWaterMarkObject244" style="position:absolute;margin-left:491.92pt;margin-top:44.1055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391.92pt;margin-top:288.10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86.92pt;margin-top:532.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13.08pt;margin-top:776.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491.92pt;margin-top:532.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391.92pt;margin-top:776.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30pt;margin-top:29.5pt;mso-position-vertical-relative:page;mso-position-horizontal-relative:page;width:535pt;height:1pt;z-index:-251530240;"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60" style="position:absolute;margin-left:86.92pt;margin-top:27.7633pt;mso-position-vertical-relative:text;mso-position-horizontal-relative:text;width:119.4pt;height:18.85pt;z-index:-251516928;rotation:330;" fillcolor="#404040" filled="true" stroked="false" type="#_x0000_t136">
          <v:fill opacity="0.400000"/>
          <v:textpath style="font-family:&quot;SimSun&quot;;font-size:20;v-text-kern:t;mso-text-shadow:auto" string="仅供内部审核"/>
        </v:shape>
      </w:pict>
    </w:r>
    <w:r>
      <w:pict>
        <v:shape id="PowerPlusWaterMarkObject262" style="position:absolute;margin-left:490.282pt;margin-top:73.4538pt;mso-position-vertical-relative:page;mso-position-horizontal-relative:page;width:35.45pt;height:6.5pt;z-index:-251517952;" o:allowincell="f" fillcolor="#212529" filled="true" stroked="false" type="#_x0000_t136">
          <v:textpath style="font-family:&quot;SimSun&quot;;font-size:6;v-text-kern:t;mso-text-shadow:auto" string="预算公开表8"/>
        </v:shape>
      </w:pict>
    </w:r>
    <w:r>
      <w:pict>
        <v:shape id="PowerPlusWaterMarkObject264" style="position:absolute;margin-left:491.92pt;margin-top:44.1055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13.08pt;margin-top:288.105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391.92pt;margin-top:288.105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86.92pt;margin-top:532.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491.92pt;margin-top:532.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391.92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30pt;margin-top:29.5pt;mso-position-vertical-relative:page;mso-position-horizontal-relative:page;width:535pt;height:1pt;z-index:-251520000;"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80" style="position:absolute;margin-left:86.92pt;margin-top:27.7633pt;mso-position-vertical-relative:text;mso-position-horizontal-relative:text;width:119.4pt;height:18.85pt;z-index:-251506688;rotation:330;" fillcolor="#404040" filled="true" stroked="false" type="#_x0000_t136">
          <v:fill opacity="0.400000"/>
          <v:textpath style="font-family:&quot;SimSun&quot;;font-size:20;v-text-kern:t;mso-text-shadow:auto" string="仅供内部审核"/>
        </v:shape>
      </w:pict>
    </w:r>
    <w:r>
      <w:pict>
        <v:shape id="PowerPlusWaterMarkObject282" style="position:absolute;margin-left:490.36pt;margin-top:78.8596pt;mso-position-vertical-relative:page;mso-position-horizontal-relative:page;width:35.35pt;height:6.5pt;z-index:-251507712;" o:allowincell="f" fillcolor="#212529" filled="true" stroked="false" type="#_x0000_t136">
          <v:textpath style="font-family:&quot;SimSun&quot;;font-size:6;v-text-kern:t;mso-text-shadow:auto" string="部门公开表9"/>
        </v:shape>
      </w:pict>
    </w:r>
    <w:r>
      <w:pict>
        <v:shape id="PowerPlusWaterMarkObject284" style="position:absolute;margin-left:491.92pt;margin-top:44.1055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13.08pt;margin-top:288.10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391.92pt;margin-top:288.105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86.92pt;margin-top:532.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13.08pt;margin-top:776.106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491.92pt;margin-top:532.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391.92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_x0000_s298" style="position:absolute;margin-left:30pt;margin-top:29.5pt;mso-position-vertical-relative:page;mso-position-horizontal-relative:page;width:535pt;height:1pt;z-index:-251509760;"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00" style="position:absolute;margin-left:86.92pt;margin-top:27.7633pt;mso-position-vertical-relative:text;mso-position-horizontal-relative:text;width:119.4pt;height:18.85pt;z-index:-251496448;rotation:330;" fillcolor="#404040" filled="true" stroked="false" type="#_x0000_t136">
          <v:fill opacity="0.400000"/>
          <v:textpath style="font-family:&quot;SimSun&quot;;font-size:20;v-text-kern:t;mso-text-shadow:auto" string="仅供内部审核"/>
        </v:shape>
      </w:pict>
    </w:r>
    <w:r>
      <w:pict>
        <v:shape id="PowerPlusWaterMarkObject302" style="position:absolute;margin-left:-13.08pt;margin-top:288.10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86.92pt;margin-top:532.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13.08pt;margin-top:776.106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487.09pt;margin-top:67.4816pt;mso-position-vertical-relative:page;mso-position-horizontal-relative:page;width:38.65pt;height:6.5pt;z-index:-251497472;" o:allowincell="f" fillcolor="#212529" filled="true" stroked="false" type="#_x0000_t136">
          <v:textpath style="font-family:&quot;SimSun&quot;;font-size:6;v-text-kern:t;mso-text-shadow:auto" string="预算公开表11"/>
        </v:shape>
      </w:pict>
    </w:r>
    <w:r>
      <w:pict>
        <v:shape id="PowerPlusWaterMarkObject310" style="position:absolute;margin-left:491.92pt;margin-top:44.1055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391.92pt;margin-top:288.10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491.92pt;margin-top:532.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316" style="position:absolute;margin-left:391.92pt;margin-top:776.106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_x0000_s318" style="position:absolute;margin-left:30pt;margin-top:29.5pt;mso-position-vertical-relative:page;mso-position-horizontal-relative:page;width:535pt;height:1pt;z-index:-251499520;"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20" style="position:absolute;margin-left:77.9747pt;margin-top:262.507pt;mso-position-vertical-relative:page;mso-position-horizontal-relative:page;width:23.75pt;height:7.9pt;z-index:-251494400;" o:allowincell="f" fillcolor="#212529" filled="true" stroked="false" type="#_x0000_t136">
          <v:textpath style="font-family:&quot;SimSun&quot;;font-size:7.5;v-text-kern:t;mso-text-shadow:auto" string="2025年"/>
        </v:shape>
      </w:pict>
    </w:r>
    <w:r>
      <w:pict>
        <v:shape id="PowerPlusWaterMarkObject322" style="position:absolute;margin-left:69.8344pt;margin-top:271.696pt;mso-position-vertical-relative:page;mso-position-horizontal-relative:page;width:31.9pt;height:7.9pt;z-index:-251491328;" o:allowincell="f" fillcolor="#212529" filled="true" stroked="false" type="#_x0000_t136">
          <v:textpath style="font-family:&quot;SimSun&quot;;font-size:7.5;v-text-kern:t;mso-text-shadow:auto" string="展补助资"/>
        </v:shape>
      </w:pict>
    </w:r>
    <w:r>
      <w:pict>
        <v:shape id="PowerPlusWaterMarkObject324" style="position:absolute;margin-left:69.8344pt;margin-top:280.886pt;mso-position-vertical-relative:page;mso-position-horizontal-relative:page;width:23.9pt;height:7.9pt;z-index:-251493376;" o:allowincell="f" fillcolor="#212529" filled="true" stroked="false" type="#_x0000_t136">
          <v:textpath style="font-family:&quot;SimSun&quot;;font-size:7.5;v-text-kern:t;mso-text-shadow:auto" string="社[202"/>
        </v:shape>
      </w:pict>
    </w:r>
    <w:r>
      <w:pict>
        <v:shape id="PowerPlusWaterMarkObject326" style="position:absolute;margin-left:77.9747pt;margin-top:290.617pt;mso-position-vertical-relative:page;mso-position-horizontal-relative:page;width:7.65pt;height:7.9pt;z-index:-251492352;" o:allowincell="f" fillcolor="#212529" filled="true" stroked="false" type="#_x0000_t136">
          <v:textpath style="font-family:&quot;SimSun&quot;;font-size:7.5;v-text-kern:t;mso-text-shadow:auto" string="20"/>
        </v:shape>
      </w:pict>
    </w:r>
    <w:r>
      <w:pict>
        <v:shape id="PowerPlusWaterMarkObject328" style="position:absolute;margin-left:86.92pt;margin-top:27.7633pt;mso-position-vertical-relative:text;mso-position-horizontal-relative:text;width:119.4pt;height:18.85pt;z-index:-251482112;rotation:330;" fillcolor="#404040" filled="true" stroked="false" type="#_x0000_t136">
          <v:fill opacity="0.400000"/>
          <v:textpath style="font-family:&quot;SimSun&quot;;font-size:20;v-text-kern:t;mso-text-shadow:auto" string="仅供内部审核"/>
        </v:shape>
      </w:pict>
    </w:r>
    <w:r>
      <w:pict>
        <v:shape id="PowerPlusWaterMarkObject330" style="position:absolute;margin-left:-13.08pt;margin-top:288.105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86.92pt;margin-top:532.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13.08pt;margin-top:776.106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36" style="position:absolute;margin-left:487.09pt;margin-top:73.4279pt;mso-position-vertical-relative:page;mso-position-horizontal-relative:page;width:38.65pt;height:6.5pt;z-index:-251483136;" o:allowincell="f" fillcolor="#212529" filled="true" stroked="false" type="#_x0000_t136">
          <v:textpath style="font-family:&quot;SimSun&quot;;font-size:6;v-text-kern:t;mso-text-shadow:auto" string="预算公开表12"/>
        </v:shape>
      </w:pict>
    </w:r>
    <w:r>
      <w:pict>
        <v:shape id="PowerPlusWaterMarkObject338" style="position:absolute;margin-left:491.92pt;margin-top:44.1055pt;mso-position-vertical-relative:page;mso-position-horizontal-relative:page;width:119.4pt;height:18.85pt;z-index:-251484160;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391.92pt;margin-top:288.105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491.92pt;margin-top:532.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391.92pt;margin-top:776.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_x0000_s346" style="position:absolute;margin-left:30pt;margin-top:29.5pt;mso-position-vertical-relative:page;mso-position-horizontal-relative:page;width:535pt;height:1pt;z-index:-251485184;"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48" style="position:absolute;margin-left:78.306pt;margin-top:263.047pt;mso-position-vertical-relative:page;mso-position-horizontal-relative:page;width:23.45pt;height:7.9pt;z-index:-251480064;" o:allowincell="f" fillcolor="#212529" filled="true" stroked="false" type="#_x0000_t136">
          <v:textpath style="font-family:&quot;SimSun&quot;;font-size:7.5;v-text-kern:t;mso-text-shadow:auto" string="（兴财"/>
        </v:shape>
      </w:pict>
    </w:r>
    <w:r>
      <w:pict>
        <v:shape id="PowerPlusWaterMarkObject350" style="position:absolute;margin-left:69.611pt;margin-top:272.237pt;mso-position-vertical-relative:page;mso-position-horizontal-relative:page;width:36.25pt;height:7.9pt;z-index:-251479040;" o:allowincell="f" fillcolor="#212529" filled="true" stroked="false" type="#_x0000_t136">
          <v:textpath style="font-family:&quot;SimSun&quot;;font-size:7.5;v-text-kern:t;mso-text-shadow:auto" string="【2023】 2"/>
        </v:shape>
      </w:pict>
    </w:r>
    <w:r>
      <w:pict>
        <v:shape id="PowerPlusWaterMarkObject352" style="position:absolute;margin-left:86.92pt;margin-top:27.7633pt;mso-position-vertical-relative:text;mso-position-horizontal-relative:text;width:119.4pt;height:18.85pt;z-index:-251469824;rotation:330;" fillcolor="#404040" filled="true" stroked="false" type="#_x0000_t136">
          <v:fill opacity="0.400000"/>
          <v:textpath style="font-family:&quot;SimSun&quot;;font-size:20;v-text-kern:t;mso-text-shadow:auto" string="仅供内部审核"/>
        </v:shape>
      </w:pict>
    </w:r>
    <w:r>
      <w:pict>
        <v:shape id="PowerPlusWaterMarkObject354" style="position:absolute;margin-left:-13.08pt;margin-top:288.105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356" style="position:absolute;margin-left:86.92pt;margin-top:532.106pt;mso-position-vertical-relative:page;mso-position-horizontal-relative:page;width:119.4pt;height:18.85pt;z-index:-251475968;rotation:330;" o:allowincell="f" fillcolor="#404040" filled="true" stroked="false" type="#_x0000_t136">
          <v:fill opacity="0.400000"/>
          <v:textpath style="font-family:&quot;SimSun&quot;;font-size:20;v-text-kern:t;mso-text-shadow:auto" string="仅供内部审核"/>
        </v:shape>
      </w:pict>
    </w:r>
    <w:r>
      <w:pict>
        <v:shape id="PowerPlusWaterMarkObject358" style="position:absolute;margin-left:-13.08pt;margin-top:776.106pt;mso-position-vertical-relative:page;mso-position-horizontal-relative:page;width:119.4pt;height:18.85pt;z-index:-251473920;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487.09pt;margin-top:73.4279pt;mso-position-vertical-relative:page;mso-position-horizontal-relative:page;width:38.65pt;height:6.5pt;z-index:-251470848;" o:allowincell="f" fillcolor="#212529" filled="true" stroked="false" type="#_x0000_t136">
          <v:textpath style="font-family:&quot;SimSun&quot;;font-size:6;v-text-kern:t;mso-text-shadow:auto" string="预算公开表13"/>
        </v:shape>
      </w:pict>
    </w:r>
    <w:r>
      <w:pict>
        <v:shape id="PowerPlusWaterMarkObject362" style="position:absolute;margin-left:491.92pt;margin-top:44.1055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PowerPlusWaterMarkObject364" style="position:absolute;margin-left:391.92pt;margin-top:288.105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66" style="position:absolute;margin-left:491.92pt;margin-top:532.106pt;mso-position-vertical-relative:page;mso-position-horizontal-relative:page;width:119.4pt;height:18.85pt;z-index:-251476992;rotation:330;" o:allowincell="f" fillcolor="#404040" filled="true" stroked="false" type="#_x0000_t136">
          <v:fill opacity="0.400000"/>
          <v:textpath style="font-family:&quot;SimSun&quot;;font-size:20;v-text-kern:t;mso-text-shadow:auto" string="仅供内部审核"/>
        </v:shape>
      </w:pict>
    </w:r>
    <w:r>
      <w:pict>
        <v:shape id="PowerPlusWaterMarkObject368" style="position:absolute;margin-left:391.92pt;margin-top:776.106pt;mso-position-vertical-relative:page;mso-position-horizontal-relative:page;width:119.4pt;height:18.85pt;z-index:-251474944;rotation:330;" o:allowincell="f" fillcolor="#404040" filled="true" stroked="false" type="#_x0000_t136">
          <v:fill opacity="0.400000"/>
          <v:textpath style="font-family:&quot;SimSun&quot;;font-size:20;v-text-kern:t;mso-text-shadow:auto" string="仅供内部审核"/>
        </v:shape>
      </w:pict>
    </w:r>
    <w:r>
      <w:pict>
        <v:shape id="_x0000_s370" style="position:absolute;margin-left:30pt;margin-top:29.5pt;mso-position-vertical-relative:page;mso-position-horizontal-relative:page;width:535pt;height:1pt;z-index:-251472896;"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72" style="position:absolute;margin-left:86.92pt;margin-top:27.7633pt;mso-position-vertical-relative:text;mso-position-horizontal-relative:text;width:119.4pt;height:18.85pt;z-index:-251453440;rotation:330;" fillcolor="#404040" filled="true" stroked="false" type="#_x0000_t136">
          <v:fill opacity="0.400000"/>
          <v:textpath style="font-family:&quot;SimSun&quot;;font-size:20;v-text-kern:t;mso-text-shadow:auto" string="仅供内部审核"/>
        </v:shape>
      </w:pict>
    </w:r>
    <w:r>
      <w:pict>
        <v:shape id="PowerPlusWaterMarkObject374" style="position:absolute;margin-left:491.92pt;margin-top:44.1055pt;mso-position-vertical-relative:page;mso-position-horizontal-relative:page;width:119.4pt;height:18.85pt;z-index:-251454464;rotation:330;" o:allowincell="f" fillcolor="#404040" filled="true" stroked="false" type="#_x0000_t136">
          <v:fill opacity="0.400000"/>
          <v:textpath style="font-family:&quot;SimSun&quot;;font-size:20;v-text-kern:t;mso-text-shadow:auto" string="仅供内部审核"/>
        </v:shape>
      </w:pict>
    </w:r>
    <w:r>
      <w:pict>
        <v:shape id="PowerPlusWaterMarkObject376" style="position:absolute;margin-left:80.9134pt;margin-top:258.837pt;mso-position-vertical-relative:page;mso-position-horizontal-relative:page;width:10.6pt;height:11.8pt;z-index:-251467776;" o:allowincell="f" fillcolor="#000000" filled="true" stroked="false" type="#_x0000_t136">
          <v:textpath style="font-family:&quot;FangSong&quot;;font-size:11.5;v-text-kern:t;mso-text-shadow:auto" string="元"/>
        </v:shape>
      </w:pict>
    </w:r>
    <w:r>
      <w:pict>
        <v:shape id="PowerPlusWaterMarkObject378" style="position:absolute;margin-left:63.38pt;margin-top:278.838pt;mso-position-vertical-relative:page;mso-position-horizontal-relative:page;width:33.65pt;height:11.8pt;z-index:-251466752;" o:allowincell="f" fillcolor="#000000" filled="true" stroked="false" type="#_x0000_t136">
          <v:textpath style="font-family:&quot;FangSong&quot;;font-size:11.5;v-text-kern:t;mso-text-shadow:auto" string="元  占"/>
        </v:shape>
      </w:pict>
    </w:r>
    <w:r>
      <w:pict>
        <v:shape id="PowerPlusWaterMarkObject380" style="position:absolute;margin-left:-13.08pt;margin-top:288.105pt;mso-position-vertical-relative:page;mso-position-horizontal-relative:page;width:119.4pt;height:18.85pt;z-index:-251468800;rotation:330;" o:allowincell="f" fillcolor="#404040" filled="true" stroked="false" type="#_x0000_t136">
          <v:fill opacity="0.400000"/>
          <v:textpath style="font-family:&quot;SimSun&quot;;font-size:20;v-text-kern:t;mso-text-shadow:auto" string="仅供内部审核"/>
        </v:shape>
      </w:pict>
    </w:r>
    <w:r>
      <w:pict>
        <v:shape id="PowerPlusWaterMarkObject382" style="position:absolute;margin-left:488.366pt;margin-top:258.837pt;mso-position-vertical-relative:page;mso-position-horizontal-relative:page;width:16.55pt;height:11.8pt;z-index:-251464704;" o:allowincell="f" fillcolor="#000000" filled="true" stroked="false" type="#_x0000_t136">
          <v:textpath style="font-family:&quot;FangSong&quot;;font-size:11.5;v-text-kern:t;mso-text-shadow:auto" string="转7"/>
        </v:shape>
      </w:pict>
    </w:r>
    <w:r>
      <w:pict>
        <v:shape id="PowerPlusWaterMarkObject384" style="position:absolute;margin-left:391.92pt;margin-top:288.105pt;mso-position-vertical-relative:page;mso-position-horizontal-relative:page;width:119.4pt;height:18.85pt;z-index:-251465728;rotation:330;" o:allowincell="f" fillcolor="#404040" filled="true" stroked="false" type="#_x0000_t136">
          <v:fill opacity="0.400000"/>
          <v:textpath style="font-family:&quot;SimSun&quot;;font-size:20;v-text-kern:t;mso-text-shadow:auto" string="仅供内部审核"/>
        </v:shape>
      </w:pict>
    </w:r>
    <w:r>
      <w:pict>
        <v:shape id="PowerPlusWaterMarkObject386" style="position:absolute;margin-left:159.167pt;margin-top:513.988pt;mso-position-vertical-relative:page;mso-position-horizontal-relative:page;width:47.25pt;height:11.8pt;z-index:-251461632;" o:allowincell="f" fillcolor="#000000" filled="true" stroked="false" type="#_x0000_t136">
          <v:textpath style="font-family:&quot;FangSong&quot;;font-size:11.5;v-text-kern:t;mso-text-shadow:auto" string="奥家湾乡"/>
        </v:shape>
      </w:pict>
    </w:r>
    <w:r>
      <w:pict>
        <v:shape id="PowerPlusWaterMarkObject388" style="position:absolute;margin-left:132.372pt;margin-top:533.99pt;mso-position-vertical-relative:page;mso-position-horizontal-relative:page;width:45.4pt;height:11.8pt;z-index:-251462656;" o:allowincell="f" fillcolor="#000000" filled="true" stroked="false" type="#_x0000_t136">
          <v:textpath style="font-family:&quot;FangSong&quot;;font-size:11.5;v-text-kern:t;mso-text-shadow:auto" string="支出31 9"/>
        </v:shape>
      </w:pict>
    </w:r>
    <w:r>
      <w:pict>
        <v:shape id="PowerPlusWaterMarkObject390" style="position:absolute;margin-left:86.92pt;margin-top:532.106pt;mso-position-vertical-relative:page;mso-position-horizontal-relative:page;width:119.4pt;height:18.85pt;z-index:-251463680;rotation:330;" o:allowincell="f" fillcolor="#404040" filled="true" stroked="false" type="#_x0000_t136">
          <v:fill opacity="0.400000"/>
          <v:textpath style="font-family:&quot;SimSun&quot;;font-size:20;v-text-kern:t;mso-text-shadow:auto" string="仅供内部审核"/>
        </v:shape>
      </w:pict>
    </w:r>
    <w:r>
      <w:pict>
        <v:shape id="PowerPlusWaterMarkObject392" style="position:absolute;margin-left:491.92pt;margin-top:532.106pt;mso-position-vertical-relative:page;mso-position-horizontal-relative:page;width:119.4pt;height:18.85pt;z-index:-251460608;rotation:330;" o:allowincell="f" fillcolor="#404040" filled="true" stroked="false" type="#_x0000_t136">
          <v:fill opacity="0.400000"/>
          <v:textpath style="font-family:&quot;SimSun&quot;;font-size:20;v-text-kern:t;mso-text-shadow:auto" string="仅供内部审核"/>
        </v:shape>
      </w:pict>
    </w:r>
    <w:r>
      <w:pict>
        <v:shape id="PowerPlusWaterMarkObject394" style="position:absolute;margin-left:86.0353pt;margin-top:756.166pt;mso-position-vertical-relative:page;mso-position-horizontal-relative:page;width:424.5pt;height:11.8pt;z-index:-251456512;" o:allowincell="f" fillcolor="#000000" filled="true" stroked="false" type="#_x0000_t136">
          <v:textpath style="font-family:&quot;FangSong&quot;;font-size:11.5;v-text-kern:t;mso-text-shadow:auto" string="2025                                                                下方面"/>
        </v:shape>
      </w:pict>
    </w:r>
    <w:r>
      <w:pict>
        <v:shape id="PowerPlusWaterMarkObject396" style="position:absolute;margin-left:63.5645pt;margin-top:776.167pt;mso-position-vertical-relative:page;mso-position-horizontal-relative:page;width:408.4pt;height:11.8pt;z-index:-251457536;" o:allowincell="f" fillcolor="#000000" filled="true" stroked="false" type="#_x0000_t136">
          <v:textpath style="font-family:&quot;FangSong&quot;;font-size:11.5;v-text-kern:t;mso-text-shadow:auto" string="会                                                              4 59%；"/>
        </v:shape>
      </w:pict>
    </w:r>
    <w:r>
      <w:pict>
        <v:shape id="PowerPlusWaterMarkObject398" style="position:absolute;margin-left:-13.08pt;margin-top:776.106pt;mso-position-vertical-relative:page;mso-position-horizontal-relative:page;width:119.4pt;height:18.85pt;z-index:-251458560;rotation:330;" o:allowincell="f" fillcolor="#404040" filled="true" stroked="false" type="#_x0000_t136">
          <v:fill opacity="0.400000"/>
          <v:textpath style="font-family:&quot;SimSun&quot;;font-size:20;v-text-kern:t;mso-text-shadow:auto" string="仅供内部审核"/>
        </v:shape>
      </w:pict>
    </w:r>
    <w:r>
      <w:pict>
        <v:shape id="PowerPlusWaterMarkObject400" style="position:absolute;margin-left:391.92pt;margin-top:776.106pt;mso-position-vertical-relative:page;mso-position-horizontal-relative:page;width:119.4pt;height:18.85pt;z-index:-251459584;rotation:330;" o:allowincell="f" fillcolor="#404040" filled="true" stroked="false" type="#_x0000_t136">
          <v:fill opacity="0.400000"/>
          <v:textpath style="font-family:&quot;SimSun&quot;;font-size:20;v-text-kern:t;mso-text-shadow:auto" string="仅供内部审核"/>
        </v:shape>
      </w:pict>
    </w:r>
    <w:r>
      <w:pict>
        <v:shape id="_x0000_s402" style="position:absolute;margin-left:30pt;margin-top:29.5pt;mso-position-vertical-relative:page;mso-position-horizontal-relative:page;width:535pt;height:1pt;z-index:-251455488;"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13.08pt;margin-top:776.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404" style="position:absolute;margin-left:86.92pt;margin-top:27.7633pt;mso-position-vertical-relative:text;mso-position-horizontal-relative:text;width:119.4pt;height:18.85pt;z-index:-251436032;rotation:330;" fillcolor="#404040" filled="true" stroked="false" type="#_x0000_t136">
          <v:fill opacity="0.400000"/>
          <v:textpath style="font-family:&quot;SimSun&quot;;font-size:20;v-text-kern:t;mso-text-shadow:auto" string="仅供内部审核"/>
        </v:shape>
      </w:pict>
    </w:r>
    <w:r>
      <w:pict>
        <v:shape id="PowerPlusWaterMarkObject406" style="position:absolute;margin-left:491.92pt;margin-top:44.1055pt;mso-position-vertical-relative:page;mso-position-horizontal-relative:page;width:119.4pt;height:18.85pt;z-index:-251437056;rotation:330;" o:allowincell="f" fillcolor="#404040" filled="true" stroked="false" type="#_x0000_t136">
          <v:fill opacity="0.400000"/>
          <v:textpath style="font-family:&quot;SimSun&quot;;font-size:20;v-text-kern:t;mso-text-shadow:auto" string="仅供内部审核"/>
        </v:shape>
      </w:pict>
    </w:r>
    <w:r>
      <w:pict>
        <v:shape id="PowerPlusWaterMarkObject408" style="position:absolute;margin-left:86.4389pt;margin-top:266.946pt;mso-position-vertical-relative:page;mso-position-horizontal-relative:page;width:22.45pt;height:11.8pt;z-index:-251447296;" o:allowincell="f" fillcolor="#000000" filled="true" stroked="false" type="#_x0000_t136">
          <v:textpath style="font-family:&quot;FangSong&quot;;font-size:11.5;v-text-kern:t;mso-text-shadow:auto" string="人员"/>
        </v:shape>
      </w:pict>
    </w:r>
    <w:r>
      <w:pict>
        <v:shape id="PowerPlusWaterMarkObject410" style="position:absolute;margin-left:63.4722pt;margin-top:286.947pt;mso-position-vertical-relative:page;mso-position-horizontal-relative:page;width:22.3pt;height:11.8pt;z-index:-251448320;" o:allowincell="f" fillcolor="#000000" filled="true" stroked="false" type="#_x0000_t136">
          <v:textpath style="font-family:&quot;FangSong&quot;;font-size:11.5;v-text-kern:t;mso-text-shadow:auto" string="工资"/>
        </v:shape>
      </w:pict>
    </w:r>
    <w:r>
      <w:pict>
        <v:shape id="PowerPlusWaterMarkObject412" style="position:absolute;margin-left:-13.08pt;margin-top:288.105pt;mso-position-vertical-relative:page;mso-position-horizontal-relative:page;width:119.4pt;height:18.85pt;z-index:-251449344;rotation:330;" o:allowincell="f" fillcolor="#404040" filled="true" stroked="false" type="#_x0000_t136">
          <v:fill opacity="0.400000"/>
          <v:textpath style="font-family:&quot;SimSun&quot;;font-size:20;v-text-kern:t;mso-text-shadow:auto" string="仅供内部审核"/>
        </v:shape>
      </w:pict>
    </w:r>
    <w:r>
      <w:pict>
        <v:shape id="PowerPlusWaterMarkObject414" style="position:absolute;margin-left:475.819pt;margin-top:266.946pt;mso-position-vertical-relative:page;mso-position-horizontal-relative:page;width:22.55pt;height:11.8pt;z-index:-251451392;" o:allowincell="f" fillcolor="#000000" filled="true" stroked="false" type="#_x0000_t136">
          <v:textpath style="font-family:&quot;FangSong&quot;;font-size:11.5;v-text-kern:t;mso-text-shadow:auto" string="缴费"/>
        </v:shape>
      </w:pict>
    </w:r>
    <w:r>
      <w:pict>
        <v:shape id="PowerPlusWaterMarkObject416" style="position:absolute;margin-left:452.273pt;margin-top:286.947pt;mso-position-vertical-relative:page;mso-position-horizontal-relative:page;width:34.4pt;height:11.8pt;z-index:-251450368;" o:allowincell="f" fillcolor="#000000" filled="true" stroked="false" type="#_x0000_t136">
          <v:textpath style="font-family:&quot;FangSong&quot;;font-size:11.5;v-text-kern:t;mso-text-shadow:auto" string="职工基"/>
        </v:shape>
      </w:pict>
    </w:r>
    <w:r>
      <w:pict>
        <v:shape id="PowerPlusWaterMarkObject418" style="position:absolute;margin-left:391.92pt;margin-top:288.105pt;mso-position-vertical-relative:page;mso-position-horizontal-relative:page;width:119.4pt;height:18.85pt;z-index:-251452416;rotation:330;" o:allowincell="f" fillcolor="#404040" filled="true" stroked="false" type="#_x0000_t136">
          <v:fill opacity="0.400000"/>
          <v:textpath style="font-family:&quot;SimSun&quot;;font-size:20;v-text-kern:t;mso-text-shadow:auto" string="仅供内部审核"/>
        </v:shape>
      </w:pict>
    </w:r>
    <w:r>
      <w:pict>
        <v:shape id="PowerPlusWaterMarkObject420" style="position:absolute;margin-left:161.161pt;margin-top:509.123pt;mso-position-vertical-relative:page;mso-position-horizontal-relative:page;width:10.85pt;height:11.8pt;z-index:-251442176;" o:allowincell="f" fillcolor="#000000" filled="true" stroked="false" type="#_x0000_t136">
          <v:textpath style="font-family:&quot;FangSong&quot;;font-size:11.5;v-text-kern:t;mso-text-shadow:auto" string="标"/>
        </v:shape>
      </w:pict>
    </w:r>
    <w:r>
      <w:pict>
        <v:shape id="PowerPlusWaterMarkObject422" style="position:absolute;margin-left:132.418pt;margin-top:529.125pt;mso-position-vertical-relative:page;mso-position-horizontal-relative:page;width:45.35pt;height:11.8pt;z-index:-251445248;" o:allowincell="f" fillcolor="#000000" filled="true" stroked="false" type="#_x0000_t136">
          <v:textpath style="font-family:&quot;FangSong&quot;;font-size:11.5;v-text-kern:t;mso-text-shadow:auto" string="位整体绩"/>
        </v:shape>
      </w:pict>
    </w:r>
    <w:r>
      <w:pict>
        <v:shape id="PowerPlusWaterMarkObject424" style="position:absolute;margin-left:103.595pt;margin-top:549.126pt;mso-position-vertical-relative:page;mso-position-horizontal-relative:page;width:45.35pt;height:11.8pt;z-index:-251443200;" o:allowincell="f" fillcolor="#000000" filled="true" stroked="false" type="#_x0000_t136">
          <v:textpath style="font-family:&quot;FangSong&quot;;font-size:11.5;v-text-kern:t;mso-text-shadow:auto" string="项目绩效"/>
        </v:shape>
      </w:pict>
    </w:r>
    <w:r>
      <w:pict>
        <v:shape id="PowerPlusWaterMarkObject426" style="position:absolute;margin-left:97.5647pt;margin-top:569.668pt;mso-position-vertical-relative:page;mso-position-horizontal-relative:page;width:11pt;height:11.8pt;z-index:-251444224;" o:allowincell="f" fillcolor="#000000" filled="true" stroked="false" type="#_x0000_t136">
          <v:textpath style="font-family:&quot;FangSong&quot;;font-size:11.5;v-text-kern:t;mso-text-shadow:auto" string="25"/>
        </v:shape>
      </w:pict>
    </w:r>
    <w:r>
      <w:pict>
        <v:shape id="PowerPlusWaterMarkObject428" style="position:absolute;margin-left:86.92pt;margin-top:532.106pt;mso-position-vertical-relative:page;mso-position-horizontal-relative:page;width:119.4pt;height:18.85pt;z-index:-251446272;rotation:330;" o:allowincell="f" fillcolor="#404040" filled="true" stroked="false" type="#_x0000_t136">
          <v:fill opacity="0.400000"/>
          <v:textpath style="font-family:&quot;SimSun&quot;;font-size:20;v-text-kern:t;mso-text-shadow:auto" string="仅供内部审核"/>
        </v:shape>
      </w:pict>
    </w:r>
    <w:r>
      <w:pict>
        <v:shape id="PowerPlusWaterMarkObject430" style="position:absolute;margin-left:491.92pt;margin-top:532.106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PowerPlusWaterMarkObject432" style="position:absolute;margin-left:-13.08pt;margin-top:776.106pt;mso-position-vertical-relative:page;mso-position-horizontal-relative:page;width:119.4pt;height:18.85pt;z-index:-251439104;rotation:330;" o:allowincell="f" fillcolor="#404040" filled="true" stroked="false" type="#_x0000_t136">
          <v:fill opacity="0.400000"/>
          <v:textpath style="font-family:&quot;SimSun&quot;;font-size:20;v-text-kern:t;mso-text-shadow:auto" string="仅供内部审核"/>
        </v:shape>
      </w:pict>
    </w:r>
    <w:r>
      <w:pict>
        <v:shape id="PowerPlusWaterMarkObject434" style="position:absolute;margin-left:391.92pt;margin-top:776.106pt;mso-position-vertical-relative:page;mso-position-horizontal-relative:page;width:119.4pt;height:18.85pt;z-index:-251440128;rotation:330;" o:allowincell="f" fillcolor="#404040" filled="true" stroked="false" type="#_x0000_t136">
          <v:fill opacity="0.400000"/>
          <v:textpath style="font-family:&quot;SimSun&quot;;font-size:20;v-text-kern:t;mso-text-shadow:auto" string="仅供内部审核"/>
        </v:shape>
      </w:pict>
    </w:r>
    <w:r>
      <w:pict>
        <v:shape id="_x0000_s436" style="position:absolute;margin-left:30pt;margin-top:29.5pt;mso-position-vertical-relative:page;mso-position-horizontal-relative:page;width:535pt;height:1pt;z-index:-251438080;"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438" style="position:absolute;margin-left:86.92pt;margin-top:27.7633pt;mso-position-vertical-relative:text;mso-position-horizontal-relative:text;width:119.4pt;height:18.85pt;z-index:-251428864;rotation:330;" fillcolor="#404040" filled="true" stroked="false" type="#_x0000_t136">
          <v:fill opacity="0.400000"/>
          <v:textpath style="font-family:&quot;SimSun&quot;;font-size:20;v-text-kern:t;mso-text-shadow:auto" string="仅供内部审核"/>
        </v:shape>
      </w:pict>
    </w:r>
    <w:r>
      <w:pict>
        <v:shape id="PowerPlusWaterMarkObject440" style="position:absolute;margin-left:-13.08pt;margin-top:288.105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PowerPlusWaterMarkObject442" style="position:absolute;margin-left:491.92pt;margin-top:44.1055pt;mso-position-vertical-relative:page;mso-position-horizontal-relative:page;width:119.4pt;height:18.85pt;z-index:-251429888;rotation:330;" o:allowincell="f" fillcolor="#404040" filled="true" stroked="false" type="#_x0000_t136">
          <v:fill opacity="0.400000"/>
          <v:textpath style="font-family:&quot;SimSun&quot;;font-size:20;v-text-kern:t;mso-text-shadow:auto" string="仅供内部审核"/>
        </v:shape>
      </w:pict>
    </w:r>
    <w:r>
      <w:pict>
        <v:shape id="PowerPlusWaterMarkObject444" style="position:absolute;margin-left:-13.08pt;margin-top:776.106pt;mso-position-vertical-relative:page;mso-position-horizontal-relative:page;width:119.4pt;height:18.85pt;z-index:-251432960;rotation:330;" o:allowincell="f" fillcolor="#404040" filled="true" stroked="false" type="#_x0000_t136">
          <v:fill opacity="0.400000"/>
          <v:textpath style="font-family:&quot;SimSun&quot;;font-size:20;v-text-kern:t;mso-text-shadow:auto" string="仅供内部审核"/>
        </v:shape>
      </w:pict>
    </w:r>
    <w:r>
      <w:pict>
        <v:shape id="PowerPlusWaterMarkObject446" style="position:absolute;margin-left:491.92pt;margin-top:532.106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pict>
        <v:shape id="PowerPlusWaterMarkObject448" style="position:absolute;margin-left:391.92pt;margin-top:776.106pt;mso-position-vertical-relative:page;mso-position-horizontal-relative:page;width:119.4pt;height:18.85pt;z-index:-251433984;rotation:330;" o:allowincell="f" fillcolor="#404040" filled="true" stroked="false" type="#_x0000_t136">
          <v:fill opacity="0.400000"/>
          <v:textpath style="font-family:&quot;SimSun&quot;;font-size:20;v-text-kern:t;mso-text-shadow:auto" string="仅供内部审核"/>
        </v:shape>
      </w:pict>
    </w:r>
    <w:r>
      <w:pict>
        <v:shape id="_x0000_s450" style="position:absolute;margin-left:30pt;margin-top:29.5pt;mso-position-vertical-relative:page;mso-position-horizontal-relative:page;width:535pt;height:1pt;z-index:-251430912;"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496" style="position:absolute;margin-left:86.92pt;margin-top:27.7633pt;mso-position-vertical-relative:text;mso-position-horizontal-relative:text;width:119.4pt;height:18.85pt;z-index:-251419648;rotation:330;" fillcolor="#404040" filled="true" stroked="false" type="#_x0000_t136">
          <v:fill opacity="0.400000"/>
          <v:textpath style="font-family:&quot;SimSun&quot;;font-size:20;v-text-kern:t;mso-text-shadow:auto" string="仅供内部审核"/>
        </v:shape>
      </w:pict>
    </w:r>
    <w:r>
      <w:pict>
        <v:shape id="PowerPlusWaterMarkObject498" style="position:absolute;margin-left:-13.08pt;margin-top:288.105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PowerPlusWaterMarkObject500" style="position:absolute;margin-left:491.92pt;margin-top:44.1055pt;mso-position-vertical-relative:page;mso-position-horizontal-relative:page;width:119.4pt;height:18.85pt;z-index:-251420672;rotation:330;" o:allowincell="f" fillcolor="#404040" filled="true" stroked="false" type="#_x0000_t136">
          <v:fill opacity="0.400000"/>
          <v:textpath style="font-family:&quot;SimSun&quot;;font-size:20;v-text-kern:t;mso-text-shadow:auto" string="仅供内部审核"/>
        </v:shape>
      </w:pict>
    </w:r>
    <w:r>
      <w:pict>
        <v:shape id="PowerPlusWaterMarkObject502" style="position:absolute;margin-left:391.92pt;margin-top:288.105pt;mso-position-vertical-relative:page;mso-position-horizontal-relative:page;width:119.4pt;height:18.85pt;z-index:-251422720;rotation:330;" o:allowincell="f" fillcolor="#404040" filled="true" stroked="false" type="#_x0000_t136">
          <v:fill opacity="0.400000"/>
          <v:textpath style="font-family:&quot;SimSun&quot;;font-size:20;v-text-kern:t;mso-text-shadow:auto" string="仅供内部审核"/>
        </v:shape>
      </w:pict>
    </w:r>
    <w:r>
      <w:pict>
        <v:shape id="PowerPlusWaterMarkObject504" style="position:absolute;margin-left:86.92pt;margin-top:532.106pt;mso-position-vertical-relative:page;mso-position-horizontal-relative:page;width:119.4pt;height:18.85pt;z-index:-251425792;rotation:330;" o:allowincell="f" fillcolor="#404040" filled="true" stroked="false" type="#_x0000_t136">
          <v:fill opacity="0.400000"/>
          <v:textpath style="font-family:&quot;SimSun&quot;;font-size:20;v-text-kern:t;mso-text-shadow:auto" string="仅供内部审核"/>
        </v:shape>
      </w:pict>
    </w:r>
    <w:r>
      <w:pict>
        <v:shape id="PowerPlusWaterMarkObject506" style="position:absolute;margin-left:-13.08pt;margin-top:776.106pt;mso-position-vertical-relative:page;mso-position-horizontal-relative:page;width:119.4pt;height:18.85pt;z-index:-251423744;rotation:330;" o:allowincell="f" fillcolor="#404040" filled="true" stroked="false" type="#_x0000_t136">
          <v:fill opacity="0.400000"/>
          <v:textpath style="font-family:&quot;SimSun&quot;;font-size:20;v-text-kern:t;mso-text-shadow:auto" string="仅供内部审核"/>
        </v:shape>
      </w:pict>
    </w:r>
    <w:r>
      <w:pict>
        <v:shape id="PowerPlusWaterMarkObject508" style="position:absolute;margin-left:491.92pt;margin-top:532.106pt;mso-position-vertical-relative:page;mso-position-horizontal-relative:page;width:119.4pt;height:18.85pt;z-index:-251426816;rotation:330;" o:allowincell="f" fillcolor="#404040" filled="true" stroked="false" type="#_x0000_t136">
          <v:fill opacity="0.400000"/>
          <v:textpath style="font-family:&quot;SimSun&quot;;font-size:20;v-text-kern:t;mso-text-shadow:auto" string="仅供内部审核"/>
        </v:shape>
      </w:pict>
    </w:r>
    <w:r>
      <w:pict>
        <v:shape id="PowerPlusWaterMarkObject510" style="position:absolute;margin-left:391.92pt;margin-top:776.106pt;mso-position-vertical-relative:page;mso-position-horizontal-relative:page;width:119.4pt;height:18.85pt;z-index:-251424768;rotation:330;" o:allowincell="f" fillcolor="#404040" filled="true" stroked="false" type="#_x0000_t136">
          <v:fill opacity="0.400000"/>
          <v:textpath style="font-family:&quot;SimSun&quot;;font-size:20;v-text-kern:t;mso-text-shadow:auto" string="仅供内部审核"/>
        </v:shape>
      </w:pict>
    </w:r>
    <w:r>
      <w:pict>
        <v:shape id="_x0000_s512" style="position:absolute;margin-left:30pt;margin-top:29.5pt;mso-position-vertical-relative:page;mso-position-horizontal-relative:page;width:535pt;height:1pt;z-index:-251421696;"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14" style="position:absolute;margin-left:86.92pt;margin-top:27.7633pt;mso-position-vertical-relative:text;mso-position-horizontal-relative:text;width:119.4pt;height:18.85pt;z-index:-251415552;rotation:330;" fillcolor="#404040" filled="true" stroked="false" type="#_x0000_t136">
          <v:fill opacity="0.400000"/>
          <v:textpath style="font-family:&quot;SimSun&quot;;font-size:20;v-text-kern:t;mso-text-shadow:auto" string="仅供内部审核"/>
        </v:shape>
      </w:pict>
    </w:r>
    <w:r>
      <w:pict>
        <v:shape id="PowerPlusWaterMarkObject516" style="position:absolute;margin-left:-13.08pt;margin-top:776.106pt;mso-position-vertical-relative:page;mso-position-horizontal-relative:page;width:119.4pt;height:18.85pt;z-index:-251417600;rotation:330;" o:allowincell="f" fillcolor="#404040" filled="true" stroked="false" type="#_x0000_t136">
          <v:fill opacity="0.400000"/>
          <v:textpath style="font-family:&quot;SimSun&quot;;font-size:20;v-text-kern:t;mso-text-shadow:auto" string="仅供内部审核"/>
        </v:shape>
      </w:pict>
    </w:r>
    <w:r>
      <w:pict>
        <v:shape id="PowerPlusWaterMarkObject518" style="position:absolute;margin-left:391.92pt;margin-top:776.106pt;mso-position-vertical-relative:page;mso-position-horizontal-relative:page;width:119.4pt;height:18.85pt;z-index:-251418624;rotation:330;" o:allowincell="f" fillcolor="#404040" filled="true" stroked="false" type="#_x0000_t136">
          <v:fill opacity="0.400000"/>
          <v:textpath style="font-family:&quot;SimSun&quot;;font-size:20;v-text-kern:t;mso-text-shadow:auto" string="仅供内部审核"/>
        </v:shape>
      </w:pict>
    </w:r>
    <w:r>
      <w:pict>
        <v:shape id="_x0000_s520" style="position:absolute;margin-left:30pt;margin-top:29.5pt;mso-position-vertical-relative:page;mso-position-horizontal-relative:page;width:535pt;height:1pt;z-index:-251416576;"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602" style="position:absolute;margin-left:86.92pt;margin-top:27.7633pt;mso-position-vertical-relative:text;mso-position-horizontal-relative:text;width:119.4pt;height:18.85pt;z-index:-251406336;rotation:330;" fillcolor="#404040" filled="true" stroked="false" type="#_x0000_t136">
          <v:fill opacity="0.400000"/>
          <v:textpath style="font-family:&quot;SimSun&quot;;font-size:20;v-text-kern:t;mso-text-shadow:auto" string="仅供内部审核"/>
        </v:shape>
      </w:pict>
    </w:r>
    <w:r>
      <w:pict>
        <v:shape id="PowerPlusWaterMarkObject604" style="position:absolute;margin-left:-13.08pt;margin-top:288.105pt;mso-position-vertical-relative:page;mso-position-horizontal-relative:page;width:119.4pt;height:18.85pt;z-index:-251413504;rotation:330;" o:allowincell="f" fillcolor="#404040" filled="true" stroked="false" type="#_x0000_t136">
          <v:fill opacity="0.400000"/>
          <v:textpath style="font-family:&quot;SimSun&quot;;font-size:20;v-text-kern:t;mso-text-shadow:auto" string="仅供内部审核"/>
        </v:shape>
      </w:pict>
    </w:r>
    <w:r>
      <w:pict>
        <v:shape id="PowerPlusWaterMarkObject606" style="position:absolute;margin-left:491.92pt;margin-top:44.1055pt;mso-position-vertical-relative:page;mso-position-horizontal-relative:page;width:119.4pt;height:18.85pt;z-index:-251407360;rotation:330;" o:allowincell="f" fillcolor="#404040" filled="true" stroked="false" type="#_x0000_t136">
          <v:fill opacity="0.400000"/>
          <v:textpath style="font-family:&quot;SimSun&quot;;font-size:20;v-text-kern:t;mso-text-shadow:auto" string="仅供内部审核"/>
        </v:shape>
      </w:pict>
    </w:r>
    <w:r>
      <w:pict>
        <v:shape id="PowerPlusWaterMarkObject608" style="position:absolute;margin-left:391.92pt;margin-top:288.105pt;mso-position-vertical-relative:page;mso-position-horizontal-relative:page;width:119.4pt;height:18.85pt;z-index:-251414528;rotation:330;" o:allowincell="f" fillcolor="#404040" filled="true" stroked="false" type="#_x0000_t136">
          <v:fill opacity="0.400000"/>
          <v:textpath style="font-family:&quot;SimSun&quot;;font-size:20;v-text-kern:t;mso-text-shadow:auto" string="仅供内部审核"/>
        </v:shape>
      </w:pict>
    </w:r>
    <w:r>
      <w:pict>
        <v:shape id="PowerPlusWaterMarkObject610" style="position:absolute;margin-left:86.92pt;margin-top:532.106pt;mso-position-vertical-relative:page;mso-position-horizontal-relative:page;width:119.4pt;height:18.85pt;z-index:-251412480;rotation:330;" o:allowincell="f" fillcolor="#404040" filled="true" stroked="false" type="#_x0000_t136">
          <v:fill opacity="0.400000"/>
          <v:textpath style="font-family:&quot;SimSun&quot;;font-size:20;v-text-kern:t;mso-text-shadow:auto" string="仅供内部审核"/>
        </v:shape>
      </w:pict>
    </w:r>
    <w:r>
      <w:pict>
        <v:shape id="PowerPlusWaterMarkObject612" style="position:absolute;margin-left:-13.08pt;margin-top:776.106pt;mso-position-vertical-relative:page;mso-position-horizontal-relative:page;width:119.4pt;height:18.85pt;z-index:-251409408;rotation:330;" o:allowincell="f" fillcolor="#404040" filled="true" stroked="false" type="#_x0000_t136">
          <v:fill opacity="0.400000"/>
          <v:textpath style="font-family:&quot;SimSun&quot;;font-size:20;v-text-kern:t;mso-text-shadow:auto" string="仅供内部审核"/>
        </v:shape>
      </w:pict>
    </w:r>
    <w:r>
      <w:pict>
        <v:shape id="PowerPlusWaterMarkObject614" style="position:absolute;margin-left:491.92pt;margin-top:532.106pt;mso-position-vertical-relative:page;mso-position-horizontal-relative:page;width:119.4pt;height:18.85pt;z-index:-251411456;rotation:330;" o:allowincell="f" fillcolor="#404040" filled="true" stroked="false" type="#_x0000_t136">
          <v:fill opacity="0.400000"/>
          <v:textpath style="font-family:&quot;SimSun&quot;;font-size:20;v-text-kern:t;mso-text-shadow:auto" string="仅供内部审核"/>
        </v:shape>
      </w:pict>
    </w:r>
    <w:r>
      <w:pict>
        <v:shape id="PowerPlusWaterMarkObject616" style="position:absolute;margin-left:391.92pt;margin-top:776.106pt;mso-position-vertical-relative:page;mso-position-horizontal-relative:page;width:119.4pt;height:18.85pt;z-index:-251410432;rotation:330;" o:allowincell="f" fillcolor="#404040" filled="true" stroked="false" type="#_x0000_t136">
          <v:fill opacity="0.400000"/>
          <v:textpath style="font-family:&quot;SimSun&quot;;font-size:20;v-text-kern:t;mso-text-shadow:auto" string="仅供内部审核"/>
        </v:shape>
      </w:pict>
    </w:r>
    <w:r>
      <w:pict>
        <v:shape id="_x0000_s618" style="position:absolute;margin-left:30pt;margin-top:29.5pt;mso-position-vertical-relative:page;mso-position-horizontal-relative:page;width:535pt;height:1pt;z-index:-251408384;"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sz w:val="16"/>
        <w:szCs w:val="16"/>
        <w:spacing w:val="-2"/>
        <w:position w:val="1"/>
      </w:rPr>
      <w:t>兴县奥家湾乡卫生院2025年单位预算公开报告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0" style="position:absolute;margin-left:86.92pt;margin-top:27.7633pt;mso-position-vertical-relative:text;mso-position-horizontal-relative:text;width:119.4pt;height:18.85pt;z-index:-251588608;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391.92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42.232pt;margin-top:282.904pt;mso-position-vertical-relative:page;mso-position-horizontal-relative:page;width:19.5pt;height:5.85pt;z-index:-251595776;rotation:330;" o:allowincell="f" fillcolor="#212529" filled="true" stroked="false" type="#_x0000_t136">
          <v:textpath style="font-family:&quot;Arial&quot;;font-size:5.5;v-text-kern:t;mso-text-shadow:auto" string="10.87"/>
        </v:shape>
      </w:pict>
    </w:r>
    <w:r>
      <w:pict>
        <v:shape id="PowerPlusWaterMarkObject130" style="position:absolute;margin-left:86.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91.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391.92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_x0000_s138" style="position:absolute;margin-left:30pt;margin-top:29.5pt;mso-position-vertical-relative:page;mso-position-horizontal-relative:page;width:535pt;height:1pt;z-index:-251590656;"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40" style="position:absolute;margin-left:86.92pt;margin-top:27.7633pt;mso-position-vertical-relative:text;mso-position-horizontal-relative:text;width:119.4pt;height:18.85pt;z-index:-251577344;rotation:330;" fillcolor="#404040" filled="true" stroked="false" type="#_x0000_t136">
          <v:fill opacity="0.400000"/>
          <v:textpath style="font-family:&quot;SimSun&quot;;font-size:20;v-text-kern:t;mso-text-shadow:auto" string="仅供内部审核"/>
        </v:shape>
      </w:pict>
    </w:r>
    <w:r>
      <w:pict>
        <v:shape id="PowerPlusWaterMarkObject142" style="position:absolute;margin-left:493.62pt;margin-top:72.8103pt;mso-position-vertical-relative:page;mso-position-horizontal-relative:page;width:32.1pt;height:7.2pt;z-index:-251578368;" o:allowincell="f" fillcolor="#212529" filled="true" stroked="false" type="#_x0000_t136">
          <v:textpath style="font-family:&quot;SimSun&quot;;font-size:7;v-text-kern:t;mso-text-shadow:auto" string="算公开表4"/>
        </v:shape>
      </w:pict>
    </w:r>
    <w:r>
      <w:pict>
        <v:shape id="PowerPlusWaterMarkObject144"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05.419pt;margin-top:325.754pt;mso-position-vertical-relative:page;mso-position-horizontal-relative:page;width:7.65pt;height:7.9pt;z-index:-251585536;" o:allowincell="f" fillcolor="#212529" filled="true" stroked="false" type="#_x0000_t136">
          <v:textpath style="font-family:&quot;SimSun&quot;;font-size:7.5;v-text-kern:t;mso-text-shadow:auto" string="26"/>
        </v:shape>
      </w:pict>
    </w:r>
    <w:r>
      <w:pict>
        <v:shape id="PowerPlusWaterMarkObject148" style="position:absolute;margin-left:-13.08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391.92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86.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13.08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391.92pt;margin-top:776.106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_x0000_s160"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sz w:val="16"/>
        <w:szCs w:val="16"/>
        <w:spacing w:val="-2"/>
        <w:position w:val="1"/>
      </w:rPr>
      <w:t>兴县奥家湾乡卫生院2025年单位预算公开报告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7" Type="http://schemas.openxmlformats.org/officeDocument/2006/relationships/fontTable" Target="fontTable.xml"/><Relationship Id="rId86" Type="http://schemas.openxmlformats.org/officeDocument/2006/relationships/styles" Target="styles.xml"/><Relationship Id="rId85" Type="http://schemas.openxmlformats.org/officeDocument/2006/relationships/settings" Target="settings.xml"/><Relationship Id="rId84" Type="http://schemas.openxmlformats.org/officeDocument/2006/relationships/footer" Target="footer38.xml"/><Relationship Id="rId83" Type="http://schemas.openxmlformats.org/officeDocument/2006/relationships/header" Target="header24.xml"/><Relationship Id="rId82" Type="http://schemas.openxmlformats.org/officeDocument/2006/relationships/image" Target="media/image22.png"/><Relationship Id="rId81" Type="http://schemas.openxmlformats.org/officeDocument/2006/relationships/footer" Target="footer37.xml"/><Relationship Id="rId80" Type="http://schemas.openxmlformats.org/officeDocument/2006/relationships/image" Target="media/image21.png"/><Relationship Id="rId8" Type="http://schemas.openxmlformats.org/officeDocument/2006/relationships/footer" Target="footer2.xml"/><Relationship Id="rId79" Type="http://schemas.openxmlformats.org/officeDocument/2006/relationships/footer" Target="footer36.xml"/><Relationship Id="rId78" Type="http://schemas.openxmlformats.org/officeDocument/2006/relationships/image" Target="media/image20.png"/><Relationship Id="rId77" Type="http://schemas.openxmlformats.org/officeDocument/2006/relationships/footer" Target="footer35.xml"/><Relationship Id="rId76" Type="http://schemas.openxmlformats.org/officeDocument/2006/relationships/image" Target="media/image19.png"/><Relationship Id="rId75" Type="http://schemas.openxmlformats.org/officeDocument/2006/relationships/footer" Target="footer34.xml"/><Relationship Id="rId74" Type="http://schemas.openxmlformats.org/officeDocument/2006/relationships/image" Target="media/image18.png"/><Relationship Id="rId73" Type="http://schemas.openxmlformats.org/officeDocument/2006/relationships/footer" Target="footer33.xml"/><Relationship Id="rId72" Type="http://schemas.openxmlformats.org/officeDocument/2006/relationships/image" Target="media/image17.png"/><Relationship Id="rId71" Type="http://schemas.openxmlformats.org/officeDocument/2006/relationships/footer" Target="footer32.xml"/><Relationship Id="rId70" Type="http://schemas.openxmlformats.org/officeDocument/2006/relationships/image" Target="media/image16.png"/><Relationship Id="rId7" Type="http://schemas.openxmlformats.org/officeDocument/2006/relationships/header" Target="header5.xml"/><Relationship Id="rId69" Type="http://schemas.openxmlformats.org/officeDocument/2006/relationships/footer" Target="footer31.xml"/><Relationship Id="rId68" Type="http://schemas.openxmlformats.org/officeDocument/2006/relationships/image" Target="media/image15.png"/><Relationship Id="rId67" Type="http://schemas.openxmlformats.org/officeDocument/2006/relationships/footer" Target="footer30.xml"/><Relationship Id="rId66" Type="http://schemas.openxmlformats.org/officeDocument/2006/relationships/header" Target="header23.xml"/><Relationship Id="rId65" Type="http://schemas.openxmlformats.org/officeDocument/2006/relationships/footer" Target="footer29.xml"/><Relationship Id="rId64" Type="http://schemas.openxmlformats.org/officeDocument/2006/relationships/header" Target="header22.xml"/><Relationship Id="rId63" Type="http://schemas.openxmlformats.org/officeDocument/2006/relationships/image" Target="media/image14.png"/><Relationship Id="rId62" Type="http://schemas.openxmlformats.org/officeDocument/2006/relationships/footer" Target="footer28.xml"/><Relationship Id="rId61" Type="http://schemas.openxmlformats.org/officeDocument/2006/relationships/image" Target="media/image13.png"/><Relationship Id="rId60" Type="http://schemas.openxmlformats.org/officeDocument/2006/relationships/footer" Target="footer27.xml"/><Relationship Id="rId6" Type="http://schemas.openxmlformats.org/officeDocument/2006/relationships/footer" Target="footer1.xml"/><Relationship Id="rId59" Type="http://schemas.openxmlformats.org/officeDocument/2006/relationships/image" Target="media/image12.png"/><Relationship Id="rId58" Type="http://schemas.openxmlformats.org/officeDocument/2006/relationships/footer" Target="footer26.xml"/><Relationship Id="rId57" Type="http://schemas.openxmlformats.org/officeDocument/2006/relationships/image" Target="media/image11.png"/><Relationship Id="rId56" Type="http://schemas.openxmlformats.org/officeDocument/2006/relationships/footer" Target="footer25.xml"/><Relationship Id="rId55" Type="http://schemas.openxmlformats.org/officeDocument/2006/relationships/image" Target="media/image10.png"/><Relationship Id="rId54" Type="http://schemas.openxmlformats.org/officeDocument/2006/relationships/footer" Target="footer24.xml"/><Relationship Id="rId53" Type="http://schemas.openxmlformats.org/officeDocument/2006/relationships/image" Target="media/image9.png"/><Relationship Id="rId52" Type="http://schemas.openxmlformats.org/officeDocument/2006/relationships/footer" Target="footer23.xml"/><Relationship Id="rId51" Type="http://schemas.openxmlformats.org/officeDocument/2006/relationships/image" Target="media/image8.png"/><Relationship Id="rId50" Type="http://schemas.openxmlformats.org/officeDocument/2006/relationships/footer" Target="footer22.xml"/><Relationship Id="rId5" Type="http://schemas.openxmlformats.org/officeDocument/2006/relationships/header" Target="header4.xml"/><Relationship Id="rId49" Type="http://schemas.openxmlformats.org/officeDocument/2006/relationships/image" Target="media/image7.png"/><Relationship Id="rId48" Type="http://schemas.openxmlformats.org/officeDocument/2006/relationships/footer" Target="footer21.xml"/><Relationship Id="rId47" Type="http://schemas.openxmlformats.org/officeDocument/2006/relationships/image" Target="media/image6.png"/><Relationship Id="rId46" Type="http://schemas.openxmlformats.org/officeDocument/2006/relationships/footer" Target="footer20.xml"/><Relationship Id="rId45" Type="http://schemas.openxmlformats.org/officeDocument/2006/relationships/image" Target="media/image5.png"/><Relationship Id="rId44" Type="http://schemas.openxmlformats.org/officeDocument/2006/relationships/footer" Target="footer19.xml"/><Relationship Id="rId43" Type="http://schemas.openxmlformats.org/officeDocument/2006/relationships/image" Target="media/image4.png"/><Relationship Id="rId42" Type="http://schemas.openxmlformats.org/officeDocument/2006/relationships/footer" Target="footer18.xml"/><Relationship Id="rId41" Type="http://schemas.openxmlformats.org/officeDocument/2006/relationships/header" Target="header21.xml"/><Relationship Id="rId40" Type="http://schemas.openxmlformats.org/officeDocument/2006/relationships/image" Target="media/image3.png"/><Relationship Id="rId4" Type="http://schemas.openxmlformats.org/officeDocument/2006/relationships/header" Target="header3.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image" Target="media/image2.png"/><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2025-09-25T17:39:15Z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2025-09-25T20:02:47</vt:filetime>
  </property>
</Properties>
</file>