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代表活动经费绩效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办对代表活动经费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以习近平新时代中国特色社会主义思想为指导，认真贯彻落实习近平总书记关于坚持和完善人民代表大会制度的重要思想，正确认识我国人民代表大会制度；搭建平台载体更好地发挥人大代表作用；加强人大监督工作</w:t>
      </w:r>
      <w:r>
        <w:rPr>
          <w:rFonts w:hint="eastAsia" w:ascii="仿宋_GB2312" w:hAnsi="仿宋_GB2312" w:cs="仿宋_GB2312"/>
          <w:b w:val="0"/>
          <w:bCs w:val="0"/>
          <w:sz w:val="32"/>
          <w:szCs w:val="24"/>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通过为人大代表活动提供必要的、合理的活动经费与服务，实现“保运转”的基本目标，确保兴县人大代表开展相关活动，依法履职。为建设经济发展、乡村振兴、民生改善，直接反映人民群众的心声</w:t>
      </w:r>
      <w:r>
        <w:rPr>
          <w:rFonts w:hint="eastAsia" w:ascii="仿宋_GB2312" w:hAnsi="仿宋_GB2312" w:cs="仿宋_GB2312"/>
          <w:b w:val="0"/>
          <w:bCs w:val="0"/>
          <w:sz w:val="32"/>
          <w:szCs w:val="24"/>
          <w:lang w:val="en-US" w:eastAsia="zh-CN"/>
        </w:rPr>
        <w:t>。</w:t>
      </w:r>
      <w:r>
        <w:rPr>
          <w:rFonts w:hint="default" w:ascii="仿宋_GB2312" w:hAnsi="仿宋_GB2312" w:cs="仿宋_GB2312"/>
          <w:b w:val="0"/>
          <w:bCs w:val="0"/>
          <w:sz w:val="32"/>
          <w:szCs w:val="24"/>
          <w:lang w:val="en-US" w:eastAsia="zh-CN"/>
        </w:rPr>
        <w:t>开阔视野，学习借鉴</w:t>
      </w:r>
      <w:r>
        <w:rPr>
          <w:rFonts w:hint="eastAsia" w:ascii="仿宋_GB2312" w:hAnsi="仿宋_GB2312" w:cs="仿宋_GB2312"/>
          <w:b w:val="0"/>
          <w:bCs w:val="0"/>
          <w:sz w:val="32"/>
          <w:szCs w:val="24"/>
          <w:lang w:val="en-US" w:eastAsia="zh-CN"/>
        </w:rPr>
        <w:t>好的</w:t>
      </w:r>
      <w:r>
        <w:rPr>
          <w:rFonts w:hint="default" w:ascii="仿宋_GB2312" w:hAnsi="仿宋_GB2312" w:cs="仿宋_GB2312"/>
          <w:b w:val="0"/>
          <w:bCs w:val="0"/>
          <w:sz w:val="32"/>
          <w:szCs w:val="24"/>
          <w:lang w:val="en-US" w:eastAsia="zh-CN"/>
        </w:rPr>
        <w:t>经验，不断增强代表的政治意识、法律意识、履职意识和创新意识，充分发挥代表作用，不断提高代表履职能力，为促进全县经济社会发展做出新的贡献。</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通过为人大代表活动提供必要的、合理的活动经费与服务，实现“保运转”的基本目标，确保兴县人大代表开展相关活动，依法履职。2020年预算批复人大代表活动经费25.8万元。</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数量指标：人大代表数量≥172人；人大代表职责完成率≥98%；</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质量指标：人大代表职责完成率≥98%；</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时效指标：完成及时性，及时；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成本指标：成本控制有效性，有效；成本控制率≤0；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社会效益指标：促进代表履依法履行职责，促进；增强代表责任感和使命感，增强；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服务对象满意度：人大代表满意度≥95%。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为做好绩效自评工作，我办制定了切实可行的绩效评价工作方案，专门成立了绩效评价工作小组，按照绩效评价指标及评分标准逐项打分，对代表活动经费支出预算进行了全面客观公正的绩效自评工作。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财政预算安排我办20</w:t>
      </w:r>
      <w:r>
        <w:rPr>
          <w:rFonts w:hint="eastAsia" w:ascii="仿宋_GB2312"/>
          <w:sz w:val="32"/>
          <w:szCs w:val="32"/>
          <w:lang w:val="en-US" w:eastAsia="zh-CN"/>
        </w:rPr>
        <w:t>21</w:t>
      </w:r>
      <w:r>
        <w:rPr>
          <w:rFonts w:hint="eastAsia" w:ascii="仿宋_GB2312" w:eastAsia="仿宋_GB2312"/>
          <w:sz w:val="32"/>
          <w:szCs w:val="32"/>
        </w:rPr>
        <w:t>年</w:t>
      </w:r>
      <w:r>
        <w:rPr>
          <w:rFonts w:hint="eastAsia" w:ascii="仿宋_GB2312" w:hAnsi="仿宋_GB2312" w:cs="仿宋_GB2312"/>
          <w:b w:val="0"/>
          <w:bCs w:val="0"/>
          <w:sz w:val="32"/>
          <w:szCs w:val="24"/>
          <w:lang w:val="en-US" w:eastAsia="zh-CN"/>
        </w:rPr>
        <w:t>代表活动经费</w:t>
      </w:r>
      <w:r>
        <w:rPr>
          <w:rFonts w:hint="eastAsia" w:ascii="仿宋_GB2312" w:eastAsia="仿宋_GB2312"/>
          <w:sz w:val="32"/>
          <w:szCs w:val="32"/>
        </w:rPr>
        <w:t>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r>
        <w:rPr>
          <w:rFonts w:hint="eastAsia" w:ascii="仿宋_GB2312" w:hAnsi="仿宋_GB2312" w:cs="仿宋_GB2312"/>
          <w:b w:val="0"/>
          <w:bCs w:val="0"/>
          <w:sz w:val="32"/>
          <w:szCs w:val="24"/>
          <w:lang w:val="en-US" w:eastAsia="zh-CN"/>
        </w:rPr>
        <w:t>本项目绩效自评综合得分95分，评价等级为“优”。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经费纳入单位财务统一管理，召开专题会议研究通过后方可开支，本着节约成本、提高资金专款专用的原则，杜绝经费支出的随意性，管理好项目经费。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着节约成本、提高资金专款专用的原则，杜绝经费支出的随意性，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w:t>
      </w:r>
      <w:bookmarkStart w:id="0" w:name="_GoBack"/>
      <w:bookmarkEnd w:id="0"/>
      <w:r>
        <w:rPr>
          <w:rFonts w:hint="eastAsia" w:ascii="黑体" w:hAnsi="黑体" w:eastAsia="黑体" w:cs="黑体"/>
          <w:b w:val="0"/>
          <w:bCs w:val="0"/>
          <w:sz w:val="32"/>
          <w:szCs w:val="24"/>
          <w:lang w:val="en-US" w:eastAsia="zh-CN"/>
        </w:rPr>
        <w:t>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我办将对代表活动经费绩效自评结果向社会公开，接受社会监督；加强绩效目标编制，实施全过程绩效管理。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兴县人民代表大会常务委员会办公室</w:t>
      </w:r>
    </w:p>
    <w:p>
      <w:pPr>
        <w:jc w:val="right"/>
      </w:pPr>
      <w:r>
        <w:rPr>
          <w:rFonts w:hint="eastAsia" w:ascii="仿宋_GB2312" w:hAnsi="仿宋_GB2312" w:cs="仿宋_GB2312"/>
          <w:b w:val="0"/>
          <w:bCs w:val="0"/>
          <w:sz w:val="32"/>
          <w:szCs w:val="24"/>
          <w:lang w:val="en-US" w:eastAsia="zh-CN"/>
        </w:rPr>
        <w:t>2022年8月8日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B4A355A"/>
    <w:rsid w:val="0C3D33CB"/>
    <w:rsid w:val="0E0A3FDC"/>
    <w:rsid w:val="121D1A9E"/>
    <w:rsid w:val="27F27D9A"/>
    <w:rsid w:val="48241C7B"/>
    <w:rsid w:val="589D0561"/>
    <w:rsid w:val="5DCC20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1339</Words>
  <Characters>1382</Characters>
  <Lines>0</Lines>
  <Paragraphs>0</Paragraphs>
  <TotalTime>0</TotalTime>
  <ScaleCrop>false</ScaleCrop>
  <LinksUpToDate>false</LinksUpToDate>
  <CharactersWithSpaces>1382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2022-08-13T08:47:17Z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