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63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公 安 局 交 通</w:t>
      </w:r>
      <w:r>
        <w:rPr>
          <w:rFonts w:ascii="SimSun" w:hAnsi="SimSun" w:eastAsia="SimSun" w:cs="SimSun"/>
          <w:sz w:val="34"/>
          <w:szCs w:val="34"/>
          <w:spacing w:val="-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警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察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大 队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91"/>
        <w:spacing w:before="110" w:line="462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4 年 度</w:t>
      </w:r>
      <w:r>
        <w:rPr>
          <w:rFonts w:ascii="SimSun" w:hAnsi="SimSun" w:eastAsia="SimSun" w:cs="SimSun"/>
          <w:sz w:val="34"/>
          <w:szCs w:val="34"/>
          <w:spacing w:val="-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2" w:lineRule="exact"/>
        <w:sectPr>
          <w:pgSz w:w="11900" w:h="16840"/>
          <w:pgMar w:top="1431" w:right="1785" w:bottom="0" w:left="1785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4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5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91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0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spacing w:before="192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7"/>
              </w:rPr>
              <w:t>17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4"/>
            <w:spacing w:before="188" w:line="223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08"/>
            <w:spacing w:before="185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6"/>
            <w:spacing w:before="53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6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31</w:t>
            </w:r>
          </w:hyperlink>
        </w:p>
        <w:p>
          <w:pPr>
            <w:ind w:left="1028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31</w:t>
            </w:r>
          </w:hyperlink>
        </w:p>
        <w:p>
          <w:pPr>
            <w:ind w:left="102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31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36</w:t>
            </w:r>
          </w:hyperlink>
        </w:p>
      </w:sdtContent>
    </w:sdt>
    <w:p>
      <w:pPr>
        <w:spacing w:line="222" w:lineRule="auto"/>
        <w:sectPr>
          <w:pgSz w:w="11900" w:h="16840"/>
          <w:pgMar w:top="943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ind w:left="4529"/>
        <w:spacing w:before="56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7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969"/>
        <w:spacing w:before="274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1、道路交通安全管理</w:t>
      </w:r>
    </w:p>
    <w:p>
      <w:pPr>
        <w:ind w:left="954"/>
        <w:spacing w:before="127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2、交通事故预防及处理</w:t>
      </w:r>
    </w:p>
    <w:p>
      <w:pPr>
        <w:ind w:left="956"/>
        <w:spacing w:before="128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3、车辆管理</w:t>
      </w:r>
    </w:p>
    <w:p>
      <w:pPr>
        <w:ind w:left="950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4、道路巡查、检查</w:t>
      </w:r>
    </w:p>
    <w:p>
      <w:pPr>
        <w:ind w:left="956"/>
        <w:spacing w:before="13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5、交通安全宣传教育等</w:t>
      </w:r>
    </w:p>
    <w:p>
      <w:pPr>
        <w:ind w:left="704"/>
        <w:spacing w:before="273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7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本部门只包括交警大队本级，与上年相比无变化。</w:t>
      </w:r>
    </w:p>
    <w:p>
      <w:pPr>
        <w:ind w:left="712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交警大队内设机构情况见下：办公室、法制股、政工股、计财股、秩序股、宣教</w:t>
      </w:r>
    </w:p>
    <w:p>
      <w:pPr>
        <w:ind w:left="706" w:right="93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股、车管所、指挥中心、事故处理中队、治超中队、蔡家崖中队、城区一中队（分</w:t>
      </w:r>
      <w:r>
        <w:rPr>
          <w:rFonts w:ascii="FangSong" w:hAnsi="FangSong" w:eastAsia="FangSong" w:cs="FangSong"/>
          <w:sz w:val="25"/>
          <w:szCs w:val="25"/>
        </w:rPr>
        <w:t>为勤务一组、勤务二组、勤务三组）、城区二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中队（分为勤务一组、勤务二组）、</w:t>
      </w:r>
      <w:r>
        <w:rPr>
          <w:rFonts w:ascii="FangSong" w:hAnsi="FangSong" w:eastAsia="FangSong" w:cs="FangSong"/>
          <w:sz w:val="25"/>
          <w:szCs w:val="25"/>
          <w:spacing w:val="1"/>
        </w:rPr>
        <w:t>康宁中队（分为勤务一组、勤务二组）、魏家滩中队（分为勤务一组、勤务二</w:t>
      </w:r>
    </w:p>
    <w:p>
      <w:pPr>
        <w:ind w:left="707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组）、刘家湾中队（分为勤务一组、勤务二组</w:t>
      </w:r>
      <w:r>
        <w:rPr>
          <w:rFonts w:ascii="FangSong" w:hAnsi="FangSong" w:eastAsia="FangSong" w:cs="FangSong"/>
          <w:sz w:val="25"/>
          <w:szCs w:val="25"/>
        </w:rPr>
        <w:t>）。</w:t>
      </w:r>
    </w:p>
    <w:p>
      <w:pPr>
        <w:spacing w:line="223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3646"/>
        <w:spacing w:before="23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8"/>
        <w:gridCol w:w="1247"/>
        <w:gridCol w:w="2218"/>
        <w:gridCol w:w="1271"/>
        <w:gridCol w:w="1259"/>
        <w:gridCol w:w="89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8126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1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2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89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87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75" w:type="dxa"/>
            <w:vAlign w:val="top"/>
            <w:gridSpan w:val="2"/>
          </w:tcPr>
          <w:p>
            <w:pPr>
              <w:ind w:left="149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41" w:type="dxa"/>
            <w:vAlign w:val="top"/>
            <w:gridSpan w:val="4"/>
          </w:tcPr>
          <w:p>
            <w:pPr>
              <w:ind w:left="2624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87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47" w:type="dxa"/>
            <w:vAlign w:val="top"/>
          </w:tcPr>
          <w:p>
            <w:pPr>
              <w:ind w:left="33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218" w:type="dxa"/>
            <w:vAlign w:val="top"/>
          </w:tcPr>
          <w:p>
            <w:pPr>
              <w:ind w:left="91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71" w:type="dxa"/>
            <w:vAlign w:val="top"/>
          </w:tcPr>
          <w:p>
            <w:pPr>
              <w:ind w:left="1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59" w:type="dxa"/>
            <w:vAlign w:val="top"/>
          </w:tcPr>
          <w:p>
            <w:pPr>
              <w:ind w:left="8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893" w:type="dxa"/>
            <w:vAlign w:val="top"/>
          </w:tcPr>
          <w:p>
            <w:pPr>
              <w:ind w:left="7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55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71" w:type="dxa"/>
            <w:vAlign w:val="top"/>
          </w:tcPr>
          <w:p>
            <w:pPr>
              <w:ind w:right="2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259" w:type="dxa"/>
            <w:vAlign w:val="top"/>
          </w:tcPr>
          <w:p>
            <w:pPr>
              <w:ind w:right="2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22" w:right="48" w:hanging="16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71" w:type="dxa"/>
            <w:vAlign w:val="top"/>
          </w:tcPr>
          <w:p>
            <w:pPr>
              <w:ind w:right="2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71" w:type="dxa"/>
            <w:vAlign w:val="top"/>
          </w:tcPr>
          <w:p>
            <w:pPr>
              <w:ind w:right="2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259" w:type="dxa"/>
            <w:vAlign w:val="top"/>
          </w:tcPr>
          <w:p>
            <w:pPr>
              <w:ind w:right="2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71" w:type="dxa"/>
            <w:vAlign w:val="top"/>
          </w:tcPr>
          <w:p>
            <w:pPr>
              <w:ind w:right="2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 w:right="48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3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8"/>
        <w:gridCol w:w="1247"/>
        <w:gridCol w:w="2218"/>
        <w:gridCol w:w="1271"/>
        <w:gridCol w:w="1259"/>
        <w:gridCol w:w="893"/>
      </w:tblGrid>
      <w:tr>
        <w:trPr>
          <w:trHeight w:val="426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6" w:right="48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2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47" w:type="dxa"/>
            <w:vAlign w:val="top"/>
          </w:tcPr>
          <w:p>
            <w:pPr>
              <w:ind w:left="579"/>
              <w:spacing w:before="11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2218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71" w:type="dxa"/>
            <w:vAlign w:val="top"/>
          </w:tcPr>
          <w:p>
            <w:pPr>
              <w:ind w:right="3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1259" w:type="dxa"/>
            <w:vAlign w:val="top"/>
          </w:tcPr>
          <w:p>
            <w:pPr>
              <w:ind w:right="3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2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2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47" w:type="dxa"/>
            <w:vAlign w:val="top"/>
          </w:tcPr>
          <w:p>
            <w:pPr>
              <w:ind w:left="579"/>
              <w:spacing w:before="11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2218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71" w:type="dxa"/>
            <w:vAlign w:val="top"/>
          </w:tcPr>
          <w:p>
            <w:pPr>
              <w:ind w:right="3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1259" w:type="dxa"/>
            <w:vAlign w:val="top"/>
          </w:tcPr>
          <w:p>
            <w:pPr>
              <w:ind w:right="3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89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6"/>
        <w:gridCol w:w="3227"/>
        <w:gridCol w:w="1691"/>
        <w:gridCol w:w="1476"/>
        <w:gridCol w:w="1092"/>
        <w:gridCol w:w="1332"/>
        <w:gridCol w:w="1332"/>
        <w:gridCol w:w="1068"/>
        <w:gridCol w:w="1122"/>
      </w:tblGrid>
      <w:tr>
        <w:trPr>
          <w:trHeight w:val="331" w:hRule="atLeast"/>
        </w:trPr>
        <w:tc>
          <w:tcPr>
            <w:tcW w:w="162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9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299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894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53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691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9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7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853" w:type="dxa"/>
            <w:vAlign w:val="top"/>
            <w:gridSpan w:val="2"/>
          </w:tcPr>
          <w:p>
            <w:pPr>
              <w:ind w:left="223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991" w:type="dxa"/>
            <w:vAlign w:val="top"/>
            <w:gridSpan w:val="6"/>
          </w:tcPr>
          <w:p>
            <w:pPr>
              <w:ind w:left="3621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22" w:type="dxa"/>
            <w:vAlign w:val="top"/>
            <w:vMerge w:val="restart"/>
            <w:tcBorders>
              <w:bottom w:val="nil"/>
            </w:tcBorders>
          </w:tcPr>
          <w:p>
            <w:pPr>
              <w:ind w:left="187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6" w:type="dxa"/>
            <w:vAlign w:val="top"/>
          </w:tcPr>
          <w:p>
            <w:pPr>
              <w:ind w:left="435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27" w:type="dxa"/>
            <w:vAlign w:val="top"/>
          </w:tcPr>
          <w:p>
            <w:pPr>
              <w:ind w:left="1234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91" w:type="dxa"/>
            <w:vAlign w:val="top"/>
          </w:tcPr>
          <w:p>
            <w:pPr>
              <w:ind w:left="649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6" w:type="dxa"/>
            <w:vAlign w:val="top"/>
          </w:tcPr>
          <w:p>
            <w:pPr>
              <w:ind w:left="185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80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39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64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32" w:type="dxa"/>
            <w:vAlign w:val="top"/>
          </w:tcPr>
          <w:p>
            <w:pPr>
              <w:ind w:left="2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64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63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53" w:type="dxa"/>
            <w:vAlign w:val="top"/>
            <w:gridSpan w:val="2"/>
          </w:tcPr>
          <w:p>
            <w:pPr>
              <w:ind w:left="2231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91" w:type="dxa"/>
            <w:vAlign w:val="top"/>
          </w:tcPr>
          <w:p>
            <w:pPr>
              <w:ind w:left="1024"/>
              <w:spacing w:before="6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1476" w:type="dxa"/>
            <w:vAlign w:val="top"/>
          </w:tcPr>
          <w:p>
            <w:pPr>
              <w:ind w:left="810"/>
              <w:spacing w:before="6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204</w:t>
            </w:r>
          </w:p>
        </w:tc>
        <w:tc>
          <w:tcPr>
            <w:tcW w:w="3227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公共安全支出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</w:t>
            </w:r>
          </w:p>
        </w:tc>
        <w:tc>
          <w:tcPr>
            <w:tcW w:w="3227" w:type="dxa"/>
            <w:vAlign w:val="top"/>
          </w:tcPr>
          <w:p>
            <w:pPr>
              <w:ind w:left="9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公安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2040201</w:t>
            </w:r>
          </w:p>
        </w:tc>
        <w:tc>
          <w:tcPr>
            <w:tcW w:w="3227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545.89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545.89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2040202</w:t>
            </w:r>
          </w:p>
        </w:tc>
        <w:tc>
          <w:tcPr>
            <w:tcW w:w="3227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560.61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560.61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2040203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249.04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249.04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2040219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信息化建设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2040220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执法办案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2040250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397.46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397.46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2040299</w:t>
            </w:r>
          </w:p>
        </w:tc>
        <w:tc>
          <w:tcPr>
            <w:tcW w:w="3227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其他公安支出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1169.00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27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27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22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3.98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3.98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227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47.93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47.93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27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27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227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22.90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20.91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20.91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22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91" w:type="dxa"/>
            <w:vAlign w:val="top"/>
          </w:tcPr>
          <w:p>
            <w:pPr>
              <w:ind w:right="30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476" w:type="dxa"/>
            <w:vAlign w:val="top"/>
          </w:tcPr>
          <w:p>
            <w:pPr>
              <w:ind w:right="30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227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27" w:type="dxa"/>
            <w:vAlign w:val="top"/>
          </w:tcPr>
          <w:p>
            <w:pPr>
              <w:ind w:left="3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91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76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5"/>
          <w:footerReference w:type="default" r:id="rId6"/>
          <w:pgSz w:w="16840" w:h="1190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44"/>
        <w:gridCol w:w="2865"/>
        <w:gridCol w:w="1499"/>
        <w:gridCol w:w="1451"/>
        <w:gridCol w:w="1457"/>
      </w:tblGrid>
      <w:tr>
        <w:trPr>
          <w:trHeight w:val="355" w:hRule="atLeast"/>
        </w:trPr>
        <w:tc>
          <w:tcPr>
            <w:tcW w:w="17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86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67"/>
              <w:spacing w:before="95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19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108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609" w:type="dxa"/>
            <w:vAlign w:val="top"/>
            <w:gridSpan w:val="2"/>
          </w:tcPr>
          <w:p>
            <w:pPr>
              <w:ind w:left="211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07" w:type="dxa"/>
            <w:vAlign w:val="top"/>
            <w:gridSpan w:val="3"/>
          </w:tcPr>
          <w:p>
            <w:pPr>
              <w:ind w:left="164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744" w:type="dxa"/>
            <w:vAlign w:val="top"/>
          </w:tcPr>
          <w:p>
            <w:pPr>
              <w:ind w:left="49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865" w:type="dxa"/>
            <w:vAlign w:val="top"/>
          </w:tcPr>
          <w:p>
            <w:pPr>
              <w:ind w:left="105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99" w:type="dxa"/>
            <w:vAlign w:val="top"/>
          </w:tcPr>
          <w:p>
            <w:pPr>
              <w:ind w:left="556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ind w:left="352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57" w:type="dxa"/>
            <w:vAlign w:val="top"/>
          </w:tcPr>
          <w:p>
            <w:pPr>
              <w:ind w:left="35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609" w:type="dxa"/>
            <w:vAlign w:val="top"/>
            <w:gridSpan w:val="2"/>
          </w:tcPr>
          <w:p>
            <w:pPr>
              <w:ind w:left="211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99" w:type="dxa"/>
            <w:vAlign w:val="top"/>
          </w:tcPr>
          <w:p>
            <w:pPr>
              <w:ind w:left="835"/>
              <w:spacing w:before="7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1451" w:type="dxa"/>
            <w:vAlign w:val="top"/>
          </w:tcPr>
          <w:p>
            <w:pPr>
              <w:ind w:right="3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1398.79</w:t>
            </w:r>
          </w:p>
        </w:tc>
        <w:tc>
          <w:tcPr>
            <w:tcW w:w="1457" w:type="dxa"/>
            <w:vAlign w:val="top"/>
          </w:tcPr>
          <w:p>
            <w:pPr>
              <w:ind w:left="799"/>
              <w:spacing w:before="7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</w:tr>
      <w:tr>
        <w:trPr>
          <w:trHeight w:val="349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204</w:t>
            </w:r>
          </w:p>
        </w:tc>
        <w:tc>
          <w:tcPr>
            <w:tcW w:w="2865" w:type="dxa"/>
            <w:vAlign w:val="top"/>
          </w:tcPr>
          <w:p>
            <w:pPr>
              <w:ind w:left="11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公共安全支出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451" w:type="dxa"/>
            <w:vAlign w:val="top"/>
          </w:tcPr>
          <w:p>
            <w:pPr>
              <w:ind w:right="3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1067.68</w:t>
            </w:r>
          </w:p>
        </w:tc>
        <w:tc>
          <w:tcPr>
            <w:tcW w:w="1457" w:type="dxa"/>
            <w:vAlign w:val="top"/>
          </w:tcPr>
          <w:p>
            <w:pPr>
              <w:ind w:left="799"/>
              <w:spacing w:before="7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</w:t>
            </w:r>
          </w:p>
        </w:tc>
        <w:tc>
          <w:tcPr>
            <w:tcW w:w="2865" w:type="dxa"/>
            <w:vAlign w:val="top"/>
          </w:tcPr>
          <w:p>
            <w:pPr>
              <w:ind w:left="11"/>
              <w:spacing w:before="7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公安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451" w:type="dxa"/>
            <w:vAlign w:val="top"/>
          </w:tcPr>
          <w:p>
            <w:pPr>
              <w:ind w:right="3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1067.68</w:t>
            </w:r>
          </w:p>
        </w:tc>
        <w:tc>
          <w:tcPr>
            <w:tcW w:w="1457" w:type="dxa"/>
            <w:vAlign w:val="top"/>
          </w:tcPr>
          <w:p>
            <w:pPr>
              <w:ind w:left="799"/>
              <w:spacing w:before="7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2040201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545.89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545.89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2040202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560.61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560.61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2040203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249.04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124.33</w:t>
            </w:r>
          </w:p>
        </w:tc>
        <w:tc>
          <w:tcPr>
            <w:tcW w:w="1457" w:type="dxa"/>
            <w:vAlign w:val="top"/>
          </w:tcPr>
          <w:p>
            <w:pPr>
              <w:ind w:right="2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124.71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2040219</w:t>
            </w:r>
          </w:p>
        </w:tc>
        <w:tc>
          <w:tcPr>
            <w:tcW w:w="2865" w:type="dxa"/>
            <w:vAlign w:val="top"/>
          </w:tcPr>
          <w:p>
            <w:pPr>
              <w:ind w:left="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信息化建设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3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2040220</w:t>
            </w:r>
          </w:p>
        </w:tc>
        <w:tc>
          <w:tcPr>
            <w:tcW w:w="2865" w:type="dxa"/>
            <w:vAlign w:val="top"/>
          </w:tcPr>
          <w:p>
            <w:pPr>
              <w:ind w:left="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执法办案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3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2040250</w:t>
            </w:r>
          </w:p>
        </w:tc>
        <w:tc>
          <w:tcPr>
            <w:tcW w:w="2865" w:type="dxa"/>
            <w:vAlign w:val="top"/>
          </w:tcPr>
          <w:p>
            <w:pPr>
              <w:ind w:left="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397.46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397.46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2040299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其他公安支出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1169.00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3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1169.00</w:t>
            </w:r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3.98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3.98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10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865" w:type="dxa"/>
            <w:vAlign w:val="top"/>
          </w:tcPr>
          <w:p>
            <w:pPr>
              <w:ind w:left="20" w:right="157" w:hanging="16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10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10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47.93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47.93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51" w:type="dxa"/>
            <w:vAlign w:val="top"/>
          </w:tcPr>
          <w:p>
            <w:pPr>
              <w:ind w:right="3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51" w:type="dxa"/>
            <w:vAlign w:val="top"/>
          </w:tcPr>
          <w:p>
            <w:pPr>
              <w:ind w:right="3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865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22.90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22.90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865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20.91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20.91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865" w:type="dxa"/>
            <w:vAlign w:val="top"/>
          </w:tcPr>
          <w:p>
            <w:pPr>
              <w:ind w:left="11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99" w:type="dxa"/>
            <w:vAlign w:val="top"/>
          </w:tcPr>
          <w:p>
            <w:pPr>
              <w:ind w:right="2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865" w:type="dxa"/>
            <w:vAlign w:val="top"/>
          </w:tcPr>
          <w:p>
            <w:pPr>
              <w:ind w:left="6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51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74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865" w:type="dxa"/>
            <w:vAlign w:val="top"/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99" w:type="dxa"/>
            <w:vAlign w:val="top"/>
          </w:tcPr>
          <w:p>
            <w:pPr>
              <w:ind w:right="23"/>
              <w:spacing w:before="7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51" w:type="dxa"/>
            <w:vAlign w:val="top"/>
          </w:tcPr>
          <w:p>
            <w:pPr>
              <w:ind w:right="21"/>
              <w:spacing w:before="7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7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7"/>
        <w:gridCol w:w="1163"/>
        <w:gridCol w:w="1846"/>
        <w:gridCol w:w="1163"/>
        <w:gridCol w:w="1187"/>
        <w:gridCol w:w="827"/>
        <w:gridCol w:w="1073"/>
      </w:tblGrid>
      <w:tr>
        <w:trPr>
          <w:trHeight w:val="427" w:hRule="atLeast"/>
        </w:trPr>
        <w:tc>
          <w:tcPr>
            <w:tcW w:w="17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28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6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51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5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8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8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4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2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50" w:type="dxa"/>
            <w:vAlign w:val="top"/>
            <w:gridSpan w:val="4"/>
          </w:tcPr>
          <w:p>
            <w:pPr>
              <w:ind w:left="19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5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ind w:left="39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87" w:type="dxa"/>
            <w:vAlign w:val="top"/>
          </w:tcPr>
          <w:p>
            <w:pPr>
              <w:ind w:left="4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3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8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7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3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8140.90</w:t>
            </w:r>
          </w:p>
        </w:tc>
        <w:tc>
          <w:tcPr>
            <w:tcW w:w="1846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ind w:left="10" w:right="125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63" w:type="dxa"/>
            <w:vAlign w:val="top"/>
          </w:tcPr>
          <w:p>
            <w:pPr>
              <w:ind w:right="3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1187" w:type="dxa"/>
            <w:vAlign w:val="top"/>
          </w:tcPr>
          <w:p>
            <w:pPr>
              <w:ind w:right="2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5" w:right="3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0" w:right="38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3" w:right="38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0" w:right="38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0" w:right="38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1" w:right="38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 w:right="38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7" w:right="38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0" w:right="38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 w:right="38" w:firstLine="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7"/>
        <w:gridCol w:w="1163"/>
        <w:gridCol w:w="1846"/>
        <w:gridCol w:w="1163"/>
        <w:gridCol w:w="1187"/>
        <w:gridCol w:w="827"/>
        <w:gridCol w:w="1073"/>
      </w:tblGrid>
      <w:tr>
        <w:trPr>
          <w:trHeight w:val="427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5" w:right="38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321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left="245"/>
              <w:spacing w:before="10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8140.90</w:t>
            </w:r>
          </w:p>
        </w:tc>
        <w:tc>
          <w:tcPr>
            <w:tcW w:w="1846" w:type="dxa"/>
            <w:vAlign w:val="top"/>
          </w:tcPr>
          <w:p>
            <w:pPr>
              <w:ind w:left="366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63" w:type="dxa"/>
            <w:vAlign w:val="top"/>
          </w:tcPr>
          <w:p>
            <w:pPr>
              <w:ind w:left="249"/>
              <w:spacing w:before="10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1187" w:type="dxa"/>
            <w:vAlign w:val="top"/>
          </w:tcPr>
          <w:p>
            <w:pPr>
              <w:ind w:left="262"/>
              <w:spacing w:before="10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0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63" w:type="dxa"/>
            <w:vAlign w:val="top"/>
          </w:tcPr>
          <w:p>
            <w:pPr>
              <w:ind w:right="27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460.22</w:t>
            </w:r>
          </w:p>
        </w:tc>
        <w:tc>
          <w:tcPr>
            <w:tcW w:w="1846" w:type="dxa"/>
            <w:vAlign w:val="top"/>
          </w:tcPr>
          <w:p>
            <w:pPr>
              <w:ind w:left="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460.22</w:t>
            </w:r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0" w:right="125" w:hanging="1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57" w:type="dxa"/>
            <w:vAlign w:val="top"/>
          </w:tcPr>
          <w:p>
            <w:pPr>
              <w:ind w:left="50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left="24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1846" w:type="dxa"/>
            <w:vAlign w:val="top"/>
          </w:tcPr>
          <w:p>
            <w:pPr>
              <w:ind w:left="546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63" w:type="dxa"/>
            <w:vAlign w:val="top"/>
          </w:tcPr>
          <w:p>
            <w:pPr>
              <w:ind w:left="24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1187" w:type="dxa"/>
            <w:vAlign w:val="top"/>
          </w:tcPr>
          <w:p>
            <w:pPr>
              <w:ind w:left="262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8601.13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2"/>
        <w:gridCol w:w="2841"/>
        <w:gridCol w:w="1583"/>
        <w:gridCol w:w="1463"/>
        <w:gridCol w:w="1517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8126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59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499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51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453" w:type="dxa"/>
            <w:vAlign w:val="top"/>
            <w:gridSpan w:val="2"/>
          </w:tcPr>
          <w:p>
            <w:pPr>
              <w:ind w:left="2034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563" w:type="dxa"/>
            <w:vAlign w:val="top"/>
            <w:gridSpan w:val="3"/>
          </w:tcPr>
          <w:p>
            <w:pPr>
              <w:ind w:left="17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12" w:type="dxa"/>
            <w:vAlign w:val="top"/>
          </w:tcPr>
          <w:p>
            <w:pPr>
              <w:ind w:left="42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841" w:type="dxa"/>
            <w:vAlign w:val="top"/>
          </w:tcPr>
          <w:p>
            <w:pPr>
              <w:ind w:left="104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83" w:type="dxa"/>
            <w:vAlign w:val="top"/>
          </w:tcPr>
          <w:p>
            <w:pPr>
              <w:ind w:left="598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63" w:type="dxa"/>
            <w:vAlign w:val="top"/>
          </w:tcPr>
          <w:p>
            <w:pPr>
              <w:ind w:left="358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8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453" w:type="dxa"/>
            <w:vAlign w:val="top"/>
            <w:gridSpan w:val="2"/>
          </w:tcPr>
          <w:p>
            <w:pPr>
              <w:ind w:left="2032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83" w:type="dxa"/>
            <w:vAlign w:val="top"/>
          </w:tcPr>
          <w:p>
            <w:pPr>
              <w:ind w:left="919"/>
              <w:spacing w:before="6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3343.11</w:t>
            </w:r>
          </w:p>
        </w:tc>
        <w:tc>
          <w:tcPr>
            <w:tcW w:w="1463" w:type="dxa"/>
            <w:vAlign w:val="top"/>
          </w:tcPr>
          <w:p>
            <w:pPr>
              <w:ind w:right="3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1398.79</w:t>
            </w:r>
          </w:p>
        </w:tc>
        <w:tc>
          <w:tcPr>
            <w:tcW w:w="1517" w:type="dxa"/>
            <w:vAlign w:val="top"/>
          </w:tcPr>
          <w:p>
            <w:pPr>
              <w:ind w:left="859"/>
              <w:spacing w:before="6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204</w:t>
            </w:r>
          </w:p>
        </w:tc>
        <w:tc>
          <w:tcPr>
            <w:tcW w:w="2841" w:type="dxa"/>
            <w:vAlign w:val="top"/>
          </w:tcPr>
          <w:p>
            <w:pPr>
              <w:ind w:left="11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公共安全支出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1067.68</w:t>
            </w:r>
          </w:p>
        </w:tc>
        <w:tc>
          <w:tcPr>
            <w:tcW w:w="1517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</w:t>
            </w:r>
          </w:p>
        </w:tc>
        <w:tc>
          <w:tcPr>
            <w:tcW w:w="2841" w:type="dxa"/>
            <w:vAlign w:val="top"/>
          </w:tcPr>
          <w:p>
            <w:pPr>
              <w:ind w:left="11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公安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3012.00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1067.68</w:t>
            </w:r>
          </w:p>
        </w:tc>
        <w:tc>
          <w:tcPr>
            <w:tcW w:w="1517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2040201</w:t>
            </w:r>
          </w:p>
        </w:tc>
        <w:tc>
          <w:tcPr>
            <w:tcW w:w="2841" w:type="dxa"/>
            <w:vAlign w:val="top"/>
          </w:tcPr>
          <w:p>
            <w:pPr>
              <w:ind w:left="8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545.89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545.89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2040202</w:t>
            </w:r>
          </w:p>
        </w:tc>
        <w:tc>
          <w:tcPr>
            <w:tcW w:w="2841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560.61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560.61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2040203</w:t>
            </w:r>
          </w:p>
        </w:tc>
        <w:tc>
          <w:tcPr>
            <w:tcW w:w="284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249.04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124.33</w:t>
            </w:r>
          </w:p>
        </w:tc>
        <w:tc>
          <w:tcPr>
            <w:tcW w:w="1517" w:type="dxa"/>
            <w:vAlign w:val="top"/>
          </w:tcPr>
          <w:p>
            <w:pPr>
              <w:ind w:right="2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124.71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2040219</w:t>
            </w:r>
          </w:p>
        </w:tc>
        <w:tc>
          <w:tcPr>
            <w:tcW w:w="2841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信息化建设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3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2040220</w:t>
            </w:r>
          </w:p>
        </w:tc>
        <w:tc>
          <w:tcPr>
            <w:tcW w:w="2841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执法办案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3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2040250</w:t>
            </w:r>
          </w:p>
        </w:tc>
        <w:tc>
          <w:tcPr>
            <w:tcW w:w="2841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397.46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397.46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2040299</w:t>
            </w:r>
          </w:p>
        </w:tc>
        <w:tc>
          <w:tcPr>
            <w:tcW w:w="2841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其他公安支出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1169.00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3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1169.00</w:t>
            </w:r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84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84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159.74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84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3.98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3.98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10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841" w:type="dxa"/>
            <w:vAlign w:val="top"/>
          </w:tcPr>
          <w:p>
            <w:pPr>
              <w:ind w:left="20" w:right="133" w:hanging="16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284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47.93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47.93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84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841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54.70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841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22.90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22.90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84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20.91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20.91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841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83" w:type="dxa"/>
            <w:vAlign w:val="top"/>
          </w:tcPr>
          <w:p>
            <w:pPr>
              <w:ind w:right="29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463" w:type="dxa"/>
            <w:vAlign w:val="top"/>
          </w:tcPr>
          <w:p>
            <w:pPr>
              <w:ind w:right="2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841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84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84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1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84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83" w:type="dxa"/>
            <w:vAlign w:val="top"/>
          </w:tcPr>
          <w:p>
            <w:pPr>
              <w:ind w:right="2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46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8944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5"/>
        <w:gridCol w:w="2062"/>
        <w:gridCol w:w="1439"/>
        <w:gridCol w:w="1379"/>
        <w:gridCol w:w="1229"/>
      </w:tblGrid>
      <w:tr>
        <w:trPr>
          <w:trHeight w:val="331" w:hRule="atLeast"/>
        </w:trPr>
        <w:tc>
          <w:tcPr>
            <w:tcW w:w="8944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8052"/>
              <w:spacing w:before="84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44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983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336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35" w:type="dxa"/>
            <w:vAlign w:val="top"/>
            <w:vMerge w:val="restart"/>
            <w:tcBorders>
              <w:bottom w:val="nil"/>
            </w:tcBorders>
          </w:tcPr>
          <w:p>
            <w:pPr>
              <w:ind w:left="323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062" w:type="dxa"/>
            <w:vAlign w:val="top"/>
            <w:vMerge w:val="restart"/>
            <w:tcBorders>
              <w:bottom w:val="nil"/>
            </w:tcBorders>
          </w:tcPr>
          <w:p>
            <w:pPr>
              <w:ind w:left="2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2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4047" w:type="dxa"/>
            <w:vAlign w:val="top"/>
            <w:gridSpan w:val="3"/>
          </w:tcPr>
          <w:p>
            <w:pPr>
              <w:ind w:left="146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8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6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2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1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29" w:type="dxa"/>
            <w:vAlign w:val="top"/>
          </w:tcPr>
          <w:p>
            <w:pPr>
              <w:ind w:left="24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4897" w:type="dxa"/>
            <w:vAlign w:val="top"/>
            <w:gridSpan w:val="2"/>
          </w:tcPr>
          <w:p>
            <w:pPr>
              <w:ind w:left="224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left="784"/>
              <w:spacing w:before="63" w:line="23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1398.79</w:t>
            </w:r>
          </w:p>
        </w:tc>
        <w:tc>
          <w:tcPr>
            <w:tcW w:w="1379" w:type="dxa"/>
            <w:vAlign w:val="top"/>
          </w:tcPr>
          <w:p>
            <w:pPr>
              <w:ind w:right="3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1177.04</w:t>
            </w:r>
          </w:p>
        </w:tc>
        <w:tc>
          <w:tcPr>
            <w:tcW w:w="1229" w:type="dxa"/>
            <w:vAlign w:val="top"/>
          </w:tcPr>
          <w:p>
            <w:pPr>
              <w:ind w:right="32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06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28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1125.13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1125.13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370.80</w:t>
            </w:r>
          </w:p>
        </w:tc>
        <w:tc>
          <w:tcPr>
            <w:tcW w:w="1379" w:type="dxa"/>
            <w:vAlign w:val="top"/>
          </w:tcPr>
          <w:p>
            <w:pPr>
              <w:ind w:right="21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370.80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278.07</w:t>
            </w:r>
          </w:p>
        </w:tc>
        <w:tc>
          <w:tcPr>
            <w:tcW w:w="1379" w:type="dxa"/>
            <w:vAlign w:val="top"/>
          </w:tcPr>
          <w:p>
            <w:pPr>
              <w:ind w:right="21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278.07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36.06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36.06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138.15</w:t>
            </w:r>
          </w:p>
        </w:tc>
        <w:tc>
          <w:tcPr>
            <w:tcW w:w="137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138.15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37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107.83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43.81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43.81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10.57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62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2.35</w:t>
            </w:r>
          </w:p>
        </w:tc>
        <w:tc>
          <w:tcPr>
            <w:tcW w:w="137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2.35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62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37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116.68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62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20.83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20.83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83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06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26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65.90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65.90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水费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26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2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5"/>
              </w:rPr>
              <w:t>电费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35.43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35.43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12.43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17.48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28.59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062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3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24.93</w:t>
            </w:r>
          </w:p>
        </w:tc>
      </w:tr>
      <w:tr>
        <w:trPr>
          <w:trHeight w:val="326" w:hRule="atLeast"/>
        </w:trPr>
        <w:tc>
          <w:tcPr>
            <w:tcW w:w="283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06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51.91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35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06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ind w:right="2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51.91</w:t>
            </w:r>
          </w:p>
        </w:tc>
        <w:tc>
          <w:tcPr>
            <w:tcW w:w="1379" w:type="dxa"/>
            <w:vAlign w:val="top"/>
          </w:tcPr>
          <w:p>
            <w:pPr>
              <w:ind w:right="27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36"/>
        <w:gridCol w:w="1972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8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97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38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2"/>
          </w:tcPr>
          <w:p>
            <w:pPr>
              <w:ind w:left="3330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7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0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36" w:type="dxa"/>
            <w:vAlign w:val="top"/>
          </w:tcPr>
          <w:p>
            <w:pPr>
              <w:ind w:left="19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2"/>
          </w:tcPr>
          <w:p>
            <w:pPr>
              <w:ind w:left="33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65"/>
        <w:gridCol w:w="1139"/>
        <w:gridCol w:w="1139"/>
        <w:gridCol w:w="1205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6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5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3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47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5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65" w:type="dxa"/>
            <w:vAlign w:val="top"/>
          </w:tcPr>
          <w:p>
            <w:pPr>
              <w:ind w:left="135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39" w:type="dxa"/>
            <w:vAlign w:val="top"/>
          </w:tcPr>
          <w:p>
            <w:pPr>
              <w:ind w:left="376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1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205" w:type="dxa"/>
            <w:vAlign w:val="top"/>
          </w:tcPr>
          <w:p>
            <w:pPr>
              <w:ind w:left="2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33" w:type="dxa"/>
            <w:vAlign w:val="top"/>
            <w:gridSpan w:val="2"/>
          </w:tcPr>
          <w:p>
            <w:pPr>
              <w:ind w:left="2572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03"/>
        <w:gridCol w:w="947"/>
        <w:gridCol w:w="947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23"/>
              <w:spacing w:before="252" w:line="203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19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207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47" w:type="dxa"/>
            <w:vAlign w:val="top"/>
            <w:gridSpan w:val="3"/>
          </w:tcPr>
          <w:p>
            <w:pPr>
              <w:ind w:left="97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69" w:type="dxa"/>
            <w:vAlign w:val="top"/>
            <w:gridSpan w:val="5"/>
          </w:tcPr>
          <w:p>
            <w:pPr>
              <w:ind w:left="173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00" w:type="dxa"/>
            <w:vAlign w:val="top"/>
            <w:gridSpan w:val="2"/>
          </w:tcPr>
          <w:p>
            <w:pPr>
              <w:ind w:left="120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  <w:vMerge w:val="restart"/>
            <w:tcBorders>
              <w:bottom w:val="nil"/>
            </w:tcBorders>
          </w:tcPr>
          <w:p>
            <w:pPr>
              <w:ind w:left="23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97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3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292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89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35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87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</w:t>
            </w:r>
          </w:p>
          <w:p>
            <w:pPr>
              <w:ind w:left="4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码</w:t>
            </w:r>
          </w:p>
        </w:tc>
        <w:tc>
          <w:tcPr>
            <w:tcW w:w="1703" w:type="dxa"/>
            <w:vAlign w:val="top"/>
          </w:tcPr>
          <w:p>
            <w:pPr>
              <w:ind w:left="47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4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00" w:type="dxa"/>
            <w:vAlign w:val="top"/>
            <w:gridSpan w:val="2"/>
          </w:tcPr>
          <w:p>
            <w:pPr>
              <w:ind w:left="1204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591"/>
        <w:gridCol w:w="1355"/>
        <w:gridCol w:w="1271"/>
        <w:gridCol w:w="1355"/>
        <w:gridCol w:w="1444"/>
      </w:tblGrid>
      <w:tr>
        <w:trPr>
          <w:trHeight w:val="427" w:hRule="atLeast"/>
        </w:trPr>
        <w:tc>
          <w:tcPr>
            <w:tcW w:w="35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48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09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17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710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2" w:hRule="atLeast"/>
        </w:trPr>
        <w:tc>
          <w:tcPr>
            <w:tcW w:w="359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0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425" w:type="dxa"/>
            <w:vAlign w:val="top"/>
            <w:gridSpan w:val="4"/>
          </w:tcPr>
          <w:p>
            <w:pPr>
              <w:ind w:left="215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59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ind w:left="48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71" w:type="dxa"/>
            <w:vAlign w:val="top"/>
          </w:tcPr>
          <w:p>
            <w:pPr>
              <w:ind w:left="8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55" w:type="dxa"/>
            <w:vAlign w:val="top"/>
          </w:tcPr>
          <w:p>
            <w:pPr>
              <w:ind w:left="33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9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18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107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134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8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106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88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591" w:type="dxa"/>
            <w:vAlign w:val="top"/>
          </w:tcPr>
          <w:p>
            <w:pPr>
              <w:ind w:left="160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4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43"/>
        <w:gridCol w:w="1535"/>
        <w:gridCol w:w="1630"/>
        <w:gridCol w:w="1367"/>
        <w:gridCol w:w="1541"/>
      </w:tblGrid>
      <w:tr>
        <w:trPr>
          <w:trHeight w:val="426" w:hRule="atLeast"/>
        </w:trPr>
        <w:tc>
          <w:tcPr>
            <w:tcW w:w="29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79"/>
              <w:spacing w:before="1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3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6" w:id="27"/>
            <w:bookmarkEnd w:id="2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29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3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807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9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09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6073" w:type="dxa"/>
            <w:vAlign w:val="top"/>
            <w:gridSpan w:val="4"/>
          </w:tcPr>
          <w:p>
            <w:pPr>
              <w:ind w:left="25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294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35" w:type="dxa"/>
            <w:vAlign w:val="top"/>
          </w:tcPr>
          <w:p>
            <w:pPr>
              <w:ind w:left="571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30" w:type="dxa"/>
            <w:vAlign w:val="top"/>
          </w:tcPr>
          <w:p>
            <w:pPr>
              <w:ind w:left="26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67" w:type="dxa"/>
            <w:vAlign w:val="top"/>
          </w:tcPr>
          <w:p>
            <w:pPr>
              <w:ind w:left="4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541" w:type="dxa"/>
            <w:vAlign w:val="top"/>
          </w:tcPr>
          <w:p>
            <w:pPr>
              <w:ind w:left="5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2943" w:type="dxa"/>
            <w:vAlign w:val="top"/>
          </w:tcPr>
          <w:p>
            <w:pPr>
              <w:ind w:left="109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535" w:type="dxa"/>
            <w:vAlign w:val="top"/>
          </w:tcPr>
          <w:p>
            <w:pPr>
              <w:ind w:right="25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  <w:tc>
          <w:tcPr>
            <w:tcW w:w="1630" w:type="dxa"/>
            <w:vAlign w:val="top"/>
          </w:tcPr>
          <w:p>
            <w:pPr>
              <w:ind w:right="2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943" w:type="dxa"/>
            <w:vAlign w:val="top"/>
          </w:tcPr>
          <w:p>
            <w:pPr>
              <w:ind w:left="1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兴县公安局交通警察大队</w:t>
            </w:r>
          </w:p>
        </w:tc>
        <w:tc>
          <w:tcPr>
            <w:tcW w:w="1535" w:type="dxa"/>
            <w:vAlign w:val="top"/>
          </w:tcPr>
          <w:p>
            <w:pPr>
              <w:ind w:right="25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  <w:tc>
          <w:tcPr>
            <w:tcW w:w="1630" w:type="dxa"/>
            <w:vAlign w:val="top"/>
          </w:tcPr>
          <w:p>
            <w:pPr>
              <w:ind w:right="2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221.75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5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00"/>
        <w:gridCol w:w="1331"/>
        <w:gridCol w:w="1331"/>
        <w:gridCol w:w="635"/>
        <w:gridCol w:w="1067"/>
        <w:gridCol w:w="1043"/>
        <w:gridCol w:w="809"/>
      </w:tblGrid>
      <w:tr>
        <w:trPr>
          <w:trHeight w:val="427" w:hRule="atLeast"/>
        </w:trPr>
        <w:tc>
          <w:tcPr>
            <w:tcW w:w="280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2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90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79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8"/>
            <w:bookmarkEnd w:id="28"/>
            <w:bookmarkStart w:name="bookmark17" w:id="29"/>
            <w:bookmarkEnd w:id="2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64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85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6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2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68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33" w:type="dxa"/>
            <w:vAlign w:val="top"/>
            <w:gridSpan w:val="3"/>
          </w:tcPr>
          <w:p>
            <w:pPr>
              <w:ind w:left="8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240" w:right="82" w:hanging="181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0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0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left="112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35" w:type="dxa"/>
            <w:vAlign w:val="top"/>
          </w:tcPr>
          <w:p>
            <w:pPr>
              <w:ind w:left="3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4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67" w:type="dxa"/>
            <w:vAlign w:val="top"/>
          </w:tcPr>
          <w:p>
            <w:pPr>
              <w:ind w:left="254" w:right="95" w:hanging="167"/>
              <w:spacing w:before="9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4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00" w:type="dxa"/>
            <w:vAlign w:val="top"/>
          </w:tcPr>
          <w:p>
            <w:pPr>
              <w:ind w:left="13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31" w:type="dxa"/>
            <w:vAlign w:val="top"/>
          </w:tcPr>
          <w:p>
            <w:pPr>
              <w:ind w:left="60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31" w:type="dxa"/>
            <w:vAlign w:val="top"/>
          </w:tcPr>
          <w:p>
            <w:pPr>
              <w:ind w:left="610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35" w:type="dxa"/>
            <w:vAlign w:val="top"/>
          </w:tcPr>
          <w:p>
            <w:pPr>
              <w:ind w:left="25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67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43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09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1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兴县公安局交通警察大队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00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兴县公安局交通警察大队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1944.32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11" w:right="88" w:firstLine="355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G智能交通指挥中心(政法综治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大楼)工程建设项目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12" w:right="178" w:firstLine="35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G蔚芬南路道路中心隔离护栏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安装项目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9" w:right="178" w:firstLine="35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G兴县交警大队蔚汾南北路安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全防护栏人行道防撞柱安装项目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153.00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153.00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7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北山公路交通设施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00" w:type="dxa"/>
            <w:vAlign w:val="top"/>
          </w:tcPr>
          <w:p>
            <w:pPr>
              <w:ind w:left="10" w:right="178" w:firstLine="356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G2022年兴县交警大队城区道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路交通标志、标线施划工程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9" w:right="178" w:firstLine="35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H2023年办公用房及停车场租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赁费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H2023年数据租赁费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54.71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54.71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11" w:right="358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H2023年交通管理、事故处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理、拖车、施救、清障费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69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培训费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9" w:right="178" w:firstLine="35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G公安局、交警队、客运西站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双回路电源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新办公设备设施购置费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2024年水电费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协管员工资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330.61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330.61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7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后勤人员劳务费</w:t>
            </w:r>
          </w:p>
        </w:tc>
        <w:tc>
          <w:tcPr>
            <w:tcW w:w="1331" w:type="dxa"/>
            <w:vAlign w:val="top"/>
          </w:tcPr>
          <w:p>
            <w:pPr>
              <w:ind w:right="2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1331" w:type="dxa"/>
            <w:vAlign w:val="top"/>
          </w:tcPr>
          <w:p>
            <w:pPr>
              <w:ind w:right="25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2024年民警加值班补助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8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民警意外伤害险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13.20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13.20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体检费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43" w:right="88" w:firstLine="33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胡家沟执法站、警务站新建项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目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42.80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42.80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00" w:type="dxa"/>
            <w:vAlign w:val="top"/>
          </w:tcPr>
          <w:p>
            <w:pPr>
              <w:ind w:left="18" w:right="88" w:firstLine="35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数据线路租赁维护及网络维护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00" w:type="dxa"/>
            <w:vAlign w:val="top"/>
          </w:tcPr>
          <w:p>
            <w:pPr>
              <w:ind w:left="371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2024年数据租赁费</w:t>
            </w:r>
          </w:p>
        </w:tc>
        <w:tc>
          <w:tcPr>
            <w:tcW w:w="1331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1331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22"/>
        <w:gridCol w:w="1139"/>
        <w:gridCol w:w="1271"/>
        <w:gridCol w:w="1223"/>
        <w:gridCol w:w="1361"/>
      </w:tblGrid>
      <w:tr>
        <w:trPr>
          <w:trHeight w:val="426" w:hRule="atLeast"/>
        </w:trPr>
        <w:tc>
          <w:tcPr>
            <w:tcW w:w="402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99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79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30"/>
            <w:bookmarkEnd w:id="30"/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55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136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555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2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7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55" w:type="dxa"/>
            <w:vAlign w:val="top"/>
            <w:gridSpan w:val="3"/>
          </w:tcPr>
          <w:p>
            <w:pPr>
              <w:ind w:left="128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8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23" w:type="dxa"/>
            <w:vAlign w:val="top"/>
          </w:tcPr>
          <w:p>
            <w:pPr>
              <w:ind w:left="148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61" w:type="dxa"/>
            <w:vAlign w:val="top"/>
          </w:tcPr>
          <w:p>
            <w:pPr>
              <w:ind w:left="323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0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22" w:type="dxa"/>
            <w:vAlign w:val="top"/>
          </w:tcPr>
          <w:p>
            <w:pPr>
              <w:ind w:left="196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14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71" w:type="dxa"/>
            <w:vAlign w:val="top"/>
          </w:tcPr>
          <w:p>
            <w:pPr>
              <w:ind w:left="58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23" w:type="dxa"/>
            <w:vAlign w:val="top"/>
          </w:tcPr>
          <w:p>
            <w:pPr>
              <w:ind w:left="55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61" w:type="dxa"/>
            <w:vAlign w:val="top"/>
          </w:tcPr>
          <w:p>
            <w:pPr>
              <w:ind w:left="627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2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2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600" w:bottom="340" w:left="600" w:header="326" w:footer="111" w:gutter="0"/>
        </w:sectPr>
        <w:rPr/>
      </w:pPr>
    </w:p>
    <w:p>
      <w:pPr>
        <w:ind w:left="3646"/>
        <w:spacing w:before="23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pStyle w:val="BodyText"/>
        <w:spacing w:line="299" w:lineRule="auto"/>
        <w:rPr/>
      </w:pPr>
      <w:r/>
    </w:p>
    <w:p>
      <w:pPr>
        <w:ind w:left="6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706" w:right="925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2024年度兴县公安局交通警察大队预算收入总计3,343.11万元，其中：本年收</w:t>
      </w:r>
      <w:r>
        <w:rPr>
          <w:rFonts w:ascii="FangSong" w:hAnsi="FangSong" w:eastAsia="FangSong" w:cs="FangSong"/>
          <w:sz w:val="25"/>
          <w:szCs w:val="25"/>
        </w:rPr>
        <w:t>入3,343.11万元，上年结转0万元，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比上年减少1118.31万元，下降25.07%，主要原</w:t>
      </w:r>
      <w:r>
        <w:rPr>
          <w:rFonts w:ascii="FangSong" w:hAnsi="FangSong" w:eastAsia="FangSong" w:cs="FangSong"/>
          <w:sz w:val="25"/>
          <w:szCs w:val="25"/>
          <w:spacing w:val="2"/>
        </w:rPr>
        <w:t>因是上年度补发基础绩效奖等工资福利支出、本年项目支出安排较上</w:t>
      </w:r>
      <w:r>
        <w:rPr>
          <w:rFonts w:ascii="FangSong" w:hAnsi="FangSong" w:eastAsia="FangSong" w:cs="FangSong"/>
          <w:sz w:val="25"/>
          <w:szCs w:val="25"/>
          <w:spacing w:val="1"/>
        </w:rPr>
        <w:t>年减少较大，</w:t>
      </w:r>
      <w:r>
        <w:rPr>
          <w:rFonts w:ascii="FangSong" w:hAnsi="FangSong" w:eastAsia="FangSong" w:cs="FangSong"/>
          <w:sz w:val="25"/>
          <w:szCs w:val="25"/>
          <w:spacing w:val="1"/>
        </w:rPr>
        <w:t>以致上下年对比减少较大；本年部门预算支出总计3,343.11万元，其中：本年预算</w:t>
      </w:r>
      <w:r>
        <w:rPr>
          <w:rFonts w:ascii="FangSong" w:hAnsi="FangSong" w:eastAsia="FangSong" w:cs="FangSong"/>
          <w:sz w:val="25"/>
          <w:szCs w:val="25"/>
        </w:rPr>
        <w:t>安排3,343.11万元，上年结转0万元，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比上年减少1118.31万元，下降25.07%，主要</w:t>
      </w:r>
      <w:r>
        <w:rPr>
          <w:rFonts w:ascii="FangSong" w:hAnsi="FangSong" w:eastAsia="FangSong" w:cs="FangSong"/>
          <w:sz w:val="25"/>
          <w:szCs w:val="25"/>
          <w:spacing w:val="1"/>
        </w:rPr>
        <w:t>原因是上年度补发基础绩效奖等工资福利支出、本年项目支出安排较上年减少较</w:t>
      </w:r>
    </w:p>
    <w:p>
      <w:pPr>
        <w:ind w:left="709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大，以致上下年对比减少较大</w:t>
      </w:r>
    </w:p>
    <w:p>
      <w:pPr>
        <w:ind w:left="698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5"/>
      <w:bookmarkEnd w:id="35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708" w:right="937" w:firstLine="49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2024年度兴县公安局交通警察大队预算收入3,343.11万元，主要包括一般公共</w:t>
      </w:r>
      <w:r>
        <w:rPr>
          <w:rFonts w:ascii="FangSong" w:hAnsi="FangSong" w:eastAsia="FangSong" w:cs="FangSong"/>
          <w:sz w:val="25"/>
          <w:szCs w:val="25"/>
        </w:rPr>
        <w:t>预算拨款收入3,343.11万元，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占100.00%；政府性基金预算</w:t>
      </w:r>
      <w:r>
        <w:rPr>
          <w:rFonts w:ascii="FangSong" w:hAnsi="FangSong" w:eastAsia="FangSong" w:cs="FangSong"/>
          <w:sz w:val="25"/>
          <w:szCs w:val="25"/>
          <w:spacing w:val="-1"/>
        </w:rPr>
        <w:t>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701" w:right="1183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0%；国有资本经营预算拨款收入0万元，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  <w:spacing w:val="-3"/>
        </w:rPr>
        <w:t>0%；单位资金0万元，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占0%。</w:t>
      </w:r>
    </w:p>
    <w:p>
      <w:pPr>
        <w:pStyle w:val="BodyText"/>
        <w:spacing w:line="342" w:lineRule="auto"/>
        <w:rPr/>
      </w:pPr>
      <w:r/>
    </w:p>
    <w:p>
      <w:pPr>
        <w:ind w:firstLine="2804"/>
        <w:spacing w:before="1" w:line="3266" w:lineRule="exact"/>
        <w:rPr/>
      </w:pPr>
      <w:r>
        <w:rPr>
          <w:position w:val="-65"/>
        </w:rPr>
        <w:drawing>
          <wp:inline distT="0" distB="0" distL="0" distR="0">
            <wp:extent cx="2609084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6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6"/>
      <w:bookmarkEnd w:id="36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717" w:right="1309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2024年度兴县公安局交通警察大队支出预</w:t>
      </w:r>
      <w:r>
        <w:rPr>
          <w:rFonts w:ascii="FangSong" w:hAnsi="FangSong" w:eastAsia="FangSong" w:cs="FangSong"/>
          <w:sz w:val="25"/>
          <w:szCs w:val="25"/>
          <w:spacing w:val="1"/>
        </w:rPr>
        <w:t>算3343.11万元，其中：基本支出</w:t>
      </w:r>
      <w:r>
        <w:rPr>
          <w:rFonts w:ascii="FangSong" w:hAnsi="FangSong" w:eastAsia="FangSong" w:cs="FangSong"/>
          <w:sz w:val="25"/>
          <w:szCs w:val="25"/>
          <w:spacing w:val="-2"/>
        </w:rPr>
        <w:t>1398.79万元，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占41.84%；项目支出1944.</w:t>
      </w:r>
      <w:r>
        <w:rPr>
          <w:rFonts w:ascii="FangSong" w:hAnsi="FangSong" w:eastAsia="FangSong" w:cs="FangSong"/>
          <w:sz w:val="25"/>
          <w:szCs w:val="25"/>
          <w:spacing w:val="-3"/>
        </w:rPr>
        <w:t>32万元，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占58.16%。</w:t>
      </w:r>
    </w:p>
    <w:p>
      <w:pPr>
        <w:ind w:left="7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7"/>
      <w:bookmarkEnd w:id="37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2024年度兴县公安局交通警察大队财政拨款收支总预算8,601</w:t>
      </w:r>
      <w:r>
        <w:rPr>
          <w:rFonts w:ascii="FangSong" w:hAnsi="FangSong" w:eastAsia="FangSong" w:cs="FangSong"/>
          <w:sz w:val="25"/>
          <w:szCs w:val="25"/>
          <w:spacing w:val="1"/>
        </w:rPr>
        <w:t>.13万元。其</w:t>
      </w:r>
    </w:p>
    <w:p>
      <w:pPr>
        <w:ind w:left="706" w:right="805" w:firstLine="32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中：一般公共预算拨款8,601.13万元，政府性基金预算拨款0万元，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国有资本经营预</w:t>
      </w:r>
      <w:r>
        <w:rPr>
          <w:rFonts w:ascii="FangSong" w:hAnsi="FangSong" w:eastAsia="FangSong" w:cs="FangSong"/>
          <w:sz w:val="25"/>
          <w:szCs w:val="25"/>
          <w:spacing w:val="1"/>
        </w:rPr>
        <w:t>算拨款0万元。其中：当年拨款收入8,140.90万元，上年结转收入460.22万元。支出</w:t>
      </w:r>
      <w:r>
        <w:rPr>
          <w:rFonts w:ascii="FangSong" w:hAnsi="FangSong" w:eastAsia="FangSong" w:cs="FangSong"/>
          <w:sz w:val="25"/>
          <w:szCs w:val="25"/>
        </w:rPr>
        <w:t>包括：公共安全支出8,601.13万元等。</w:t>
      </w:r>
    </w:p>
    <w:p>
      <w:pPr>
        <w:ind w:left="7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8"/>
      <w:bookmarkEnd w:id="38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2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2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2024年度兴县公安局交通警察大队一般公共预算当年支出3,343.11万元,比上年</w:t>
      </w:r>
    </w:p>
    <w:p>
      <w:pPr>
        <w:spacing w:line="223" w:lineRule="auto"/>
        <w:sectPr>
          <w:footerReference w:type="default" r:id="rId19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708"/>
        <w:spacing w:before="116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减少1118.31万元，下降25.07%。</w:t>
      </w:r>
    </w:p>
    <w:p>
      <w:pPr>
        <w:ind w:left="12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704" w:right="793" w:firstLine="502"/>
        <w:spacing w:before="129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2024年度兴县公安局交通警察大队一般公共预算当年支出3,343.11万元,主要用</w:t>
      </w:r>
      <w:r>
        <w:rPr>
          <w:rFonts w:ascii="FangSong" w:hAnsi="FangSong" w:eastAsia="FangSong" w:cs="FangSong"/>
          <w:sz w:val="25"/>
          <w:szCs w:val="25"/>
        </w:rPr>
        <w:t>于以下方面：公共安全支出3,012.00万元，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占90.10%；社会保障和就业支出159</w:t>
      </w:r>
      <w:r>
        <w:rPr>
          <w:rFonts w:ascii="FangSong" w:hAnsi="FangSong" w:eastAsia="FangSong" w:cs="FangSong"/>
          <w:sz w:val="25"/>
          <w:szCs w:val="25"/>
          <w:spacing w:val="-1"/>
        </w:rPr>
        <w:t>.74</w:t>
      </w:r>
      <w:r>
        <w:rPr>
          <w:rFonts w:ascii="FangSong" w:hAnsi="FangSong" w:eastAsia="FangSong" w:cs="FangSong"/>
          <w:sz w:val="25"/>
          <w:szCs w:val="25"/>
          <w:spacing w:val="-2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占4.78%；卫生健康支出54.70万元，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占1.64%；住房</w:t>
      </w:r>
      <w:r>
        <w:rPr>
          <w:rFonts w:ascii="FangSong" w:hAnsi="FangSong" w:eastAsia="FangSong" w:cs="FangSong"/>
          <w:sz w:val="25"/>
          <w:szCs w:val="25"/>
          <w:spacing w:val="-3"/>
        </w:rPr>
        <w:t>保障支出116.68万元，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</w:t>
      </w:r>
      <w:r>
        <w:rPr>
          <w:rFonts w:ascii="FangSong" w:hAnsi="FangSong" w:eastAsia="FangSong" w:cs="FangSong"/>
          <w:sz w:val="25"/>
          <w:szCs w:val="25"/>
          <w:spacing w:val="-1"/>
        </w:rPr>
        <w:t>3.49%等。</w:t>
      </w:r>
    </w:p>
    <w:p>
      <w:pPr>
        <w:ind w:firstLine="2963"/>
        <w:spacing w:before="99" w:line="2765" w:lineRule="exact"/>
        <w:rPr/>
      </w:pPr>
      <w:r>
        <w:rPr>
          <w:position w:val="-55"/>
        </w:rPr>
        <w:drawing>
          <wp:inline distT="0" distB="0" distL="0" distR="0">
            <wp:extent cx="2482430" cy="175603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2430" cy="175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7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9"/>
      <w:bookmarkEnd w:id="39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708" w:right="988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2024年度兴县公安局交通警察大队一般公共预算安排基本支出1,398.79万元，</w:t>
      </w:r>
      <w:r>
        <w:rPr>
          <w:rFonts w:ascii="FangSong" w:hAnsi="FangSong" w:eastAsia="FangSong" w:cs="FangSong"/>
          <w:sz w:val="25"/>
          <w:szCs w:val="25"/>
          <w:spacing w:val="-6"/>
        </w:rPr>
        <w:t>其中：</w:t>
      </w:r>
    </w:p>
    <w:p>
      <w:pPr>
        <w:ind w:left="1215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人员经费1,177.04万元，主要包括：其他工资福利支出、其他社会保障缴</w:t>
      </w:r>
    </w:p>
    <w:p>
      <w:pPr>
        <w:ind w:left="714" w:right="118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费、公务员医疗补助缴费、绩效工资、基本工资、机关事业单位基本养老保险缴</w:t>
      </w:r>
      <w:r>
        <w:rPr>
          <w:rFonts w:ascii="FangSong" w:hAnsi="FangSong" w:eastAsia="FangSong" w:cs="FangSong"/>
          <w:sz w:val="25"/>
          <w:szCs w:val="25"/>
          <w:spacing w:val="1"/>
        </w:rPr>
        <w:t>费、退休费、住房公积金、奖金、津贴补贴、职工基本医疗保险缴费等；</w:t>
      </w:r>
    </w:p>
    <w:p>
      <w:pPr>
        <w:ind w:left="712" w:right="937" w:firstLine="503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公用经费221.75万元，主要包括：办公费、电费、物业管理费、福利费、其他</w:t>
      </w:r>
      <w:r>
        <w:rPr>
          <w:rFonts w:ascii="FangSong" w:hAnsi="FangSong" w:eastAsia="FangSong" w:cs="FangSong"/>
          <w:sz w:val="25"/>
          <w:szCs w:val="25"/>
        </w:rPr>
        <w:t>交通费用、差旅费、工会经费、取暖费、水费等。</w:t>
      </w:r>
    </w:p>
    <w:p>
      <w:pPr>
        <w:ind w:left="693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708" w:right="804" w:firstLine="497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2024年兴县公安局交通警察大队财政拨款安排的“三公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</w:t>
      </w:r>
      <w:r>
        <w:rPr>
          <w:rFonts w:ascii="FangSong" w:hAnsi="FangSong" w:eastAsia="FangSong" w:cs="FangSong"/>
          <w:sz w:val="25"/>
          <w:szCs w:val="25"/>
        </w:rPr>
        <w:t>费预算0万元与2023</w:t>
      </w:r>
      <w:r>
        <w:rPr>
          <w:rFonts w:ascii="FangSong" w:hAnsi="FangSong" w:eastAsia="FangSong" w:cs="FangSong"/>
          <w:sz w:val="25"/>
          <w:szCs w:val="25"/>
          <w:spacing w:val="2"/>
        </w:rPr>
        <w:t>年预算数相同。其中：因公出国（境）费0万元，</w:t>
      </w:r>
      <w:r>
        <w:rPr>
          <w:rFonts w:ascii="FangSong" w:hAnsi="FangSong" w:eastAsia="FangSong" w:cs="FangSong"/>
          <w:sz w:val="25"/>
          <w:szCs w:val="25"/>
          <w:spacing w:val="1"/>
        </w:rPr>
        <w:t>与上年预算数相同；公务接待费0</w:t>
      </w:r>
      <w:r>
        <w:rPr>
          <w:rFonts w:ascii="FangSong" w:hAnsi="FangSong" w:eastAsia="FangSong" w:cs="FangSong"/>
          <w:sz w:val="25"/>
          <w:szCs w:val="25"/>
          <w:spacing w:val="2"/>
        </w:rPr>
        <w:t>万元，与上年预算数相同；公务用车运行维护费0</w:t>
      </w:r>
      <w:r>
        <w:rPr>
          <w:rFonts w:ascii="FangSong" w:hAnsi="FangSong" w:eastAsia="FangSong" w:cs="FangSong"/>
          <w:sz w:val="25"/>
          <w:szCs w:val="25"/>
          <w:spacing w:val="1"/>
        </w:rPr>
        <w:t>万元，与上年预算数相同；公务用</w:t>
      </w:r>
      <w:r>
        <w:rPr>
          <w:rFonts w:ascii="FangSong" w:hAnsi="FangSong" w:eastAsia="FangSong" w:cs="FangSong"/>
          <w:sz w:val="25"/>
          <w:szCs w:val="25"/>
          <w:spacing w:val="1"/>
        </w:rPr>
        <w:t>车购置费0万元，与上年预算数相同。</w:t>
      </w:r>
    </w:p>
    <w:p>
      <w:pPr>
        <w:spacing w:line="319" w:lineRule="auto"/>
        <w:sectPr>
          <w:footerReference w:type="default" r:id="rId21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67" w:lineRule="auto"/>
        <w:rPr/>
      </w:pPr>
      <w:r/>
    </w:p>
    <w:p>
      <w:pPr>
        <w:ind w:firstLine="1428"/>
        <w:spacing w:line="2932" w:lineRule="exact"/>
        <w:rPr/>
      </w:pPr>
      <w:r>
        <w:rPr>
          <w:position w:val="-58"/>
        </w:rPr>
        <w:drawing>
          <wp:inline distT="0" distB="0" distL="0" distR="0">
            <wp:extent cx="4888867" cy="186221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8867" cy="18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694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1"/>
      <w:bookmarkEnd w:id="41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706" w:right="988" w:firstLine="50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本单位机关运行经费财政拨款预算221.75万元，比2023年预算增加1.35万</w:t>
      </w:r>
      <w:r>
        <w:rPr>
          <w:rFonts w:ascii="FangSong" w:hAnsi="FangSong" w:eastAsia="FangSong" w:cs="FangSong"/>
          <w:sz w:val="25"/>
          <w:szCs w:val="25"/>
          <w:spacing w:val="-1"/>
        </w:rPr>
        <w:t>元，</w:t>
      </w:r>
      <w:r>
        <w:rPr>
          <w:rFonts w:ascii="FangSong" w:hAnsi="FangSong" w:eastAsia="FangSong" w:cs="FangSong"/>
          <w:sz w:val="25"/>
          <w:szCs w:val="25"/>
          <w:spacing w:val="1"/>
        </w:rPr>
        <w:t>增长0.61%，原因是人员工资增加，机关运行测算基数相应增大</w:t>
      </w:r>
    </w:p>
    <w:p>
      <w:pPr>
        <w:ind w:left="700"/>
        <w:spacing w:line="224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2"/>
      <w:bookmarkEnd w:id="42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708" w:right="805" w:firstLine="497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2024年兴县公安局交通警察大队政府采购预算总额0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万元。其中：政府采购货物</w:t>
      </w:r>
      <w:r>
        <w:rPr>
          <w:rFonts w:ascii="FangSong" w:hAnsi="FangSong" w:eastAsia="FangSong" w:cs="FangSong"/>
          <w:sz w:val="25"/>
          <w:szCs w:val="25"/>
          <w:spacing w:val="2"/>
        </w:rPr>
        <w:t>预算0万元、政府采购工程预算0万元、政府采购服</w:t>
      </w:r>
      <w:r>
        <w:rPr>
          <w:rFonts w:ascii="FangSong" w:hAnsi="FangSong" w:eastAsia="FangSong" w:cs="FangSong"/>
          <w:sz w:val="25"/>
          <w:szCs w:val="25"/>
          <w:spacing w:val="1"/>
        </w:rPr>
        <w:t>务预算0万元。</w:t>
      </w:r>
    </w:p>
    <w:p>
      <w:pPr>
        <w:ind w:left="6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3"/>
      <w:bookmarkEnd w:id="43"/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2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2024年未编报单位整体绩效目标，涉及资金0万元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2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2024年兴县公安局交通警察大队纳入绩效目标管理的二级项目22个，共计金</w:t>
      </w:r>
    </w:p>
    <w:p>
      <w:pPr>
        <w:ind w:left="709" w:right="937" w:hanging="3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额2,008.26万元。其中：其他运转类项目17个，涉及金额1,035.26万元；特定目标</w:t>
      </w:r>
      <w:r>
        <w:rPr>
          <w:rFonts w:ascii="FangSong" w:hAnsi="FangSong" w:eastAsia="FangSong" w:cs="FangSong"/>
          <w:sz w:val="25"/>
          <w:szCs w:val="25"/>
          <w:spacing w:val="1"/>
        </w:rPr>
        <w:t>类项目5个，涉及金额973.00万元。公开项目绩效目标22个，涉及项目金</w:t>
      </w:r>
    </w:p>
    <w:p>
      <w:pPr>
        <w:ind w:left="706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额2,008.26万元，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</w:t>
      </w:r>
      <w:r>
        <w:rPr>
          <w:rFonts w:ascii="FangSong" w:hAnsi="FangSong" w:eastAsia="FangSong" w:cs="FangSong"/>
          <w:sz w:val="25"/>
          <w:szCs w:val="25"/>
          <w:spacing w:val="-1"/>
        </w:rPr>
        <w:t>运转类项</w:t>
      </w:r>
    </w:p>
    <w:p>
      <w:pPr>
        <w:ind w:left="710" w:right="805" w:firstLine="40"/>
        <w:spacing w:before="13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目17个，涉及项目金额1,035.26万元；特定目标类项目5个，涉及项目金额973.00万</w:t>
      </w:r>
      <w:r>
        <w:rPr>
          <w:rFonts w:ascii="FangSong" w:hAnsi="FangSong" w:eastAsia="FangSong" w:cs="FangSong"/>
          <w:sz w:val="25"/>
          <w:szCs w:val="25"/>
          <w:spacing w:val="-11"/>
        </w:rPr>
        <w:t>元。</w:t>
      </w:r>
    </w:p>
    <w:p>
      <w:pPr>
        <w:ind w:left="1212"/>
        <w:spacing w:before="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footerReference w:type="default" r:id="rId23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5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7"/>
          <w:pgSz w:w="11900" w:h="16840"/>
          <w:pgMar w:top="642" w:right="600" w:bottom="340" w:left="600" w:header="326" w:footer="110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9"/>
          <w:pgSz w:w="11900" w:h="16840"/>
          <w:pgMar w:top="642" w:right="600" w:bottom="340" w:left="600" w:header="326" w:footer="110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1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3"/>
          <w:pgSz w:w="11900" w:h="16840"/>
          <w:pgMar w:top="642" w:right="600" w:bottom="340" w:left="600" w:header="326" w:footer="110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5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7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9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1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3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97"/>
        <w:spacing w:before="96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spacing w:line="222" w:lineRule="auto"/>
        <w:sectPr>
          <w:footerReference w:type="default" r:id="rId45"/>
          <w:pgSz w:w="11900" w:h="16840"/>
          <w:pgMar w:top="642" w:right="600" w:bottom="340" w:left="600" w:header="326" w:footer="111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ind w:left="1221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2024年未编报单位整体绩效目标，涉及资金0万元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206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2024年兴县公安局交通警察大队纳入绩效目标管理的二级项目22个，共计金</w:t>
      </w:r>
    </w:p>
    <w:p>
      <w:pPr>
        <w:ind w:left="709" w:right="937" w:hanging="3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额2,008.26万元。其中：其他运转类项目17个，涉及金额1,035.26万元；特定目标</w:t>
      </w:r>
      <w:r>
        <w:rPr>
          <w:rFonts w:ascii="FangSong" w:hAnsi="FangSong" w:eastAsia="FangSong" w:cs="FangSong"/>
          <w:sz w:val="25"/>
          <w:szCs w:val="25"/>
          <w:spacing w:val="1"/>
        </w:rPr>
        <w:t>类项目5个，涉及金额973.00万元。公开项目绩效目标22个，涉及项目金</w:t>
      </w:r>
    </w:p>
    <w:p>
      <w:pPr>
        <w:ind w:left="706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额2,008.26万元，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</w:t>
      </w:r>
      <w:r>
        <w:rPr>
          <w:rFonts w:ascii="FangSong" w:hAnsi="FangSong" w:eastAsia="FangSong" w:cs="FangSong"/>
          <w:sz w:val="25"/>
          <w:szCs w:val="25"/>
          <w:spacing w:val="-1"/>
        </w:rPr>
        <w:t>运转类项</w:t>
      </w:r>
    </w:p>
    <w:p>
      <w:pPr>
        <w:ind w:left="710" w:right="805" w:firstLine="40"/>
        <w:spacing w:before="13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目17个，涉及项目金额1,035.26万元；特定目标类项目5个，涉及项目金额973.00万</w:t>
      </w:r>
      <w:r>
        <w:rPr>
          <w:rFonts w:ascii="FangSong" w:hAnsi="FangSong" w:eastAsia="FangSong" w:cs="FangSong"/>
          <w:sz w:val="25"/>
          <w:szCs w:val="25"/>
          <w:spacing w:val="-11"/>
        </w:rPr>
        <w:t>元。</w:t>
      </w:r>
    </w:p>
    <w:p>
      <w:pPr>
        <w:ind w:left="1212"/>
        <w:spacing w:before="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ind w:left="697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6"/>
      <w:bookmarkEnd w:id="46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2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7"/>
      <w:bookmarkEnd w:id="47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2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2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8"/>
      <w:bookmarkEnd w:id="48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2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footerReference w:type="default" r:id="rId47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48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0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2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4"/>
          <w:pgSz w:w="11900" w:h="16840"/>
          <w:pgMar w:top="642" w:right="600" w:bottom="340" w:left="600" w:header="326" w:footer="111" w:gutter="0"/>
        </w:sectPr>
        <w:rPr/>
      </w:pPr>
    </w:p>
    <w:p>
      <w:pPr>
        <w:ind w:left="4277"/>
        <w:spacing w:before="5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50"/>
      <w:bookmarkEnd w:id="50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706" w:right="9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721" w:right="9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706" w:right="9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708" w:right="9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11" w:right="9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709" w:right="9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707" w:right="9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706" w:right="9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2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707" w:right="9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706" w:right="9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719" w:right="9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708" w:right="9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711" w:right="937" w:firstLine="495"/>
        <w:spacing w:before="1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7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2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2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footerReference w:type="default" r:id="rId56"/>
      <w:pgSz w:w="11900" w:h="16840"/>
      <w:pgMar w:top="642" w:right="600" w:bottom="340" w:left="60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32"/>
    <w:bookmarkEnd w:id="32"/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5"/>
    <w:bookmarkEnd w:id="45"/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0" w:id="49"/>
    <w:bookmarkEnd w:id="49"/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兴县公安局交通警察大队2024年部门预算公开报告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6131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兴县公安局交通警察大队2024年部门预算公开报告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9" Type="http://schemas.openxmlformats.org/officeDocument/2006/relationships/fontTable" Target="fontTable.xml"/><Relationship Id="rId58" Type="http://schemas.openxmlformats.org/officeDocument/2006/relationships/styles" Target="styles.xml"/><Relationship Id="rId57" Type="http://schemas.openxmlformats.org/officeDocument/2006/relationships/settings" Target="settings.xml"/><Relationship Id="rId56" Type="http://schemas.openxmlformats.org/officeDocument/2006/relationships/footer" Target="footer36.xml"/><Relationship Id="rId55" Type="http://schemas.openxmlformats.org/officeDocument/2006/relationships/image" Target="media/image18.jpeg"/><Relationship Id="rId54" Type="http://schemas.openxmlformats.org/officeDocument/2006/relationships/footer" Target="footer35.xml"/><Relationship Id="rId53" Type="http://schemas.openxmlformats.org/officeDocument/2006/relationships/image" Target="media/image17.jpeg"/><Relationship Id="rId52" Type="http://schemas.openxmlformats.org/officeDocument/2006/relationships/footer" Target="footer34.xml"/><Relationship Id="rId51" Type="http://schemas.openxmlformats.org/officeDocument/2006/relationships/image" Target="media/image16.jpeg"/><Relationship Id="rId50" Type="http://schemas.openxmlformats.org/officeDocument/2006/relationships/footer" Target="footer33.xml"/><Relationship Id="rId5" Type="http://schemas.openxmlformats.org/officeDocument/2006/relationships/header" Target="header2.xml"/><Relationship Id="rId49" Type="http://schemas.openxmlformats.org/officeDocument/2006/relationships/image" Target="media/image15.jpeg"/><Relationship Id="rId48" Type="http://schemas.openxmlformats.org/officeDocument/2006/relationships/footer" Target="footer32.xml"/><Relationship Id="rId47" Type="http://schemas.openxmlformats.org/officeDocument/2006/relationships/footer" Target="footer31.xml"/><Relationship Id="rId46" Type="http://schemas.openxmlformats.org/officeDocument/2006/relationships/image" Target="media/image14.jpeg"/><Relationship Id="rId45" Type="http://schemas.openxmlformats.org/officeDocument/2006/relationships/footer" Target="footer30.xml"/><Relationship Id="rId44" Type="http://schemas.openxmlformats.org/officeDocument/2006/relationships/image" Target="media/image13.jpeg"/><Relationship Id="rId43" Type="http://schemas.openxmlformats.org/officeDocument/2006/relationships/footer" Target="footer29.xml"/><Relationship Id="rId42" Type="http://schemas.openxmlformats.org/officeDocument/2006/relationships/image" Target="media/image12.jpeg"/><Relationship Id="rId41" Type="http://schemas.openxmlformats.org/officeDocument/2006/relationships/footer" Target="footer28.xml"/><Relationship Id="rId40" Type="http://schemas.openxmlformats.org/officeDocument/2006/relationships/image" Target="media/image11.jpeg"/><Relationship Id="rId4" Type="http://schemas.openxmlformats.org/officeDocument/2006/relationships/footer" Target="footer3.xml"/><Relationship Id="rId39" Type="http://schemas.openxmlformats.org/officeDocument/2006/relationships/footer" Target="footer27.xml"/><Relationship Id="rId38" Type="http://schemas.openxmlformats.org/officeDocument/2006/relationships/image" Target="media/image10.jpeg"/><Relationship Id="rId37" Type="http://schemas.openxmlformats.org/officeDocument/2006/relationships/footer" Target="footer26.xml"/><Relationship Id="rId36" Type="http://schemas.openxmlformats.org/officeDocument/2006/relationships/image" Target="media/image9.jpeg"/><Relationship Id="rId35" Type="http://schemas.openxmlformats.org/officeDocument/2006/relationships/footer" Target="footer25.xml"/><Relationship Id="rId34" Type="http://schemas.openxmlformats.org/officeDocument/2006/relationships/image" Target="media/image8.jpeg"/><Relationship Id="rId33" Type="http://schemas.openxmlformats.org/officeDocument/2006/relationships/footer" Target="footer24.xml"/><Relationship Id="rId32" Type="http://schemas.openxmlformats.org/officeDocument/2006/relationships/image" Target="media/image7.jpeg"/><Relationship Id="rId31" Type="http://schemas.openxmlformats.org/officeDocument/2006/relationships/footer" Target="footer23.xml"/><Relationship Id="rId30" Type="http://schemas.openxmlformats.org/officeDocument/2006/relationships/image" Target="media/image6.jpeg"/><Relationship Id="rId3" Type="http://schemas.openxmlformats.org/officeDocument/2006/relationships/footer" Target="footer2.xml"/><Relationship Id="rId29" Type="http://schemas.openxmlformats.org/officeDocument/2006/relationships/footer" Target="footer22.xml"/><Relationship Id="rId28" Type="http://schemas.openxmlformats.org/officeDocument/2006/relationships/image" Target="media/image5.jpeg"/><Relationship Id="rId27" Type="http://schemas.openxmlformats.org/officeDocument/2006/relationships/footer" Target="footer21.xml"/><Relationship Id="rId26" Type="http://schemas.openxmlformats.org/officeDocument/2006/relationships/image" Target="media/image4.jpeg"/><Relationship Id="rId25" Type="http://schemas.openxmlformats.org/officeDocument/2006/relationships/footer" Target="footer20.xml"/><Relationship Id="rId24" Type="http://schemas.openxmlformats.org/officeDocument/2006/relationships/image" Target="media/image3.png"/><Relationship Id="rId23" Type="http://schemas.openxmlformats.org/officeDocument/2006/relationships/footer" Target="footer19.xml"/><Relationship Id="rId22" Type="http://schemas.openxmlformats.org/officeDocument/2006/relationships/image" Target="media/image2.png"/><Relationship Id="rId21" Type="http://schemas.openxmlformats.org/officeDocument/2006/relationships/footer" Target="footer18.xml"/><Relationship Id="rId20" Type="http://schemas.openxmlformats.org/officeDocument/2006/relationships/image" Target="media/image1.png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2024-12-09T15:34:46Z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2025-10-23T18:06:28</vt:filetime>
  </property>
</Properties>
</file>