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2193"/>
        <w:spacing w:before="139" w:line="217" w:lineRule="auto"/>
        <w:rPr/>
      </w:pPr>
      <w:r>
        <w:rPr>
          <w:spacing w:val="-1"/>
        </w:rPr>
        <w:t>兴</w:t>
      </w:r>
      <w:r>
        <w:rPr>
          <w:spacing w:val="-95"/>
        </w:rPr>
        <w:t xml:space="preserve"> </w:t>
      </w:r>
      <w:r>
        <w:rPr>
          <w:spacing w:val="-1"/>
        </w:rPr>
        <w:t>县</w:t>
      </w:r>
      <w:r>
        <w:rPr>
          <w:spacing w:val="-104"/>
        </w:rPr>
        <w:t xml:space="preserve"> </w:t>
      </w:r>
      <w:r>
        <w:rPr>
          <w:spacing w:val="-1"/>
        </w:rPr>
        <w:t>蔡</w:t>
      </w:r>
      <w:r>
        <w:rPr>
          <w:spacing w:val="-97"/>
        </w:rPr>
        <w:t xml:space="preserve"> </w:t>
      </w:r>
      <w:r>
        <w:rPr>
          <w:spacing w:val="-1"/>
        </w:rPr>
        <w:t>家</w:t>
      </w:r>
      <w:r>
        <w:rPr>
          <w:spacing w:val="-96"/>
        </w:rPr>
        <w:t xml:space="preserve"> </w:t>
      </w:r>
      <w:r>
        <w:rPr>
          <w:spacing w:val="-1"/>
        </w:rPr>
        <w:t>崖</w:t>
      </w:r>
      <w:r>
        <w:rPr>
          <w:spacing w:val="-95"/>
        </w:rPr>
        <w:t xml:space="preserve"> </w:t>
      </w:r>
      <w:r>
        <w:rPr>
          <w:spacing w:val="-1"/>
        </w:rPr>
        <w:t>乡卫</w:t>
      </w:r>
      <w:r>
        <w:rPr>
          <w:spacing w:val="-75"/>
        </w:rPr>
        <w:t xml:space="preserve"> </w:t>
      </w:r>
      <w:r>
        <w:rPr>
          <w:spacing w:val="-1"/>
        </w:rPr>
        <w:t>生</w:t>
      </w:r>
      <w:r>
        <w:rPr>
          <w:spacing w:val="-77"/>
        </w:rPr>
        <w:t xml:space="preserve"> </w:t>
      </w:r>
      <w:r>
        <w:rPr>
          <w:spacing w:val="-1"/>
        </w:rPr>
        <w:t>院</w:t>
      </w:r>
      <w:r>
        <w:rPr>
          <w:spacing w:val="-104"/>
        </w:rPr>
        <w:t xml:space="preserve"> </w:t>
      </w:r>
      <w:r>
        <w:rPr>
          <w:spacing w:val="-1"/>
        </w:rPr>
        <w:t>杨</w:t>
      </w:r>
      <w:r>
        <w:rPr>
          <w:spacing w:val="-98"/>
        </w:rPr>
        <w:t xml:space="preserve"> </w:t>
      </w:r>
      <w:r>
        <w:rPr>
          <w:spacing w:val="-1"/>
        </w:rPr>
        <w:t>家</w:t>
      </w:r>
      <w:r>
        <w:rPr>
          <w:spacing w:val="-94"/>
        </w:rPr>
        <w:t xml:space="preserve"> </w:t>
      </w:r>
      <w:r>
        <w:rPr>
          <w:spacing w:val="-1"/>
        </w:rPr>
        <w:t>坡</w:t>
      </w:r>
      <w:r>
        <w:rPr>
          <w:spacing w:val="-99"/>
        </w:rPr>
        <w:t xml:space="preserve"> </w:t>
      </w:r>
      <w:r>
        <w:rPr>
          <w:spacing w:val="-1"/>
        </w:rPr>
        <w:t>分</w:t>
      </w:r>
      <w:r>
        <w:rPr>
          <w:spacing w:val="-76"/>
        </w:rPr>
        <w:t xml:space="preserve"> </w:t>
      </w:r>
      <w:r>
        <w:rPr>
          <w:spacing w:val="-1"/>
        </w:rPr>
        <w:t>院</w:t>
      </w:r>
    </w:p>
    <w:p>
      <w:pPr>
        <w:spacing w:line="382" w:lineRule="auto"/>
        <w:rPr>
          <w:rFonts w:ascii="Arial"/>
          <w:sz w:val="21"/>
        </w:rPr>
      </w:pPr>
      <w:r/>
    </w:p>
    <w:p>
      <w:pPr>
        <w:pStyle w:val="BodyText"/>
        <w:ind w:left="3079"/>
        <w:spacing w:before="140"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640" w:hanging="11"/>
        <w:spacing w:before="115" w:line="267" w:lineRule="auto"/>
        <w:rPr>
          <w:rFonts w:ascii="FangSong" w:hAnsi="FangSong" w:eastAsia="FangSong" w:cs="FangSong"/>
          <w:sz w:val="24"/>
          <w:szCs w:val="24"/>
        </w:rPr>
      </w:pPr>
      <w:r>
        <w:rPr>
          <w:rFonts w:ascii="FangSong" w:hAnsi="FangSong" w:eastAsia="FangSong" w:cs="FangSong"/>
          <w:sz w:val="24"/>
          <w:szCs w:val="24"/>
        </w:rPr>
        <w:t>2、提供基本公共卫生服务，承担辖区内的公共卫生管</w:t>
      </w:r>
      <w:r>
        <w:rPr>
          <w:rFonts w:ascii="FangSong" w:hAnsi="FangSong" w:eastAsia="FangSong" w:cs="FangSong"/>
          <w:sz w:val="24"/>
          <w:szCs w:val="24"/>
          <w:spacing w:val="-1"/>
        </w:rPr>
        <w:t>理工作，负责对村卫生室的综</w:t>
      </w:r>
      <w:r>
        <w:rPr>
          <w:rFonts w:ascii="FangSong" w:hAnsi="FangSong" w:eastAsia="FangSong" w:cs="FangSong"/>
          <w:sz w:val="24"/>
          <w:szCs w:val="24"/>
        </w:rPr>
        <w:t xml:space="preserve"> </w:t>
      </w:r>
      <w:r>
        <w:rPr>
          <w:rFonts w:ascii="FangSong" w:hAnsi="FangSong" w:eastAsia="FangSong" w:cs="FangSong"/>
          <w:sz w:val="24"/>
          <w:szCs w:val="24"/>
          <w:spacing w:val="-4"/>
        </w:rPr>
        <w:t>合管理、技术指导的乡医的培训等。</w:t>
      </w:r>
    </w:p>
    <w:p>
      <w:pPr>
        <w:ind w:left="1517" w:right="1640" w:hanging="4"/>
        <w:spacing w:before="102" w:line="272" w:lineRule="auto"/>
        <w:rPr>
          <w:rFonts w:ascii="FangSong" w:hAnsi="FangSong" w:eastAsia="FangSong" w:cs="FangSong"/>
          <w:sz w:val="24"/>
          <w:szCs w:val="24"/>
        </w:rPr>
      </w:pPr>
      <w:r>
        <w:rPr>
          <w:rFonts w:ascii="FangSong" w:hAnsi="FangSong" w:eastAsia="FangSong" w:cs="FangSong"/>
          <w:sz w:val="24"/>
          <w:szCs w:val="24"/>
        </w:rPr>
        <w:t>3、实施国家基本药物制度和新型农村合作医疗制</w:t>
      </w:r>
      <w:r>
        <w:rPr>
          <w:rFonts w:ascii="FangSong" w:hAnsi="FangSong" w:eastAsia="FangSong" w:cs="FangSong"/>
          <w:sz w:val="24"/>
          <w:szCs w:val="24"/>
          <w:spacing w:val="-1"/>
        </w:rPr>
        <w:t>度，推行分级诊疗和乡村一体化管</w:t>
      </w:r>
      <w:r>
        <w:rPr>
          <w:rFonts w:ascii="FangSong" w:hAnsi="FangSong" w:eastAsia="FangSong" w:cs="FangSong"/>
          <w:sz w:val="24"/>
          <w:szCs w:val="24"/>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02" w:line="220" w:lineRule="auto"/>
        <w:rPr>
          <w:rFonts w:ascii="FangSong" w:hAnsi="FangSong" w:eastAsia="FangSong" w:cs="FangSong"/>
          <w:sz w:val="24"/>
          <w:szCs w:val="24"/>
        </w:rPr>
      </w:pPr>
      <w:r>
        <w:rPr>
          <w:rFonts w:ascii="FangSong" w:hAnsi="FangSong" w:eastAsia="FangSong" w:cs="FangSong"/>
          <w:sz w:val="24"/>
          <w:szCs w:val="24"/>
          <w:spacing w:val="-3"/>
        </w:rPr>
        <w:t>人员构成：设院长1名，工作人员7名。</w:t>
      </w:r>
    </w:p>
    <w:p>
      <w:pPr>
        <w:ind w:left="1545"/>
        <w:spacing w:before="118" w:line="222" w:lineRule="auto"/>
        <w:rPr>
          <w:rFonts w:ascii="FangSong" w:hAnsi="FangSong" w:eastAsia="FangSong" w:cs="FangSong"/>
          <w:sz w:val="24"/>
          <w:szCs w:val="24"/>
        </w:rPr>
      </w:pPr>
      <w:r>
        <w:rPr>
          <w:rFonts w:ascii="FangSong" w:hAnsi="FangSong" w:eastAsia="FangSong" w:cs="FangSong"/>
          <w:sz w:val="24"/>
          <w:szCs w:val="24"/>
          <w:spacing w:val="-3"/>
        </w:rPr>
        <w:t>内设科室：办公室、门诊、住院、药房、收费室、财务室、农合办等。</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单位名称：兴县蔡家崖乡卫生院杨家坡分院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114.53</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9.11</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9.11</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97.47</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97.47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0"/>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153"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10"/>
              </w:rPr>
              <w:t>114.</w:t>
            </w:r>
            <w:r>
              <w:rPr>
                <w:sz w:val="13"/>
                <w:szCs w:val="13"/>
                <w:color w:val="212529"/>
                <w:spacing w:val="21"/>
              </w:rPr>
              <w:t xml:space="preserve"> </w:t>
            </w:r>
            <w:r>
              <w:rPr>
                <w:sz w:val="13"/>
                <w:szCs w:val="13"/>
                <w:color w:val="212529"/>
                <w:spacing w:val="10"/>
              </w:rPr>
              <w:t>53</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184" w:lineRule="auto"/>
              <w:rPr>
                <w:sz w:val="15"/>
                <w:szCs w:val="15"/>
              </w:rPr>
            </w:pPr>
            <w:r>
              <w:rPr>
                <w:sz w:val="15"/>
                <w:szCs w:val="15"/>
                <w:color w:val="212529"/>
                <w:spacing w:val="2"/>
              </w:rPr>
              <w:t>114.</w:t>
            </w:r>
            <w:r>
              <w:rPr>
                <w:sz w:val="15"/>
                <w:szCs w:val="15"/>
                <w:color w:val="212529"/>
                <w:spacing w:val="2"/>
              </w:rPr>
              <w:t xml:space="preserve"> </w:t>
            </w:r>
            <w:r>
              <w:rPr>
                <w:sz w:val="15"/>
                <w:szCs w:val="15"/>
                <w:color w:val="212529"/>
                <w:spacing w:val="2"/>
              </w:rPr>
              <w:t>53</w:t>
            </w:r>
          </w:p>
        </w:tc>
        <w:tc>
          <w:tcPr>
            <w:tcW w:w="1153" w:type="dxa"/>
            <w:vAlign w:val="top"/>
          </w:tcPr>
          <w:p>
            <w:pPr>
              <w:pStyle w:val="TableText"/>
              <w:ind w:left="588"/>
              <w:spacing w:before="186" w:line="184" w:lineRule="auto"/>
              <w:rPr>
                <w:sz w:val="15"/>
                <w:szCs w:val="15"/>
              </w:rPr>
            </w:pPr>
            <w:r>
              <w:rPr>
                <w:sz w:val="15"/>
                <w:szCs w:val="15"/>
                <w:color w:val="212529"/>
                <w:spacing w:val="2"/>
              </w:rPr>
              <w:t>114.</w:t>
            </w:r>
            <w:r>
              <w:rPr>
                <w:sz w:val="15"/>
                <w:szCs w:val="15"/>
                <w:color w:val="212529"/>
                <w:spacing w:val="2"/>
              </w:rPr>
              <w:t xml:space="preserve"> </w:t>
            </w:r>
            <w:r>
              <w:rPr>
                <w:sz w:val="15"/>
                <w:szCs w:val="15"/>
                <w:color w:val="212529"/>
                <w:spacing w:val="2"/>
              </w:rPr>
              <w:t>53</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11"/>
              </w:rPr>
              <w:t>114.</w:t>
            </w:r>
            <w:r>
              <w:rPr>
                <w:sz w:val="13"/>
                <w:szCs w:val="13"/>
                <w:color w:val="212529"/>
                <w:spacing w:val="15"/>
                <w:w w:val="101"/>
              </w:rPr>
              <w:t xml:space="preserve"> </w:t>
            </w:r>
            <w:r>
              <w:rPr>
                <w:sz w:val="13"/>
                <w:szCs w:val="13"/>
                <w:color w:val="212529"/>
                <w:spacing w:val="11"/>
              </w:rPr>
              <w:t>53</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172" w:lineRule="auto"/>
              <w:rPr>
                <w:sz w:val="16"/>
                <w:szCs w:val="16"/>
              </w:rPr>
            </w:pPr>
            <w:r>
              <w:rPr>
                <w:sz w:val="16"/>
                <w:szCs w:val="16"/>
                <w:color w:val="212529"/>
                <w:spacing w:val="4"/>
              </w:rPr>
              <w:t>114.53</w:t>
            </w:r>
          </w:p>
        </w:tc>
        <w:tc>
          <w:tcPr>
            <w:tcW w:w="1153" w:type="dxa"/>
            <w:vAlign w:val="top"/>
          </w:tcPr>
          <w:p>
            <w:pPr>
              <w:pStyle w:val="TableText"/>
              <w:ind w:left="588"/>
              <w:spacing w:before="188" w:line="172" w:lineRule="auto"/>
              <w:rPr>
                <w:sz w:val="16"/>
                <w:szCs w:val="16"/>
              </w:rPr>
            </w:pPr>
            <w:r>
              <w:rPr>
                <w:sz w:val="16"/>
                <w:szCs w:val="16"/>
                <w:color w:val="212529"/>
                <w:spacing w:val="4"/>
              </w:rPr>
              <w:t>114.53</w:t>
            </w:r>
          </w:p>
        </w:tc>
        <w:tc>
          <w:tcPr>
            <w:tcW w:w="831" w:type="dxa"/>
            <w:vAlign w:val="top"/>
          </w:tcPr>
          <w:p>
            <w:pPr>
              <w:pStyle w:val="TableText"/>
              <w:rPr/>
            </w:pPr>
            <w:r/>
          </w:p>
        </w:tc>
      </w:tr>
    </w:tbl>
    <w:p>
      <w:pPr>
        <w:rPr>
          <w:rFonts w:ascii="Arial"/>
          <w:sz w:val="21"/>
        </w:rPr>
      </w:pPr>
      <w:r/>
    </w:p>
    <w:p>
      <w:pPr>
        <w:sectPr>
          <w:headerReference w:type="default" r:id="rId5"/>
          <w:footerReference w:type="default" r:id="rId9"/>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单位名称：兴县蔡家崖乡卫生院杨家坡分院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11"/>
              </w:rPr>
              <w:t>114.</w:t>
            </w:r>
            <w:r>
              <w:rPr>
                <w:sz w:val="13"/>
                <w:szCs w:val="13"/>
                <w:color w:val="212529"/>
                <w:spacing w:val="15"/>
                <w:w w:val="101"/>
              </w:rPr>
              <w:t xml:space="preserve"> </w:t>
            </w:r>
            <w:r>
              <w:rPr>
                <w:sz w:val="13"/>
                <w:szCs w:val="13"/>
                <w:color w:val="212529"/>
                <w:spacing w:val="11"/>
              </w:rPr>
              <w:t>53</w:t>
            </w:r>
          </w:p>
        </w:tc>
        <w:tc>
          <w:tcPr>
            <w:tcW w:w="1274" w:type="dxa"/>
            <w:vAlign w:val="top"/>
          </w:tcPr>
          <w:p>
            <w:pPr>
              <w:pStyle w:val="TableText"/>
              <w:ind w:left="714"/>
              <w:spacing w:before="149" w:line="184" w:lineRule="auto"/>
              <w:rPr>
                <w:sz w:val="15"/>
                <w:szCs w:val="15"/>
              </w:rPr>
            </w:pPr>
            <w:r>
              <w:rPr>
                <w:sz w:val="15"/>
                <w:szCs w:val="15"/>
                <w:color w:val="212529"/>
                <w:spacing w:val="2"/>
              </w:rPr>
              <w:t>114.</w:t>
            </w:r>
            <w:r>
              <w:rPr>
                <w:sz w:val="15"/>
                <w:szCs w:val="15"/>
                <w:color w:val="212529"/>
                <w:spacing w:val="2"/>
              </w:rPr>
              <w:t xml:space="preserve"> </w:t>
            </w:r>
            <w:r>
              <w:rPr>
                <w:sz w:val="15"/>
                <w:szCs w:val="15"/>
                <w:color w:val="212529"/>
                <w:spacing w:val="2"/>
              </w:rPr>
              <w:t>53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9.11</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9.11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9.11</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9.11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0.40</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0.40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97.47</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97.47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93.89</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93.89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80.84</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80.84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13.05</w:t>
            </w:r>
          </w:p>
        </w:tc>
        <w:tc>
          <w:tcPr>
            <w:tcW w:w="1274"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13.05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274"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274"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10"/>
          <w:footerReference w:type="default" r:id="rId11"/>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2"/>
              </w:rPr>
              <w:t>114.</w:t>
            </w:r>
            <w:r>
              <w:rPr>
                <w:sz w:val="13"/>
                <w:szCs w:val="13"/>
                <w:color w:val="212529"/>
                <w:spacing w:val="16"/>
                <w:w w:val="101"/>
              </w:rPr>
              <w:t xml:space="preserve"> </w:t>
            </w:r>
            <w:r>
              <w:rPr>
                <w:sz w:val="13"/>
                <w:szCs w:val="13"/>
                <w:color w:val="212529"/>
                <w:spacing w:val="2"/>
              </w:rPr>
              <w:t>53</w:t>
            </w:r>
          </w:p>
        </w:tc>
        <w:tc>
          <w:tcPr>
            <w:tcW w:w="1361" w:type="dxa"/>
            <w:vAlign w:val="top"/>
          </w:tcPr>
          <w:p>
            <w:pPr>
              <w:pStyle w:val="TableText"/>
              <w:ind w:left="861"/>
              <w:spacing w:before="98" w:line="162" w:lineRule="auto"/>
              <w:rPr>
                <w:sz w:val="15"/>
                <w:szCs w:val="15"/>
              </w:rPr>
            </w:pPr>
            <w:r>
              <w:rPr>
                <w:sz w:val="15"/>
                <w:szCs w:val="15"/>
                <w:color w:val="212529"/>
              </w:rPr>
              <w:t>101.47</w:t>
            </w:r>
          </w:p>
        </w:tc>
        <w:tc>
          <w:tcPr>
            <w:tcW w:w="1280" w:type="dxa"/>
            <w:vAlign w:val="top"/>
          </w:tcPr>
          <w:p>
            <w:pPr>
              <w:pStyle w:val="TableText"/>
              <w:ind w:left="860"/>
              <w:spacing w:before="99" w:line="186" w:lineRule="auto"/>
              <w:rPr>
                <w:sz w:val="13"/>
                <w:szCs w:val="13"/>
              </w:rPr>
            </w:pPr>
            <w:r>
              <w:rPr>
                <w:sz w:val="13"/>
                <w:szCs w:val="13"/>
                <w:color w:val="212529"/>
                <w:spacing w:val="1"/>
              </w:rPr>
              <w:t>13.</w:t>
            </w:r>
            <w:r>
              <w:rPr>
                <w:sz w:val="13"/>
                <w:szCs w:val="13"/>
                <w:color w:val="212529"/>
                <w:spacing w:val="14"/>
                <w:w w:val="102"/>
              </w:rPr>
              <w:t xml:space="preserve"> </w:t>
            </w:r>
            <w:r>
              <w:rPr>
                <w:sz w:val="13"/>
                <w:szCs w:val="13"/>
                <w:color w:val="212529"/>
                <w:spacing w:val="1"/>
              </w:rPr>
              <w:t>05</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361" w:type="dxa"/>
            <w:vAlign w:val="top"/>
          </w:tcPr>
          <w:p>
            <w:pPr>
              <w:pStyle w:val="TableText"/>
              <w:ind w:left="1012"/>
              <w:spacing w:before="99" w:line="220" w:lineRule="auto"/>
              <w:rPr>
                <w:sz w:val="11"/>
                <w:szCs w:val="11"/>
              </w:rPr>
            </w:pPr>
            <w:r>
              <w:rPr>
                <w:sz w:val="11"/>
                <w:szCs w:val="11"/>
                <w:color w:val="212529"/>
                <w:spacing w:val="7"/>
              </w:rPr>
              <w:t>9.</w:t>
            </w:r>
            <w:r>
              <w:rPr>
                <w:sz w:val="11"/>
                <w:szCs w:val="11"/>
                <w:color w:val="212529"/>
                <w:spacing w:val="32"/>
                <w:w w:val="101"/>
              </w:rPr>
              <w:t xml:space="preserve"> </w:t>
            </w:r>
            <w:r>
              <w:rPr>
                <w:sz w:val="11"/>
                <w:szCs w:val="11"/>
                <w:color w:val="212529"/>
                <w:spacing w:val="7"/>
              </w:rPr>
              <w:t>11</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361" w:type="dxa"/>
            <w:vAlign w:val="top"/>
          </w:tcPr>
          <w:p>
            <w:pPr>
              <w:pStyle w:val="TableText"/>
              <w:ind w:left="1012"/>
              <w:spacing w:before="99" w:line="220" w:lineRule="auto"/>
              <w:rPr>
                <w:sz w:val="11"/>
                <w:szCs w:val="11"/>
              </w:rPr>
            </w:pPr>
            <w:r>
              <w:rPr>
                <w:sz w:val="11"/>
                <w:szCs w:val="11"/>
                <w:color w:val="212529"/>
                <w:spacing w:val="7"/>
              </w:rPr>
              <w:t>9.</w:t>
            </w:r>
            <w:r>
              <w:rPr>
                <w:sz w:val="11"/>
                <w:szCs w:val="11"/>
                <w:color w:val="212529"/>
                <w:spacing w:val="32"/>
                <w:w w:val="101"/>
              </w:rPr>
              <w:t xml:space="preserve"> </w:t>
            </w:r>
            <w:r>
              <w:rPr>
                <w:sz w:val="11"/>
                <w:szCs w:val="11"/>
                <w:color w:val="212529"/>
                <w:spacing w:val="7"/>
              </w:rPr>
              <w:t>11</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97.47</w:t>
            </w:r>
          </w:p>
        </w:tc>
        <w:tc>
          <w:tcPr>
            <w:tcW w:w="1361" w:type="dxa"/>
            <w:vAlign w:val="top"/>
          </w:tcPr>
          <w:p>
            <w:pPr>
              <w:pStyle w:val="TableText"/>
              <w:ind w:left="931"/>
              <w:spacing w:before="101" w:line="187" w:lineRule="auto"/>
              <w:rPr>
                <w:sz w:val="13"/>
                <w:szCs w:val="13"/>
              </w:rPr>
            </w:pPr>
            <w:r>
              <w:rPr>
                <w:sz w:val="13"/>
                <w:szCs w:val="13"/>
                <w:color w:val="212529"/>
                <w:spacing w:val="4"/>
              </w:rPr>
              <w:t>84.</w:t>
            </w:r>
            <w:r>
              <w:rPr>
                <w:sz w:val="13"/>
                <w:szCs w:val="13"/>
                <w:color w:val="212529"/>
                <w:spacing w:val="4"/>
              </w:rPr>
              <w:t xml:space="preserve"> </w:t>
            </w:r>
            <w:r>
              <w:rPr>
                <w:sz w:val="13"/>
                <w:szCs w:val="13"/>
                <w:color w:val="212529"/>
                <w:spacing w:val="4"/>
              </w:rPr>
              <w:t>41</w:t>
            </w:r>
          </w:p>
        </w:tc>
        <w:tc>
          <w:tcPr>
            <w:tcW w:w="1280" w:type="dxa"/>
            <w:vAlign w:val="top"/>
          </w:tcPr>
          <w:p>
            <w:pPr>
              <w:pStyle w:val="TableText"/>
              <w:ind w:left="860"/>
              <w:spacing w:before="101" w:line="187" w:lineRule="auto"/>
              <w:rPr>
                <w:sz w:val="13"/>
                <w:szCs w:val="13"/>
              </w:rPr>
            </w:pPr>
            <w:r>
              <w:rPr>
                <w:sz w:val="13"/>
                <w:szCs w:val="13"/>
                <w:color w:val="212529"/>
                <w:spacing w:val="1"/>
              </w:rPr>
              <w:t>13.</w:t>
            </w:r>
            <w:r>
              <w:rPr>
                <w:sz w:val="13"/>
                <w:szCs w:val="13"/>
                <w:color w:val="212529"/>
                <w:spacing w:val="14"/>
                <w:w w:val="102"/>
              </w:rPr>
              <w:t xml:space="preserve"> </w:t>
            </w:r>
            <w:r>
              <w:rPr>
                <w:sz w:val="13"/>
                <w:szCs w:val="13"/>
                <w:color w:val="212529"/>
                <w:spacing w:val="1"/>
              </w:rPr>
              <w:t>05</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93.89</w:t>
            </w:r>
          </w:p>
        </w:tc>
        <w:tc>
          <w:tcPr>
            <w:tcW w:w="1361" w:type="dxa"/>
            <w:vAlign w:val="top"/>
          </w:tcPr>
          <w:p>
            <w:pPr>
              <w:pStyle w:val="TableText"/>
              <w:ind w:left="931"/>
              <w:spacing w:before="102" w:line="172" w:lineRule="auto"/>
              <w:rPr>
                <w:sz w:val="14"/>
                <w:szCs w:val="14"/>
              </w:rPr>
            </w:pPr>
            <w:r>
              <w:rPr>
                <w:sz w:val="14"/>
                <w:szCs w:val="14"/>
                <w:color w:val="212529"/>
              </w:rPr>
              <w:t>80.</w:t>
            </w:r>
            <w:r>
              <w:rPr>
                <w:sz w:val="14"/>
                <w:szCs w:val="14"/>
                <w:color w:val="212529"/>
                <w:spacing w:val="7"/>
              </w:rPr>
              <w:t xml:space="preserve"> </w:t>
            </w:r>
            <w:r>
              <w:rPr>
                <w:sz w:val="14"/>
                <w:szCs w:val="14"/>
                <w:color w:val="212529"/>
              </w:rPr>
              <w:t>84</w:t>
            </w:r>
          </w:p>
        </w:tc>
        <w:tc>
          <w:tcPr>
            <w:tcW w:w="1280" w:type="dxa"/>
            <w:vAlign w:val="top"/>
          </w:tcPr>
          <w:p>
            <w:pPr>
              <w:pStyle w:val="TableText"/>
              <w:ind w:left="860"/>
              <w:spacing w:before="102" w:line="186" w:lineRule="auto"/>
              <w:rPr>
                <w:sz w:val="13"/>
                <w:szCs w:val="13"/>
              </w:rPr>
            </w:pPr>
            <w:r>
              <w:rPr>
                <w:sz w:val="13"/>
                <w:szCs w:val="13"/>
                <w:color w:val="212529"/>
                <w:spacing w:val="1"/>
              </w:rPr>
              <w:t>13.</w:t>
            </w:r>
            <w:r>
              <w:rPr>
                <w:sz w:val="13"/>
                <w:szCs w:val="13"/>
                <w:color w:val="212529"/>
                <w:spacing w:val="14"/>
                <w:w w:val="102"/>
              </w:rPr>
              <w:t xml:space="preserve"> </w:t>
            </w:r>
            <w:r>
              <w:rPr>
                <w:sz w:val="13"/>
                <w:szCs w:val="13"/>
                <w:color w:val="212529"/>
                <w:spacing w:val="1"/>
              </w:rPr>
              <w:t>05</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361" w:type="dxa"/>
            <w:vAlign w:val="top"/>
          </w:tcPr>
          <w:p>
            <w:pPr>
              <w:pStyle w:val="TableText"/>
              <w:ind w:left="1015"/>
              <w:spacing w:before="104" w:line="186" w:lineRule="auto"/>
              <w:rPr>
                <w:sz w:val="13"/>
                <w:szCs w:val="13"/>
              </w:rPr>
            </w:pPr>
            <w:r>
              <w:rPr>
                <w:sz w:val="13"/>
                <w:szCs w:val="13"/>
                <w:color w:val="212529"/>
                <w:spacing w:val="2"/>
              </w:rPr>
              <w:t>7.</w:t>
            </w:r>
            <w:r>
              <w:rPr>
                <w:sz w:val="13"/>
                <w:szCs w:val="13"/>
                <w:color w:val="212529"/>
                <w:spacing w:val="11"/>
                <w:w w:val="101"/>
              </w:rPr>
              <w:t xml:space="preserve"> </w:t>
            </w:r>
            <w:r>
              <w:rPr>
                <w:sz w:val="13"/>
                <w:szCs w:val="13"/>
                <w:color w:val="212529"/>
                <w:spacing w:val="2"/>
              </w:rPr>
              <w:t>95</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361" w:type="dxa"/>
            <w:vAlign w:val="top"/>
          </w:tcPr>
          <w:p>
            <w:pPr>
              <w:pStyle w:val="TableText"/>
              <w:ind w:left="1015"/>
              <w:spacing w:before="104" w:line="186" w:lineRule="auto"/>
              <w:rPr>
                <w:sz w:val="13"/>
                <w:szCs w:val="13"/>
              </w:rPr>
            </w:pPr>
            <w:r>
              <w:rPr>
                <w:sz w:val="13"/>
                <w:szCs w:val="13"/>
                <w:color w:val="212529"/>
                <w:spacing w:val="2"/>
              </w:rPr>
              <w:t>7.</w:t>
            </w:r>
            <w:r>
              <w:rPr>
                <w:sz w:val="13"/>
                <w:szCs w:val="13"/>
                <w:color w:val="212529"/>
                <w:spacing w:val="11"/>
                <w:w w:val="101"/>
              </w:rPr>
              <w:t xml:space="preserve"> </w:t>
            </w:r>
            <w:r>
              <w:rPr>
                <w:sz w:val="13"/>
                <w:szCs w:val="13"/>
                <w:color w:val="212529"/>
                <w:spacing w:val="2"/>
              </w:rPr>
              <w:t>95</w:t>
            </w:r>
          </w:p>
        </w:tc>
        <w:tc>
          <w:tcPr>
            <w:tcW w:w="1280"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280" w:type="dxa"/>
            <w:vAlign w:val="top"/>
          </w:tcPr>
          <w:p>
            <w:pPr>
              <w:pStyle w:val="TableText"/>
              <w:rPr/>
            </w:pPr>
            <w:r/>
          </w:p>
        </w:tc>
      </w:tr>
    </w:tbl>
    <w:p>
      <w:pPr>
        <w:rPr>
          <w:rFonts w:ascii="Arial"/>
          <w:sz w:val="21"/>
        </w:rPr>
      </w:pPr>
      <w:r/>
    </w:p>
    <w:p>
      <w:pPr>
        <w:sectPr>
          <w:headerReference w:type="default" r:id="rId12"/>
          <w:footerReference w:type="default" r:id="rId13"/>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114.53</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97.47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97.47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114.</w:t>
            </w:r>
            <w:r>
              <w:rPr>
                <w:sz w:val="13"/>
                <w:szCs w:val="13"/>
                <w:color w:val="212529"/>
                <w:spacing w:val="16"/>
                <w:w w:val="101"/>
              </w:rPr>
              <w:t xml:space="preserve"> </w:t>
            </w:r>
            <w:r>
              <w:rPr>
                <w:sz w:val="13"/>
                <w:szCs w:val="13"/>
                <w:color w:val="212529"/>
                <w:spacing w:val="2"/>
              </w:rPr>
              <w:t>53</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114.</w:t>
            </w:r>
            <w:r>
              <w:rPr>
                <w:sz w:val="13"/>
                <w:szCs w:val="13"/>
                <w:color w:val="212529"/>
                <w:spacing w:val="16"/>
                <w:w w:val="101"/>
              </w:rPr>
              <w:t xml:space="preserve"> </w:t>
            </w:r>
            <w:r>
              <w:rPr>
                <w:sz w:val="13"/>
                <w:szCs w:val="13"/>
                <w:color w:val="212529"/>
                <w:spacing w:val="2"/>
              </w:rPr>
              <w:t>53</w:t>
            </w:r>
          </w:p>
        </w:tc>
        <w:tc>
          <w:tcPr>
            <w:tcW w:w="1069" w:type="dxa"/>
            <w:vAlign w:val="top"/>
          </w:tcPr>
          <w:p>
            <w:pPr>
              <w:pStyle w:val="TableText"/>
              <w:ind w:left="296"/>
              <w:spacing w:before="137" w:line="162" w:lineRule="auto"/>
              <w:rPr>
                <w:sz w:val="15"/>
                <w:szCs w:val="15"/>
              </w:rPr>
            </w:pPr>
            <w:r>
              <w:rPr>
                <w:sz w:val="15"/>
                <w:szCs w:val="15"/>
                <w:color w:val="212529"/>
              </w:rPr>
              <w:t>114.53</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4"/>
          <w:footerReference w:type="default" r:id="rId15"/>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114.</w:t>
            </w:r>
            <w:r>
              <w:rPr>
                <w:sz w:val="13"/>
                <w:szCs w:val="13"/>
                <w:color w:val="212529"/>
                <w:spacing w:val="16"/>
                <w:w w:val="101"/>
              </w:rPr>
              <w:t xml:space="preserve"> </w:t>
            </w:r>
            <w:r>
              <w:rPr>
                <w:sz w:val="13"/>
                <w:szCs w:val="13"/>
                <w:color w:val="212529"/>
                <w:spacing w:val="2"/>
              </w:rPr>
              <w:t>53</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114.</w:t>
            </w:r>
            <w:r>
              <w:rPr>
                <w:sz w:val="13"/>
                <w:szCs w:val="13"/>
                <w:color w:val="212529"/>
                <w:spacing w:val="16"/>
                <w:w w:val="101"/>
              </w:rPr>
              <w:t xml:space="preserve"> </w:t>
            </w:r>
            <w:r>
              <w:rPr>
                <w:sz w:val="13"/>
                <w:szCs w:val="13"/>
                <w:color w:val="212529"/>
                <w:spacing w:val="2"/>
              </w:rPr>
              <w:t>53</w:t>
            </w:r>
          </w:p>
        </w:tc>
        <w:tc>
          <w:tcPr>
            <w:tcW w:w="1069" w:type="dxa"/>
            <w:vAlign w:val="top"/>
          </w:tcPr>
          <w:p>
            <w:pPr>
              <w:pStyle w:val="TableText"/>
              <w:ind w:left="296"/>
              <w:spacing w:before="135" w:line="187" w:lineRule="auto"/>
              <w:rPr>
                <w:sz w:val="13"/>
                <w:szCs w:val="13"/>
              </w:rPr>
            </w:pPr>
            <w:r>
              <w:rPr>
                <w:sz w:val="13"/>
                <w:szCs w:val="13"/>
                <w:color w:val="212529"/>
                <w:spacing w:val="4"/>
              </w:rPr>
              <w:t>114.</w:t>
            </w:r>
            <w:r>
              <w:rPr>
                <w:sz w:val="13"/>
                <w:szCs w:val="13"/>
                <w:color w:val="212529"/>
                <w:spacing w:val="4"/>
              </w:rPr>
              <w:t xml:space="preserve"> </w:t>
            </w:r>
            <w:r>
              <w:rPr>
                <w:sz w:val="13"/>
                <w:szCs w:val="13"/>
                <w:color w:val="212529"/>
                <w:spacing w:val="4"/>
              </w:rPr>
              <w:t>53</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6"/>
          <w:footerReference w:type="default" r:id="rId17"/>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7" w:line="186" w:lineRule="auto"/>
              <w:rPr>
                <w:sz w:val="13"/>
                <w:szCs w:val="13"/>
              </w:rPr>
            </w:pPr>
            <w:r>
              <w:rPr>
                <w:sz w:val="13"/>
                <w:szCs w:val="13"/>
                <w:color w:val="212529"/>
                <w:spacing w:val="2"/>
              </w:rPr>
              <w:t>114.</w:t>
            </w:r>
            <w:r>
              <w:rPr>
                <w:sz w:val="13"/>
                <w:szCs w:val="13"/>
                <w:color w:val="212529"/>
                <w:spacing w:val="16"/>
                <w:w w:val="101"/>
              </w:rPr>
              <w:t xml:space="preserve"> </w:t>
            </w:r>
            <w:r>
              <w:rPr>
                <w:sz w:val="13"/>
                <w:szCs w:val="13"/>
                <w:color w:val="212529"/>
                <w:spacing w:val="2"/>
              </w:rPr>
              <w:t>53</w:t>
            </w:r>
          </w:p>
        </w:tc>
        <w:tc>
          <w:tcPr>
            <w:tcW w:w="1415" w:type="dxa"/>
            <w:vAlign w:val="top"/>
          </w:tcPr>
          <w:p>
            <w:pPr>
              <w:pStyle w:val="TableText"/>
              <w:ind w:left="914"/>
              <w:spacing w:before="87" w:line="186" w:lineRule="auto"/>
              <w:rPr>
                <w:sz w:val="13"/>
                <w:szCs w:val="13"/>
              </w:rPr>
            </w:pPr>
            <w:r>
              <w:rPr>
                <w:sz w:val="13"/>
                <w:szCs w:val="13"/>
                <w:color w:val="212529"/>
                <w:spacing w:val="3"/>
              </w:rPr>
              <w:t>101,</w:t>
            </w:r>
            <w:r>
              <w:rPr>
                <w:sz w:val="13"/>
                <w:szCs w:val="13"/>
                <w:color w:val="212529"/>
                <w:spacing w:val="11"/>
              </w:rPr>
              <w:t xml:space="preserve"> </w:t>
            </w:r>
            <w:r>
              <w:rPr>
                <w:sz w:val="13"/>
                <w:szCs w:val="13"/>
                <w:color w:val="212529"/>
                <w:spacing w:val="3"/>
              </w:rPr>
              <w:t>47</w:t>
            </w:r>
          </w:p>
        </w:tc>
        <w:tc>
          <w:tcPr>
            <w:tcW w:w="1377" w:type="dxa"/>
            <w:vAlign w:val="top"/>
          </w:tcPr>
          <w:p>
            <w:pPr>
              <w:pStyle w:val="TableText"/>
              <w:ind w:left="957"/>
              <w:spacing w:before="87" w:line="186" w:lineRule="auto"/>
              <w:rPr>
                <w:sz w:val="13"/>
                <w:szCs w:val="13"/>
              </w:rPr>
            </w:pPr>
            <w:r>
              <w:rPr>
                <w:sz w:val="13"/>
                <w:szCs w:val="13"/>
                <w:color w:val="212529"/>
                <w:spacing w:val="1"/>
              </w:rPr>
              <w:t>13.</w:t>
            </w:r>
            <w:r>
              <w:rPr>
                <w:sz w:val="13"/>
                <w:szCs w:val="13"/>
                <w:color w:val="212529"/>
                <w:spacing w:val="14"/>
                <w:w w:val="102"/>
              </w:rPr>
              <w:t xml:space="preserve"> </w:t>
            </w:r>
            <w:r>
              <w:rPr>
                <w:sz w:val="13"/>
                <w:szCs w:val="13"/>
                <w:color w:val="212529"/>
                <w:spacing w:val="1"/>
              </w:rPr>
              <w:t>05</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97.47</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84.41</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93.89</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15" w:type="dxa"/>
            <w:vAlign w:val="top"/>
          </w:tcPr>
          <w:p>
            <w:pPr>
              <w:ind w:left="1067"/>
              <w:spacing w:before="7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.95</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377" w:type="dxa"/>
            <w:vAlign w:val="top"/>
          </w:tcPr>
          <w:p>
            <w:pPr>
              <w:pStyle w:val="TableText"/>
              <w:rPr/>
            </w:pPr>
            <w:r/>
          </w:p>
        </w:tc>
      </w:tr>
    </w:tbl>
    <w:p>
      <w:pPr>
        <w:rPr>
          <w:rFonts w:ascii="Arial"/>
          <w:sz w:val="21"/>
        </w:rPr>
      </w:pPr>
      <w:r/>
    </w:p>
    <w:p>
      <w:pPr>
        <w:sectPr>
          <w:headerReference w:type="default" r:id="rId18"/>
          <w:footerReference w:type="default" r:id="rId1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5"/>
        <w:gridCol w:w="2322"/>
        <w:gridCol w:w="1209"/>
        <w:gridCol w:w="1123"/>
        <w:gridCol w:w="1053"/>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90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123" w:type="dxa"/>
            <w:vAlign w:val="top"/>
            <w:tcBorders>
              <w:top w:val="single" w:color="FFFFFF" w:sz="4" w:space="0"/>
              <w:left w:val="single" w:color="FFFFFF" w:sz="2" w:space="0"/>
              <w:right w:val="single" w:color="FFFFFF" w:sz="2" w:space="0"/>
            </w:tcBorders>
          </w:tcPr>
          <w:p>
            <w:pPr>
              <w:pStyle w:val="TableText"/>
              <w:rPr/>
            </w:pPr>
            <w:r/>
          </w:p>
        </w:tc>
        <w:tc>
          <w:tcPr>
            <w:tcW w:w="1053" w:type="dxa"/>
            <w:vAlign w:val="top"/>
            <w:tcBorders>
              <w:top w:val="single" w:color="FFFFFF" w:sz="4" w:space="0"/>
              <w:left w:val="single" w:color="FFFFFF" w:sz="2" w:space="0"/>
              <w:right w:val="single" w:color="FFFFFF" w:sz="2" w:space="0"/>
            </w:tcBorders>
          </w:tcPr>
          <w:p>
            <w:pPr>
              <w:ind w:left="382"/>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75" w:type="dxa"/>
            <w:vAlign w:val="top"/>
            <w:vMerge w:val="restart"/>
            <w:tcBorders>
              <w:bottom w:val="nil"/>
            </w:tcBorders>
          </w:tcPr>
          <w:p>
            <w:pPr>
              <w:ind w:left="70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22" w:type="dxa"/>
            <w:vAlign w:val="top"/>
            <w:vMerge w:val="restart"/>
            <w:tcBorders>
              <w:bottom w:val="nil"/>
            </w:tcBorders>
          </w:tcPr>
          <w:p>
            <w:pPr>
              <w:ind w:left="176"/>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85" w:type="dxa"/>
            <w:vAlign w:val="top"/>
            <w:gridSpan w:val="3"/>
          </w:tcPr>
          <w:p>
            <w:pPr>
              <w:ind w:left="119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75" w:type="dxa"/>
            <w:vAlign w:val="top"/>
            <w:vMerge w:val="continue"/>
            <w:tcBorders>
              <w:top w:val="nil"/>
            </w:tcBorders>
          </w:tcPr>
          <w:p>
            <w:pPr>
              <w:pStyle w:val="TableText"/>
              <w:rPr/>
            </w:pPr>
            <w:r/>
          </w:p>
        </w:tc>
        <w:tc>
          <w:tcPr>
            <w:tcW w:w="2322" w:type="dxa"/>
            <w:vAlign w:val="top"/>
            <w:vMerge w:val="continue"/>
            <w:tcBorders>
              <w:top w:val="nil"/>
            </w:tcBorders>
          </w:tcPr>
          <w:p>
            <w:pPr>
              <w:pStyle w:val="TableText"/>
              <w:rPr/>
            </w:pPr>
            <w:r/>
          </w:p>
        </w:tc>
        <w:tc>
          <w:tcPr>
            <w:tcW w:w="1209" w:type="dxa"/>
            <w:vAlign w:val="top"/>
          </w:tcPr>
          <w:p>
            <w:pPr>
              <w:ind w:left="43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ind w:left="22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53" w:type="dxa"/>
            <w:vAlign w:val="top"/>
          </w:tcPr>
          <w:p>
            <w:pPr>
              <w:ind w:left="19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97" w:type="dxa"/>
            <w:vAlign w:val="top"/>
            <w:gridSpan w:val="2"/>
          </w:tcPr>
          <w:p>
            <w:pPr>
              <w:ind w:left="2689"/>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09" w:type="dxa"/>
            <w:vAlign w:val="top"/>
          </w:tcPr>
          <w:p>
            <w:pPr>
              <w:pStyle w:val="TableText"/>
              <w:ind w:left="708"/>
              <w:spacing w:before="87" w:line="186" w:lineRule="auto"/>
              <w:rPr>
                <w:sz w:val="13"/>
                <w:szCs w:val="13"/>
              </w:rPr>
            </w:pPr>
            <w:r>
              <w:rPr>
                <w:sz w:val="13"/>
                <w:szCs w:val="13"/>
                <w:color w:val="212529"/>
                <w:spacing w:val="3"/>
              </w:rPr>
              <w:t>101.</w:t>
            </w:r>
            <w:r>
              <w:rPr>
                <w:sz w:val="13"/>
                <w:szCs w:val="13"/>
                <w:color w:val="212529"/>
                <w:spacing w:val="11"/>
              </w:rPr>
              <w:t xml:space="preserve"> </w:t>
            </w:r>
            <w:r>
              <w:rPr>
                <w:sz w:val="13"/>
                <w:szCs w:val="13"/>
                <w:color w:val="212529"/>
                <w:spacing w:val="3"/>
              </w:rPr>
              <w:t>47</w:t>
            </w:r>
          </w:p>
        </w:tc>
        <w:tc>
          <w:tcPr>
            <w:tcW w:w="1123" w:type="dxa"/>
            <w:vAlign w:val="top"/>
          </w:tcPr>
          <w:p>
            <w:pPr>
              <w:pStyle w:val="TableText"/>
              <w:ind w:left="697"/>
              <w:spacing w:before="87" w:line="186" w:lineRule="auto"/>
              <w:rPr>
                <w:sz w:val="13"/>
                <w:szCs w:val="13"/>
              </w:rPr>
            </w:pPr>
            <w:r>
              <w:rPr>
                <w:sz w:val="13"/>
                <w:szCs w:val="13"/>
                <w:color w:val="212529"/>
                <w:spacing w:val="4"/>
              </w:rPr>
              <w:t>96.</w:t>
            </w:r>
            <w:r>
              <w:rPr>
                <w:sz w:val="13"/>
                <w:szCs w:val="13"/>
                <w:color w:val="212529"/>
                <w:spacing w:val="11"/>
              </w:rPr>
              <w:t xml:space="preserve"> </w:t>
            </w:r>
            <w:r>
              <w:rPr>
                <w:sz w:val="13"/>
                <w:szCs w:val="13"/>
                <w:color w:val="212529"/>
                <w:spacing w:val="4"/>
              </w:rPr>
              <w:t>23</w:t>
            </w:r>
          </w:p>
        </w:tc>
        <w:tc>
          <w:tcPr>
            <w:tcW w:w="1053" w:type="dxa"/>
            <w:vAlign w:val="top"/>
          </w:tcPr>
          <w:p>
            <w:pPr>
              <w:pStyle w:val="TableText"/>
              <w:ind w:left="707"/>
              <w:spacing w:before="87" w:line="186" w:lineRule="auto"/>
              <w:rPr>
                <w:sz w:val="13"/>
                <w:szCs w:val="13"/>
              </w:rPr>
            </w:pPr>
            <w:r>
              <w:rPr>
                <w:sz w:val="13"/>
                <w:szCs w:val="13"/>
                <w:color w:val="212529"/>
                <w:spacing w:val="1"/>
              </w:rPr>
              <w:t>5.</w:t>
            </w:r>
            <w:r>
              <w:rPr>
                <w:sz w:val="13"/>
                <w:szCs w:val="13"/>
                <w:color w:val="212529"/>
                <w:spacing w:val="15"/>
                <w:w w:val="102"/>
              </w:rPr>
              <w:t xml:space="preserve"> </w:t>
            </w:r>
            <w:r>
              <w:rPr>
                <w:sz w:val="13"/>
                <w:szCs w:val="13"/>
                <w:color w:val="212529"/>
                <w:spacing w:val="1"/>
              </w:rPr>
              <w:t>25</w:t>
            </w:r>
          </w:p>
        </w:tc>
      </w:tr>
      <w:tr>
        <w:trPr>
          <w:trHeight w:val="292" w:hRule="atLeast"/>
        </w:trPr>
        <w:tc>
          <w:tcPr>
            <w:tcW w:w="3375"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22" w:type="dxa"/>
            <w:vAlign w:val="top"/>
          </w:tcPr>
          <w:p>
            <w:pPr>
              <w:pStyle w:val="TableText"/>
              <w:rPr/>
            </w:pPr>
            <w:r/>
          </w:p>
        </w:tc>
        <w:tc>
          <w:tcPr>
            <w:tcW w:w="1209"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88.34</w:t>
            </w:r>
          </w:p>
        </w:tc>
        <w:tc>
          <w:tcPr>
            <w:tcW w:w="1123"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88.34</w:t>
            </w:r>
          </w:p>
        </w:tc>
        <w:tc>
          <w:tcPr>
            <w:tcW w:w="1053" w:type="dxa"/>
            <w:vAlign w:val="top"/>
          </w:tcPr>
          <w:p>
            <w:pPr>
              <w:pStyle w:val="TableText"/>
              <w:rPr/>
            </w:pPr>
            <w:r/>
          </w:p>
        </w:tc>
      </w:tr>
      <w:tr>
        <w:trPr>
          <w:trHeight w:val="292" w:hRule="atLeast"/>
        </w:trPr>
        <w:tc>
          <w:tcPr>
            <w:tcW w:w="3375"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22"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31.76</w:t>
            </w:r>
          </w:p>
        </w:tc>
        <w:tc>
          <w:tcPr>
            <w:tcW w:w="1123"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31.76</w:t>
            </w:r>
          </w:p>
        </w:tc>
        <w:tc>
          <w:tcPr>
            <w:tcW w:w="1053" w:type="dxa"/>
            <w:vAlign w:val="top"/>
          </w:tcPr>
          <w:p>
            <w:pPr>
              <w:pStyle w:val="TableText"/>
              <w:rPr/>
            </w:pPr>
            <w:r/>
          </w:p>
        </w:tc>
      </w:tr>
      <w:tr>
        <w:trPr>
          <w:trHeight w:val="292" w:hRule="atLeast"/>
        </w:trPr>
        <w:tc>
          <w:tcPr>
            <w:tcW w:w="3375"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2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14.72</w:t>
            </w:r>
          </w:p>
        </w:tc>
        <w:tc>
          <w:tcPr>
            <w:tcW w:w="1123"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14.72</w:t>
            </w:r>
          </w:p>
        </w:tc>
        <w:tc>
          <w:tcPr>
            <w:tcW w:w="1053" w:type="dxa"/>
            <w:vAlign w:val="top"/>
          </w:tcPr>
          <w:p>
            <w:pPr>
              <w:pStyle w:val="TableText"/>
              <w:rPr/>
            </w:pPr>
            <w:r/>
          </w:p>
        </w:tc>
      </w:tr>
      <w:tr>
        <w:trPr>
          <w:trHeight w:val="292" w:hRule="atLeast"/>
        </w:trPr>
        <w:tc>
          <w:tcPr>
            <w:tcW w:w="3375"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2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21.45</w:t>
            </w:r>
          </w:p>
        </w:tc>
        <w:tc>
          <w:tcPr>
            <w:tcW w:w="1123"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21.45</w:t>
            </w:r>
          </w:p>
        </w:tc>
        <w:tc>
          <w:tcPr>
            <w:tcW w:w="1053" w:type="dxa"/>
            <w:vAlign w:val="top"/>
          </w:tcPr>
          <w:p>
            <w:pPr>
              <w:pStyle w:val="TableText"/>
              <w:rPr/>
            </w:pPr>
            <w:r/>
          </w:p>
        </w:tc>
      </w:tr>
      <w:tr>
        <w:trPr>
          <w:trHeight w:val="292" w:hRule="atLeast"/>
        </w:trPr>
        <w:tc>
          <w:tcPr>
            <w:tcW w:w="3375"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22"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123"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053" w:type="dxa"/>
            <w:vAlign w:val="top"/>
          </w:tcPr>
          <w:p>
            <w:pPr>
              <w:pStyle w:val="TableText"/>
              <w:rPr/>
            </w:pPr>
            <w:r/>
          </w:p>
        </w:tc>
      </w:tr>
      <w:tr>
        <w:trPr>
          <w:trHeight w:val="292" w:hRule="atLeast"/>
        </w:trPr>
        <w:tc>
          <w:tcPr>
            <w:tcW w:w="3375"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3.54</w:t>
            </w:r>
          </w:p>
        </w:tc>
        <w:tc>
          <w:tcPr>
            <w:tcW w:w="1123"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3.54</w:t>
            </w:r>
          </w:p>
        </w:tc>
        <w:tc>
          <w:tcPr>
            <w:tcW w:w="1053" w:type="dxa"/>
            <w:vAlign w:val="top"/>
          </w:tcPr>
          <w:p>
            <w:pPr>
              <w:pStyle w:val="TableText"/>
              <w:rPr/>
            </w:pPr>
            <w:r/>
          </w:p>
        </w:tc>
      </w:tr>
      <w:tr>
        <w:trPr>
          <w:trHeight w:val="292" w:hRule="atLeast"/>
        </w:trPr>
        <w:tc>
          <w:tcPr>
            <w:tcW w:w="3375"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2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123"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053" w:type="dxa"/>
            <w:vAlign w:val="top"/>
          </w:tcPr>
          <w:p>
            <w:pPr>
              <w:pStyle w:val="TableText"/>
              <w:rPr/>
            </w:pPr>
            <w:r/>
          </w:p>
        </w:tc>
      </w:tr>
      <w:tr>
        <w:trPr>
          <w:trHeight w:val="292" w:hRule="atLeast"/>
        </w:trPr>
        <w:tc>
          <w:tcPr>
            <w:tcW w:w="3375"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32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3"/>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123"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7.95</w:t>
            </w:r>
          </w:p>
        </w:tc>
        <w:tc>
          <w:tcPr>
            <w:tcW w:w="1053" w:type="dxa"/>
            <w:vAlign w:val="top"/>
          </w:tcPr>
          <w:p>
            <w:pPr>
              <w:pStyle w:val="TableText"/>
              <w:rPr/>
            </w:pPr>
            <w:r/>
          </w:p>
        </w:tc>
      </w:tr>
      <w:tr>
        <w:trPr>
          <w:trHeight w:val="292" w:hRule="atLeast"/>
        </w:trPr>
        <w:tc>
          <w:tcPr>
            <w:tcW w:w="3375"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10"/>
              </w:rPr>
              <w:t>和服务支出</w:t>
            </w:r>
          </w:p>
        </w:tc>
        <w:tc>
          <w:tcPr>
            <w:tcW w:w="2322" w:type="dxa"/>
            <w:vAlign w:val="top"/>
          </w:tcPr>
          <w:p>
            <w:pPr>
              <w:pStyle w:val="TableText"/>
              <w:rPr/>
            </w:pPr>
            <w:r/>
          </w:p>
        </w:tc>
        <w:tc>
          <w:tcPr>
            <w:tcW w:w="1209"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5.25</w:t>
            </w:r>
          </w:p>
        </w:tc>
        <w:tc>
          <w:tcPr>
            <w:tcW w:w="1123" w:type="dxa"/>
            <w:vAlign w:val="top"/>
          </w:tcPr>
          <w:p>
            <w:pPr>
              <w:pStyle w:val="TableText"/>
              <w:rPr/>
            </w:pPr>
            <w:r/>
          </w:p>
        </w:tc>
        <w:tc>
          <w:tcPr>
            <w:tcW w:w="1053"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5.25</w:t>
            </w:r>
          </w:p>
        </w:tc>
      </w:tr>
      <w:tr>
        <w:trPr>
          <w:trHeight w:val="293" w:hRule="atLeast"/>
        </w:trPr>
        <w:tc>
          <w:tcPr>
            <w:tcW w:w="3375"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2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2.25</w:t>
            </w:r>
          </w:p>
        </w:tc>
        <w:tc>
          <w:tcPr>
            <w:tcW w:w="1123" w:type="dxa"/>
            <w:vAlign w:val="top"/>
          </w:tcPr>
          <w:p>
            <w:pPr>
              <w:pStyle w:val="TableText"/>
              <w:rPr/>
            </w:pPr>
            <w:r/>
          </w:p>
        </w:tc>
        <w:tc>
          <w:tcPr>
            <w:tcW w:w="1053"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2.25</w:t>
            </w:r>
          </w:p>
        </w:tc>
      </w:tr>
      <w:tr>
        <w:trPr>
          <w:trHeight w:val="293" w:hRule="atLeast"/>
        </w:trPr>
        <w:tc>
          <w:tcPr>
            <w:tcW w:w="3375"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2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944"/>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23" w:type="dxa"/>
            <w:vAlign w:val="top"/>
          </w:tcPr>
          <w:p>
            <w:pPr>
              <w:pStyle w:val="TableText"/>
              <w:rPr/>
            </w:pPr>
            <w:r/>
          </w:p>
        </w:tc>
        <w:tc>
          <w:tcPr>
            <w:tcW w:w="1053"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1.09</w:t>
            </w:r>
          </w:p>
        </w:tc>
      </w:tr>
      <w:tr>
        <w:trPr>
          <w:trHeight w:val="292" w:hRule="atLeast"/>
        </w:trPr>
        <w:tc>
          <w:tcPr>
            <w:tcW w:w="3375"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2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944"/>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23" w:type="dxa"/>
            <w:vAlign w:val="top"/>
          </w:tcPr>
          <w:p>
            <w:pPr>
              <w:pStyle w:val="TableText"/>
              <w:rPr/>
            </w:pPr>
            <w:r/>
          </w:p>
        </w:tc>
        <w:tc>
          <w:tcPr>
            <w:tcW w:w="1053"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1.91</w:t>
            </w:r>
          </w:p>
        </w:tc>
      </w:tr>
      <w:tr>
        <w:trPr>
          <w:trHeight w:val="293" w:hRule="atLeast"/>
        </w:trPr>
        <w:tc>
          <w:tcPr>
            <w:tcW w:w="3375"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22" w:type="dxa"/>
            <w:vAlign w:val="top"/>
          </w:tcPr>
          <w:p>
            <w:pPr>
              <w:pStyle w:val="TableText"/>
              <w:rPr/>
            </w:pPr>
            <w:r/>
          </w:p>
        </w:tc>
        <w:tc>
          <w:tcPr>
            <w:tcW w:w="1209"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7.89</w:t>
            </w:r>
          </w:p>
        </w:tc>
        <w:tc>
          <w:tcPr>
            <w:tcW w:w="1123"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7.89</w:t>
            </w:r>
          </w:p>
        </w:tc>
        <w:tc>
          <w:tcPr>
            <w:tcW w:w="1053" w:type="dxa"/>
            <w:vAlign w:val="top"/>
          </w:tcPr>
          <w:p>
            <w:pPr>
              <w:pStyle w:val="TableText"/>
              <w:rPr/>
            </w:pPr>
            <w:r/>
          </w:p>
        </w:tc>
      </w:tr>
      <w:tr>
        <w:trPr>
          <w:trHeight w:val="292" w:hRule="atLeast"/>
        </w:trPr>
        <w:tc>
          <w:tcPr>
            <w:tcW w:w="3375"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2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09"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123"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053" w:type="dxa"/>
            <w:vAlign w:val="top"/>
          </w:tcPr>
          <w:p>
            <w:pPr>
              <w:pStyle w:val="TableText"/>
              <w:rPr/>
            </w:pPr>
            <w:r/>
          </w:p>
        </w:tc>
      </w:tr>
      <w:tr>
        <w:trPr>
          <w:trHeight w:val="298" w:hRule="atLeast"/>
        </w:trPr>
        <w:tc>
          <w:tcPr>
            <w:tcW w:w="3375"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22" w:type="dxa"/>
            <w:vAlign w:val="top"/>
          </w:tcPr>
          <w:p>
            <w:pPr>
              <w:ind w:left="327"/>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09" w:type="dxa"/>
            <w:vAlign w:val="top"/>
          </w:tcPr>
          <w:p>
            <w:pPr>
              <w:ind w:right="23"/>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1123"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1053" w:type="dxa"/>
            <w:vAlign w:val="top"/>
          </w:tcPr>
          <w:p>
            <w:pPr>
              <w:pStyle w:val="TableText"/>
              <w:rPr/>
            </w:pPr>
            <w:r/>
          </w:p>
        </w:tc>
      </w:tr>
    </w:tbl>
    <w:p>
      <w:pPr>
        <w:rPr>
          <w:rFonts w:ascii="Arial"/>
          <w:sz w:val="21"/>
        </w:rPr>
      </w:pPr>
      <w:r/>
    </w:p>
    <w:p>
      <w:pPr>
        <w:sectPr>
          <w:headerReference w:type="default" r:id="rId20"/>
          <w:footerReference w:type="default" r:id="rId21"/>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2"/>
          <w:footerReference w:type="default" r:id="rId23"/>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4"/>
          <w:footerReference w:type="default" r:id="rId25"/>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6"/>
          <w:footerReference w:type="default" r:id="rId27"/>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8"/>
          <w:footerReference w:type="default" r:id="rId2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兴县蔡家崖乡卫生院杨家坡分院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0.31</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1.09</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9" w:line="226" w:lineRule="auto"/>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p>
          <w:p>
            <w:pPr>
              <w:ind w:left="8"/>
              <w:spacing w:line="189" w:lineRule="auto"/>
              <w:rPr>
                <w:rFonts w:ascii="SimSun" w:hAnsi="SimSun" w:eastAsia="SimSun" w:cs="SimSun"/>
                <w:sz w:val="15"/>
                <w:szCs w:val="15"/>
              </w:rPr>
            </w:pPr>
            <w:r>
              <w:rPr>
                <w:rFonts w:ascii="SimSun" w:hAnsi="SimSun" w:eastAsia="SimSun" w:cs="SimSun"/>
                <w:sz w:val="15"/>
                <w:szCs w:val="15"/>
                <w:color w:val="212529"/>
                <w:spacing w:val="3"/>
              </w:rPr>
              <w:t>社</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3"/>
              </w:rPr>
              <w:t>209号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510" w:right="91" w:firstLine="148"/>
              <w:spacing w:before="31" w:line="208" w:lineRule="auto"/>
              <w:rPr>
                <w:rFonts w:ascii="SimSun" w:hAnsi="SimSun" w:eastAsia="SimSun" w:cs="SimSun"/>
                <w:sz w:val="15"/>
                <w:szCs w:val="15"/>
              </w:rPr>
            </w:pPr>
            <w:r>
              <w:rPr>
                <w:rFonts w:ascii="SimSun" w:hAnsi="SimSun" w:eastAsia="SimSun" w:cs="SimSun"/>
                <w:sz w:val="15"/>
                <w:szCs w:val="15"/>
                <w:color w:val="212529"/>
                <w:spacing w:val="11"/>
              </w:rPr>
              <w:t>省级财政卫生健康人才培养（在</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7"/>
              </w:rPr>
              <w:t>岗位补助）晋财社[2024]218号</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7" w:hRule="atLeast"/>
        </w:trPr>
        <w:tc>
          <w:tcPr>
            <w:tcW w:w="3018" w:type="dxa"/>
            <w:vAlign w:val="top"/>
          </w:tcPr>
          <w:p>
            <w:pPr>
              <w:ind w:left="8" w:right="91" w:firstLine="162"/>
              <w:spacing w:before="20" w:line="216"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展补助资金（村卫生室药品零差率）晋财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w:t>
            </w:r>
          </w:p>
        </w:tc>
        <w:tc>
          <w:tcPr>
            <w:tcW w:w="1080" w:type="dxa"/>
            <w:vAlign w:val="top"/>
          </w:tcPr>
          <w:p>
            <w:pPr>
              <w:ind w:right="19"/>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0"/>
          <w:footerReference w:type="default" r:id="rId31"/>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单位名称：兴县蔡家崖乡卫生院杨家坡分院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32"/>
          <w:footerReference w:type="default" r:id="rId33"/>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11"/>
        </w:rPr>
        <w:t>2025年度兴县蔡家崖乡卫生院杨家坡分院预算收入</w:t>
      </w:r>
      <w:r>
        <w:rPr>
          <w:rFonts w:ascii="FangSong" w:hAnsi="FangSong" w:eastAsia="FangSong" w:cs="FangSong"/>
          <w:sz w:val="23"/>
          <w:szCs w:val="23"/>
          <w:spacing w:val="10"/>
        </w:rPr>
        <w:t>总计114.53万元，其中：本年收入</w:t>
      </w:r>
      <w:r>
        <w:rPr>
          <w:rFonts w:ascii="FangSong" w:hAnsi="FangSong" w:eastAsia="FangSong" w:cs="FangSong"/>
          <w:sz w:val="23"/>
          <w:szCs w:val="23"/>
        </w:rPr>
        <w:t xml:space="preserve"> </w:t>
      </w:r>
      <w:r>
        <w:rPr>
          <w:rFonts w:ascii="FangSong" w:hAnsi="FangSong" w:eastAsia="FangSong" w:cs="FangSong"/>
          <w:sz w:val="23"/>
          <w:szCs w:val="23"/>
          <w:spacing w:val="3"/>
        </w:rPr>
        <w:t>114.53万元，上年结转0万元，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比上年减少59.35万元，下降34.13%，主要原因是公卫资金减</w:t>
      </w:r>
      <w:r>
        <w:rPr>
          <w:rFonts w:ascii="FangSong" w:hAnsi="FangSong" w:eastAsia="FangSong" w:cs="FangSong"/>
          <w:sz w:val="23"/>
          <w:szCs w:val="23"/>
        </w:rPr>
        <w:t xml:space="preserve"> </w:t>
      </w:r>
      <w:r>
        <w:rPr>
          <w:rFonts w:ascii="FangSong" w:hAnsi="FangSong" w:eastAsia="FangSong" w:cs="FangSong"/>
          <w:sz w:val="23"/>
          <w:szCs w:val="23"/>
          <w:spacing w:val="5"/>
        </w:rPr>
        <w:t>少，基药补助资金减少；本年单位预算支出总计114.53</w:t>
      </w:r>
      <w:r>
        <w:rPr>
          <w:rFonts w:ascii="FangSong" w:hAnsi="FangSong" w:eastAsia="FangSong" w:cs="FangSong"/>
          <w:sz w:val="23"/>
          <w:szCs w:val="23"/>
          <w:spacing w:val="4"/>
        </w:rPr>
        <w:t>万元，其中：本年预算安排114.53万</w:t>
      </w:r>
      <w:r>
        <w:rPr>
          <w:rFonts w:ascii="FangSong" w:hAnsi="FangSong" w:eastAsia="FangSong" w:cs="FangSong"/>
          <w:sz w:val="23"/>
          <w:szCs w:val="23"/>
        </w:rPr>
        <w:t xml:space="preserve"> </w:t>
      </w:r>
      <w:r>
        <w:rPr>
          <w:rFonts w:ascii="FangSong" w:hAnsi="FangSong" w:eastAsia="FangSong" w:cs="FangSong"/>
          <w:sz w:val="23"/>
          <w:szCs w:val="23"/>
          <w:spacing w:val="4"/>
        </w:rPr>
        <w:t>元，上年结转0万元，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比上年减少59.35万元，下降</w:t>
      </w:r>
      <w:r>
        <w:rPr>
          <w:rFonts w:ascii="FangSong" w:hAnsi="FangSong" w:eastAsia="FangSong" w:cs="FangSong"/>
          <w:sz w:val="23"/>
          <w:szCs w:val="23"/>
          <w:spacing w:val="3"/>
        </w:rPr>
        <w:t>34.13%，主要原因是公卫资金减少，基药</w:t>
      </w:r>
      <w:r>
        <w:rPr>
          <w:rFonts w:ascii="FangSong" w:hAnsi="FangSong" w:eastAsia="FangSong" w:cs="FangSong"/>
          <w:sz w:val="23"/>
          <w:szCs w:val="23"/>
        </w:rPr>
        <w:t xml:space="preserve"> </w:t>
      </w:r>
      <w:r>
        <w:rPr>
          <w:rFonts w:ascii="FangSong" w:hAnsi="FangSong" w:eastAsia="FangSong" w:cs="FangSong"/>
          <w:sz w:val="23"/>
          <w:szCs w:val="23"/>
          <w:spacing w:val="-2"/>
        </w:rPr>
        <w:t>补助资金减少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6"/>
        <w:spacing w:before="185" w:line="321" w:lineRule="auto"/>
        <w:rPr>
          <w:rFonts w:ascii="FangSong" w:hAnsi="FangSong" w:eastAsia="FangSong" w:cs="FangSong"/>
          <w:sz w:val="23"/>
          <w:szCs w:val="23"/>
        </w:rPr>
      </w:pPr>
      <w:r>
        <w:rPr>
          <w:rFonts w:ascii="FangSong" w:hAnsi="FangSong" w:eastAsia="FangSong" w:cs="FangSong"/>
          <w:sz w:val="23"/>
          <w:szCs w:val="23"/>
          <w:spacing w:val="5"/>
        </w:rPr>
        <w:t>2025年度兴县蔡家崖乡卫生院杨家坡分院预算收入114.53万元，主要包括一般公共预算</w:t>
      </w:r>
      <w:r>
        <w:rPr>
          <w:rFonts w:ascii="FangSong" w:hAnsi="FangSong" w:eastAsia="FangSong" w:cs="FangSong"/>
          <w:sz w:val="23"/>
          <w:szCs w:val="23"/>
        </w:rPr>
        <w:t xml:space="preserve"> </w:t>
      </w:r>
      <w:r>
        <w:rPr>
          <w:rFonts w:ascii="FangSong" w:hAnsi="FangSong" w:eastAsia="FangSong" w:cs="FangSong"/>
          <w:sz w:val="23"/>
          <w:szCs w:val="23"/>
          <w:spacing w:val="1"/>
        </w:rPr>
        <w:t>拨款</w:t>
      </w:r>
      <w:r>
        <w:rPr>
          <w:rFonts w:ascii="FangSong" w:hAnsi="FangSong" w:eastAsia="FangSong" w:cs="FangSong"/>
          <w:sz w:val="23"/>
          <w:szCs w:val="23"/>
          <w:spacing w:val="1"/>
        </w:rPr>
        <w:t xml:space="preserve">  </w:t>
      </w:r>
      <w:r>
        <w:rPr>
          <w:rFonts w:ascii="FangSong" w:hAnsi="FangSong" w:eastAsia="FangSong" w:cs="FangSong"/>
          <w:sz w:val="23"/>
          <w:szCs w:val="23"/>
          <w:spacing w:val="1"/>
        </w:rPr>
        <w:t>入114.53万元，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rPr>
        <w:t>%；</w:t>
      </w:r>
      <w:r>
        <w:rPr>
          <w:rFonts w:ascii="FangSong" w:hAnsi="FangSong" w:eastAsia="FangSong" w:cs="FangSong"/>
          <w:sz w:val="23"/>
          <w:szCs w:val="23"/>
          <w:spacing w:val="-67"/>
        </w:rPr>
        <w:t xml:space="preserve"> </w:t>
      </w:r>
      <w:r>
        <w:rPr>
          <w:rFonts w:ascii="FangSong" w:hAnsi="FangSong" w:eastAsia="FangSong" w:cs="FangSong"/>
          <w:sz w:val="23"/>
          <w:szCs w:val="23"/>
        </w:rPr>
        <w:t>国有资</w:t>
      </w:r>
      <w:r>
        <w:rPr>
          <w:rFonts w:ascii="FangSong" w:hAnsi="FangSong" w:eastAsia="FangSong" w:cs="FangSong"/>
          <w:sz w:val="23"/>
          <w:szCs w:val="23"/>
        </w:rPr>
        <w:t xml:space="preserve">    </w:t>
      </w:r>
      <w:r>
        <w:rPr>
          <w:rFonts w:ascii="FangSong" w:hAnsi="FangSong" w:eastAsia="FangSong" w:cs="FangSong"/>
          <w:sz w:val="23"/>
          <w:szCs w:val="23"/>
        </w:rPr>
        <w:t>营预</w:t>
      </w:r>
    </w:p>
    <w:p>
      <w:pPr>
        <w:ind w:left="1268" w:right="1223" w:firstLine="706"/>
        <w:spacing w:line="329" w:lineRule="auto"/>
        <w:rPr>
          <w:rFonts w:ascii="FangSong" w:hAnsi="FangSong" w:eastAsia="FangSong" w:cs="FangSong"/>
          <w:sz w:val="23"/>
          <w:szCs w:val="23"/>
        </w:rPr>
      </w:pPr>
      <w:r>
        <w:rPr>
          <w:rFonts w:ascii="FangSong" w:hAnsi="FangSong" w:eastAsia="FangSong" w:cs="FangSong"/>
          <w:sz w:val="23"/>
          <w:szCs w:val="23"/>
          <w:spacing w:val="-1"/>
        </w:rPr>
        <w:t>收入0万元，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占0%；单</w:t>
      </w:r>
      <w:r>
        <w:rPr>
          <w:rFonts w:ascii="FangSong" w:hAnsi="FangSong" w:eastAsia="FangSong" w:cs="FangSong"/>
          <w:sz w:val="23"/>
          <w:szCs w:val="23"/>
          <w:spacing w:val="-2"/>
        </w:rPr>
        <w:t>位资金0万</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8"/>
        </w:rPr>
        <w:t xml:space="preserve">  </w:t>
      </w:r>
      <w:r>
        <w:rPr>
          <w:rFonts w:ascii="FangSong" w:hAnsi="FangSong" w:eastAsia="FangSong" w:cs="FangSong"/>
          <w:sz w:val="23"/>
          <w:szCs w:val="23"/>
          <w:spacing w:val="-2"/>
        </w:rPr>
        <w:t>0%；上年</w:t>
      </w:r>
      <w:r>
        <w:rPr>
          <w:rFonts w:ascii="FangSong" w:hAnsi="FangSong" w:eastAsia="FangSong" w:cs="FangSong"/>
          <w:sz w:val="23"/>
          <w:szCs w:val="23"/>
        </w:rPr>
        <w:t xml:space="preserve"> </w:t>
      </w:r>
      <w:r>
        <w:rPr>
          <w:rFonts w:ascii="FangSong" w:hAnsi="FangSong" w:eastAsia="FangSong" w:cs="FangSong"/>
          <w:sz w:val="23"/>
          <w:szCs w:val="23"/>
          <w:spacing w:val="-8"/>
        </w:rPr>
        <w:t>结转0万元，</w:t>
      </w:r>
      <w:r>
        <w:rPr>
          <w:rFonts w:ascii="FangSong" w:hAnsi="FangSong" w:eastAsia="FangSong" w:cs="FangSong"/>
          <w:sz w:val="23"/>
          <w:szCs w:val="23"/>
          <w:spacing w:val="-52"/>
        </w:rPr>
        <w:t xml:space="preserve"> </w:t>
      </w:r>
      <w:r>
        <w:rPr>
          <w:rFonts w:ascii="FangSong" w:hAnsi="FangSong" w:eastAsia="FangSong" w:cs="FangSong"/>
          <w:sz w:val="23"/>
          <w:szCs w:val="23"/>
          <w:spacing w:val="-8"/>
        </w:rPr>
        <w:t>占0%。</w:t>
      </w:r>
    </w:p>
    <w:p>
      <w:pPr>
        <w:spacing w:line="354" w:lineRule="auto"/>
        <w:rPr>
          <w:rFonts w:ascii="Arial"/>
          <w:sz w:val="21"/>
        </w:rPr>
      </w:pPr>
      <w:r/>
    </w:p>
    <w:p>
      <w:pPr>
        <w:ind w:firstLine="3705"/>
        <w:spacing w:before="1"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2333735"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29"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4"/>
        </w:rPr>
        <w:t>2025年度</w:t>
      </w:r>
      <w:r>
        <w:rPr>
          <w:rFonts w:ascii="FangSong" w:hAnsi="FangSong" w:eastAsia="FangSong" w:cs="FangSong"/>
          <w:sz w:val="23"/>
          <w:szCs w:val="23"/>
          <w:spacing w:val="4"/>
        </w:rPr>
        <w:t xml:space="preserve">        </w:t>
      </w:r>
      <w:r>
        <w:rPr>
          <w:rFonts w:ascii="FangSong" w:hAnsi="FangSong" w:eastAsia="FangSong" w:cs="FangSong"/>
          <w:sz w:val="23"/>
          <w:szCs w:val="23"/>
          <w:spacing w:val="4"/>
        </w:rPr>
        <w:t>崖乡卫生院杨家坡分院支出预算114.53万元，其中：基本支出101.47</w:t>
      </w:r>
    </w:p>
    <w:p>
      <w:pPr>
        <w:ind w:left="1265"/>
        <w:spacing w:before="134" w:line="223" w:lineRule="auto"/>
        <w:rPr>
          <w:rFonts w:ascii="FangSong" w:hAnsi="FangSong" w:eastAsia="FangSong" w:cs="FangSong"/>
          <w:sz w:val="23"/>
          <w:szCs w:val="23"/>
        </w:rPr>
      </w:pPr>
      <w:r>
        <w:rPr>
          <w:rFonts w:ascii="FangSong" w:hAnsi="FangSong" w:eastAsia="FangSong" w:cs="FangSong"/>
          <w:sz w:val="23"/>
          <w:szCs w:val="23"/>
          <w:spacing w:val="-2"/>
        </w:rPr>
        <w:t>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%；项目支出13.05万元，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占11.39%。</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7" w:right="1223" w:firstLine="453"/>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2025年度兴县蔡家崖乡卫生院杨家坡分院财政拨款收支总预算114.53万元。其中：一般</w:t>
      </w:r>
      <w:r>
        <w:rPr>
          <w:rFonts w:ascii="FangSong" w:hAnsi="FangSong" w:eastAsia="FangSong" w:cs="FangSong"/>
          <w:sz w:val="23"/>
          <w:szCs w:val="23"/>
        </w:rPr>
        <w:t xml:space="preserve"> </w:t>
      </w:r>
      <w:r>
        <w:rPr>
          <w:rFonts w:ascii="FangSong" w:hAnsi="FangSong" w:eastAsia="FangSong" w:cs="FangSong"/>
          <w:sz w:val="23"/>
          <w:szCs w:val="23"/>
          <w:spacing w:val="9"/>
        </w:rPr>
        <w:t>公共预算拨款114.53万元，政府性基金预算拨款0万元，</w:t>
      </w:r>
      <w:r>
        <w:rPr>
          <w:rFonts w:ascii="FangSong" w:hAnsi="FangSong" w:eastAsia="FangSong" w:cs="FangSong"/>
          <w:sz w:val="23"/>
          <w:szCs w:val="23"/>
          <w:spacing w:val="-62"/>
        </w:rPr>
        <w:t xml:space="preserve"> </w:t>
      </w:r>
      <w:r>
        <w:rPr>
          <w:rFonts w:ascii="FangSong" w:hAnsi="FangSong" w:eastAsia="FangSong" w:cs="FangSong"/>
          <w:sz w:val="23"/>
          <w:szCs w:val="23"/>
          <w:spacing w:val="9"/>
        </w:rPr>
        <w:t>国有资本经营预算拨款0万</w:t>
      </w:r>
      <w:r>
        <w:rPr>
          <w:rFonts w:ascii="FangSong" w:hAnsi="FangSong" w:eastAsia="FangSong" w:cs="FangSong"/>
          <w:sz w:val="23"/>
          <w:szCs w:val="23"/>
          <w:spacing w:val="8"/>
        </w:rPr>
        <w:t>元。其</w:t>
      </w:r>
      <w:r>
        <w:rPr>
          <w:rFonts w:ascii="FangSong" w:hAnsi="FangSong" w:eastAsia="FangSong" w:cs="FangSong"/>
          <w:sz w:val="23"/>
          <w:szCs w:val="23"/>
        </w:rPr>
        <w:t xml:space="preserve"> </w:t>
      </w:r>
      <w:r>
        <w:rPr>
          <w:rFonts w:ascii="FangSong" w:hAnsi="FangSong" w:eastAsia="FangSong" w:cs="FangSong"/>
          <w:sz w:val="23"/>
          <w:szCs w:val="23"/>
          <w:spacing w:val="2"/>
        </w:rPr>
        <w:t>中：当年拨款收入114.53万元，上年结转收入0万元。支出包括：社会保障和就业支出9.11万</w:t>
      </w:r>
      <w:r>
        <w:rPr>
          <w:rFonts w:ascii="FangSong" w:hAnsi="FangSong" w:eastAsia="FangSong" w:cs="FangSong"/>
          <w:sz w:val="23"/>
          <w:szCs w:val="23"/>
        </w:rPr>
        <w:t xml:space="preserve"> </w:t>
      </w:r>
      <w:r>
        <w:rPr>
          <w:rFonts w:ascii="FangSong" w:hAnsi="FangSong" w:eastAsia="FangSong" w:cs="FangSong"/>
          <w:sz w:val="23"/>
          <w:szCs w:val="23"/>
        </w:rPr>
        <w:t>元、卫生健康支出97.47万元、住房保障支出7.</w:t>
      </w:r>
      <w:r>
        <w:rPr>
          <w:rFonts w:ascii="FangSong" w:hAnsi="FangSong" w:eastAsia="FangSong" w:cs="FangSong"/>
          <w:sz w:val="23"/>
          <w:szCs w:val="23"/>
          <w:spacing w:val="-1"/>
        </w:rPr>
        <w:t>95万元等。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1" w:right="1223" w:firstLine="459"/>
        <w:spacing w:before="124" w:line="325" w:lineRule="auto"/>
        <w:rPr>
          <w:rFonts w:ascii="FangSong" w:hAnsi="FangSong" w:eastAsia="FangSong" w:cs="FangSong"/>
          <w:sz w:val="23"/>
          <w:szCs w:val="23"/>
        </w:rPr>
      </w:pPr>
      <w:r>
        <w:rPr>
          <w:rFonts w:ascii="FangSong" w:hAnsi="FangSong" w:eastAsia="FangSong" w:cs="FangSong"/>
          <w:sz w:val="23"/>
          <w:szCs w:val="23"/>
          <w:spacing w:val="2"/>
        </w:rPr>
        <w:t>2025年度兴县蔡家崖乡卫生院杨家坡分院一般公共预算当年支出114.53万元,比上年减少</w:t>
      </w:r>
      <w:r>
        <w:rPr>
          <w:rFonts w:ascii="FangSong" w:hAnsi="FangSong" w:eastAsia="FangSong" w:cs="FangSong"/>
          <w:sz w:val="23"/>
          <w:szCs w:val="23"/>
          <w:spacing w:val="11"/>
        </w:rPr>
        <w:t xml:space="preserve"> </w:t>
      </w:r>
      <w:r>
        <w:rPr>
          <w:rFonts w:ascii="FangSong" w:hAnsi="FangSong" w:eastAsia="FangSong" w:cs="FangSong"/>
          <w:sz w:val="23"/>
          <w:szCs w:val="23"/>
          <w:spacing w:val="-1"/>
        </w:rPr>
        <w:t>59.35万元，下降34.13%。</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3" w:line="222" w:lineRule="auto"/>
        <w:rPr>
          <w:rFonts w:ascii="FangSong" w:hAnsi="FangSong" w:eastAsia="FangSong" w:cs="FangSong"/>
          <w:sz w:val="23"/>
          <w:szCs w:val="23"/>
        </w:rPr>
      </w:pPr>
      <w:r>
        <w:rPr>
          <w:rFonts w:ascii="FangSong" w:hAnsi="FangSong" w:eastAsia="FangSong" w:cs="FangSong"/>
          <w:sz w:val="23"/>
          <w:szCs w:val="23"/>
          <w:spacing w:val="2"/>
        </w:rPr>
        <w:t>2025年度兴县蔡家崖乡卫生院杨家坡分院一般公共预算当年支出114.</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要用于以</w:t>
      </w:r>
    </w:p>
    <w:p>
      <w:pPr>
        <w:ind w:left="1268"/>
        <w:spacing w:before="135" w:line="221" w:lineRule="auto"/>
        <w:rPr>
          <w:rFonts w:ascii="FangSong" w:hAnsi="FangSong" w:eastAsia="FangSong" w:cs="FangSong"/>
          <w:sz w:val="23"/>
          <w:szCs w:val="23"/>
        </w:rPr>
      </w:pPr>
      <w:r>
        <w:rPr>
          <w:rFonts w:ascii="FangSong" w:hAnsi="FangSong" w:eastAsia="FangSong" w:cs="FangSong"/>
          <w:sz w:val="23"/>
          <w:szCs w:val="23"/>
          <w:spacing w:val="2"/>
        </w:rPr>
        <w:t>下方面：社会保障和就业支出9.11万元，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占7.95%</w:t>
      </w:r>
      <w:r>
        <w:rPr>
          <w:rFonts w:ascii="FangSong" w:hAnsi="FangSong" w:eastAsia="FangSong" w:cs="FangSong"/>
          <w:sz w:val="23"/>
          <w:szCs w:val="23"/>
          <w:spacing w:val="2"/>
        </w:rPr>
        <w:t xml:space="preserve">  </w:t>
      </w:r>
      <w:r>
        <w:rPr>
          <w:rFonts w:ascii="FangSong" w:hAnsi="FangSong" w:eastAsia="FangSong" w:cs="FangSong"/>
          <w:sz w:val="23"/>
          <w:szCs w:val="23"/>
          <w:spacing w:val="2"/>
        </w:rPr>
        <w:t>卫生健康支出</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占8</w:t>
      </w:r>
      <w:r>
        <w:rPr>
          <w:rFonts w:ascii="FangSong" w:hAnsi="FangSong" w:eastAsia="FangSong" w:cs="FangSong"/>
          <w:sz w:val="23"/>
          <w:szCs w:val="23"/>
          <w:spacing w:val="1"/>
        </w:rPr>
        <w:t>5.10%；住</w:t>
      </w:r>
    </w:p>
    <w:p>
      <w:pPr>
        <w:spacing w:line="221"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1268"/>
        <w:spacing w:before="75" w:line="221" w:lineRule="auto"/>
        <w:rPr>
          <w:rFonts w:ascii="FangSong" w:hAnsi="FangSong" w:eastAsia="FangSong" w:cs="FangSong"/>
          <w:sz w:val="23"/>
          <w:szCs w:val="23"/>
        </w:rPr>
      </w:pPr>
      <w:r>
        <w:rPr>
          <w:rFonts w:ascii="FangSong" w:hAnsi="FangSong" w:eastAsia="FangSong" w:cs="FangSong"/>
          <w:sz w:val="23"/>
          <w:szCs w:val="23"/>
          <w:spacing w:val="-6"/>
        </w:rPr>
        <w:t>房保</w:t>
      </w:r>
      <w:r>
        <w:rPr>
          <w:rFonts w:ascii="FangSong" w:hAnsi="FangSong" w:eastAsia="FangSong" w:cs="FangSong"/>
          <w:sz w:val="23"/>
          <w:szCs w:val="23"/>
          <w:spacing w:val="4"/>
        </w:rPr>
        <w:t xml:space="preserve">       </w:t>
      </w:r>
      <w:r>
        <w:rPr>
          <w:rFonts w:ascii="FangSong" w:hAnsi="FangSong" w:eastAsia="FangSong" w:cs="FangSong"/>
          <w:sz w:val="23"/>
          <w:szCs w:val="23"/>
          <w:spacing w:val="-6"/>
        </w:rPr>
        <w:t>.</w:t>
      </w:r>
      <w:r>
        <w:rPr>
          <w:rFonts w:ascii="FangSong" w:hAnsi="FangSong" w:eastAsia="FangSong" w:cs="FangSong"/>
          <w:sz w:val="23"/>
          <w:szCs w:val="23"/>
          <w:spacing w:val="-6"/>
        </w:rPr>
        <w:t xml:space="preserve"> </w:t>
      </w:r>
      <w:r>
        <w:rPr>
          <w:rFonts w:ascii="FangSong" w:hAnsi="FangSong" w:eastAsia="FangSong" w:cs="FangSong"/>
          <w:sz w:val="23"/>
          <w:szCs w:val="23"/>
          <w:spacing w:val="-6"/>
        </w:rPr>
        <w:t>5万元，</w:t>
      </w:r>
      <w:r>
        <w:rPr>
          <w:rFonts w:ascii="FangSong" w:hAnsi="FangSong" w:eastAsia="FangSong" w:cs="FangSong"/>
          <w:sz w:val="23"/>
          <w:szCs w:val="23"/>
          <w:spacing w:val="-60"/>
        </w:rPr>
        <w:t xml:space="preserve"> </w:t>
      </w:r>
      <w:r>
        <w:rPr>
          <w:rFonts w:ascii="FangSong" w:hAnsi="FangSong" w:eastAsia="FangSong" w:cs="FangSong"/>
          <w:sz w:val="23"/>
          <w:szCs w:val="23"/>
          <w:spacing w:val="-6"/>
        </w:rPr>
        <w:t>占6.94%等。</w:t>
      </w:r>
    </w:p>
    <w:p>
      <w:pPr>
        <w:spacing w:line="270" w:lineRule="auto"/>
        <w:rPr>
          <w:rFonts w:ascii="Arial"/>
          <w:sz w:val="21"/>
        </w:rPr>
      </w:pPr>
      <w:r/>
    </w:p>
    <w:p>
      <w:pPr>
        <w:ind w:firstLine="4664"/>
        <w:spacing w:line="2464" w:lineRule="exact"/>
        <w:rPr/>
      </w:pPr>
      <w:r>
        <w:rPr>
          <w:position w:val="-49"/>
        </w:rPr>
        <w:drawing>
          <wp:inline distT="0" distB="0" distL="0" distR="0">
            <wp:extent cx="1915185" cy="1564258"/>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1915185"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204"/>
        <w:spacing w:before="185" w:line="222" w:lineRule="auto"/>
        <w:rPr>
          <w:rFonts w:ascii="FangSong" w:hAnsi="FangSong" w:eastAsia="FangSong" w:cs="FangSong"/>
          <w:sz w:val="23"/>
          <w:szCs w:val="23"/>
        </w:rPr>
      </w:pPr>
      <w:r>
        <w:rPr>
          <w:rFonts w:ascii="FangSong" w:hAnsi="FangSong" w:eastAsia="FangSong" w:cs="FangSong"/>
          <w:sz w:val="23"/>
          <w:szCs w:val="23"/>
          <w:spacing w:val="11"/>
        </w:rPr>
        <w:t>年度兴县蔡家崖乡卫生院杨家坡分院一般公共预算安排基本支出101.</w:t>
      </w:r>
      <w:r>
        <w:rPr>
          <w:rFonts w:ascii="FangSong" w:hAnsi="FangSong" w:eastAsia="FangSong" w:cs="FangSong"/>
          <w:sz w:val="23"/>
          <w:szCs w:val="23"/>
          <w:spacing w:val="11"/>
        </w:rPr>
        <w:t xml:space="preserve">     </w:t>
      </w:r>
      <w:r>
        <w:rPr>
          <w:rFonts w:ascii="FangSong" w:hAnsi="FangSong" w:eastAsia="FangSong" w:cs="FangSong"/>
          <w:sz w:val="23"/>
          <w:szCs w:val="23"/>
          <w:spacing w:val="10"/>
        </w:rPr>
        <w:t xml:space="preserve"> </w:t>
      </w:r>
      <w:r>
        <w:rPr>
          <w:rFonts w:ascii="FangSong" w:hAnsi="FangSong" w:eastAsia="FangSong" w:cs="FangSong"/>
          <w:sz w:val="23"/>
          <w:szCs w:val="23"/>
          <w:spacing w:val="10"/>
        </w:rPr>
        <w:t>，其</w:t>
      </w:r>
    </w:p>
    <w:p>
      <w:pPr>
        <w:ind w:left="1511"/>
        <w:spacing w:before="123" w:line="241" w:lineRule="auto"/>
        <w:rPr>
          <w:rFonts w:ascii="FangSong" w:hAnsi="FangSong" w:eastAsia="FangSong" w:cs="FangSong"/>
          <w:sz w:val="23"/>
          <w:szCs w:val="23"/>
        </w:rPr>
      </w:pPr>
      <w:r>
        <w:rPr>
          <w:rFonts w:ascii="FangSong" w:hAnsi="FangSong" w:eastAsia="FangSong" w:cs="FangSong"/>
          <w:sz w:val="23"/>
          <w:szCs w:val="23"/>
        </w:rPr>
        <w:t>:</w:t>
      </w:r>
    </w:p>
    <w:p>
      <w:pPr>
        <w:ind w:left="1728"/>
        <w:spacing w:before="100" w:line="222" w:lineRule="auto"/>
        <w:rPr>
          <w:rFonts w:ascii="FangSong" w:hAnsi="FangSong" w:eastAsia="FangSong" w:cs="FangSong"/>
          <w:sz w:val="23"/>
          <w:szCs w:val="23"/>
        </w:rPr>
      </w:pPr>
      <w:r>
        <w:rPr>
          <w:rFonts w:ascii="FangSong" w:hAnsi="FangSong" w:eastAsia="FangSong" w:cs="FangSong"/>
          <w:sz w:val="23"/>
          <w:szCs w:val="23"/>
          <w:spacing w:val="2"/>
        </w:rPr>
        <w:t>人员经费96.23万元，主要包括：其他对个人和家庭的补助、</w:t>
      </w:r>
      <w:r>
        <w:rPr>
          <w:rFonts w:ascii="FangSong" w:hAnsi="FangSong" w:eastAsia="FangSong" w:cs="FangSong"/>
          <w:sz w:val="23"/>
          <w:szCs w:val="23"/>
          <w:spacing w:val="2"/>
        </w:rPr>
        <w:t xml:space="preserve">          </w:t>
      </w:r>
      <w:r>
        <w:rPr>
          <w:rFonts w:ascii="FangSong" w:hAnsi="FangSong" w:eastAsia="FangSong" w:cs="FangSong"/>
          <w:sz w:val="23"/>
          <w:szCs w:val="23"/>
          <w:spacing w:val="2"/>
        </w:rPr>
        <w:t>障缴费、绩效工</w:t>
      </w:r>
    </w:p>
    <w:p>
      <w:pPr>
        <w:ind w:left="1264" w:right="1223" w:firstLine="10"/>
        <w:spacing w:before="134" w:line="321" w:lineRule="auto"/>
        <w:rPr>
          <w:rFonts w:ascii="FangSong" w:hAnsi="FangSong" w:eastAsia="FangSong" w:cs="FangSong"/>
          <w:sz w:val="23"/>
          <w:szCs w:val="23"/>
        </w:rPr>
      </w:pPr>
      <w:r>
        <w:rPr>
          <w:rFonts w:ascii="FangSong" w:hAnsi="FangSong" w:eastAsia="FangSong" w:cs="FangSong"/>
          <w:sz w:val="23"/>
          <w:szCs w:val="23"/>
          <w:spacing w:val="5"/>
        </w:rPr>
        <w:t>资、基本工资、住房公积金、机关事业单位基本养老保险缴费、</w:t>
      </w:r>
      <w:r>
        <w:rPr>
          <w:rFonts w:ascii="FangSong" w:hAnsi="FangSong" w:eastAsia="FangSong" w:cs="FangSong"/>
          <w:sz w:val="23"/>
          <w:szCs w:val="23"/>
          <w:spacing w:val="5"/>
        </w:rPr>
        <w:t xml:space="preserve">   </w:t>
      </w:r>
      <w:r>
        <w:rPr>
          <w:rFonts w:ascii="FangSong" w:hAnsi="FangSong" w:eastAsia="FangSong" w:cs="FangSong"/>
          <w:sz w:val="23"/>
          <w:szCs w:val="23"/>
          <w:spacing w:val="4"/>
        </w:rPr>
        <w:t xml:space="preserve"> </w:t>
      </w:r>
      <w:r>
        <w:rPr>
          <w:rFonts w:ascii="FangSong" w:hAnsi="FangSong" w:eastAsia="FangSong" w:cs="FangSong"/>
          <w:sz w:val="23"/>
          <w:szCs w:val="23"/>
          <w:spacing w:val="4"/>
        </w:rPr>
        <w:t>费、职工基本医疗保险</w:t>
      </w:r>
      <w:r>
        <w:rPr>
          <w:rFonts w:ascii="FangSong" w:hAnsi="FangSong" w:eastAsia="FangSong" w:cs="FangSong"/>
          <w:sz w:val="23"/>
          <w:szCs w:val="23"/>
        </w:rPr>
        <w:t xml:space="preserve"> </w:t>
      </w:r>
      <w:r>
        <w:rPr>
          <w:rFonts w:ascii="FangSong" w:hAnsi="FangSong" w:eastAsia="FangSong" w:cs="FangSong"/>
          <w:sz w:val="23"/>
          <w:szCs w:val="23"/>
          <w:spacing w:val="-2"/>
        </w:rPr>
        <w:t>缴费、津贴补贴等；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公用经费5.25万元，主要包括：福利费、工会经费、</w:t>
      </w:r>
      <w:r>
        <w:rPr>
          <w:rFonts w:ascii="FangSong" w:hAnsi="FangSong" w:eastAsia="FangSong" w:cs="FangSong"/>
          <w:sz w:val="23"/>
          <w:szCs w:val="23"/>
          <w:spacing w:val="-1"/>
        </w:rPr>
        <w:t>取暖费等。</w:t>
      </w:r>
    </w:p>
    <w:p>
      <w:pPr>
        <w:ind w:left="1255"/>
        <w:spacing w:before="130"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3" w:right="1223" w:firstLine="456"/>
        <w:spacing w:before="179" w:line="323" w:lineRule="auto"/>
        <w:rPr>
          <w:rFonts w:ascii="FangSong" w:hAnsi="FangSong" w:eastAsia="FangSong" w:cs="FangSong"/>
          <w:sz w:val="23"/>
          <w:szCs w:val="23"/>
        </w:rPr>
      </w:pPr>
      <w:r>
        <w:rPr>
          <w:rFonts w:ascii="FangSong" w:hAnsi="FangSong" w:eastAsia="FangSong" w:cs="FangSong"/>
          <w:sz w:val="23"/>
          <w:szCs w:val="23"/>
          <w:spacing w:val="2"/>
        </w:rPr>
        <w:t>2025年兴县蔡家崖乡卫生院杨家坡分院政府采购预算总额0万元。其中：政府采购货物预</w:t>
      </w:r>
      <w:r>
        <w:rPr>
          <w:rFonts w:ascii="FangSong" w:hAnsi="FangSong" w:eastAsia="FangSong" w:cs="FangSong"/>
          <w:sz w:val="23"/>
          <w:szCs w:val="23"/>
          <w:spacing w:val="17"/>
        </w:rPr>
        <w:t xml:space="preserve"> </w:t>
      </w:r>
      <w:r>
        <w:rPr>
          <w:rFonts w:ascii="FangSong" w:hAnsi="FangSong" w:eastAsia="FangSong" w:cs="FangSong"/>
          <w:sz w:val="23"/>
          <w:szCs w:val="23"/>
        </w:rPr>
        <w:t>算0万元、政府采购工</w:t>
      </w:r>
      <w:r>
        <w:rPr>
          <w:rFonts w:ascii="FangSong" w:hAnsi="FangSong" w:eastAsia="FangSong" w:cs="FangSong"/>
          <w:sz w:val="23"/>
          <w:szCs w:val="23"/>
        </w:rPr>
        <w:t xml:space="preserve">      </w:t>
      </w:r>
      <w:r>
        <w:rPr>
          <w:rFonts w:ascii="FangSong" w:hAnsi="FangSong" w:eastAsia="FangSong" w:cs="FangSong"/>
          <w:sz w:val="23"/>
          <w:szCs w:val="23"/>
        </w:rPr>
        <w:t>0万元、政府采购服务预算0万元。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20"/>
        </w:rPr>
        <w:t>1、</w:t>
      </w:r>
      <w:r>
        <w:rPr>
          <w:rFonts w:ascii="FangSong" w:hAnsi="FangSong" w:eastAsia="FangSong" w:cs="FangSong"/>
          <w:sz w:val="23"/>
          <w:szCs w:val="23"/>
          <w:spacing w:val="7"/>
        </w:rPr>
        <w:t xml:space="preserve">        </w:t>
      </w:r>
      <w:r>
        <w:rPr>
          <w:rFonts w:ascii="FangSong" w:hAnsi="FangSong" w:eastAsia="FangSong" w:cs="FangSong"/>
          <w:sz w:val="23"/>
          <w:szCs w:val="23"/>
          <w:spacing w:val="-20"/>
        </w:rPr>
        <w:t>目标</w:t>
      </w:r>
    </w:p>
    <w:p>
      <w:pPr>
        <w:ind w:left="1259"/>
        <w:spacing w:before="134" w:line="221" w:lineRule="auto"/>
        <w:rPr>
          <w:rFonts w:ascii="FangSong" w:hAnsi="FangSong" w:eastAsia="FangSong" w:cs="FangSong"/>
          <w:sz w:val="23"/>
          <w:szCs w:val="23"/>
        </w:rPr>
      </w:pPr>
      <w:r>
        <w:rPr>
          <w:rFonts w:ascii="FangSong" w:hAnsi="FangSong" w:eastAsia="FangSong" w:cs="FangSong"/>
          <w:sz w:val="23"/>
          <w:szCs w:val="23"/>
        </w:rPr>
        <w:t>2025年</w:t>
      </w:r>
      <w:r>
        <w:rPr>
          <w:rFonts w:ascii="FangSong" w:hAnsi="FangSong" w:eastAsia="FangSong" w:cs="FangSong"/>
          <w:sz w:val="23"/>
          <w:szCs w:val="23"/>
        </w:rPr>
        <w:t xml:space="preserve">  </w:t>
      </w:r>
      <w:r>
        <w:rPr>
          <w:rFonts w:ascii="FangSong" w:hAnsi="FangSong" w:eastAsia="FangSong" w:cs="FangSong"/>
          <w:sz w:val="23"/>
          <w:szCs w:val="23"/>
        </w:rPr>
        <w:t>报单位整体绩效目标，涉及资金114.53万元。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58" w:right="1223" w:firstLine="462"/>
        <w:spacing w:before="120" w:line="325" w:lineRule="auto"/>
        <w:rPr>
          <w:rFonts w:ascii="FangSong" w:hAnsi="FangSong" w:eastAsia="FangSong" w:cs="FangSong"/>
          <w:sz w:val="23"/>
          <w:szCs w:val="23"/>
        </w:rPr>
      </w:pPr>
      <w:r>
        <w:rPr>
          <w:rFonts w:ascii="FangSong" w:hAnsi="FangSong" w:eastAsia="FangSong" w:cs="FangSong"/>
          <w:sz w:val="23"/>
          <w:szCs w:val="23"/>
          <w:spacing w:val="9"/>
        </w:rPr>
        <w:t>2025年兴县蔡家崖乡卫生院杨家坡分院纳入绩效</w:t>
      </w:r>
      <w:r>
        <w:rPr>
          <w:rFonts w:ascii="FangSong" w:hAnsi="FangSong" w:eastAsia="FangSong" w:cs="FangSong"/>
          <w:sz w:val="23"/>
          <w:szCs w:val="23"/>
          <w:spacing w:val="-26"/>
        </w:rPr>
        <w:t xml:space="preserve"> </w:t>
      </w:r>
      <w:r>
        <w:rPr>
          <w:rFonts w:ascii="FangSong" w:hAnsi="FangSong" w:eastAsia="FangSong" w:cs="FangSong"/>
          <w:sz w:val="23"/>
          <w:szCs w:val="23"/>
          <w:spacing w:val="9"/>
        </w:rPr>
        <w:t>目标管理的二级项</w:t>
      </w:r>
      <w:r>
        <w:rPr>
          <w:rFonts w:ascii="FangSong" w:hAnsi="FangSong" w:eastAsia="FangSong" w:cs="FangSong"/>
          <w:sz w:val="23"/>
          <w:szCs w:val="23"/>
          <w:spacing w:val="-43"/>
        </w:rPr>
        <w:t xml:space="preserve"> </w:t>
      </w:r>
      <w:r>
        <w:rPr>
          <w:rFonts w:ascii="FangSong" w:hAnsi="FangSong" w:eastAsia="FangSong" w:cs="FangSong"/>
          <w:sz w:val="23"/>
          <w:szCs w:val="23"/>
          <w:spacing w:val="9"/>
        </w:rPr>
        <w:t>目6个</w:t>
      </w:r>
      <w:r>
        <w:rPr>
          <w:rFonts w:ascii="FangSong" w:hAnsi="FangSong" w:eastAsia="FangSong" w:cs="FangSong"/>
          <w:sz w:val="23"/>
          <w:szCs w:val="23"/>
          <w:spacing w:val="-68"/>
        </w:rPr>
        <w:t xml:space="preserve"> </w:t>
      </w:r>
      <w:r>
        <w:rPr>
          <w:rFonts w:ascii="FangSong" w:hAnsi="FangSong" w:eastAsia="FangSong" w:cs="FangSong"/>
          <w:sz w:val="23"/>
          <w:szCs w:val="23"/>
          <w:spacing w:val="9"/>
        </w:rPr>
        <w:t>，共计金额</w:t>
      </w:r>
      <w:r>
        <w:rPr>
          <w:rFonts w:ascii="FangSong" w:hAnsi="FangSong" w:eastAsia="FangSong" w:cs="FangSong"/>
          <w:sz w:val="23"/>
          <w:szCs w:val="23"/>
        </w:rPr>
        <w:t xml:space="preserve"> </w:t>
      </w:r>
      <w:r>
        <w:rPr>
          <w:rFonts w:ascii="FangSong" w:hAnsi="FangSong" w:eastAsia="FangSong" w:cs="FangSong"/>
          <w:sz w:val="23"/>
          <w:szCs w:val="23"/>
          <w:spacing w:val="5"/>
        </w:rPr>
        <w:t>114.53万元。其中：其他运转类项目0个，涉及金额0万元；特定目标类项</w:t>
      </w:r>
      <w:r>
        <w:rPr>
          <w:rFonts w:ascii="FangSong" w:hAnsi="FangSong" w:eastAsia="FangSong" w:cs="FangSong"/>
          <w:sz w:val="23"/>
          <w:szCs w:val="23"/>
          <w:spacing w:val="4"/>
        </w:rPr>
        <w:t>目0个，涉及金额0</w:t>
      </w:r>
      <w:r>
        <w:rPr>
          <w:rFonts w:ascii="FangSong" w:hAnsi="FangSong" w:eastAsia="FangSong" w:cs="FangSong"/>
          <w:sz w:val="23"/>
          <w:szCs w:val="23"/>
        </w:rPr>
        <w:t xml:space="preserve"> </w:t>
      </w:r>
      <w:r>
        <w:rPr>
          <w:rFonts w:ascii="FangSong" w:hAnsi="FangSong" w:eastAsia="FangSong" w:cs="FangSong"/>
          <w:sz w:val="23"/>
          <w:szCs w:val="23"/>
          <w:spacing w:val="6"/>
        </w:rPr>
        <w:t>万元。公开项目绩效目标6个，涉及项目金额114.53万元，</w:t>
      </w:r>
      <w:r>
        <w:rPr>
          <w:rFonts w:ascii="FangSong" w:hAnsi="FangSong" w:eastAsia="FangSong" w:cs="FangSong"/>
          <w:sz w:val="23"/>
          <w:szCs w:val="23"/>
          <w:spacing w:val="-42"/>
        </w:rPr>
        <w:t xml:space="preserve"> </w:t>
      </w:r>
      <w:r>
        <w:rPr>
          <w:rFonts w:ascii="FangSong" w:hAnsi="FangSong" w:eastAsia="FangSong" w:cs="FangSong"/>
          <w:sz w:val="23"/>
          <w:szCs w:val="23"/>
          <w:spacing w:val="6"/>
        </w:rPr>
        <w:t>占部门（单位）项目支出总额的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100%。其中：其他运转类项目0个，涉及项目金额0万元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特定目标类项目0个，涉及项目金额</w:t>
      </w:r>
      <w:r>
        <w:rPr>
          <w:rFonts w:ascii="FangSong" w:hAnsi="FangSong" w:eastAsia="FangSong" w:cs="FangSong"/>
          <w:sz w:val="23"/>
          <w:szCs w:val="23"/>
          <w:spacing w:val="11"/>
        </w:rPr>
        <w:t xml:space="preserve"> </w:t>
      </w:r>
      <w:r>
        <w:rPr>
          <w:rFonts w:ascii="FangSong" w:hAnsi="FangSong" w:eastAsia="FangSong" w:cs="FangSong"/>
          <w:sz w:val="23"/>
          <w:szCs w:val="23"/>
          <w:spacing w:val="-3"/>
        </w:rPr>
        <w:t>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7"/>
          <w:footerReference w:type="default" r:id="rId38"/>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005"/>
        <w:spacing w:line="12282" w:lineRule="exact"/>
        <w:rPr/>
      </w:pPr>
      <w:r>
        <w:pict>
          <v:shape id="_x0000_s434" style="position:absolute;margin-left:-13.08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36"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38"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25397" cy="7798977"/>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5025397" cy="7798977"/>
                    </a:xfrm>
                    <a:prstGeom prst="rect">
                      <a:avLst/>
                    </a:prstGeom>
                  </pic:spPr>
                </pic:pic>
              </a:graphicData>
            </a:graphic>
          </wp:inline>
        </w:drawing>
      </w:r>
    </w:p>
    <w:p>
      <w:pPr>
        <w:spacing w:line="12282" w:lineRule="exact"/>
        <w:sectPr>
          <w:headerReference w:type="default" r:id="rId40"/>
          <w:footerReference w:type="default" r:id="rId41"/>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05"/>
        <w:spacing w:line="12217" w:lineRule="exact"/>
        <w:rPr/>
      </w:pPr>
      <w:r>
        <w:pict>
          <v:shape id="_x0000_s440"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442"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44"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025397" cy="7757785"/>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5025397" cy="7757785"/>
                    </a:xfrm>
                    <a:prstGeom prst="rect">
                      <a:avLst/>
                    </a:prstGeom>
                  </pic:spPr>
                </pic:pic>
              </a:graphicData>
            </a:graphic>
          </wp:inline>
        </w:drawing>
      </w:r>
    </w:p>
    <w:p>
      <w:pPr>
        <w:spacing w:line="12217" w:lineRule="exact"/>
        <w:sectPr>
          <w:footerReference w:type="default" r:id="rId43"/>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05"/>
        <w:spacing w:line="12001" w:lineRule="exact"/>
        <w:rPr/>
      </w:pPr>
      <w:r>
        <w:pict>
          <v:shape id="_x0000_s446" style="position:absolute;margin-left:-13.08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48"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450"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5025397" cy="762048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5025397" cy="7620480"/>
                    </a:xfrm>
                    <a:prstGeom prst="rect">
                      <a:avLst/>
                    </a:prstGeom>
                  </pic:spPr>
                </pic:pic>
              </a:graphicData>
            </a:graphic>
          </wp:inline>
        </w:drawing>
      </w:r>
    </w:p>
    <w:p>
      <w:pPr>
        <w:spacing w:line="12001" w:lineRule="exact"/>
        <w:sectPr>
          <w:footerReference w:type="default" r:id="rId45"/>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05"/>
        <w:spacing w:line="12282" w:lineRule="exact"/>
        <w:rPr/>
      </w:pPr>
      <w:r>
        <w:pict>
          <v:shape id="_x0000_s452" style="position:absolute;margin-left:-13.08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454"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56"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25397" cy="7798977"/>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5025397" cy="7798977"/>
                    </a:xfrm>
                    <a:prstGeom prst="rect">
                      <a:avLst/>
                    </a:prstGeom>
                  </pic:spPr>
                </pic:pic>
              </a:graphicData>
            </a:graphic>
          </wp:inline>
        </w:drawing>
      </w:r>
    </w:p>
    <w:p>
      <w:pPr>
        <w:spacing w:line="12282" w:lineRule="exact"/>
        <w:sectPr>
          <w:footerReference w:type="default" r:id="rId47"/>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05"/>
        <w:spacing w:line="12261" w:lineRule="exact"/>
        <w:rPr/>
      </w:pPr>
      <w:r>
        <w:pict>
          <v:shape id="_x0000_s458"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60" style="position:absolute;margin-left:-13.08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462"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25397" cy="7785246"/>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5025397" cy="7785246"/>
                    </a:xfrm>
                    <a:prstGeom prst="rect">
                      <a:avLst/>
                    </a:prstGeom>
                  </pic:spPr>
                </pic:pic>
              </a:graphicData>
            </a:graphic>
          </wp:inline>
        </w:drawing>
      </w:r>
    </w:p>
    <w:p>
      <w:pPr>
        <w:spacing w:line="12261" w:lineRule="exact"/>
        <w:sectPr>
          <w:footerReference w:type="default" r:id="rId49"/>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05"/>
        <w:spacing w:line="11969" w:lineRule="exact"/>
        <w:rPr/>
      </w:pPr>
      <w:r>
        <w:pict>
          <v:shape id="_x0000_s464"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66"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68"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5025397" cy="7599884"/>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5025397" cy="7599884"/>
                    </a:xfrm>
                    <a:prstGeom prst="rect">
                      <a:avLst/>
                    </a:prstGeom>
                  </pic:spPr>
                </pic:pic>
              </a:graphicData>
            </a:graphic>
          </wp:inline>
        </w:drawing>
      </w:r>
    </w:p>
    <w:p>
      <w:pPr>
        <w:spacing w:line="11969" w:lineRule="exact"/>
        <w:sectPr>
          <w:footerReference w:type="default" r:id="rId51"/>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05"/>
        <w:spacing w:line="12282" w:lineRule="exact"/>
        <w:rPr/>
      </w:pPr>
      <w:r>
        <w:pict>
          <v:shape id="_x0000_s470" style="position:absolute;margin-left:-13.08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72"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474"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25397" cy="7798977"/>
            <wp:effectExtent l="0" t="0" r="0" b="0"/>
            <wp:docPr id="20" name="IM 20"/>
            <wp:cNvGraphicFramePr/>
            <a:graphic>
              <a:graphicData uri="http://schemas.openxmlformats.org/drawingml/2006/picture">
                <pic:pic>
                  <pic:nvPicPr>
                    <pic:cNvPr id="20" name="IM 20"/>
                    <pic:cNvPicPr/>
                  </pic:nvPicPr>
                  <pic:blipFill>
                    <a:blip r:embed="rId54"/>
                    <a:stretch>
                      <a:fillRect/>
                    </a:stretch>
                  </pic:blipFill>
                  <pic:spPr>
                    <a:xfrm rot="0">
                      <a:off x="0" y="0"/>
                      <a:ext cx="5025397" cy="7798977"/>
                    </a:xfrm>
                    <a:prstGeom prst="rect">
                      <a:avLst/>
                    </a:prstGeom>
                  </pic:spPr>
                </pic:pic>
              </a:graphicData>
            </a:graphic>
          </wp:inline>
        </w:drawing>
      </w:r>
    </w:p>
    <w:p>
      <w:pPr>
        <w:spacing w:line="12282" w:lineRule="exact"/>
        <w:sectPr>
          <w:footerReference w:type="default" r:id="rId53"/>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05"/>
        <w:spacing w:line="3417" w:lineRule="exact"/>
        <w:rPr/>
      </w:pPr>
      <w:r>
        <w:rPr>
          <w:position w:val="-68"/>
        </w:rPr>
        <w:drawing>
          <wp:inline distT="0" distB="0" distL="0" distR="0">
            <wp:extent cx="5025397" cy="2169433"/>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5025397" cy="2169433"/>
                    </a:xfrm>
                    <a:prstGeom prst="rect">
                      <a:avLst/>
                    </a:prstGeom>
                  </pic:spPr>
                </pic:pic>
              </a:graphicData>
            </a:graphic>
          </wp:inline>
        </w:drawing>
      </w:r>
    </w:p>
    <w:p>
      <w:pPr>
        <w:spacing w:line="3417" w:lineRule="exact"/>
        <w:sectPr>
          <w:headerReference w:type="default" r:id="rId55"/>
          <w:footerReference w:type="default" r:id="rId56"/>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日，兴县蔡家崖乡卫生院杨家坡分院</w:t>
      </w:r>
      <w:r>
        <w:rPr>
          <w:rFonts w:ascii="FangSong" w:hAnsi="FangSong" w:eastAsia="FangSong" w:cs="FangSong"/>
          <w:sz w:val="23"/>
          <w:szCs w:val="23"/>
          <w:spacing w:val="8"/>
        </w:rPr>
        <w:t>共有公务用车编制0辆，实有0</w:t>
      </w:r>
      <w:r>
        <w:rPr>
          <w:rFonts w:ascii="FangSong" w:hAnsi="FangSong" w:eastAsia="FangSong" w:cs="FangSong"/>
          <w:sz w:val="23"/>
          <w:szCs w:val="23"/>
        </w:rPr>
        <w:t xml:space="preserve"> </w:t>
      </w:r>
      <w:r>
        <w:rPr>
          <w:rFonts w:ascii="FangSong" w:hAnsi="FangSong" w:eastAsia="FangSong" w:cs="FangSong"/>
          <w:sz w:val="23"/>
          <w:szCs w:val="23"/>
          <w:spacing w:val="5"/>
        </w:rPr>
        <w:t>辆，其中：领导用车0辆，机要通信用车0辆，应急保障用车0辆，执法执勤用车0辆，特种专</w:t>
      </w:r>
      <w:r>
        <w:rPr>
          <w:rFonts w:ascii="FangSong" w:hAnsi="FangSong" w:eastAsia="FangSong" w:cs="FangSong"/>
          <w:sz w:val="23"/>
          <w:szCs w:val="23"/>
          <w:spacing w:val="2"/>
        </w:rPr>
        <w:t xml:space="preserve"> </w:t>
      </w:r>
      <w:r>
        <w:rPr>
          <w:rFonts w:ascii="FangSong" w:hAnsi="FangSong" w:eastAsia="FangSong" w:cs="FangSong"/>
          <w:sz w:val="23"/>
          <w:szCs w:val="23"/>
        </w:rPr>
        <w:t>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9" w:right="1223" w:firstLine="455"/>
        <w:spacing w:before="123" w:line="322" w:lineRule="auto"/>
        <w:rPr>
          <w:rFonts w:ascii="FangSong" w:hAnsi="FangSong" w:eastAsia="FangSong" w:cs="FangSong"/>
          <w:sz w:val="23"/>
          <w:szCs w:val="23"/>
        </w:rPr>
      </w:pPr>
      <w:r>
        <w:rPr>
          <w:rFonts w:ascii="FangSong" w:hAnsi="FangSong" w:eastAsia="FangSong" w:cs="FangSong"/>
          <w:sz w:val="23"/>
          <w:szCs w:val="23"/>
          <w:spacing w:val="2"/>
        </w:rPr>
        <w:t>截至2024年12月31日，兴县蔡家崖乡卫生院杨家坡分院使用的办公用房建筑总面积296平</w:t>
      </w:r>
      <w:r>
        <w:rPr>
          <w:rFonts w:ascii="FangSong" w:hAnsi="FangSong" w:eastAsia="FangSong" w:cs="FangSong"/>
          <w:sz w:val="23"/>
          <w:szCs w:val="23"/>
          <w:spacing w:val="7"/>
        </w:rPr>
        <w:t xml:space="preserve"> </w:t>
      </w:r>
      <w:r>
        <w:rPr>
          <w:rFonts w:ascii="FangSong" w:hAnsi="FangSong" w:eastAsia="FangSong" w:cs="FangSong"/>
          <w:sz w:val="23"/>
          <w:szCs w:val="23"/>
          <w:spacing w:val="-7"/>
        </w:rPr>
        <w:t>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5" w:right="1223" w:firstLine="459"/>
        <w:spacing w:before="124"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日，兴县蔡家崖乡卫生院杨家坡分院占有使用价值50万元（原值）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w:t>
      </w:r>
      <w:r>
        <w:rPr>
          <w:rFonts w:ascii="FangSong" w:hAnsi="FangSong" w:eastAsia="FangSong" w:cs="FangSong"/>
          <w:sz w:val="23"/>
          <w:szCs w:val="23"/>
        </w:rPr>
        <w:t xml:space="preserve"> </w:t>
      </w:r>
      <w:r>
        <w:rPr>
          <w:rFonts w:ascii="FangSong" w:hAnsi="FangSong" w:eastAsia="FangSong" w:cs="FangSong"/>
          <w:sz w:val="23"/>
          <w:szCs w:val="23"/>
          <w:spacing w:val="3"/>
        </w:rPr>
        <w:t>上的通用设备0台（套</w:t>
      </w:r>
      <w:r>
        <w:rPr>
          <w:rFonts w:ascii="FangSong" w:hAnsi="FangSong" w:eastAsia="FangSong" w:cs="FangSong"/>
          <w:sz w:val="23"/>
          <w:szCs w:val="23"/>
          <w:spacing w:val="19"/>
        </w:rPr>
        <w:t>）；</w:t>
      </w:r>
      <w:r>
        <w:rPr>
          <w:rFonts w:ascii="FangSong" w:hAnsi="FangSong" w:eastAsia="FangSong" w:cs="FangSong"/>
          <w:sz w:val="23"/>
          <w:szCs w:val="23"/>
          <w:spacing w:val="3"/>
        </w:rPr>
        <w:t>兴县蔡家崖乡卫生院杨家坡分院占有使用价值100万元（原值）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w:t>
      </w:r>
    </w:p>
    <w:p>
      <w:pPr>
        <w:ind w:left="1265"/>
        <w:spacing w:before="11" w:line="221" w:lineRule="auto"/>
        <w:rPr>
          <w:rFonts w:ascii="FangSong" w:hAnsi="FangSong" w:eastAsia="FangSong" w:cs="FangSong"/>
          <w:sz w:val="23"/>
          <w:szCs w:val="23"/>
        </w:rPr>
      </w:pPr>
      <w:r>
        <w:rPr>
          <w:rFonts w:ascii="FangSong" w:hAnsi="FangSong" w:eastAsia="FangSong" w:cs="FangSong"/>
          <w:sz w:val="23"/>
          <w:szCs w:val="23"/>
          <w:spacing w:val="-1"/>
        </w:rPr>
        <w:t>上的通用设备0台（套）。</w:t>
      </w:r>
    </w:p>
    <w:p>
      <w:pPr>
        <w:ind w:left="1260"/>
        <w:spacing w:before="122"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843"/>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58"/>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502"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504"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06" style="position:absolute;margin-left:491.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08" style="position:absolute;margin-left:-13.08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10"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59"/>
          <w:footerReference w:type="default" r:id="rId60"/>
          <w:pgSz w:w="11900" w:h="16840"/>
          <w:pgMar w:top="642" w:right="0" w:bottom="340" w:left="0" w:header="326" w:footer="111" w:gutter="0"/>
        </w:sectPr>
        <w:rPr/>
      </w:pPr>
    </w:p>
    <w:p>
      <w:pPr>
        <w:spacing w:line="277" w:lineRule="auto"/>
        <w:rPr>
          <w:rFonts w:ascii="Arial"/>
          <w:sz w:val="21"/>
        </w:rPr>
      </w:pPr>
      <w:r>
        <w:pict>
          <v:shape id="_x0000_s512"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514"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18"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520" style="position:absolute;margin-left:86.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spacing w:line="277" w:lineRule="auto"/>
        <w:rPr>
          <w:rFonts w:ascii="Arial"/>
          <w:sz w:val="21"/>
        </w:rPr>
      </w:pPr>
      <w:r>
        <w:pict>
          <v:shape id="_x0000_s522"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24"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26" style="position:absolute;margin-left:-13.08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30" style="position:absolute;margin-left:491.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spacing w:line="277" w:lineRule="auto"/>
        <w:rPr>
          <w:rFonts w:ascii="Arial"/>
          <w:sz w:val="21"/>
        </w:rPr>
      </w:pPr>
      <w:r>
        <w:pict>
          <v:shape id="_x0000_s532"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34"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36"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40"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6"/>
          <w:pgSz w:w="11900" w:h="16840"/>
          <w:pgMar w:top="642" w:right="0" w:bottom="340" w:left="0" w:header="326" w:footer="111" w:gutter="0"/>
        </w:sectPr>
        <w:rPr/>
      </w:pPr>
    </w:p>
    <w:p>
      <w:pPr>
        <w:spacing w:line="277" w:lineRule="auto"/>
        <w:rPr>
          <w:rFonts w:ascii="Arial"/>
          <w:sz w:val="21"/>
        </w:rPr>
      </w:pPr>
      <w:r>
        <w:pict>
          <v:shape id="_x0000_s542"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44"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46"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548"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69"/>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8"/>
          <w:pgSz w:w="11900" w:h="16840"/>
          <w:pgMar w:top="642" w:right="0" w:bottom="340" w:left="0" w:header="326" w:footer="111" w:gutter="0"/>
        </w:sectPr>
        <w:rPr/>
      </w:pPr>
    </w:p>
    <w:p>
      <w:pPr>
        <w:spacing w:line="277" w:lineRule="auto"/>
        <w:rPr>
          <w:rFonts w:ascii="Arial"/>
          <w:sz w:val="21"/>
        </w:rPr>
      </w:pPr>
      <w:r>
        <w:pict>
          <v:shape id="_x0000_s552"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54"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56"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558" style="position:absolute;margin-left:-13.08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60" style="position:absolute;margin-left:491.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0"/>
          <w:pgSz w:w="11900" w:h="16840"/>
          <w:pgMar w:top="642" w:right="0" w:bottom="340" w:left="0" w:header="326" w:footer="111" w:gutter="0"/>
        </w:sectPr>
        <w:rPr/>
      </w:pPr>
    </w:p>
    <w:p>
      <w:pPr>
        <w:spacing w:line="277" w:lineRule="auto"/>
        <w:rPr>
          <w:rFonts w:ascii="Arial"/>
          <w:sz w:val="21"/>
        </w:rPr>
      </w:pPr>
      <w:r>
        <w:pict>
          <v:shape id="_x0000_s562"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564"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566" style="position:absolute;margin-left:391.92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568" style="position:absolute;margin-left:-13.08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570" style="position:absolute;margin-left:491.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6" name="IM 36"/>
            <wp:cNvGraphicFramePr/>
            <a:graphic>
              <a:graphicData uri="http://schemas.openxmlformats.org/drawingml/2006/picture">
                <pic:pic>
                  <pic:nvPicPr>
                    <pic:cNvPr id="36" name="IM 36"/>
                    <pic:cNvPicPr/>
                  </pic:nvPicPr>
                  <pic:blipFill>
                    <a:blip r:embed="rId73"/>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2"/>
          <w:pgSz w:w="11900" w:h="16840"/>
          <w:pgMar w:top="642" w:right="0" w:bottom="340" w:left="0" w:header="326" w:footer="111" w:gutter="0"/>
        </w:sectPr>
        <w:rPr/>
      </w:pPr>
    </w:p>
    <w:p>
      <w:pPr>
        <w:spacing w:line="277" w:lineRule="auto"/>
        <w:rPr>
          <w:rFonts w:ascii="Arial"/>
          <w:sz w:val="21"/>
        </w:rPr>
      </w:pPr>
      <w:r>
        <w:pict>
          <v:shape id="_x0000_s572" style="position:absolute;margin-left:491.92pt;margin-top:44.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74" style="position:absolute;margin-left:491.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576"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578" style="position:absolute;margin-left:391.92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580" style="position:absolute;margin-left:-13.08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 name="IM 38"/>
            <wp:cNvGraphicFramePr/>
            <a:graphic>
              <a:graphicData uri="http://schemas.openxmlformats.org/drawingml/2006/picture">
                <pic:pic>
                  <pic:nvPicPr>
                    <pic:cNvPr id="38" name="IM 38"/>
                    <pic:cNvPicPr/>
                  </pic:nvPicPr>
                  <pic:blipFill>
                    <a:blip r:embed="rId75"/>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4"/>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6"/>
      <w:footerReference w:type="default" r:id="rId7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8" w:id="44"/>
    <w:bookmarkEnd w:id="44"/>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2"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490.282pt;margin-top:71.2915pt;mso-position-vertical-relative:page;mso-position-horizontal-relative:page;width:35.45pt;height:6.5pt;z-index:-251561984;" o:allowincell="f" fillcolor="#212529" filled="true" stroked="false" type="#_x0000_t136">
          <v:textpath style="font-family:&quot;SimSun&quot;;font-size:6;v-text-kern:t;mso-text-shadow:auto" string="预算公开表5"/>
        </v:shape>
      </w:pict>
    </w:r>
    <w:r>
      <w:pict>
        <v:shape id="PowerPlusWaterMarkObject166"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74.4118pt;margin-top:267.372pt;mso-position-vertical-relative:page;mso-position-horizontal-relative:page;width:23.35pt;height:7.9pt;z-index:-251575296;" o:allowincell="f" fillcolor="#212529" filled="true" stroked="false" type="#_x0000_t136">
          <v:textpath style="font-family:&quot;SimSun&quot;;font-size:7.5;v-text-kern:t;mso-text-shadow:auto" string="100399"/>
        </v:shape>
      </w:pict>
    </w:r>
    <w:r>
      <w:pict>
        <v:shape id="PowerPlusWaterMarkObject170" style="position:absolute;margin-left:69.8661pt;margin-top:282.508pt;mso-position-vertical-relative:page;mso-position-horizontal-relative:page;width:11.7pt;height:7.9pt;z-index:-251574272;" o:allowincell="f" fillcolor="#212529" filled="true" stroked="false" type="#_x0000_t136">
          <v:textpath style="font-family:&quot;SimSun&quot;;font-size:7.5;v-text-kern:t;mso-text-shadow:auto" string="210"/>
        </v:shape>
      </w:pict>
    </w:r>
    <w:r>
      <w:pict>
        <v:shape id="PowerPlusWaterMarkObject17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506.331pt;margin-top:267.372pt;mso-position-vertical-relative:page;mso-position-horizontal-relative:page;width:3.1pt;height:7.9pt;z-index:-251572224;" o:allowincell="f" fillcolor="#212529" filled="true" stroked="false" type="#_x0000_t136">
          <v:textpath style="font-family:&quot;SimSun&quot;;font-size:7.5;v-text-kern:t;mso-text-shadow:auto" string="1"/>
        </v:shape>
      </w:pict>
    </w:r>
    <w:r>
      <w:pict>
        <v:shape id="PowerPlusWaterMarkObject176" style="position:absolute;margin-left:449.21pt;margin-top:282.508pt;mso-position-vertical-relative:page;mso-position-horizontal-relative:page;width:7.55pt;height:7.9pt;z-index:-251571200;" o:allowincell="f" fillcolor="#212529" filled="true" stroked="false" type="#_x0000_t136">
          <v:textpath style="font-family:&quot;SimSun&quot;;font-size:7.5;v-text-kern:t;mso-text-shadow:auto" string="57"/>
        </v:shape>
      </w:pict>
    </w:r>
    <w:r>
      <w:pict>
        <v:shape id="PowerPlusWaterMarkObject178" style="position:absolute;margin-left:441.102pt;margin-top:297.644pt;mso-position-vertical-relative:page;mso-position-horizontal-relative:page;width:15.7pt;height:7.9pt;z-index:-251570176;" o:allowincell="f" fillcolor="#212529" filled="true" stroked="false" type="#_x0000_t136">
          <v:textpath style="font-family:&quot;SimSun&quot;;font-size:7.5;v-text-kern:t;mso-text-shadow:auto" string="3 57"/>
        </v:shape>
      </w:pict>
    </w:r>
    <w:r>
      <w:pict>
        <v:shape id="PowerPlusWaterMarkObject180" style="position:absolute;margin-left:441.133pt;margin-top:312.78pt;mso-position-vertical-relative:page;mso-position-horizontal-relative:page;width:3.5pt;height:7.9pt;z-index:-251569152;" o:allowincell="f" fillcolor="#212529" filled="true" stroked="false" type="#_x0000_t136">
          <v:textpath style="font-family:&quot;SimSun&quot;;font-size:7.5;v-text-kern:t;mso-text-shadow:auto" string="7"/>
        </v:shape>
      </w:pict>
    </w:r>
    <w:r>
      <w:pict>
        <v:shape id="PowerPlusWaterMarkObject182"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4" style="position:absolute;margin-left:86.02pt;margin-top:267.372pt;mso-position-vertical-relative:page;mso-position-horizontal-relative:page;width:15.7pt;height:7.9pt;z-index:-251558912;" o:allowincell="f" fillcolor="#212529" filled="true" stroked="false" type="#_x0000_t136">
          <v:textpath style="font-family:&quot;SimSun&quot;;font-size:7.5;v-text-kern:t;mso-text-shadow:auto" string="住房"/>
        </v:shape>
      </w:pict>
    </w:r>
    <w:r>
      <w:pict>
        <v:shape id="PowerPlusWaterMarkObject196" style="position:absolute;margin-left:69.8978pt;margin-top:282.508pt;mso-position-vertical-relative:page;mso-position-horizontal-relative:page;width:15.6pt;height:7.9pt;z-index:-251557888;" o:allowincell="f" fillcolor="#212529" filled="true" stroked="false" type="#_x0000_t136">
          <v:textpath style="font-family:&quot;SimSun&quot;;font-size:7.5;v-text-kern:t;mso-text-shadow:auto" string="商品"/>
        </v:shape>
      </w:pict>
    </w:r>
    <w:r>
      <w:pict>
        <v:shape id="PowerPlusWaterMarkObject198"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86.557pt;margin-top:71.2915pt;mso-position-vertical-relative:page;mso-position-horizontal-relative:page;width:35.45pt;height:6.5pt;z-index:-251547648;" o:allowincell="f" fillcolor="#212529" filled="true" stroked="false" type="#_x0000_t136">
          <v:textpath style="font-family:&quot;SimSun&quot;;font-size:6;v-text-kern:t;mso-text-shadow:auto" string="预算公开表6"/>
        </v:shape>
      </w:pict>
    </w:r>
    <w:r>
      <w:pict>
        <v:shape id="PowerPlusWaterMarkObject208" style="position:absolute;margin-left:397.811pt;margin-top:312.78pt;mso-position-vertical-relative:page;mso-position-horizontal-relative:page;width:15.25pt;height:7.9pt;z-index:-251555840;" o:allowincell="f" fillcolor="#212529" filled="true" stroked="false" type="#_x0000_t136">
          <v:textpath style="font-family:&quot;SimSun&quot;;font-size:7.5;v-text-kern:t;mso-text-shadow:auto" string="1 09"/>
        </v:shape>
      </w:pict>
    </w:r>
    <w:r>
      <w:pict>
        <v:shape id="PowerPlusWaterMarkObject210" style="position:absolute;margin-left:397.811pt;margin-top:327.916pt;mso-position-vertical-relative:page;mso-position-horizontal-relative:page;width:15.25pt;height:7.9pt;z-index:-251554816;" o:allowincell="f" fillcolor="#212529" filled="true" stroked="false" type="#_x0000_t136">
          <v:textpath style="font-family:&quot;SimSun&quot;;font-size:7.5;v-text-kern:t;mso-text-shadow:auto" string="1 91"/>
        </v:shape>
      </w:pict>
    </w:r>
    <w:r>
      <w:pict>
        <v:shape id="PowerPlusWaterMarkObject212" style="position:absolute;margin-left:491.92pt;margin-top:44.105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0pt;margin-top:29.5pt;mso-position-vertical-relative:page;mso-position-horizontal-relative:page;width:535pt;height:1pt;z-index:-25154969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22"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24" style="position:absolute;margin-left:490.334pt;margin-top:73.4279pt;mso-position-vertical-relative:page;mso-position-horizontal-relative:page;width:35.4pt;height:6.5pt;z-index:-251537408;" o:allowincell="f" fillcolor="#212529" filled="true" stroked="false" type="#_x0000_t136">
          <v:textpath style="font-family:&quot;SimSun&quot;;font-size:6;v-text-kern:t;mso-text-shadow:auto" string="预算公开表7"/>
        </v:shape>
      </w:pict>
    </w:r>
    <w:r>
      <w:pict>
        <v:shape id="PowerPlusWaterMarkObject226" style="position:absolute;margin-left:491.92pt;margin-top:44.105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3945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42"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4" style="position:absolute;margin-left:490.282pt;margin-top:73.4538pt;mso-position-vertical-relative:page;mso-position-horizontal-relative:page;width:35.45pt;height:6.5pt;z-index:-251527168;" o:allowincell="f" fillcolor="#212529" filled="true" stroked="false" type="#_x0000_t136">
          <v:textpath style="font-family:&quot;SimSun&quot;;font-size:6;v-text-kern:t;mso-text-shadow:auto" string="预算公开表8"/>
        </v:shape>
      </w:pict>
    </w:r>
    <w:r>
      <w:pict>
        <v:shape id="PowerPlusWaterMarkObject246"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62" style="position:absolute;margin-left:86.92pt;margin-top:27.7633pt;mso-position-vertical-relative:text;mso-position-horizontal-relative:text;width:119.4pt;height:18.85pt;z-index:-251515904;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490.36pt;margin-top:78.8596pt;mso-position-vertical-relative:page;mso-position-horizontal-relative:page;width:35.35pt;height:6.5pt;z-index:-251516928;" o:allowincell="f" fillcolor="#212529" filled="true" stroked="false" type="#_x0000_t136">
          <v:textpath style="font-family:&quot;SimSun&quot;;font-size:6;v-text-kern:t;mso-text-shadow:auto" string="部门公开表9"/>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82" style="position:absolute;margin-left:86.92pt;margin-top:27.7633pt;mso-position-vertical-relative:text;mso-position-horizontal-relative:text;width:119.4pt;height:18.85pt;z-index:-251505664;rotation:330;"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87.09pt;margin-top:67.4816pt;mso-position-vertical-relative:page;mso-position-horizontal-relative:page;width:38.65pt;height:6.5pt;z-index:-251506688;" o:allowincell="f" fillcolor="#212529" filled="true" stroked="false" type="#_x0000_t136">
          <v:textpath style="font-family:&quot;SimSun&quot;;font-size:6;v-text-kern:t;mso-text-shadow:auto" string="预算公开表11"/>
        </v:shape>
      </w:pict>
    </w:r>
    <w:r>
      <w:pict>
        <v:shape id="PowerPlusWaterMarkObject292" style="position:absolute;margin-left:491.92pt;margin-top:44.105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30pt;margin-top:29.5pt;mso-position-vertical-relative:page;mso-position-horizontal-relative:page;width:535pt;height:1pt;z-index:-25150873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02" style="position:absolute;margin-left:79.1159pt;margin-top:261.426pt;mso-position-vertical-relative:page;mso-position-horizontal-relative:page;width:22.7pt;height:7.9pt;z-index:-251501568;" o:allowincell="f" fillcolor="#212529" filled="true" stroked="false" type="#_x0000_t136">
          <v:textpath style="font-family:&quot;SimSun&quot;;font-size:7.5;v-text-kern:t;mso-text-shadow:auto" string="[2024]"/>
        </v:shape>
      </w:pict>
    </w:r>
    <w:r>
      <w:pict>
        <v:shape id="PowerPlusWaterMarkObject304" style="position:absolute;margin-left:77.9747pt;margin-top:271.696pt;mso-position-vertical-relative:page;mso-position-horizontal-relative:page;width:23.75pt;height:7.9pt;z-index:-251503616;" o:allowincell="f" fillcolor="#212529" filled="true" stroked="false" type="#_x0000_t136">
          <v:textpath style="font-family:&quot;SimSun&quot;;font-size:7.5;v-text-kern:t;mso-text-shadow:auto" string="2025年"/>
        </v:shape>
      </w:pict>
    </w:r>
    <w:r>
      <w:pict>
        <v:shape id="PowerPlusWaterMarkObject306" style="position:absolute;margin-left:70.6348pt;margin-top:280.886pt;mso-position-vertical-relative:page;mso-position-horizontal-relative:page;width:23pt;height:7.9pt;z-index:-251502592;" o:allowincell="f" fillcolor="#212529" filled="true" stroked="false" type="#_x0000_t136">
          <v:textpath style="font-family:&quot;SimSun&quot;;font-size:7.5;v-text-kern:t;mso-text-shadow:auto" string="岗村医"/>
        </v:shape>
      </w:pict>
    </w:r>
    <w:r>
      <w:pict>
        <v:shape id="PowerPlusWaterMarkObject308" style="position:absolute;margin-left:86.92pt;margin-top:27.7633pt;mso-position-vertical-relative:text;mso-position-horizontal-relative:text;width:119.4pt;height:18.85pt;z-index:-251492352;rotation:330;" fillcolor="#404040" filled="true" stroked="false" type="#_x0000_t136">
          <v:fill opacity="0.400000"/>
          <v:textpath style="font-family:&quot;SimSun&quot;;font-size:20;v-text-kern:t;mso-text-shadow:auto" string="仅供内部审核"/>
        </v:shape>
      </w:pict>
    </w:r>
    <w:r>
      <w:pict>
        <v:shape id="PowerPlusWaterMarkObject310" style="position:absolute;margin-left:-13.08pt;margin-top:288.10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487.09pt;margin-top:73.4279pt;mso-position-vertical-relative:page;mso-position-horizontal-relative:page;width:38.65pt;height:6.5pt;z-index:-251493376;" o:allowincell="f" fillcolor="#212529" filled="true" stroked="false" type="#_x0000_t136">
          <v:textpath style="font-family:&quot;SimSun&quot;;font-size:6;v-text-kern:t;mso-text-shadow:auto" string="预算公开表12"/>
        </v:shape>
      </w:pict>
    </w:r>
    <w:r>
      <w:pict>
        <v:shape id="PowerPlusWaterMarkObject318"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391.92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3"/>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8" style="position:absolute;margin-left:86.92pt;margin-top:27.7633pt;mso-position-vertical-relative:text;mso-position-horizontal-relative:text;width:119.4pt;height:18.85pt;z-index:-251462656;rotation:330;" fillcolor="#404040" filled="true" stroked="false" type="#_x0000_t136">
          <v:fill opacity="0.400000"/>
          <v:textpath style="font-family:&quot;SimSun&quot;;font-size:20;v-text-kern:t;mso-text-shadow:auto" string="仅供内部审核"/>
        </v:shape>
      </w:pict>
    </w:r>
    <w:r>
      <w:pict>
        <v:shape id="PowerPlusWaterMarkObject350" style="position:absolute;margin-left:87.5064pt;margin-top:258.837pt;mso-position-vertical-relative:page;mso-position-horizontal-relative:page;width:10.15pt;height:11.8pt;z-index:-251475968;" o:allowincell="f" fillcolor="#000000" filled="true" stroked="false" type="#_x0000_t136">
          <v:textpath style="font-family:&quot;FangSong&quot;;font-size:11.5;v-text-kern:t;mso-text-shadow:auto" string="收"/>
        </v:shape>
      </w:pict>
    </w:r>
    <w:r>
      <w:pict>
        <v:shape id="PowerPlusWaterMarkObject352" style="position:absolute;margin-left:63.1955pt;margin-top:278.838pt;mso-position-vertical-relative:page;mso-position-horizontal-relative:page;width:130.5pt;height:11.8pt;z-index:-251476992;" o:allowincell="f" fillcolor="#000000" filled="true" stroked="false" type="#_x0000_t136">
          <v:textpath style="font-family:&quot;FangSong&quot;;font-size:11.5;v-text-kern:t;mso-text-shadow:auto" string="算拨款               ；"/>
        </v:shape>
      </w:pict>
    </w:r>
    <w:r>
      <w:pict>
        <v:shape id="PowerPlusWaterMarkObject354"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133.605pt;margin-top:533.99pt;mso-position-vertical-relative:page;mso-position-horizontal-relative:page;width:46.05pt;height:11.8pt;z-index:-251473920;" o:allowincell="f" fillcolor="#000000" filled="true" stroked="false" type="#_x0000_t136">
          <v:textpath style="font-family:&quot;FangSong&quot;;font-size:11.5;v-text-kern:t;mso-text-shadow:auto" string="兴县蔡家"/>
        </v:shape>
      </w:pict>
    </w:r>
    <w:r>
      <w:pict>
        <v:shape id="PowerPlusWaterMarkObject358" style="position:absolute;margin-left:99.7671pt;margin-top:554.532pt;mso-position-vertical-relative:page;mso-position-horizontal-relative:page;width:37.65pt;height:11.8pt;z-index:-251472896;" o:allowincell="f" fillcolor="#000000" filled="true" stroked="false" type="#_x0000_t136">
          <v:textpath style="font-family:&quot;FangSong&quot;;font-size:11.5;v-text-kern:t;mso-text-shadow:auto" string="占88 60"/>
        </v:shape>
      </w:pict>
    </w:r>
    <w:r>
      <w:pict>
        <v:shape id="PowerPlusWaterMarkObject360"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86.2696pt;margin-top:756.166pt;mso-position-vertical-relative:page;mso-position-horizontal-relative:page;width:22.3pt;height:11.8pt;z-index:-251466752;" o:allowincell="f" fillcolor="#000000" filled="true" stroked="false" type="#_x0000_t136">
          <v:textpath style="font-family:&quot;FangSong&quot;;font-size:11.5;v-text-kern:t;mso-text-shadow:auto" string="（二"/>
        </v:shape>
      </w:pict>
    </w:r>
    <w:r>
      <w:pict>
        <v:shape id="PowerPlusWaterMarkObject364" style="position:absolute;margin-left:-13.08pt;margin-top:776.106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317.831pt;margin-top:802.278pt;mso-position-vertical-relative:page;mso-position-horizontal-relative:page;width:1.7pt;height:5.6pt;z-index:-251465728;" o:allowincell="f" fillcolor="#000000" filled="true" stroked="false" type="#_x0000_t136">
          <v:textpath style="font-family:&quot;FangSong&quot;;font-size:11.5;v-text-kern:t;mso-text-shadow:auto" string=";"/>
        </v:shape>
      </w:pict>
    </w:r>
    <w:r>
      <w:pict>
        <v:shape id="PowerPlusWaterMarkObject368" style="position:absolute;margin-left:487.578pt;margin-top:258.837pt;mso-position-vertical-relative:page;mso-position-horizontal-relative:page;width:22.6pt;height:11.8pt;z-index:-251480064;" o:allowincell="f" fillcolor="#000000" filled="true" stroked="false" type="#_x0000_t136">
          <v:textpath style="font-family:&quot;FangSong&quot;;font-size:11.5;v-text-kern:t;mso-text-shadow:auto" string="本经"/>
        </v:shape>
      </w:pict>
    </w:r>
    <w:r>
      <w:pict>
        <v:shape id="PowerPlusWaterMarkObject370" style="position:absolute;margin-left:453.472pt;margin-top:278.838pt;mso-position-vertical-relative:page;mso-position-horizontal-relative:page;width:33.9pt;height:11.8pt;z-index:-251479040;" o:allowincell="f" fillcolor="#000000" filled="true" stroked="false" type="#_x0000_t136">
          <v:textpath style="font-family:&quot;FangSong&quot;;font-size:11.5;v-text-kern:t;mso-text-shadow:auto" string="元  占"/>
        </v:shape>
      </w:pict>
    </w:r>
    <w:r>
      <w:pict>
        <v:shape id="PowerPlusWaterMarkObject372" style="position:absolute;margin-left:435.432pt;margin-top:776.167pt;mso-position-vertical-relative:page;mso-position-horizontal-relative:page;width:51.8pt;height:11.8pt;z-index:-251469824;" o:allowincell="f" fillcolor="#000000" filled="true" stroked="false" type="#_x0000_t136">
          <v:textpath style="font-family:&quot;FangSong&quot;;font-size:11.5;v-text-kern:t;mso-text-shadow:auto" string="53万元 主"/>
        </v:shape>
      </w:pict>
    </w:r>
    <w:r>
      <w:pict>
        <v:shape id="PowerPlusWaterMarkObject374" style="position:absolute;margin-left:399.709pt;margin-top:796.709pt;mso-position-vertical-relative:page;mso-position-horizontal-relative:page;width:40.25pt;height:11.8pt;z-index:-251468800;" o:allowincell="f" fillcolor="#000000" filled="true" stroked="false" type="#_x0000_t136">
          <v:textpath style="font-family:&quot;FangSong&quot;;font-size:11.5;v-text-kern:t;mso-text-shadow:auto" string="97 47万"/>
        </v:shape>
      </w:pict>
    </w:r>
    <w:r>
      <w:pict>
        <v:shape id="PowerPlusWaterMarkObject376" style="position:absolute;margin-left:491.92pt;margin-top:44.1055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391.92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491.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391.92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_x0000_s384" style="position:absolute;margin-left:30pt;margin-top:29.5pt;mso-position-vertical-relative:page;mso-position-horizontal-relative:page;width:535pt;height:1pt;z-index:-251464704;"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86" style="position:absolute;margin-left:86.8886pt;margin-top:64.2303pt;mso-position-vertical-relative:page;mso-position-horizontal-relative:page;width:50.5pt;height:11.8pt;z-index:-251447296;" o:allowincell="f" fillcolor="#000000" filled="true" stroked="false" type="#_x0000_t136">
          <v:textpath style="font-family:&quot;FangSong&quot;;font-size:11.5;v-text-kern:t;mso-text-shadow:auto" string="障支出7 9"/>
        </v:shape>
      </w:pict>
    </w:r>
    <w:r>
      <w:pict>
        <v:shape id="PowerPlusWaterMarkObject388" style="position:absolute;margin-left:86.92pt;margin-top:27.7633pt;mso-position-vertical-relative:text;mso-position-horizontal-relative:text;width:119.4pt;height:18.85pt;z-index:-251444224;rotation:330;" fillcolor="#404040" filled="true" stroked="false" type="#_x0000_t136">
          <v:fill opacity="0.400000"/>
          <v:textpath style="font-family:&quot;SimSun&quot;;font-size:20;v-text-kern:t;mso-text-shadow:auto" string="仅供内部审核"/>
        </v:shape>
      </w:pict>
    </w:r>
    <w:r>
      <w:pict>
        <v:shape id="PowerPlusWaterMarkObject390" style="position:absolute;margin-left:491.92pt;margin-top:44.1055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86.0353pt;margin-top:266.946pt;mso-position-vertical-relative:page;mso-position-horizontal-relative:page;width:423.45pt;height:11.8pt;z-index:-251457536;" o:allowincell="f" fillcolor="#000000" filled="true" stroked="false" type="#_x0000_t136">
          <v:textpath style="font-family:&quot;FangSong&quot;;font-size:11.5;v-text-kern:t;mso-text-shadow:auto" string="2025                                                               47万元"/>
        </v:shape>
      </w:pict>
    </w:r>
    <w:r>
      <w:pict>
        <v:shape id="PowerPlusWaterMarkObject394" style="position:absolute;margin-left:64.6829pt;margin-top:286.947pt;mso-position-vertical-relative:page;mso-position-horizontal-relative:page;width:9.3pt;height:11.8pt;z-index:-251456512;" o:allowincell="f" fillcolor="#000000" filled="true" stroked="false" type="#_x0000_t136">
          <v:textpath style="font-family:&quot;FangSong&quot;;font-size:11.5;v-text-kern:t;mso-text-shadow:auto" string="中"/>
        </v:shape>
      </w:pict>
    </w:r>
    <w:r>
      <w:pict>
        <v:shape id="PowerPlusWaterMarkObject396" style="position:absolute;margin-left:394.972pt;margin-top:306.948pt;mso-position-vertical-relative:page;mso-position-horizontal-relative:page;width:57.3pt;height:11.8pt;z-index:-251460608;" o:allowincell="f" fillcolor="#000000" filled="true" stroked="false" type="#_x0000_t136">
          <v:textpath style="font-family:&quot;FangSong&quot;;font-size:11.5;v-text-kern:t;mso-text-shadow:auto" string="其他社会保"/>
        </v:shape>
      </w:pict>
    </w:r>
    <w:r>
      <w:pict>
        <v:shape id="PowerPlusWaterMarkObject398" style="position:absolute;margin-left:393.582pt;margin-top:327.49pt;mso-position-vertical-relative:page;mso-position-horizontal-relative:page;width:22.35pt;height:11.8pt;z-index:-251459584;" o:allowincell="f" fillcolor="#000000" filled="true" stroked="false" type="#_x0000_t136">
          <v:textpath style="font-family:&quot;FangSong&quot;;font-size:11.5;v-text-kern:t;mso-text-shadow:auto" string="退休"/>
        </v:shape>
      </w:pict>
    </w:r>
    <w:r>
      <w:pict>
        <v:shape id="PowerPlusWaterMarkObject400" style="position:absolute;margin-left:-13.08pt;margin-top:288.105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391.92pt;margin-top:288.105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172.822pt;margin-top:509.123pt;mso-position-vertical-relative:page;mso-position-horizontal-relative:page;width:33.75pt;height:11.8pt;z-index:-251453440;" o:allowincell="f" fillcolor="#000000" filled="true" stroked="false" type="#_x0000_t136">
          <v:textpath style="font-family:&quot;FangSong&quot;;font-size:11.5;v-text-kern:t;mso-text-shadow:auto" string="程预算"/>
        </v:shape>
      </w:pict>
    </w:r>
    <w:r>
      <w:pict>
        <v:shape id="PowerPlusWaterMarkObject406" style="position:absolute;margin-left:103.549pt;margin-top:549.126pt;mso-position-vertical-relative:page;mso-position-horizontal-relative:page;width:45.4pt;height:11.8pt;z-index:-251452416;" o:allowincell="f" fillcolor="#000000" filled="true" stroked="false" type="#_x0000_t136">
          <v:textpath style="font-family:&quot;FangSong&quot;;font-size:11.5;v-text-kern:t;mso-text-shadow:auto" string="整体绩效"/>
        </v:shape>
      </w:pict>
    </w:r>
    <w:r>
      <w:pict>
        <v:shape id="PowerPlusWaterMarkObject408" style="position:absolute;margin-left:97.8761pt;margin-top:569.668pt;mso-position-vertical-relative:page;mso-position-horizontal-relative:page;width:10.7pt;height:11.8pt;z-index:-251454464;" o:allowincell="f" fillcolor="#000000" filled="true" stroked="false" type="#_x0000_t136">
          <v:textpath style="font-family:&quot;FangSong&quot;;font-size:11.5;v-text-kern:t;mso-text-shadow:auto" string="编"/>
        </v:shape>
      </w:pict>
    </w:r>
    <w:r>
      <w:pict>
        <v:shape id="PowerPlusWaterMarkObject410" style="position:absolute;margin-left:86.92pt;margin-top:532.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491.92pt;margin-top:532.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343.392pt;margin-top:675.784pt;mso-position-vertical-relative:page;mso-position-horizontal-relative:page;width:1.7pt;height:5.6pt;z-index:-251451392;" o:allowincell="f" fillcolor="#000000" filled="true" stroked="false" type="#_x0000_t136">
          <v:textpath style="font-family:&quot;FangSong&quot;;font-size:11.5;v-text-kern:t;mso-text-shadow:auto" string=";"/>
        </v:shape>
      </w:pict>
    </w:r>
    <w:r>
      <w:pict>
        <v:shape id="PowerPlusWaterMarkObject416" style="position:absolute;margin-left:-13.08pt;margin-top:776.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391.92pt;margin-top:776.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_x0000_s420" style="position:absolute;margin-left:30pt;margin-top:29.5pt;mso-position-vertical-relative:page;mso-position-horizontal-relative:page;width:535pt;height:1pt;z-index:-251446272;"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22" style="position:absolute;margin-left:86.92pt;margin-top:27.7633pt;mso-position-vertical-relative:text;mso-position-horizontal-relative:text;width:119.4pt;height:18.85pt;z-index:-251438080;rotation:330;"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44.1055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13.08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491.92pt;margin-top:532.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391.92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_x0000_s432" style="position:absolute;margin-left:30pt;margin-top:29.5pt;mso-position-vertical-relative:page;mso-position-horizontal-relative:page;width:535pt;height:1pt;z-index:-251440128;"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76" style="position:absolute;margin-left:86.92pt;margin-top:27.7633pt;mso-position-vertical-relative:text;mso-position-horizontal-relative:text;width:119.4pt;height:18.85pt;z-index:-251428864;rotation:330;" fillcolor="#404040" filled="true" stroked="false" type="#_x0000_t136">
          <v:fill opacity="0.400000"/>
          <v:textpath style="font-family:&quot;SimSun&quot;;font-size:20;v-text-kern:t;mso-text-shadow:auto" string="仅供内部审核"/>
        </v:shape>
      </w:pict>
    </w:r>
    <w:r>
      <w:pict>
        <v:shape id="PowerPlusWaterMarkObject478" style="position:absolute;margin-left:-13.08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80"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82" style="position:absolute;margin-left:391.92pt;margin-top:288.10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84" style="position:absolute;margin-left:86.92pt;margin-top:532.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13.08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491.92pt;margin-top:532.106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_x0000_s492"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94" style="position:absolute;margin-left:86.92pt;margin-top:27.7633pt;mso-position-vertical-relative:text;mso-position-horizontal-relative:text;width:119.4pt;height:18.85pt;z-index:-251424768;rotation:330;" fillcolor="#404040" filled="true" stroked="false" type="#_x0000_t136">
          <v:fill opacity="0.400000"/>
          <v:textpath style="font-family:&quot;SimSun&quot;;font-size:20;v-text-kern:t;mso-text-shadow:auto" string="仅供内部审核"/>
        </v:shape>
      </w:pict>
    </w:r>
    <w:r>
      <w:pict>
        <v:shape id="PowerPlusWaterMarkObject496" style="position:absolute;margin-left:-13.08pt;margin-top:776.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98" style="position:absolute;margin-left:391.92pt;margin-top:776.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_x0000_s500" style="position:absolute;margin-left:30pt;margin-top:29.5pt;mso-position-vertical-relative:page;mso-position-horizontal-relative:page;width:535pt;height:1pt;z-index:-251425792;"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82" style="position:absolute;margin-left:86.92pt;margin-top:27.7633pt;mso-position-vertical-relative:text;mso-position-horizontal-relative:text;width:119.4pt;height:18.85pt;z-index:-251415552;rotation:330;" fillcolor="#404040" filled="true" stroked="false" type="#_x0000_t136">
          <v:fill opacity="0.400000"/>
          <v:textpath style="font-family:&quot;SimSun&quot;;font-size:20;v-text-kern:t;mso-text-shadow:auto" string="仅供内部审核"/>
        </v:shape>
      </w:pict>
    </w:r>
    <w:r>
      <w:pict>
        <v:shape id="PowerPlusWaterMarkObject584" style="position:absolute;margin-left:-13.08pt;margin-top:288.10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586" style="position:absolute;margin-left:491.92pt;margin-top:44.105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588" style="position:absolute;margin-left:391.92pt;margin-top:288.105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590" style="position:absolute;margin-left:86.92pt;margin-top:532.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592" style="position:absolute;margin-left:-13.08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594" style="position:absolute;margin-left:491.92pt;margin-top:532.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96" style="position:absolute;margin-left:391.92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_x0000_s598" style="position:absolute;margin-left:30pt;margin-top:29.5pt;mso-position-vertical-relative:page;mso-position-horizontal-relative:page;width:535pt;height:1pt;z-index:-251417600;"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31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2" style="position:absolute;margin-left:86.92pt;margin-top:27.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491.92pt;margin-top:44.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WordPictureWatermark108" style="position:absolute;margin-left:395.367pt;margin-top:259.52pt;mso-position-vertical-relative:page;mso-position-horizontal-relative:page;width:112.65pt;height:75.9pt;z-index:-251606016;" o:allowincell="f" filled="false" stroked="false" type="#_x0000_t75">
          <v:imagedata o:title="" r:id="rId1"/>
        </v:shape>
      </w:pict>
    </w:r>
    <w:r>
      <w:pict>
        <v:shape id="PowerPlusWaterMarkObject110"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535pt;height:1pt;z-index:-25160089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3.62pt;margin-top:72.8103pt;mso-position-vertical-relative:page;mso-position-horizontal-relative:page;width:32.1pt;height:7.2pt;z-index:-251588608;" o:allowincell="f" fillcolor="#212529" filled="true" stroked="false" type="#_x0000_t136">
          <v:textpath style="font-family:&quot;SimSun&quot;;font-size:7;v-text-kern:t;mso-text-shadow:auto" string="算公开表4"/>
        </v:shape>
      </w:pict>
    </w:r>
    <w:r>
      <w:pict>
        <v:shape id="PowerPlusWaterMarkObject124"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09.41pt;margin-top:325.754pt;mso-position-vertical-relative:page;mso-position-horizontal-relative:page;width:3.65pt;height:7.9pt;z-index:-251595776;" o:allowincell="f" fillcolor="#212529" filled="true" stroked="false" type="#_x0000_t136">
          <v:textpath style="font-family:&quot;SimSun&quot;;font-size:7.5;v-text-kern:t;mso-text-shadow:auto" string="9"/>
        </v:shape>
      </w:pict>
    </w:r>
    <w:r>
      <w:pict>
        <v:shape id="PowerPlusWaterMarkObject128"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2" style="position:absolute;margin-left:94.1286pt;margin-top:66.2782pt;mso-position-vertical-relative:page;mso-position-horizontal-relative:page;width:40.05pt;height:7.9pt;z-index:-251580416;" o:allowincell="f" fillcolor="#212529" filled="true" stroked="false" type="#_x0000_t136">
          <v:textpath style="font-family:&quot;SimSun&quot;;font-size:7.5;v-text-kern:t;mso-text-shadow:auto" string="政拨款结转"/>
        </v:shape>
      </w:pict>
    </w:r>
    <w:r>
      <w:pict>
        <v:shape id="PowerPlusWaterMarkObject144"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44.105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79392;" o:allowincell="f" filled="false" strokecolor="#646464" strokeweight="1.00pt" coordsize="10700,20" coordorigin="0,0" path="m0,10l10700,10e">
          <v:stroke joinstyle="miter" miterlimit="10"/>
        </v:shape>
      </w:pict>
    </w:r>
    <w:r>
      <w:rPr>
        <w:sz w:val="16"/>
        <w:szCs w:val="16"/>
        <w:spacing w:val="-1"/>
        <w:position w:val="1"/>
      </w:rPr>
      <w:t>兴县蔡家崖乡卫生院杨家坡分院2025年单</w:t>
    </w:r>
    <w:r>
      <w:rPr>
        <w:sz w:val="16"/>
        <w:szCs w:val="16"/>
        <w:spacing w:val="-2"/>
        <w:position w:val="1"/>
      </w:rPr>
      <w:t>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0" Type="http://schemas.openxmlformats.org/officeDocument/2006/relationships/fontTable" Target="fontTable.xml"/><Relationship Id="rId8" Type="http://schemas.openxmlformats.org/officeDocument/2006/relationships/footer" Target="footer2.xml"/><Relationship Id="rId79" Type="http://schemas.openxmlformats.org/officeDocument/2006/relationships/styles" Target="styles.xml"/><Relationship Id="rId78" Type="http://schemas.openxmlformats.org/officeDocument/2006/relationships/settings" Target="settings.xml"/><Relationship Id="rId77" Type="http://schemas.openxmlformats.org/officeDocument/2006/relationships/footer" Target="footer35.xml"/><Relationship Id="rId76" Type="http://schemas.openxmlformats.org/officeDocument/2006/relationships/header" Target="header23.xml"/><Relationship Id="rId75" Type="http://schemas.openxmlformats.org/officeDocument/2006/relationships/image" Target="media/image20.png"/><Relationship Id="rId74" Type="http://schemas.openxmlformats.org/officeDocument/2006/relationships/footer" Target="footer34.xml"/><Relationship Id="rId73" Type="http://schemas.openxmlformats.org/officeDocument/2006/relationships/image" Target="media/image19.png"/><Relationship Id="rId72" Type="http://schemas.openxmlformats.org/officeDocument/2006/relationships/footer" Target="footer33.xml"/><Relationship Id="rId71" Type="http://schemas.openxmlformats.org/officeDocument/2006/relationships/image" Target="media/image18.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1.xml"/><Relationship Id="rId67" Type="http://schemas.openxmlformats.org/officeDocument/2006/relationships/image" Target="media/image16.png"/><Relationship Id="rId66" Type="http://schemas.openxmlformats.org/officeDocument/2006/relationships/footer" Target="footer30.xml"/><Relationship Id="rId65" Type="http://schemas.openxmlformats.org/officeDocument/2006/relationships/image" Target="media/image15.png"/><Relationship Id="rId64" Type="http://schemas.openxmlformats.org/officeDocument/2006/relationships/footer" Target="footer29.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header" Target="header22.xml"/><Relationship Id="rId58" Type="http://schemas.openxmlformats.org/officeDocument/2006/relationships/footer" Target="footer26.xml"/><Relationship Id="rId57" Type="http://schemas.openxmlformats.org/officeDocument/2006/relationships/image" Target="media/image12.png"/><Relationship Id="rId56" Type="http://schemas.openxmlformats.org/officeDocument/2006/relationships/footer" Target="footer25.xml"/><Relationship Id="rId55" Type="http://schemas.openxmlformats.org/officeDocument/2006/relationships/header" Target="header21.xml"/><Relationship Id="rId54" Type="http://schemas.openxmlformats.org/officeDocument/2006/relationships/image" Target="media/image11.png"/><Relationship Id="rId53" Type="http://schemas.openxmlformats.org/officeDocument/2006/relationships/footer" Target="footer24.xml"/><Relationship Id="rId52" Type="http://schemas.openxmlformats.org/officeDocument/2006/relationships/image" Target="media/image10.png"/><Relationship Id="rId51" Type="http://schemas.openxmlformats.org/officeDocument/2006/relationships/footer" Target="footer23.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2.xml"/><Relationship Id="rId48" Type="http://schemas.openxmlformats.org/officeDocument/2006/relationships/image" Target="media/image8.png"/><Relationship Id="rId47" Type="http://schemas.openxmlformats.org/officeDocument/2006/relationships/footer" Target="footer21.xml"/><Relationship Id="rId46" Type="http://schemas.openxmlformats.org/officeDocument/2006/relationships/image" Target="media/image7.png"/><Relationship Id="rId45" Type="http://schemas.openxmlformats.org/officeDocument/2006/relationships/footer" Target="footer20.xml"/><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image" Target="media/image5.png"/><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3.xml"/><Relationship Id="rId39" Type="http://schemas.openxmlformats.org/officeDocument/2006/relationships/image" Target="media/image4.png"/><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image" Target="media/image3.png"/><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2025-09-25T17:51:08Z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2025-09-25T20:28:20</vt:filetime>
  </property>
</Properties>
</file>