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1653"/>
        <w:spacing w:before="140" w:line="219" w:lineRule="auto"/>
        <w:rPr>
          <w:rFonts w:ascii="SimSun" w:hAnsi="SimSun" w:eastAsia="SimSun" w:cs="SimSun"/>
          <w:sz w:val="43"/>
          <w:szCs w:val="43"/>
        </w:rPr>
      </w:pPr>
      <w:r>
        <w:rPr>
          <w:rFonts w:ascii="SimSun" w:hAnsi="SimSun" w:eastAsia="SimSun" w:cs="SimSun"/>
          <w:sz w:val="43"/>
          <w:szCs w:val="43"/>
          <w:spacing w:val="104"/>
        </w:rPr>
        <w:t>兴县瓦塘镇中心卫生院裴家川口分院</w:t>
      </w:r>
    </w:p>
    <w:p>
      <w:pPr>
        <w:pStyle w:val="BodyText"/>
        <w:spacing w:line="378" w:lineRule="auto"/>
        <w:rPr/>
      </w:pPr>
      <w:r/>
    </w:p>
    <w:p>
      <w:pPr>
        <w:ind w:left="3079"/>
        <w:spacing w:before="139" w:line="583" w:lineRule="exact"/>
        <w:rPr>
          <w:rFonts w:ascii="SimSun" w:hAnsi="SimSun" w:eastAsia="SimSun" w:cs="SimSun"/>
          <w:sz w:val="43"/>
          <w:szCs w:val="43"/>
        </w:rPr>
      </w:pPr>
      <w:r>
        <w:rPr>
          <w:rFonts w:ascii="SimSun" w:hAnsi="SimSun" w:eastAsia="SimSun" w:cs="SimSun"/>
          <w:sz w:val="43"/>
          <w:szCs w:val="43"/>
          <w:spacing w:val="7"/>
          <w:position w:val="2"/>
        </w:rPr>
        <w:t>2</w:t>
      </w:r>
      <w:r>
        <w:rPr>
          <w:rFonts w:ascii="SimSun" w:hAnsi="SimSun" w:eastAsia="SimSun" w:cs="SimSun"/>
          <w:sz w:val="43"/>
          <w:szCs w:val="43"/>
          <w:spacing w:val="-88"/>
          <w:position w:val="2"/>
        </w:rPr>
        <w:t xml:space="preserve"> </w:t>
      </w:r>
      <w:r>
        <w:rPr>
          <w:rFonts w:ascii="SimSun" w:hAnsi="SimSun" w:eastAsia="SimSun" w:cs="SimSun"/>
          <w:sz w:val="43"/>
          <w:szCs w:val="43"/>
          <w:spacing w:val="7"/>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7"/>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7"/>
          <w:position w:val="2"/>
        </w:rPr>
        <w:t>5</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7"/>
          <w:position w:val="2"/>
        </w:rPr>
        <w:t>度</w:t>
      </w:r>
      <w:r>
        <w:rPr>
          <w:rFonts w:ascii="SimSun" w:hAnsi="SimSun" w:eastAsia="SimSun" w:cs="SimSun"/>
          <w:sz w:val="43"/>
          <w:szCs w:val="43"/>
          <w:spacing w:val="-95"/>
          <w:position w:val="2"/>
        </w:rPr>
        <w:t xml:space="preserve"> </w:t>
      </w:r>
      <w:r>
        <w:rPr>
          <w:rFonts w:ascii="SimSun" w:hAnsi="SimSun" w:eastAsia="SimSun" w:cs="SimSun"/>
          <w:sz w:val="43"/>
          <w:szCs w:val="43"/>
          <w:spacing w:val="7"/>
          <w:position w:val="2"/>
        </w:rPr>
        <w:t>单</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位</w:t>
      </w:r>
      <w:r>
        <w:rPr>
          <w:rFonts w:ascii="SimSun" w:hAnsi="SimSun" w:eastAsia="SimSun" w:cs="SimSun"/>
          <w:sz w:val="43"/>
          <w:szCs w:val="43"/>
          <w:spacing w:val="-108"/>
          <w:position w:val="2"/>
        </w:rPr>
        <w:t xml:space="preserve"> </w:t>
      </w:r>
      <w:r>
        <w:rPr>
          <w:rFonts w:ascii="SimSun" w:hAnsi="SimSun" w:eastAsia="SimSun" w:cs="SimSun"/>
          <w:sz w:val="43"/>
          <w:szCs w:val="43"/>
          <w:spacing w:val="7"/>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7"/>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26</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26</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26</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26</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35</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26"/>
        <w:spacing w:before="283" w:line="222" w:lineRule="auto"/>
        <w:rPr>
          <w:rFonts w:ascii="FangSong" w:hAnsi="FangSong" w:eastAsia="FangSong" w:cs="FangSong"/>
          <w:sz w:val="24"/>
          <w:szCs w:val="24"/>
        </w:rPr>
      </w:pPr>
      <w:r>
        <w:rPr>
          <w:rFonts w:ascii="FangSong" w:hAnsi="FangSong" w:eastAsia="FangSong" w:cs="FangSong"/>
          <w:sz w:val="24"/>
          <w:szCs w:val="24"/>
          <w:spacing w:val="-2"/>
        </w:rPr>
        <w:t>1、提供基本医疗服务，以常见病、多发病的诊疗、护理、康复等综合服务为主。</w:t>
      </w:r>
    </w:p>
    <w:p>
      <w:pPr>
        <w:ind w:left="1522" w:right="1640" w:hanging="11"/>
        <w:spacing w:before="115" w:line="267" w:lineRule="auto"/>
        <w:rPr>
          <w:rFonts w:ascii="FangSong" w:hAnsi="FangSong" w:eastAsia="FangSong" w:cs="FangSong"/>
          <w:sz w:val="24"/>
          <w:szCs w:val="24"/>
        </w:rPr>
      </w:pPr>
      <w:r>
        <w:rPr>
          <w:rFonts w:ascii="FangSong" w:hAnsi="FangSong" w:eastAsia="FangSong" w:cs="FangSong"/>
          <w:sz w:val="24"/>
          <w:szCs w:val="24"/>
        </w:rPr>
        <w:t>2、提供基本公共卫生服务，承担辖区内的公共卫生管</w:t>
      </w:r>
      <w:r>
        <w:rPr>
          <w:rFonts w:ascii="FangSong" w:hAnsi="FangSong" w:eastAsia="FangSong" w:cs="FangSong"/>
          <w:sz w:val="24"/>
          <w:szCs w:val="24"/>
          <w:spacing w:val="-1"/>
        </w:rPr>
        <w:t>理工作，负责对村卫生室的综</w:t>
      </w:r>
      <w:r>
        <w:rPr>
          <w:rFonts w:ascii="FangSong" w:hAnsi="FangSong" w:eastAsia="FangSong" w:cs="FangSong"/>
          <w:sz w:val="24"/>
          <w:szCs w:val="24"/>
        </w:rPr>
        <w:t xml:space="preserve"> </w:t>
      </w:r>
      <w:r>
        <w:rPr>
          <w:rFonts w:ascii="FangSong" w:hAnsi="FangSong" w:eastAsia="FangSong" w:cs="FangSong"/>
          <w:sz w:val="24"/>
          <w:szCs w:val="24"/>
          <w:spacing w:val="-4"/>
        </w:rPr>
        <w:t>合管理、技术指导的乡医的培训等。</w:t>
      </w:r>
    </w:p>
    <w:p>
      <w:pPr>
        <w:ind w:left="1517" w:right="1640" w:hanging="4"/>
        <w:spacing w:before="102" w:line="272" w:lineRule="auto"/>
        <w:rPr>
          <w:rFonts w:ascii="FangSong" w:hAnsi="FangSong" w:eastAsia="FangSong" w:cs="FangSong"/>
          <w:sz w:val="24"/>
          <w:szCs w:val="24"/>
        </w:rPr>
      </w:pPr>
      <w:r>
        <w:rPr>
          <w:rFonts w:ascii="FangSong" w:hAnsi="FangSong" w:eastAsia="FangSong" w:cs="FangSong"/>
          <w:sz w:val="24"/>
          <w:szCs w:val="24"/>
        </w:rPr>
        <w:t>3、实施国家基本药物制度和新型农村合作医疗制</w:t>
      </w:r>
      <w:r>
        <w:rPr>
          <w:rFonts w:ascii="FangSong" w:hAnsi="FangSong" w:eastAsia="FangSong" w:cs="FangSong"/>
          <w:sz w:val="24"/>
          <w:szCs w:val="24"/>
          <w:spacing w:val="-1"/>
        </w:rPr>
        <w:t>度，推行分级诊疗和乡村一体化管</w:t>
      </w:r>
      <w:r>
        <w:rPr>
          <w:rFonts w:ascii="FangSong" w:hAnsi="FangSong" w:eastAsia="FangSong" w:cs="FangSong"/>
          <w:sz w:val="24"/>
          <w:szCs w:val="24"/>
        </w:rPr>
        <w:t xml:space="preserve"> </w:t>
      </w:r>
      <w:r>
        <w:rPr>
          <w:rFonts w:ascii="FangSong" w:hAnsi="FangSong" w:eastAsia="FangSong" w:cs="FangSong"/>
          <w:sz w:val="24"/>
          <w:szCs w:val="24"/>
        </w:rPr>
        <w:t>理</w:t>
      </w:r>
    </w:p>
    <w:p>
      <w:pPr>
        <w:ind w:left="1513"/>
        <w:spacing w:before="281"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19"/>
        <w:spacing w:before="102" w:line="220" w:lineRule="auto"/>
        <w:rPr>
          <w:rFonts w:ascii="FangSong" w:hAnsi="FangSong" w:eastAsia="FangSong" w:cs="FangSong"/>
          <w:sz w:val="24"/>
          <w:szCs w:val="24"/>
        </w:rPr>
      </w:pPr>
      <w:r>
        <w:rPr>
          <w:rFonts w:ascii="FangSong" w:hAnsi="FangSong" w:eastAsia="FangSong" w:cs="FangSong"/>
          <w:sz w:val="24"/>
          <w:szCs w:val="24"/>
          <w:spacing w:val="-3"/>
        </w:rPr>
        <w:t>人员构成：设院长1名，工作人员6名。</w:t>
      </w:r>
    </w:p>
    <w:p>
      <w:pPr>
        <w:ind w:left="1545"/>
        <w:spacing w:before="118" w:line="222" w:lineRule="auto"/>
        <w:rPr>
          <w:rFonts w:ascii="FangSong" w:hAnsi="FangSong" w:eastAsia="FangSong" w:cs="FangSong"/>
          <w:sz w:val="24"/>
          <w:szCs w:val="24"/>
        </w:rPr>
      </w:pPr>
      <w:r>
        <w:rPr>
          <w:rFonts w:ascii="FangSong" w:hAnsi="FangSong" w:eastAsia="FangSong" w:cs="FangSong"/>
          <w:sz w:val="24"/>
          <w:szCs w:val="24"/>
          <w:spacing w:val="-2"/>
        </w:rPr>
        <w:t>内设科室：办公室、门诊、住院、药房、收费室、财务室、农合办等</w:t>
      </w:r>
    </w:p>
    <w:p>
      <w:pPr>
        <w:spacing w:line="222"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412"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单位名称：兴县瓦塘镇中心卫生院裴家川口分院</w:t>
            </w:r>
          </w:p>
        </w:tc>
        <w:tc>
          <w:tcPr>
            <w:tcW w:w="3137" w:type="dxa"/>
            <w:vAlign w:val="top"/>
            <w:gridSpan w:val="3"/>
            <w:tcBorders>
              <w:top w:val="single" w:color="FFFFFF" w:sz="6" w:space="0"/>
              <w:left w:val="single" w:color="FFFFFF" w:sz="2" w:space="0"/>
              <w:right w:val="single" w:color="FFFFFF" w:sz="2" w:space="0"/>
            </w:tcBorders>
          </w:tcPr>
          <w:p>
            <w:pPr>
              <w:ind w:left="2206"/>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41" w:type="dxa"/>
            <w:vAlign w:val="top"/>
            <w:gridSpan w:val="2"/>
          </w:tcPr>
          <w:p>
            <w:pPr>
              <w:ind w:left="142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36"/>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1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10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right="30"/>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100.71</w:t>
            </w:r>
          </w:p>
        </w:tc>
        <w:tc>
          <w:tcPr>
            <w:tcW w:w="2171" w:type="dxa"/>
            <w:vAlign w:val="top"/>
          </w:tcPr>
          <w:p>
            <w:pPr>
              <w:ind w:left="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21"/>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6.59</w:t>
            </w:r>
          </w:p>
        </w:tc>
        <w:tc>
          <w:tcPr>
            <w:tcW w:w="1153" w:type="dxa"/>
            <w:vAlign w:val="top"/>
          </w:tcPr>
          <w:p>
            <w:pPr>
              <w:ind w:right="27"/>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6.59</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22"/>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88.07</w:t>
            </w:r>
          </w:p>
        </w:tc>
        <w:tc>
          <w:tcPr>
            <w:tcW w:w="1153" w:type="dxa"/>
            <w:vAlign w:val="top"/>
          </w:tcPr>
          <w:p>
            <w:pPr>
              <w:ind w:right="28"/>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88.07</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21"/>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6.05</w:t>
            </w:r>
          </w:p>
        </w:tc>
        <w:tc>
          <w:tcPr>
            <w:tcW w:w="1153" w:type="dxa"/>
            <w:vAlign w:val="top"/>
          </w:tcPr>
          <w:p>
            <w:pPr>
              <w:ind w:right="2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6.05</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110"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69"/>
              <w:spacing w:before="186" w:line="212" w:lineRule="auto"/>
              <w:rPr>
                <w:sz w:val="13"/>
                <w:szCs w:val="13"/>
              </w:rPr>
            </w:pPr>
            <w:r>
              <w:rPr>
                <w:sz w:val="13"/>
                <w:szCs w:val="13"/>
                <w:color w:val="212529"/>
                <w:spacing w:val="8"/>
              </w:rPr>
              <w:t>100.</w:t>
            </w:r>
            <w:r>
              <w:rPr>
                <w:sz w:val="13"/>
                <w:szCs w:val="13"/>
                <w:color w:val="212529"/>
                <w:spacing w:val="26"/>
              </w:rPr>
              <w:t xml:space="preserve"> </w:t>
            </w:r>
            <w:r>
              <w:rPr>
                <w:sz w:val="13"/>
                <w:szCs w:val="13"/>
                <w:color w:val="212529"/>
                <w:spacing w:val="8"/>
              </w:rPr>
              <w:t>71</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94"/>
              <w:spacing w:before="186" w:line="212" w:lineRule="auto"/>
              <w:rPr>
                <w:sz w:val="13"/>
                <w:szCs w:val="13"/>
              </w:rPr>
            </w:pPr>
            <w:r>
              <w:rPr>
                <w:sz w:val="13"/>
                <w:szCs w:val="13"/>
                <w:color w:val="212529"/>
                <w:spacing w:val="9"/>
              </w:rPr>
              <w:t>100.</w:t>
            </w:r>
            <w:r>
              <w:rPr>
                <w:sz w:val="13"/>
                <w:szCs w:val="13"/>
                <w:color w:val="212529"/>
                <w:spacing w:val="20"/>
              </w:rPr>
              <w:t xml:space="preserve"> </w:t>
            </w:r>
            <w:r>
              <w:rPr>
                <w:sz w:val="13"/>
                <w:szCs w:val="13"/>
                <w:color w:val="212529"/>
                <w:spacing w:val="9"/>
              </w:rPr>
              <w:t>71</w:t>
            </w:r>
          </w:p>
        </w:tc>
        <w:tc>
          <w:tcPr>
            <w:tcW w:w="1153" w:type="dxa"/>
            <w:vAlign w:val="top"/>
          </w:tcPr>
          <w:p>
            <w:pPr>
              <w:pStyle w:val="TableText"/>
              <w:ind w:left="588"/>
              <w:spacing w:before="186" w:line="212" w:lineRule="auto"/>
              <w:rPr>
                <w:sz w:val="13"/>
                <w:szCs w:val="13"/>
              </w:rPr>
            </w:pPr>
            <w:r>
              <w:rPr>
                <w:sz w:val="13"/>
                <w:szCs w:val="13"/>
                <w:color w:val="212529"/>
                <w:spacing w:val="9"/>
              </w:rPr>
              <w:t>100.</w:t>
            </w:r>
            <w:r>
              <w:rPr>
                <w:sz w:val="13"/>
                <w:szCs w:val="13"/>
                <w:color w:val="212529"/>
                <w:spacing w:val="20"/>
              </w:rPr>
              <w:t xml:space="preserve"> </w:t>
            </w:r>
            <w:r>
              <w:rPr>
                <w:sz w:val="13"/>
                <w:szCs w:val="13"/>
                <w:color w:val="212529"/>
                <w:spacing w:val="9"/>
              </w:rPr>
              <w:t>71</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69"/>
              <w:spacing w:before="188" w:line="212" w:lineRule="auto"/>
              <w:rPr>
                <w:sz w:val="13"/>
                <w:szCs w:val="13"/>
              </w:rPr>
            </w:pPr>
            <w:r>
              <w:rPr>
                <w:sz w:val="13"/>
                <w:szCs w:val="13"/>
                <w:color w:val="212529"/>
                <w:spacing w:val="8"/>
              </w:rPr>
              <w:t>100.</w:t>
            </w:r>
            <w:r>
              <w:rPr>
                <w:sz w:val="13"/>
                <w:szCs w:val="13"/>
                <w:color w:val="212529"/>
                <w:spacing w:val="26"/>
              </w:rPr>
              <w:t xml:space="preserve"> </w:t>
            </w:r>
            <w:r>
              <w:rPr>
                <w:sz w:val="13"/>
                <w:szCs w:val="13"/>
                <w:color w:val="212529"/>
                <w:spacing w:val="8"/>
              </w:rPr>
              <w:t>71</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94"/>
              <w:spacing w:before="188" w:line="212" w:lineRule="auto"/>
              <w:rPr>
                <w:sz w:val="13"/>
                <w:szCs w:val="13"/>
              </w:rPr>
            </w:pPr>
            <w:r>
              <w:rPr>
                <w:sz w:val="13"/>
                <w:szCs w:val="13"/>
                <w:color w:val="212529"/>
                <w:spacing w:val="9"/>
              </w:rPr>
              <w:t>100.</w:t>
            </w:r>
            <w:r>
              <w:rPr>
                <w:sz w:val="13"/>
                <w:szCs w:val="13"/>
                <w:color w:val="212529"/>
                <w:spacing w:val="20"/>
              </w:rPr>
              <w:t xml:space="preserve"> </w:t>
            </w:r>
            <w:r>
              <w:rPr>
                <w:sz w:val="13"/>
                <w:szCs w:val="13"/>
                <w:color w:val="212529"/>
                <w:spacing w:val="9"/>
              </w:rPr>
              <w:t>71</w:t>
            </w:r>
          </w:p>
        </w:tc>
        <w:tc>
          <w:tcPr>
            <w:tcW w:w="1153" w:type="dxa"/>
            <w:vAlign w:val="top"/>
          </w:tcPr>
          <w:p>
            <w:pPr>
              <w:pStyle w:val="TableText"/>
              <w:ind w:left="588"/>
              <w:spacing w:before="188" w:line="212" w:lineRule="auto"/>
              <w:rPr>
                <w:sz w:val="13"/>
                <w:szCs w:val="13"/>
              </w:rPr>
            </w:pPr>
            <w:r>
              <w:rPr>
                <w:sz w:val="13"/>
                <w:szCs w:val="13"/>
                <w:color w:val="212529"/>
                <w:spacing w:val="9"/>
              </w:rPr>
              <w:t>100.</w:t>
            </w:r>
            <w:r>
              <w:rPr>
                <w:sz w:val="13"/>
                <w:szCs w:val="13"/>
                <w:color w:val="212529"/>
                <w:spacing w:val="20"/>
              </w:rPr>
              <w:t xml:space="preserve"> </w:t>
            </w:r>
            <w:r>
              <w:rPr>
                <w:sz w:val="13"/>
                <w:szCs w:val="13"/>
                <w:color w:val="212529"/>
                <w:spacing w:val="9"/>
              </w:rPr>
              <w:t>71</w:t>
            </w:r>
          </w:p>
        </w:tc>
        <w:tc>
          <w:tcPr>
            <w:tcW w:w="831" w:type="dxa"/>
            <w:vAlign w:val="top"/>
          </w:tcPr>
          <w:p>
            <w:pPr>
              <w:pStyle w:val="TableText"/>
              <w:rPr/>
            </w:pPr>
            <w:r/>
          </w:p>
        </w:tc>
      </w:tr>
    </w:tbl>
    <w:p>
      <w:pPr>
        <w:pStyle w:val="BodyText"/>
        <w:rPr/>
      </w:pPr>
      <w:r/>
    </w:p>
    <w:p>
      <w:pPr>
        <w:sectPr>
          <w:headerReference w:type="default" r:id="rId9"/>
          <w:footerReference w:type="default" r:id="rId10"/>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单位名称：兴县瓦塘镇中心卫生院裴家川口分院</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77"/>
              <w:spacing w:before="149" w:line="212" w:lineRule="auto"/>
              <w:rPr>
                <w:sz w:val="13"/>
                <w:szCs w:val="13"/>
              </w:rPr>
            </w:pPr>
            <w:r>
              <w:rPr>
                <w:sz w:val="13"/>
                <w:szCs w:val="13"/>
                <w:color w:val="212529"/>
                <w:spacing w:val="8"/>
              </w:rPr>
              <w:t>100.</w:t>
            </w:r>
            <w:r>
              <w:rPr>
                <w:sz w:val="13"/>
                <w:szCs w:val="13"/>
                <w:color w:val="212529"/>
                <w:spacing w:val="26"/>
              </w:rPr>
              <w:t xml:space="preserve"> </w:t>
            </w:r>
            <w:r>
              <w:rPr>
                <w:sz w:val="13"/>
                <w:szCs w:val="13"/>
                <w:color w:val="212529"/>
                <w:spacing w:val="8"/>
              </w:rPr>
              <w:t>71</w:t>
            </w:r>
          </w:p>
        </w:tc>
        <w:tc>
          <w:tcPr>
            <w:tcW w:w="1274" w:type="dxa"/>
            <w:vAlign w:val="top"/>
          </w:tcPr>
          <w:p>
            <w:pPr>
              <w:pStyle w:val="TableText"/>
              <w:ind w:left="714"/>
              <w:spacing w:before="149" w:line="212" w:lineRule="auto"/>
              <w:rPr>
                <w:sz w:val="13"/>
                <w:szCs w:val="13"/>
              </w:rPr>
            </w:pPr>
            <w:r>
              <w:rPr>
                <w:sz w:val="13"/>
                <w:szCs w:val="13"/>
                <w:color w:val="212529"/>
                <w:spacing w:val="9"/>
              </w:rPr>
              <w:t>100.</w:t>
            </w:r>
            <w:r>
              <w:rPr>
                <w:sz w:val="13"/>
                <w:szCs w:val="13"/>
                <w:color w:val="212529"/>
                <w:spacing w:val="20"/>
              </w:rPr>
              <w:t xml:space="preserve"> </w:t>
            </w:r>
            <w:r>
              <w:rPr>
                <w:sz w:val="13"/>
                <w:szCs w:val="13"/>
                <w:color w:val="212529"/>
                <w:spacing w:val="9"/>
              </w:rPr>
              <w:t>71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6.59</w:t>
            </w:r>
          </w:p>
        </w:tc>
        <w:tc>
          <w:tcPr>
            <w:tcW w:w="1274" w:type="dxa"/>
            <w:vAlign w:val="top"/>
          </w:tcPr>
          <w:p>
            <w:pPr>
              <w:ind w:right="2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6.59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4"/>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6.59</w:t>
            </w:r>
          </w:p>
        </w:tc>
        <w:tc>
          <w:tcPr>
            <w:tcW w:w="1274" w:type="dxa"/>
            <w:vAlign w:val="top"/>
          </w:tcPr>
          <w:p>
            <w:pPr>
              <w:ind w:right="23"/>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6.59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0"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4"/>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6.59</w:t>
            </w:r>
          </w:p>
        </w:tc>
        <w:tc>
          <w:tcPr>
            <w:tcW w:w="1274" w:type="dxa"/>
            <w:vAlign w:val="top"/>
          </w:tcPr>
          <w:p>
            <w:pPr>
              <w:ind w:right="23"/>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6.59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1"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4"/>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88.07</w:t>
            </w:r>
          </w:p>
        </w:tc>
        <w:tc>
          <w:tcPr>
            <w:tcW w:w="1274" w:type="dxa"/>
            <w:vAlign w:val="top"/>
          </w:tcPr>
          <w:p>
            <w:pPr>
              <w:ind w:right="23"/>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88.07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21003</w:t>
            </w:r>
          </w:p>
        </w:tc>
        <w:tc>
          <w:tcPr>
            <w:tcW w:w="2997" w:type="dxa"/>
            <w:vAlign w:val="top"/>
          </w:tcPr>
          <w:p>
            <w:pPr>
              <w:ind w:left="3"/>
              <w:spacing w:before="132" w:line="218" w:lineRule="auto"/>
              <w:rPr>
                <w:rFonts w:ascii="SimSun" w:hAnsi="SimSun" w:eastAsia="SimSun" w:cs="SimSun"/>
                <w:sz w:val="18"/>
                <w:szCs w:val="18"/>
              </w:rPr>
            </w:pPr>
            <w:r>
              <w:rPr>
                <w:rFonts w:ascii="SimSun" w:hAnsi="SimSun" w:eastAsia="SimSun" w:cs="SimSun"/>
                <w:sz w:val="18"/>
                <w:szCs w:val="18"/>
                <w:color w:val="212529"/>
                <w:spacing w:val="-1"/>
              </w:rPr>
              <w:t>基层医疗卫生机构</w:t>
            </w:r>
          </w:p>
        </w:tc>
        <w:tc>
          <w:tcPr>
            <w:tcW w:w="1438" w:type="dxa"/>
            <w:vAlign w:val="top"/>
          </w:tcPr>
          <w:p>
            <w:pPr>
              <w:ind w:right="24"/>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85.36</w:t>
            </w:r>
          </w:p>
        </w:tc>
        <w:tc>
          <w:tcPr>
            <w:tcW w:w="1274" w:type="dxa"/>
            <w:vAlign w:val="top"/>
          </w:tcPr>
          <w:p>
            <w:pPr>
              <w:ind w:right="23"/>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85.36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2100302</w:t>
            </w:r>
          </w:p>
        </w:tc>
        <w:tc>
          <w:tcPr>
            <w:tcW w:w="2997" w:type="dxa"/>
            <w:vAlign w:val="top"/>
          </w:tcPr>
          <w:p>
            <w:pPr>
              <w:ind w:left="12"/>
              <w:spacing w:before="133" w:line="219" w:lineRule="auto"/>
              <w:rPr>
                <w:rFonts w:ascii="SimSun" w:hAnsi="SimSun" w:eastAsia="SimSun" w:cs="SimSun"/>
                <w:sz w:val="18"/>
                <w:szCs w:val="18"/>
              </w:rPr>
            </w:pPr>
            <w:r>
              <w:rPr>
                <w:rFonts w:ascii="SimSun" w:hAnsi="SimSun" w:eastAsia="SimSun" w:cs="SimSun"/>
                <w:sz w:val="18"/>
                <w:szCs w:val="18"/>
                <w:color w:val="212529"/>
                <w:spacing w:val="-3"/>
              </w:rPr>
              <w:t>乡镇卫生院</w:t>
            </w:r>
          </w:p>
        </w:tc>
        <w:tc>
          <w:tcPr>
            <w:tcW w:w="1438" w:type="dxa"/>
            <w:vAlign w:val="top"/>
          </w:tcPr>
          <w:p>
            <w:pPr>
              <w:ind w:right="24"/>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73.26</w:t>
            </w:r>
          </w:p>
        </w:tc>
        <w:tc>
          <w:tcPr>
            <w:tcW w:w="1274" w:type="dxa"/>
            <w:vAlign w:val="top"/>
          </w:tcPr>
          <w:p>
            <w:pPr>
              <w:ind w:right="23"/>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73.26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2100399</w:t>
            </w:r>
          </w:p>
        </w:tc>
        <w:tc>
          <w:tcPr>
            <w:tcW w:w="2997" w:type="dxa"/>
            <w:vAlign w:val="top"/>
          </w:tcPr>
          <w:p>
            <w:pPr>
              <w:ind w:left="3"/>
              <w:spacing w:before="134" w:line="218"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38" w:type="dxa"/>
            <w:vAlign w:val="top"/>
          </w:tcPr>
          <w:p>
            <w:pPr>
              <w:ind w:right="22"/>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12.10</w:t>
            </w:r>
          </w:p>
        </w:tc>
        <w:tc>
          <w:tcPr>
            <w:tcW w:w="1274" w:type="dxa"/>
            <w:vAlign w:val="top"/>
          </w:tcPr>
          <w:p>
            <w:pPr>
              <w:ind w:right="21"/>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12.10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6"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2.71</w:t>
            </w:r>
          </w:p>
        </w:tc>
        <w:tc>
          <w:tcPr>
            <w:tcW w:w="1274" w:type="dxa"/>
            <w:vAlign w:val="top"/>
          </w:tcPr>
          <w:p>
            <w:pPr>
              <w:ind w:right="23"/>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2.71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7"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2.71</w:t>
            </w:r>
          </w:p>
        </w:tc>
        <w:tc>
          <w:tcPr>
            <w:tcW w:w="1274" w:type="dxa"/>
            <w:vAlign w:val="top"/>
          </w:tcPr>
          <w:p>
            <w:pPr>
              <w:ind w:right="23"/>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2.71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8"/>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7"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4"/>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6.05</w:t>
            </w:r>
          </w:p>
        </w:tc>
        <w:tc>
          <w:tcPr>
            <w:tcW w:w="1274" w:type="dxa"/>
            <w:vAlign w:val="top"/>
          </w:tcPr>
          <w:p>
            <w:pPr>
              <w:ind w:right="23"/>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6.05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6.05</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6.05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6.05</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6.05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11"/>
          <w:footerReference w:type="default" r:id="rId12"/>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7"/>
        <w:gridCol w:w="3359"/>
        <w:gridCol w:w="1415"/>
        <w:gridCol w:w="1307"/>
        <w:gridCol w:w="1290"/>
      </w:tblGrid>
      <w:tr>
        <w:trPr>
          <w:trHeight w:val="319" w:hRule="atLeast"/>
        </w:trPr>
        <w:tc>
          <w:tcPr>
            <w:tcW w:w="178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5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0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90" w:type="dxa"/>
            <w:vAlign w:val="top"/>
            <w:tcBorders>
              <w:bottom w:val="single" w:color="FFFFFF" w:sz="4" w:space="0"/>
              <w:top w:val="single" w:color="FFFFFF" w:sz="4" w:space="0"/>
              <w:left w:val="single" w:color="FFFFFF" w:sz="2" w:space="0"/>
              <w:right w:val="single" w:color="FFFFFF" w:sz="2" w:space="0"/>
            </w:tcBorders>
          </w:tcPr>
          <w:p>
            <w:pPr>
              <w:ind w:left="551"/>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61"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单位名称：兴县瓦塘镇中心卫生院裴家川口分院</w:t>
            </w:r>
          </w:p>
        </w:tc>
        <w:tc>
          <w:tcPr>
            <w:tcW w:w="1307" w:type="dxa"/>
            <w:vAlign w:val="top"/>
            <w:tcBorders>
              <w:top w:val="single" w:color="FFFFFF" w:sz="4" w:space="0"/>
              <w:left w:val="single" w:color="FFFFFF" w:sz="2" w:space="0"/>
              <w:right w:val="single" w:color="FFFFFF" w:sz="2" w:space="0"/>
            </w:tcBorders>
          </w:tcPr>
          <w:p>
            <w:pPr>
              <w:pStyle w:val="TableText"/>
              <w:rPr/>
            </w:pPr>
            <w:r/>
          </w:p>
        </w:tc>
        <w:tc>
          <w:tcPr>
            <w:tcW w:w="1290" w:type="dxa"/>
            <w:vAlign w:val="top"/>
            <w:tcBorders>
              <w:top w:val="single" w:color="FFFFFF" w:sz="4" w:space="0"/>
              <w:left w:val="single" w:color="FFFFFF" w:sz="2" w:space="0"/>
              <w:right w:val="single" w:color="FFFFFF" w:sz="2" w:space="0"/>
            </w:tcBorders>
          </w:tcPr>
          <w:p>
            <w:pPr>
              <w:ind w:left="617"/>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46" w:type="dxa"/>
            <w:vAlign w:val="top"/>
            <w:gridSpan w:val="2"/>
          </w:tcPr>
          <w:p>
            <w:pPr>
              <w:ind w:left="2398"/>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12" w:type="dxa"/>
            <w:vAlign w:val="top"/>
            <w:gridSpan w:val="3"/>
          </w:tcPr>
          <w:p>
            <w:pPr>
              <w:ind w:left="1510"/>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87" w:type="dxa"/>
            <w:vAlign w:val="top"/>
          </w:tcPr>
          <w:p>
            <w:pPr>
              <w:ind w:left="553"/>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59" w:type="dxa"/>
            <w:vAlign w:val="top"/>
          </w:tcPr>
          <w:p>
            <w:pPr>
              <w:ind w:left="133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15" w:type="dxa"/>
            <w:vAlign w:val="top"/>
          </w:tcPr>
          <w:p>
            <w:pPr>
              <w:ind w:left="534"/>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07" w:type="dxa"/>
            <w:vAlign w:val="top"/>
          </w:tcPr>
          <w:p>
            <w:pPr>
              <w:ind w:left="316"/>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90" w:type="dxa"/>
            <w:vAlign w:val="top"/>
          </w:tcPr>
          <w:p>
            <w:pPr>
              <w:ind w:left="310"/>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46" w:type="dxa"/>
            <w:vAlign w:val="top"/>
            <w:gridSpan w:val="2"/>
          </w:tcPr>
          <w:p>
            <w:pPr>
              <w:ind w:left="2400"/>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15" w:type="dxa"/>
            <w:vAlign w:val="top"/>
          </w:tcPr>
          <w:p>
            <w:pPr>
              <w:pStyle w:val="TableText"/>
              <w:ind w:left="914"/>
              <w:spacing w:before="99" w:line="186" w:lineRule="auto"/>
              <w:rPr>
                <w:sz w:val="13"/>
                <w:szCs w:val="13"/>
              </w:rPr>
            </w:pPr>
            <w:r>
              <w:rPr>
                <w:sz w:val="13"/>
                <w:szCs w:val="13"/>
                <w:color w:val="212529"/>
                <w:spacing w:val="2"/>
              </w:rPr>
              <w:t>100.</w:t>
            </w:r>
            <w:r>
              <w:rPr>
                <w:sz w:val="13"/>
                <w:szCs w:val="13"/>
                <w:color w:val="212529"/>
                <w:spacing w:val="10"/>
                <w:w w:val="101"/>
              </w:rPr>
              <w:t xml:space="preserve"> </w:t>
            </w:r>
            <w:r>
              <w:rPr>
                <w:sz w:val="13"/>
                <w:szCs w:val="13"/>
                <w:color w:val="212529"/>
                <w:spacing w:val="2"/>
              </w:rPr>
              <w:t>71</w:t>
            </w:r>
          </w:p>
        </w:tc>
        <w:tc>
          <w:tcPr>
            <w:tcW w:w="1307" w:type="dxa"/>
            <w:vAlign w:val="top"/>
          </w:tcPr>
          <w:p>
            <w:pPr>
              <w:pStyle w:val="TableText"/>
              <w:ind w:left="883"/>
              <w:spacing w:before="99" w:line="186" w:lineRule="auto"/>
              <w:rPr>
                <w:sz w:val="13"/>
                <w:szCs w:val="13"/>
              </w:rPr>
            </w:pPr>
            <w:r>
              <w:rPr>
                <w:sz w:val="13"/>
                <w:szCs w:val="13"/>
                <w:color w:val="212529"/>
                <w:spacing w:val="3"/>
              </w:rPr>
              <w:t>79.</w:t>
            </w:r>
            <w:r>
              <w:rPr>
                <w:sz w:val="13"/>
                <w:szCs w:val="13"/>
                <w:color w:val="212529"/>
                <w:spacing w:val="14"/>
              </w:rPr>
              <w:t xml:space="preserve"> </w:t>
            </w:r>
            <w:r>
              <w:rPr>
                <w:sz w:val="13"/>
                <w:szCs w:val="13"/>
                <w:color w:val="212529"/>
                <w:spacing w:val="3"/>
              </w:rPr>
              <w:t>67</w:t>
            </w:r>
          </w:p>
        </w:tc>
        <w:tc>
          <w:tcPr>
            <w:tcW w:w="1290" w:type="dxa"/>
            <w:vAlign w:val="top"/>
          </w:tcPr>
          <w:p>
            <w:pPr>
              <w:pStyle w:val="TableText"/>
              <w:ind w:left="860"/>
              <w:spacing w:before="99" w:line="186" w:lineRule="auto"/>
              <w:rPr>
                <w:sz w:val="13"/>
                <w:szCs w:val="13"/>
              </w:rPr>
            </w:pPr>
            <w:r>
              <w:rPr>
                <w:sz w:val="13"/>
                <w:szCs w:val="13"/>
                <w:color w:val="212529"/>
                <w:spacing w:val="4"/>
              </w:rPr>
              <w:t>21.</w:t>
            </w:r>
            <w:r>
              <w:rPr>
                <w:sz w:val="13"/>
                <w:szCs w:val="13"/>
                <w:color w:val="212529"/>
                <w:spacing w:val="14"/>
                <w:w w:val="101"/>
              </w:rPr>
              <w:t xml:space="preserve"> </w:t>
            </w:r>
            <w:r>
              <w:rPr>
                <w:sz w:val="13"/>
                <w:szCs w:val="13"/>
                <w:color w:val="212529"/>
                <w:spacing w:val="4"/>
              </w:rPr>
              <w:t>04</w:t>
            </w:r>
          </w:p>
        </w:tc>
      </w:tr>
      <w:tr>
        <w:trPr>
          <w:trHeight w:val="314" w:hRule="atLeast"/>
        </w:trPr>
        <w:tc>
          <w:tcPr>
            <w:tcW w:w="1787"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59" w:type="dxa"/>
            <w:vAlign w:val="top"/>
          </w:tcPr>
          <w:p>
            <w:pPr>
              <w:ind w:left="2"/>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15"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6.59</w:t>
            </w:r>
          </w:p>
        </w:tc>
        <w:tc>
          <w:tcPr>
            <w:tcW w:w="1307" w:type="dxa"/>
            <w:vAlign w:val="top"/>
          </w:tcPr>
          <w:p>
            <w:pPr>
              <w:pStyle w:val="TableText"/>
              <w:ind w:left="962"/>
              <w:spacing w:before="99" w:line="186" w:lineRule="auto"/>
              <w:rPr>
                <w:sz w:val="13"/>
                <w:szCs w:val="13"/>
              </w:rPr>
            </w:pPr>
            <w:r>
              <w:rPr>
                <w:sz w:val="13"/>
                <w:szCs w:val="13"/>
                <w:color w:val="212529"/>
                <w:spacing w:val="3"/>
              </w:rPr>
              <w:t>6.</w:t>
            </w:r>
            <w:r>
              <w:rPr>
                <w:sz w:val="13"/>
                <w:szCs w:val="13"/>
                <w:color w:val="212529"/>
                <w:spacing w:val="10"/>
                <w:w w:val="102"/>
              </w:rPr>
              <w:t xml:space="preserve"> </w:t>
            </w:r>
            <w:r>
              <w:rPr>
                <w:sz w:val="13"/>
                <w:szCs w:val="13"/>
                <w:color w:val="212529"/>
                <w:spacing w:val="3"/>
              </w:rPr>
              <w:t>59</w:t>
            </w:r>
          </w:p>
        </w:tc>
        <w:tc>
          <w:tcPr>
            <w:tcW w:w="1290" w:type="dxa"/>
            <w:vAlign w:val="top"/>
          </w:tcPr>
          <w:p>
            <w:pPr>
              <w:pStyle w:val="TableText"/>
              <w:rPr/>
            </w:pPr>
            <w:r/>
          </w:p>
        </w:tc>
      </w:tr>
      <w:tr>
        <w:trPr>
          <w:trHeight w:val="313" w:hRule="atLeast"/>
        </w:trPr>
        <w:tc>
          <w:tcPr>
            <w:tcW w:w="1787"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59" w:type="dxa"/>
            <w:vAlign w:val="top"/>
          </w:tcPr>
          <w:p>
            <w:pPr>
              <w:ind w:left="1"/>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15"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6.59</w:t>
            </w:r>
          </w:p>
        </w:tc>
        <w:tc>
          <w:tcPr>
            <w:tcW w:w="1307" w:type="dxa"/>
            <w:vAlign w:val="top"/>
          </w:tcPr>
          <w:p>
            <w:pPr>
              <w:pStyle w:val="TableText"/>
              <w:ind w:left="962"/>
              <w:spacing w:before="99" w:line="186" w:lineRule="auto"/>
              <w:rPr>
                <w:sz w:val="13"/>
                <w:szCs w:val="13"/>
              </w:rPr>
            </w:pPr>
            <w:r>
              <w:rPr>
                <w:sz w:val="13"/>
                <w:szCs w:val="13"/>
                <w:color w:val="212529"/>
                <w:spacing w:val="3"/>
              </w:rPr>
              <w:t>6.</w:t>
            </w:r>
            <w:r>
              <w:rPr>
                <w:sz w:val="13"/>
                <w:szCs w:val="13"/>
                <w:color w:val="212529"/>
                <w:spacing w:val="10"/>
                <w:w w:val="102"/>
              </w:rPr>
              <w:t xml:space="preserve"> </w:t>
            </w:r>
            <w:r>
              <w:rPr>
                <w:sz w:val="13"/>
                <w:szCs w:val="13"/>
                <w:color w:val="212529"/>
                <w:spacing w:val="3"/>
              </w:rPr>
              <w:t>59</w:t>
            </w:r>
          </w:p>
        </w:tc>
        <w:tc>
          <w:tcPr>
            <w:tcW w:w="1290" w:type="dxa"/>
            <w:vAlign w:val="top"/>
          </w:tcPr>
          <w:p>
            <w:pPr>
              <w:pStyle w:val="TableText"/>
              <w:rPr/>
            </w:pPr>
            <w:r/>
          </w:p>
        </w:tc>
      </w:tr>
      <w:tr>
        <w:trPr>
          <w:trHeight w:val="314" w:hRule="atLeast"/>
        </w:trPr>
        <w:tc>
          <w:tcPr>
            <w:tcW w:w="1787"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59" w:type="dxa"/>
            <w:vAlign w:val="top"/>
          </w:tcPr>
          <w:p>
            <w:pPr>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15" w:type="dxa"/>
            <w:vAlign w:val="top"/>
          </w:tcPr>
          <w:p>
            <w:pPr>
              <w:ind w:right="24"/>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6.59</w:t>
            </w:r>
          </w:p>
        </w:tc>
        <w:tc>
          <w:tcPr>
            <w:tcW w:w="1307"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6.59</w:t>
            </w:r>
          </w:p>
        </w:tc>
        <w:tc>
          <w:tcPr>
            <w:tcW w:w="1290" w:type="dxa"/>
            <w:vAlign w:val="top"/>
          </w:tcPr>
          <w:p>
            <w:pPr>
              <w:pStyle w:val="TableText"/>
              <w:rPr/>
            </w:pPr>
            <w:r/>
          </w:p>
        </w:tc>
      </w:tr>
      <w:tr>
        <w:trPr>
          <w:trHeight w:val="314" w:hRule="atLeast"/>
        </w:trPr>
        <w:tc>
          <w:tcPr>
            <w:tcW w:w="1787"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59" w:type="dxa"/>
            <w:vAlign w:val="top"/>
          </w:tcPr>
          <w:p>
            <w:pPr>
              <w:ind w:left="2"/>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15" w:type="dxa"/>
            <w:vAlign w:val="top"/>
          </w:tcPr>
          <w:p>
            <w:pPr>
              <w:ind w:right="24"/>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88.07</w:t>
            </w:r>
          </w:p>
        </w:tc>
        <w:tc>
          <w:tcPr>
            <w:tcW w:w="1307" w:type="dxa"/>
            <w:vAlign w:val="top"/>
          </w:tcPr>
          <w:p>
            <w:pPr>
              <w:pStyle w:val="TableText"/>
              <w:ind w:left="881"/>
              <w:spacing w:before="102" w:line="172" w:lineRule="auto"/>
              <w:rPr>
                <w:sz w:val="14"/>
                <w:szCs w:val="14"/>
              </w:rPr>
            </w:pPr>
            <w:r>
              <w:rPr>
                <w:sz w:val="14"/>
                <w:szCs w:val="14"/>
                <w:color w:val="212529"/>
              </w:rPr>
              <w:t>67.</w:t>
            </w:r>
            <w:r>
              <w:rPr>
                <w:sz w:val="14"/>
                <w:szCs w:val="14"/>
                <w:color w:val="212529"/>
                <w:spacing w:val="6"/>
              </w:rPr>
              <w:t xml:space="preserve"> </w:t>
            </w:r>
            <w:r>
              <w:rPr>
                <w:sz w:val="14"/>
                <w:szCs w:val="14"/>
                <w:color w:val="212529"/>
              </w:rPr>
              <w:t>04</w:t>
            </w:r>
          </w:p>
        </w:tc>
        <w:tc>
          <w:tcPr>
            <w:tcW w:w="1290" w:type="dxa"/>
            <w:vAlign w:val="top"/>
          </w:tcPr>
          <w:p>
            <w:pPr>
              <w:pStyle w:val="TableText"/>
              <w:ind w:left="860"/>
              <w:spacing w:before="101" w:line="187" w:lineRule="auto"/>
              <w:rPr>
                <w:sz w:val="13"/>
                <w:szCs w:val="13"/>
              </w:rPr>
            </w:pPr>
            <w:r>
              <w:rPr>
                <w:sz w:val="13"/>
                <w:szCs w:val="13"/>
                <w:color w:val="212529"/>
                <w:spacing w:val="4"/>
              </w:rPr>
              <w:t>21.</w:t>
            </w:r>
            <w:r>
              <w:rPr>
                <w:sz w:val="13"/>
                <w:szCs w:val="13"/>
                <w:color w:val="212529"/>
                <w:spacing w:val="14"/>
                <w:w w:val="101"/>
              </w:rPr>
              <w:t xml:space="preserve"> </w:t>
            </w:r>
            <w:r>
              <w:rPr>
                <w:sz w:val="13"/>
                <w:szCs w:val="13"/>
                <w:color w:val="212529"/>
                <w:spacing w:val="4"/>
              </w:rPr>
              <w:t>04</w:t>
            </w:r>
          </w:p>
        </w:tc>
      </w:tr>
      <w:tr>
        <w:trPr>
          <w:trHeight w:val="314" w:hRule="atLeast"/>
        </w:trPr>
        <w:tc>
          <w:tcPr>
            <w:tcW w:w="1787"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359" w:type="dxa"/>
            <w:vAlign w:val="top"/>
          </w:tcPr>
          <w:p>
            <w:pPr>
              <w:spacing w:before="83"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415" w:type="dxa"/>
            <w:vAlign w:val="top"/>
          </w:tcPr>
          <w:p>
            <w:pPr>
              <w:ind w:right="24"/>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85.36</w:t>
            </w:r>
          </w:p>
        </w:tc>
        <w:tc>
          <w:tcPr>
            <w:tcW w:w="1307" w:type="dxa"/>
            <w:vAlign w:val="top"/>
          </w:tcPr>
          <w:p>
            <w:pPr>
              <w:pStyle w:val="TableText"/>
              <w:ind w:left="881"/>
              <w:spacing w:before="102" w:line="186" w:lineRule="auto"/>
              <w:rPr>
                <w:sz w:val="13"/>
                <w:szCs w:val="13"/>
              </w:rPr>
            </w:pPr>
            <w:r>
              <w:rPr>
                <w:sz w:val="13"/>
                <w:szCs w:val="13"/>
                <w:color w:val="212529"/>
                <w:spacing w:val="4"/>
              </w:rPr>
              <w:t>64.</w:t>
            </w:r>
            <w:r>
              <w:rPr>
                <w:sz w:val="13"/>
                <w:szCs w:val="13"/>
                <w:color w:val="212529"/>
                <w:spacing w:val="10"/>
                <w:w w:val="101"/>
              </w:rPr>
              <w:t xml:space="preserve"> </w:t>
            </w:r>
            <w:r>
              <w:rPr>
                <w:sz w:val="13"/>
                <w:szCs w:val="13"/>
                <w:color w:val="212529"/>
                <w:spacing w:val="4"/>
              </w:rPr>
              <w:t>33</w:t>
            </w:r>
          </w:p>
        </w:tc>
        <w:tc>
          <w:tcPr>
            <w:tcW w:w="1290" w:type="dxa"/>
            <w:vAlign w:val="top"/>
          </w:tcPr>
          <w:p>
            <w:pPr>
              <w:pStyle w:val="TableText"/>
              <w:ind w:left="860"/>
              <w:spacing w:before="101" w:line="187" w:lineRule="auto"/>
              <w:rPr>
                <w:sz w:val="13"/>
                <w:szCs w:val="13"/>
              </w:rPr>
            </w:pPr>
            <w:r>
              <w:rPr>
                <w:sz w:val="13"/>
                <w:szCs w:val="13"/>
                <w:color w:val="212529"/>
                <w:spacing w:val="4"/>
              </w:rPr>
              <w:t>21.</w:t>
            </w:r>
            <w:r>
              <w:rPr>
                <w:sz w:val="13"/>
                <w:szCs w:val="13"/>
                <w:color w:val="212529"/>
                <w:spacing w:val="14"/>
                <w:w w:val="101"/>
              </w:rPr>
              <w:t xml:space="preserve"> </w:t>
            </w:r>
            <w:r>
              <w:rPr>
                <w:sz w:val="13"/>
                <w:szCs w:val="13"/>
                <w:color w:val="212529"/>
                <w:spacing w:val="4"/>
              </w:rPr>
              <w:t>04</w:t>
            </w:r>
          </w:p>
        </w:tc>
      </w:tr>
      <w:tr>
        <w:trPr>
          <w:trHeight w:val="314" w:hRule="atLeast"/>
        </w:trPr>
        <w:tc>
          <w:tcPr>
            <w:tcW w:w="1787"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359" w:type="dxa"/>
            <w:vAlign w:val="top"/>
          </w:tcPr>
          <w:p>
            <w:pPr>
              <w:ind w:left="8"/>
              <w:spacing w:before="8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415"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73.26</w:t>
            </w:r>
          </w:p>
        </w:tc>
        <w:tc>
          <w:tcPr>
            <w:tcW w:w="1307"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64.33</w:t>
            </w:r>
          </w:p>
        </w:tc>
        <w:tc>
          <w:tcPr>
            <w:tcW w:w="1290"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8.94</w:t>
            </w:r>
          </w:p>
        </w:tc>
      </w:tr>
      <w:tr>
        <w:trPr>
          <w:trHeight w:val="314" w:hRule="atLeast"/>
        </w:trPr>
        <w:tc>
          <w:tcPr>
            <w:tcW w:w="1787"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359" w:type="dxa"/>
            <w:vAlign w:val="top"/>
          </w:tcPr>
          <w:p>
            <w:pPr>
              <w:spacing w:before="8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415"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12.10</w:t>
            </w:r>
          </w:p>
        </w:tc>
        <w:tc>
          <w:tcPr>
            <w:tcW w:w="1307" w:type="dxa"/>
            <w:vAlign w:val="top"/>
          </w:tcPr>
          <w:p>
            <w:pPr>
              <w:pStyle w:val="TableText"/>
              <w:rPr/>
            </w:pPr>
            <w:r/>
          </w:p>
        </w:tc>
        <w:tc>
          <w:tcPr>
            <w:tcW w:w="1290"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12.10</w:t>
            </w:r>
          </w:p>
        </w:tc>
      </w:tr>
      <w:tr>
        <w:trPr>
          <w:trHeight w:val="314" w:hRule="atLeast"/>
        </w:trPr>
        <w:tc>
          <w:tcPr>
            <w:tcW w:w="1787"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59" w:type="dxa"/>
            <w:vAlign w:val="top"/>
          </w:tcPr>
          <w:p>
            <w:pPr>
              <w:ind w:left="1"/>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15" w:type="dxa"/>
            <w:vAlign w:val="top"/>
          </w:tcPr>
          <w:p>
            <w:pPr>
              <w:ind w:right="24"/>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2.71</w:t>
            </w:r>
          </w:p>
        </w:tc>
        <w:tc>
          <w:tcPr>
            <w:tcW w:w="1307" w:type="dxa"/>
            <w:vAlign w:val="top"/>
          </w:tcPr>
          <w:p>
            <w:pPr>
              <w:pStyle w:val="TableText"/>
              <w:rPr/>
            </w:pPr>
            <w:r/>
          </w:p>
        </w:tc>
        <w:tc>
          <w:tcPr>
            <w:tcW w:w="1290" w:type="dxa"/>
            <w:vAlign w:val="top"/>
          </w:tcPr>
          <w:p>
            <w:pPr>
              <w:pStyle w:val="TableText"/>
              <w:rPr/>
            </w:pPr>
            <w:r/>
          </w:p>
        </w:tc>
      </w:tr>
      <w:tr>
        <w:trPr>
          <w:trHeight w:val="314" w:hRule="atLeast"/>
        </w:trPr>
        <w:tc>
          <w:tcPr>
            <w:tcW w:w="1787"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59" w:type="dxa"/>
            <w:vAlign w:val="top"/>
          </w:tcPr>
          <w:p>
            <w:pPr>
              <w:ind w:left="2"/>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15"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2.71</w:t>
            </w:r>
          </w:p>
        </w:tc>
        <w:tc>
          <w:tcPr>
            <w:tcW w:w="1307"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2.71</w:t>
            </w:r>
          </w:p>
        </w:tc>
        <w:tc>
          <w:tcPr>
            <w:tcW w:w="1290" w:type="dxa"/>
            <w:vAlign w:val="top"/>
          </w:tcPr>
          <w:p>
            <w:pPr>
              <w:pStyle w:val="TableText"/>
              <w:rPr/>
            </w:pPr>
            <w:r/>
          </w:p>
        </w:tc>
      </w:tr>
      <w:tr>
        <w:trPr>
          <w:trHeight w:val="314" w:hRule="atLeast"/>
        </w:trPr>
        <w:tc>
          <w:tcPr>
            <w:tcW w:w="1787" w:type="dxa"/>
            <w:vAlign w:val="top"/>
          </w:tcPr>
          <w:p>
            <w:pPr>
              <w:ind w:left="8"/>
              <w:spacing w:before="8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59" w:type="dxa"/>
            <w:vAlign w:val="top"/>
          </w:tcPr>
          <w:p>
            <w:pPr>
              <w:ind w:left="2"/>
              <w:spacing w:before="8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15"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6.05</w:t>
            </w:r>
          </w:p>
        </w:tc>
        <w:tc>
          <w:tcPr>
            <w:tcW w:w="1307" w:type="dxa"/>
            <w:vAlign w:val="top"/>
          </w:tcPr>
          <w:p>
            <w:pPr>
              <w:pStyle w:val="TableText"/>
              <w:ind w:left="962"/>
              <w:spacing w:before="103" w:line="186" w:lineRule="auto"/>
              <w:rPr>
                <w:sz w:val="13"/>
                <w:szCs w:val="13"/>
              </w:rPr>
            </w:pPr>
            <w:r>
              <w:rPr>
                <w:sz w:val="13"/>
                <w:szCs w:val="13"/>
                <w:color w:val="212529"/>
                <w:spacing w:val="3"/>
              </w:rPr>
              <w:t>6.</w:t>
            </w:r>
            <w:r>
              <w:rPr>
                <w:sz w:val="13"/>
                <w:szCs w:val="13"/>
                <w:color w:val="212529"/>
                <w:spacing w:val="9"/>
                <w:w w:val="101"/>
              </w:rPr>
              <w:t xml:space="preserve"> </w:t>
            </w:r>
            <w:r>
              <w:rPr>
                <w:sz w:val="13"/>
                <w:szCs w:val="13"/>
                <w:color w:val="212529"/>
                <w:spacing w:val="3"/>
              </w:rPr>
              <w:t>05</w:t>
            </w:r>
          </w:p>
        </w:tc>
        <w:tc>
          <w:tcPr>
            <w:tcW w:w="1290" w:type="dxa"/>
            <w:vAlign w:val="top"/>
          </w:tcPr>
          <w:p>
            <w:pPr>
              <w:pStyle w:val="TableText"/>
              <w:rPr/>
            </w:pPr>
            <w:r/>
          </w:p>
        </w:tc>
      </w:tr>
      <w:tr>
        <w:trPr>
          <w:trHeight w:val="314" w:hRule="atLeast"/>
        </w:trPr>
        <w:tc>
          <w:tcPr>
            <w:tcW w:w="1787"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59" w:type="dxa"/>
            <w:vAlign w:val="top"/>
          </w:tcPr>
          <w:p>
            <w:pPr>
              <w:ind w:left="2"/>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15" w:type="dxa"/>
            <w:vAlign w:val="top"/>
          </w:tcPr>
          <w:p>
            <w:pPr>
              <w:ind w:right="24"/>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6.05</w:t>
            </w:r>
          </w:p>
        </w:tc>
        <w:tc>
          <w:tcPr>
            <w:tcW w:w="1307" w:type="dxa"/>
            <w:vAlign w:val="top"/>
          </w:tcPr>
          <w:p>
            <w:pPr>
              <w:pStyle w:val="TableText"/>
              <w:ind w:left="962"/>
              <w:spacing w:before="104" w:line="186" w:lineRule="auto"/>
              <w:rPr>
                <w:sz w:val="13"/>
                <w:szCs w:val="13"/>
              </w:rPr>
            </w:pPr>
            <w:r>
              <w:rPr>
                <w:sz w:val="13"/>
                <w:szCs w:val="13"/>
                <w:color w:val="212529"/>
                <w:spacing w:val="3"/>
              </w:rPr>
              <w:t>6.</w:t>
            </w:r>
            <w:r>
              <w:rPr>
                <w:sz w:val="13"/>
                <w:szCs w:val="13"/>
                <w:color w:val="212529"/>
                <w:spacing w:val="9"/>
                <w:w w:val="101"/>
              </w:rPr>
              <w:t xml:space="preserve"> </w:t>
            </w:r>
            <w:r>
              <w:rPr>
                <w:sz w:val="13"/>
                <w:szCs w:val="13"/>
                <w:color w:val="212529"/>
                <w:spacing w:val="3"/>
              </w:rPr>
              <w:t>05</w:t>
            </w:r>
          </w:p>
        </w:tc>
        <w:tc>
          <w:tcPr>
            <w:tcW w:w="1290" w:type="dxa"/>
            <w:vAlign w:val="top"/>
          </w:tcPr>
          <w:p>
            <w:pPr>
              <w:pStyle w:val="TableText"/>
              <w:rPr/>
            </w:pPr>
            <w:r/>
          </w:p>
        </w:tc>
      </w:tr>
      <w:tr>
        <w:trPr>
          <w:trHeight w:val="319" w:hRule="atLeast"/>
        </w:trPr>
        <w:tc>
          <w:tcPr>
            <w:tcW w:w="1787"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59" w:type="dxa"/>
            <w:vAlign w:val="top"/>
          </w:tcPr>
          <w:p>
            <w:pPr>
              <w:ind w:left="2"/>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15" w:type="dxa"/>
            <w:vAlign w:val="top"/>
          </w:tcPr>
          <w:p>
            <w:pPr>
              <w:ind w:right="24"/>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6.05</w:t>
            </w:r>
          </w:p>
        </w:tc>
        <w:tc>
          <w:tcPr>
            <w:tcW w:w="1307"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6.05</w:t>
            </w:r>
          </w:p>
        </w:tc>
        <w:tc>
          <w:tcPr>
            <w:tcW w:w="1290" w:type="dxa"/>
            <w:vAlign w:val="top"/>
          </w:tcPr>
          <w:p>
            <w:pPr>
              <w:pStyle w:val="TableText"/>
              <w:rPr/>
            </w:pPr>
            <w:r/>
          </w:p>
        </w:tc>
      </w:tr>
    </w:tbl>
    <w:p>
      <w:pPr>
        <w:pStyle w:val="BodyText"/>
        <w:rPr/>
      </w:pPr>
      <w:r/>
    </w:p>
    <w:p>
      <w:pPr>
        <w:sectPr>
          <w:headerReference w:type="default" r:id="rId13"/>
          <w:footerReference w:type="default" r:id="rId14"/>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left="1198"/>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单位名称：兴县瓦塘镇中心卫生院裴家川口分院</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100.71</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6.59</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.59</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88.07</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88.07</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6.05</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6.05</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83"/>
              <w:spacing w:before="137" w:line="187" w:lineRule="auto"/>
              <w:rPr>
                <w:sz w:val="13"/>
                <w:szCs w:val="13"/>
              </w:rPr>
            </w:pPr>
            <w:r>
              <w:rPr>
                <w:sz w:val="13"/>
                <w:szCs w:val="13"/>
                <w:color w:val="212529"/>
                <w:spacing w:val="2"/>
              </w:rPr>
              <w:t>100.</w:t>
            </w:r>
            <w:r>
              <w:rPr>
                <w:sz w:val="13"/>
                <w:szCs w:val="13"/>
                <w:color w:val="212529"/>
                <w:spacing w:val="10"/>
                <w:w w:val="101"/>
              </w:rPr>
              <w:t xml:space="preserve"> </w:t>
            </w:r>
            <w:r>
              <w:rPr>
                <w:sz w:val="13"/>
                <w:szCs w:val="13"/>
                <w:color w:val="212529"/>
                <w:spacing w:val="2"/>
              </w:rPr>
              <w:t>71</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81"/>
              <w:spacing w:before="137" w:line="187" w:lineRule="auto"/>
              <w:rPr>
                <w:sz w:val="13"/>
                <w:szCs w:val="13"/>
              </w:rPr>
            </w:pPr>
            <w:r>
              <w:rPr>
                <w:sz w:val="13"/>
                <w:szCs w:val="13"/>
                <w:color w:val="212529"/>
                <w:spacing w:val="2"/>
              </w:rPr>
              <w:t>100.</w:t>
            </w:r>
            <w:r>
              <w:rPr>
                <w:sz w:val="13"/>
                <w:szCs w:val="13"/>
                <w:color w:val="212529"/>
                <w:spacing w:val="10"/>
                <w:w w:val="101"/>
              </w:rPr>
              <w:t xml:space="preserve"> </w:t>
            </w:r>
            <w:r>
              <w:rPr>
                <w:sz w:val="13"/>
                <w:szCs w:val="13"/>
                <w:color w:val="212529"/>
                <w:spacing w:val="2"/>
              </w:rPr>
              <w:t>71</w:t>
            </w:r>
          </w:p>
        </w:tc>
        <w:tc>
          <w:tcPr>
            <w:tcW w:w="1069" w:type="dxa"/>
            <w:vAlign w:val="top"/>
          </w:tcPr>
          <w:p>
            <w:pPr>
              <w:pStyle w:val="TableText"/>
              <w:ind w:left="296"/>
              <w:spacing w:before="137" w:line="187" w:lineRule="auto"/>
              <w:rPr>
                <w:sz w:val="13"/>
                <w:szCs w:val="13"/>
              </w:rPr>
            </w:pPr>
            <w:r>
              <w:rPr>
                <w:sz w:val="13"/>
                <w:szCs w:val="13"/>
                <w:color w:val="212529"/>
                <w:spacing w:val="2"/>
              </w:rPr>
              <w:t>100.</w:t>
            </w:r>
            <w:r>
              <w:rPr>
                <w:sz w:val="13"/>
                <w:szCs w:val="13"/>
                <w:color w:val="212529"/>
                <w:spacing w:val="10"/>
                <w:w w:val="101"/>
              </w:rPr>
              <w:t xml:space="preserve"> </w:t>
            </w:r>
            <w:r>
              <w:rPr>
                <w:sz w:val="13"/>
                <w:szCs w:val="13"/>
                <w:color w:val="212529"/>
                <w:spacing w:val="2"/>
              </w:rPr>
              <w:t>71</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5"/>
          <w:footerReference w:type="default" r:id="rId16"/>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83"/>
              <w:spacing w:before="135" w:line="187" w:lineRule="auto"/>
              <w:rPr>
                <w:sz w:val="13"/>
                <w:szCs w:val="13"/>
              </w:rPr>
            </w:pPr>
            <w:r>
              <w:rPr>
                <w:sz w:val="13"/>
                <w:szCs w:val="13"/>
                <w:color w:val="212529"/>
                <w:spacing w:val="2"/>
              </w:rPr>
              <w:t>100.</w:t>
            </w:r>
            <w:r>
              <w:rPr>
                <w:sz w:val="13"/>
                <w:szCs w:val="13"/>
                <w:color w:val="212529"/>
                <w:spacing w:val="10"/>
                <w:w w:val="101"/>
              </w:rPr>
              <w:t xml:space="preserve"> </w:t>
            </w:r>
            <w:r>
              <w:rPr>
                <w:sz w:val="13"/>
                <w:szCs w:val="13"/>
                <w:color w:val="212529"/>
                <w:spacing w:val="2"/>
              </w:rPr>
              <w:t>71</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81"/>
              <w:spacing w:before="135" w:line="187" w:lineRule="auto"/>
              <w:rPr>
                <w:sz w:val="13"/>
                <w:szCs w:val="13"/>
              </w:rPr>
            </w:pPr>
            <w:r>
              <w:rPr>
                <w:sz w:val="13"/>
                <w:szCs w:val="13"/>
                <w:color w:val="212529"/>
                <w:spacing w:val="2"/>
              </w:rPr>
              <w:t>100.</w:t>
            </w:r>
            <w:r>
              <w:rPr>
                <w:sz w:val="13"/>
                <w:szCs w:val="13"/>
                <w:color w:val="212529"/>
                <w:spacing w:val="10"/>
                <w:w w:val="101"/>
              </w:rPr>
              <w:t xml:space="preserve"> </w:t>
            </w:r>
            <w:r>
              <w:rPr>
                <w:sz w:val="13"/>
                <w:szCs w:val="13"/>
                <w:color w:val="212529"/>
                <w:spacing w:val="2"/>
              </w:rPr>
              <w:t>71</w:t>
            </w:r>
          </w:p>
        </w:tc>
        <w:tc>
          <w:tcPr>
            <w:tcW w:w="1069" w:type="dxa"/>
            <w:vAlign w:val="top"/>
          </w:tcPr>
          <w:p>
            <w:pPr>
              <w:pStyle w:val="TableText"/>
              <w:ind w:left="296"/>
              <w:spacing w:before="135" w:line="187" w:lineRule="auto"/>
              <w:rPr>
                <w:sz w:val="13"/>
                <w:szCs w:val="13"/>
              </w:rPr>
            </w:pPr>
            <w:r>
              <w:rPr>
                <w:sz w:val="13"/>
                <w:szCs w:val="13"/>
                <w:color w:val="212529"/>
                <w:spacing w:val="2"/>
              </w:rPr>
              <w:t>100.</w:t>
            </w:r>
            <w:r>
              <w:rPr>
                <w:sz w:val="13"/>
                <w:szCs w:val="13"/>
                <w:color w:val="212529"/>
                <w:spacing w:val="10"/>
                <w:w w:val="101"/>
              </w:rPr>
              <w:t xml:space="preserve"> </w:t>
            </w:r>
            <w:r>
              <w:rPr>
                <w:sz w:val="13"/>
                <w:szCs w:val="13"/>
                <w:color w:val="212529"/>
                <w:spacing w:val="2"/>
              </w:rPr>
              <w:t>71</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7"/>
          <w:footerReference w:type="default" r:id="rId18"/>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90"/>
        <w:gridCol w:w="3186"/>
        <w:gridCol w:w="1544"/>
        <w:gridCol w:w="1350"/>
        <w:gridCol w:w="1388"/>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70"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单位名称：兴县瓦塘镇中心卫生院裴家川口分院</w:t>
            </w:r>
          </w:p>
        </w:tc>
        <w:tc>
          <w:tcPr>
            <w:tcW w:w="1388" w:type="dxa"/>
            <w:vAlign w:val="top"/>
            <w:tcBorders>
              <w:top w:val="single" w:color="FFFFFF" w:sz="4" w:space="0"/>
              <w:left w:val="single" w:color="FFFFFF" w:sz="2" w:space="0"/>
              <w:right w:val="single" w:color="FFFFFF" w:sz="2" w:space="0"/>
            </w:tcBorders>
          </w:tcPr>
          <w:p>
            <w:pPr>
              <w:ind w:left="715"/>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76" w:type="dxa"/>
            <w:vAlign w:val="top"/>
            <w:gridSpan w:val="2"/>
          </w:tcPr>
          <w:p>
            <w:pPr>
              <w:ind w:left="2262"/>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82" w:type="dxa"/>
            <w:vAlign w:val="top"/>
            <w:gridSpan w:val="3"/>
          </w:tcPr>
          <w:p>
            <w:pPr>
              <w:ind w:left="1644"/>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90" w:type="dxa"/>
            <w:vAlign w:val="top"/>
          </w:tcPr>
          <w:p>
            <w:pPr>
              <w:ind w:left="504"/>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86" w:type="dxa"/>
            <w:vAlign w:val="top"/>
          </w:tcPr>
          <w:p>
            <w:pPr>
              <w:ind w:left="1250"/>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1"/>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50" w:type="dxa"/>
            <w:vAlign w:val="top"/>
          </w:tcPr>
          <w:p>
            <w:pPr>
              <w:ind w:left="338"/>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388" w:type="dxa"/>
            <w:vAlign w:val="top"/>
          </w:tcPr>
          <w:p>
            <w:pPr>
              <w:ind w:left="35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76" w:type="dxa"/>
            <w:vAlign w:val="top"/>
            <w:gridSpan w:val="2"/>
          </w:tcPr>
          <w:p>
            <w:pPr>
              <w:ind w:left="2264"/>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49"/>
              <w:spacing w:before="87" w:line="186" w:lineRule="auto"/>
              <w:rPr>
                <w:sz w:val="13"/>
                <w:szCs w:val="13"/>
              </w:rPr>
            </w:pPr>
            <w:r>
              <w:rPr>
                <w:sz w:val="13"/>
                <w:szCs w:val="13"/>
                <w:color w:val="212529"/>
                <w:spacing w:val="1"/>
              </w:rPr>
              <w:t>100.</w:t>
            </w:r>
            <w:r>
              <w:rPr>
                <w:sz w:val="13"/>
                <w:szCs w:val="13"/>
                <w:color w:val="212529"/>
                <w:spacing w:val="16"/>
                <w:w w:val="101"/>
              </w:rPr>
              <w:t xml:space="preserve"> </w:t>
            </w:r>
            <w:r>
              <w:rPr>
                <w:sz w:val="13"/>
                <w:szCs w:val="13"/>
                <w:color w:val="212529"/>
                <w:spacing w:val="1"/>
              </w:rPr>
              <w:t>71</w:t>
            </w:r>
          </w:p>
        </w:tc>
        <w:tc>
          <w:tcPr>
            <w:tcW w:w="1350" w:type="dxa"/>
            <w:vAlign w:val="top"/>
          </w:tcPr>
          <w:p>
            <w:pPr>
              <w:pStyle w:val="TableText"/>
              <w:ind w:left="921"/>
              <w:spacing w:before="87" w:line="186" w:lineRule="auto"/>
              <w:rPr>
                <w:sz w:val="13"/>
                <w:szCs w:val="13"/>
              </w:rPr>
            </w:pPr>
            <w:r>
              <w:rPr>
                <w:sz w:val="13"/>
                <w:szCs w:val="13"/>
                <w:color w:val="212529"/>
                <w:spacing w:val="4"/>
              </w:rPr>
              <w:t>79.</w:t>
            </w:r>
            <w:r>
              <w:rPr>
                <w:sz w:val="13"/>
                <w:szCs w:val="13"/>
                <w:color w:val="212529"/>
                <w:spacing w:val="9"/>
              </w:rPr>
              <w:t xml:space="preserve"> </w:t>
            </w:r>
            <w:r>
              <w:rPr>
                <w:sz w:val="13"/>
                <w:szCs w:val="13"/>
                <w:color w:val="212529"/>
                <w:spacing w:val="4"/>
              </w:rPr>
              <w:t>67</w:t>
            </w:r>
          </w:p>
        </w:tc>
        <w:tc>
          <w:tcPr>
            <w:tcW w:w="1388" w:type="dxa"/>
            <w:vAlign w:val="top"/>
          </w:tcPr>
          <w:p>
            <w:pPr>
              <w:pStyle w:val="TableText"/>
              <w:ind w:left="958"/>
              <w:spacing w:before="87" w:line="186" w:lineRule="auto"/>
              <w:rPr>
                <w:sz w:val="13"/>
                <w:szCs w:val="13"/>
              </w:rPr>
            </w:pPr>
            <w:r>
              <w:rPr>
                <w:sz w:val="13"/>
                <w:szCs w:val="13"/>
                <w:color w:val="212529"/>
                <w:spacing w:val="4"/>
              </w:rPr>
              <w:t>21.</w:t>
            </w:r>
            <w:r>
              <w:rPr>
                <w:sz w:val="13"/>
                <w:szCs w:val="13"/>
                <w:color w:val="212529"/>
                <w:spacing w:val="14"/>
                <w:w w:val="101"/>
              </w:rPr>
              <w:t xml:space="preserve"> </w:t>
            </w:r>
            <w:r>
              <w:rPr>
                <w:sz w:val="13"/>
                <w:szCs w:val="13"/>
                <w:color w:val="212529"/>
                <w:spacing w:val="4"/>
              </w:rPr>
              <w:t>04</w:t>
            </w:r>
          </w:p>
        </w:tc>
      </w:tr>
      <w:tr>
        <w:trPr>
          <w:trHeight w:val="292" w:hRule="atLeast"/>
        </w:trPr>
        <w:tc>
          <w:tcPr>
            <w:tcW w:w="1690"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86" w:type="dxa"/>
            <w:vAlign w:val="top"/>
          </w:tcPr>
          <w:p>
            <w:pPr>
              <w:ind w:left="1"/>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18"/>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6.59</w:t>
            </w:r>
          </w:p>
        </w:tc>
        <w:tc>
          <w:tcPr>
            <w:tcW w:w="1350"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6.59</w:t>
            </w:r>
          </w:p>
        </w:tc>
        <w:tc>
          <w:tcPr>
            <w:tcW w:w="1388" w:type="dxa"/>
            <w:vAlign w:val="top"/>
          </w:tcPr>
          <w:p>
            <w:pPr>
              <w:pStyle w:val="TableText"/>
              <w:rPr/>
            </w:pPr>
            <w:r/>
          </w:p>
        </w:tc>
      </w:tr>
      <w:tr>
        <w:trPr>
          <w:trHeight w:val="292" w:hRule="atLeast"/>
        </w:trPr>
        <w:tc>
          <w:tcPr>
            <w:tcW w:w="1690"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86"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18"/>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6.59</w:t>
            </w:r>
          </w:p>
        </w:tc>
        <w:tc>
          <w:tcPr>
            <w:tcW w:w="1350"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6.59</w:t>
            </w:r>
          </w:p>
        </w:tc>
        <w:tc>
          <w:tcPr>
            <w:tcW w:w="1388" w:type="dxa"/>
            <w:vAlign w:val="top"/>
          </w:tcPr>
          <w:p>
            <w:pPr>
              <w:pStyle w:val="TableText"/>
              <w:rPr/>
            </w:pPr>
            <w:r/>
          </w:p>
        </w:tc>
      </w:tr>
      <w:tr>
        <w:trPr>
          <w:trHeight w:val="292" w:hRule="atLeast"/>
        </w:trPr>
        <w:tc>
          <w:tcPr>
            <w:tcW w:w="1690"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86" w:type="dxa"/>
            <w:vAlign w:val="top"/>
          </w:tcPr>
          <w:p>
            <w:pPr>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18"/>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6.59</w:t>
            </w:r>
          </w:p>
        </w:tc>
        <w:tc>
          <w:tcPr>
            <w:tcW w:w="1350"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6.59</w:t>
            </w:r>
          </w:p>
        </w:tc>
        <w:tc>
          <w:tcPr>
            <w:tcW w:w="1388" w:type="dxa"/>
            <w:vAlign w:val="top"/>
          </w:tcPr>
          <w:p>
            <w:pPr>
              <w:pStyle w:val="TableText"/>
              <w:rPr/>
            </w:pPr>
            <w:r/>
          </w:p>
        </w:tc>
      </w:tr>
      <w:tr>
        <w:trPr>
          <w:trHeight w:val="292" w:hRule="atLeast"/>
        </w:trPr>
        <w:tc>
          <w:tcPr>
            <w:tcW w:w="1690"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86" w:type="dxa"/>
            <w:vAlign w:val="top"/>
          </w:tcPr>
          <w:p>
            <w:pPr>
              <w:ind w:left="1"/>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88.07</w:t>
            </w:r>
          </w:p>
        </w:tc>
        <w:tc>
          <w:tcPr>
            <w:tcW w:w="1350"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67.04</w:t>
            </w:r>
          </w:p>
        </w:tc>
        <w:tc>
          <w:tcPr>
            <w:tcW w:w="1388"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21.04</w:t>
            </w:r>
          </w:p>
        </w:tc>
      </w:tr>
      <w:tr>
        <w:trPr>
          <w:trHeight w:val="292" w:hRule="atLeast"/>
        </w:trPr>
        <w:tc>
          <w:tcPr>
            <w:tcW w:w="1690"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186"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0"/>
              </w:rPr>
              <w:t>基层医疗卫生机构</w:t>
            </w:r>
          </w:p>
        </w:tc>
        <w:tc>
          <w:tcPr>
            <w:tcW w:w="154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85.36</w:t>
            </w:r>
          </w:p>
        </w:tc>
        <w:tc>
          <w:tcPr>
            <w:tcW w:w="1350"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64.33</w:t>
            </w:r>
          </w:p>
        </w:tc>
        <w:tc>
          <w:tcPr>
            <w:tcW w:w="1388"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21.04</w:t>
            </w:r>
          </w:p>
        </w:tc>
      </w:tr>
      <w:tr>
        <w:trPr>
          <w:trHeight w:val="292" w:hRule="atLeast"/>
        </w:trPr>
        <w:tc>
          <w:tcPr>
            <w:tcW w:w="1690"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186" w:type="dxa"/>
            <w:vAlign w:val="top"/>
          </w:tcPr>
          <w:p>
            <w:pPr>
              <w:ind w:left="7"/>
              <w:spacing w:before="72"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544" w:type="dxa"/>
            <w:vAlign w:val="top"/>
          </w:tcPr>
          <w:p>
            <w:pPr>
              <w:ind w:right="18"/>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73.26</w:t>
            </w:r>
          </w:p>
        </w:tc>
        <w:tc>
          <w:tcPr>
            <w:tcW w:w="1350"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64.33</w:t>
            </w:r>
          </w:p>
        </w:tc>
        <w:tc>
          <w:tcPr>
            <w:tcW w:w="1388"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8.94</w:t>
            </w:r>
          </w:p>
        </w:tc>
      </w:tr>
      <w:tr>
        <w:trPr>
          <w:trHeight w:val="292" w:hRule="atLeast"/>
        </w:trPr>
        <w:tc>
          <w:tcPr>
            <w:tcW w:w="1690"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186" w:type="dxa"/>
            <w:vAlign w:val="top"/>
          </w:tcPr>
          <w:p>
            <w:pPr>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544" w:type="dxa"/>
            <w:vAlign w:val="top"/>
          </w:tcPr>
          <w:p>
            <w:pPr>
              <w:ind w:right="18"/>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12.10</w:t>
            </w:r>
          </w:p>
        </w:tc>
        <w:tc>
          <w:tcPr>
            <w:tcW w:w="1350" w:type="dxa"/>
            <w:vAlign w:val="top"/>
          </w:tcPr>
          <w:p>
            <w:pPr>
              <w:pStyle w:val="TableText"/>
              <w:rPr/>
            </w:pPr>
            <w:r/>
          </w:p>
        </w:tc>
        <w:tc>
          <w:tcPr>
            <w:tcW w:w="1388"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12.10</w:t>
            </w:r>
          </w:p>
        </w:tc>
      </w:tr>
      <w:tr>
        <w:trPr>
          <w:trHeight w:val="292" w:hRule="atLeast"/>
        </w:trPr>
        <w:tc>
          <w:tcPr>
            <w:tcW w:w="1690"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186" w:type="dxa"/>
            <w:vAlign w:val="top"/>
          </w:tcPr>
          <w:p>
            <w:pPr>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18"/>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2.71</w:t>
            </w:r>
          </w:p>
        </w:tc>
        <w:tc>
          <w:tcPr>
            <w:tcW w:w="1350"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2.71</w:t>
            </w:r>
          </w:p>
        </w:tc>
        <w:tc>
          <w:tcPr>
            <w:tcW w:w="1388" w:type="dxa"/>
            <w:vAlign w:val="top"/>
          </w:tcPr>
          <w:p>
            <w:pPr>
              <w:pStyle w:val="TableText"/>
              <w:rPr/>
            </w:pPr>
            <w:r/>
          </w:p>
        </w:tc>
      </w:tr>
      <w:tr>
        <w:trPr>
          <w:trHeight w:val="292" w:hRule="atLeast"/>
        </w:trPr>
        <w:tc>
          <w:tcPr>
            <w:tcW w:w="1690" w:type="dxa"/>
            <w:vAlign w:val="top"/>
          </w:tcPr>
          <w:p>
            <w:pPr>
              <w:ind w:left="261"/>
              <w:spacing w:before="74" w:line="203" w:lineRule="exact"/>
              <w:rPr>
                <w:rFonts w:ascii="SimSun" w:hAnsi="SimSun" w:eastAsia="SimSun" w:cs="SimSun"/>
                <w:sz w:val="15"/>
                <w:szCs w:val="15"/>
              </w:rPr>
            </w:pPr>
            <w:r>
              <w:rPr>
                <w:rFonts w:ascii="SimSun" w:hAnsi="SimSun" w:eastAsia="SimSun" w:cs="SimSun"/>
                <w:sz w:val="15"/>
                <w:szCs w:val="15"/>
                <w:color w:val="212529"/>
                <w:spacing w:val="1"/>
                <w:position w:val="1"/>
              </w:rPr>
              <w:t>1102</w:t>
            </w:r>
          </w:p>
        </w:tc>
        <w:tc>
          <w:tcPr>
            <w:tcW w:w="3186" w:type="dxa"/>
            <w:vAlign w:val="top"/>
          </w:tcPr>
          <w:p>
            <w:pPr>
              <w:ind w:left="1"/>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2.71</w:t>
            </w:r>
          </w:p>
        </w:tc>
        <w:tc>
          <w:tcPr>
            <w:tcW w:w="1350" w:type="dxa"/>
            <w:vAlign w:val="top"/>
          </w:tcPr>
          <w:p>
            <w:pPr>
              <w:ind w:left="1001"/>
              <w:spacing w:before="74" w:line="202" w:lineRule="exact"/>
              <w:rPr>
                <w:rFonts w:ascii="SimSun" w:hAnsi="SimSun" w:eastAsia="SimSun" w:cs="SimSun"/>
                <w:sz w:val="15"/>
                <w:szCs w:val="15"/>
              </w:rPr>
            </w:pPr>
            <w:r>
              <w:rPr>
                <w:rFonts w:ascii="SimSun" w:hAnsi="SimSun" w:eastAsia="SimSun" w:cs="SimSun"/>
                <w:sz w:val="15"/>
                <w:szCs w:val="15"/>
                <w:color w:val="212529"/>
                <w:spacing w:val="1"/>
                <w:position w:val="1"/>
              </w:rPr>
              <w:t>2.</w:t>
            </w:r>
          </w:p>
        </w:tc>
        <w:tc>
          <w:tcPr>
            <w:tcW w:w="1388" w:type="dxa"/>
            <w:vAlign w:val="top"/>
          </w:tcPr>
          <w:p>
            <w:pPr>
              <w:pStyle w:val="TableText"/>
              <w:rPr/>
            </w:pPr>
            <w:r/>
          </w:p>
        </w:tc>
      </w:tr>
      <w:tr>
        <w:trPr>
          <w:trHeight w:val="292" w:hRule="atLeast"/>
        </w:trPr>
        <w:tc>
          <w:tcPr>
            <w:tcW w:w="1690" w:type="dxa"/>
            <w:vAlign w:val="top"/>
          </w:tcPr>
          <w:p>
            <w:pPr>
              <w:ind w:left="8"/>
              <w:spacing w:before="7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86"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6.05</w:t>
            </w:r>
          </w:p>
        </w:tc>
        <w:tc>
          <w:tcPr>
            <w:tcW w:w="1350" w:type="dxa"/>
            <w:vAlign w:val="top"/>
          </w:tcPr>
          <w:p>
            <w:pPr>
              <w:ind w:left="1084"/>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388" w:type="dxa"/>
            <w:vAlign w:val="top"/>
          </w:tcPr>
          <w:p>
            <w:pPr>
              <w:pStyle w:val="TableText"/>
              <w:rPr/>
            </w:pPr>
            <w:r/>
          </w:p>
        </w:tc>
      </w:tr>
      <w:tr>
        <w:trPr>
          <w:trHeight w:val="293" w:hRule="atLeast"/>
        </w:trPr>
        <w:tc>
          <w:tcPr>
            <w:tcW w:w="1690"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86" w:type="dxa"/>
            <w:vAlign w:val="top"/>
          </w:tcPr>
          <w:p>
            <w:pPr>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18"/>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6.05</w:t>
            </w:r>
          </w:p>
        </w:tc>
        <w:tc>
          <w:tcPr>
            <w:tcW w:w="1350" w:type="dxa"/>
            <w:vAlign w:val="top"/>
          </w:tcPr>
          <w:p>
            <w:pPr>
              <w:ind w:right="24"/>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.05</w:t>
            </w:r>
          </w:p>
        </w:tc>
        <w:tc>
          <w:tcPr>
            <w:tcW w:w="1388" w:type="dxa"/>
            <w:vAlign w:val="top"/>
          </w:tcPr>
          <w:p>
            <w:pPr>
              <w:pStyle w:val="TableText"/>
              <w:rPr/>
            </w:pPr>
            <w:r/>
          </w:p>
        </w:tc>
      </w:tr>
      <w:tr>
        <w:trPr>
          <w:trHeight w:val="298" w:hRule="atLeast"/>
        </w:trPr>
        <w:tc>
          <w:tcPr>
            <w:tcW w:w="1690"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86"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4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6.05</w:t>
            </w:r>
          </w:p>
        </w:tc>
        <w:tc>
          <w:tcPr>
            <w:tcW w:w="1350"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6.05</w:t>
            </w:r>
          </w:p>
        </w:tc>
        <w:tc>
          <w:tcPr>
            <w:tcW w:w="1388" w:type="dxa"/>
            <w:vAlign w:val="top"/>
          </w:tcPr>
          <w:p>
            <w:pPr>
              <w:pStyle w:val="TableText"/>
              <w:rPr/>
            </w:pPr>
            <w:r/>
          </w:p>
        </w:tc>
      </w:tr>
    </w:tbl>
    <w:p>
      <w:pPr>
        <w:pStyle w:val="BodyText"/>
        <w:rPr/>
      </w:pPr>
      <w:r/>
    </w:p>
    <w:p>
      <w:pPr>
        <w:sectPr>
          <w:headerReference w:type="default" r:id="rId19"/>
          <w:footerReference w:type="default" r:id="rId20"/>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407"/>
        <w:gridCol w:w="2343"/>
        <w:gridCol w:w="1134"/>
        <w:gridCol w:w="1134"/>
        <w:gridCol w:w="1064"/>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884"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单位名称：兴县瓦塘镇中心卫生院裴家川口分院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064" w:type="dxa"/>
            <w:vAlign w:val="top"/>
            <w:tcBorders>
              <w:top w:val="single" w:color="FFFFFF" w:sz="4" w:space="0"/>
              <w:left w:val="single" w:color="FFFFFF" w:sz="2" w:space="0"/>
              <w:right w:val="single" w:color="FFFFFF" w:sz="2" w:space="0"/>
            </w:tcBorders>
          </w:tcPr>
          <w:p>
            <w:pPr>
              <w:ind w:left="393"/>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407" w:type="dxa"/>
            <w:vAlign w:val="top"/>
            <w:vMerge w:val="restart"/>
            <w:tcBorders>
              <w:bottom w:val="nil"/>
            </w:tcBorders>
          </w:tcPr>
          <w:p>
            <w:pPr>
              <w:ind w:left="71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343" w:type="dxa"/>
            <w:vAlign w:val="top"/>
            <w:vMerge w:val="restart"/>
            <w:tcBorders>
              <w:bottom w:val="nil"/>
            </w:tcBorders>
          </w:tcPr>
          <w:p>
            <w:pPr>
              <w:ind w:left="188"/>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332" w:type="dxa"/>
            <w:vAlign w:val="top"/>
            <w:gridSpan w:val="3"/>
          </w:tcPr>
          <w:p>
            <w:pPr>
              <w:ind w:left="1174"/>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407" w:type="dxa"/>
            <w:vAlign w:val="top"/>
            <w:vMerge w:val="continue"/>
            <w:tcBorders>
              <w:top w:val="nil"/>
            </w:tcBorders>
          </w:tcPr>
          <w:p>
            <w:pPr>
              <w:pStyle w:val="TableText"/>
              <w:rPr/>
            </w:pPr>
            <w:r/>
          </w:p>
        </w:tc>
        <w:tc>
          <w:tcPr>
            <w:tcW w:w="2343" w:type="dxa"/>
            <w:vAlign w:val="top"/>
            <w:vMerge w:val="continue"/>
            <w:tcBorders>
              <w:top w:val="nil"/>
            </w:tcBorders>
          </w:tcPr>
          <w:p>
            <w:pPr>
              <w:pStyle w:val="TableText"/>
              <w:rPr/>
            </w:pPr>
            <w:r/>
          </w:p>
        </w:tc>
        <w:tc>
          <w:tcPr>
            <w:tcW w:w="1134" w:type="dxa"/>
            <w:vAlign w:val="top"/>
          </w:tcPr>
          <w:p>
            <w:pPr>
              <w:ind w:left="400"/>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8"/>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064" w:type="dxa"/>
            <w:vAlign w:val="top"/>
          </w:tcPr>
          <w:p>
            <w:pPr>
              <w:ind w:left="206"/>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750" w:type="dxa"/>
            <w:vAlign w:val="top"/>
            <w:gridSpan w:val="2"/>
          </w:tcPr>
          <w:p>
            <w:pPr>
              <w:ind w:left="2717"/>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34" w:type="dxa"/>
            <w:vAlign w:val="top"/>
          </w:tcPr>
          <w:p>
            <w:pPr>
              <w:pStyle w:val="TableText"/>
              <w:ind w:left="711"/>
              <w:spacing w:before="87" w:line="186" w:lineRule="auto"/>
              <w:rPr>
                <w:sz w:val="13"/>
                <w:szCs w:val="13"/>
              </w:rPr>
            </w:pPr>
            <w:r>
              <w:rPr>
                <w:sz w:val="13"/>
                <w:szCs w:val="13"/>
                <w:color w:val="212529"/>
                <w:spacing w:val="4"/>
              </w:rPr>
              <w:t>79.</w:t>
            </w:r>
            <w:r>
              <w:rPr>
                <w:sz w:val="13"/>
                <w:szCs w:val="13"/>
                <w:color w:val="212529"/>
                <w:spacing w:val="9"/>
              </w:rPr>
              <w:t xml:space="preserve"> </w:t>
            </w:r>
            <w:r>
              <w:rPr>
                <w:sz w:val="13"/>
                <w:szCs w:val="13"/>
                <w:color w:val="212529"/>
                <w:spacing w:val="4"/>
              </w:rPr>
              <w:t>67</w:t>
            </w:r>
          </w:p>
        </w:tc>
        <w:tc>
          <w:tcPr>
            <w:tcW w:w="1134" w:type="dxa"/>
            <w:vAlign w:val="top"/>
          </w:tcPr>
          <w:p>
            <w:pPr>
              <w:pStyle w:val="TableText"/>
              <w:ind w:left="713"/>
              <w:spacing w:before="87" w:line="186" w:lineRule="auto"/>
              <w:rPr>
                <w:sz w:val="13"/>
                <w:szCs w:val="13"/>
              </w:rPr>
            </w:pPr>
            <w:r>
              <w:rPr>
                <w:sz w:val="13"/>
                <w:szCs w:val="13"/>
                <w:color w:val="212529"/>
                <w:spacing w:val="4"/>
              </w:rPr>
              <w:t>74.</w:t>
            </w:r>
            <w:r>
              <w:rPr>
                <w:sz w:val="13"/>
                <w:szCs w:val="13"/>
                <w:color w:val="212529"/>
                <w:spacing w:val="10"/>
              </w:rPr>
              <w:t xml:space="preserve"> </w:t>
            </w:r>
            <w:r>
              <w:rPr>
                <w:sz w:val="13"/>
                <w:szCs w:val="13"/>
                <w:color w:val="212529"/>
                <w:spacing w:val="4"/>
              </w:rPr>
              <w:t>56</w:t>
            </w:r>
          </w:p>
        </w:tc>
        <w:tc>
          <w:tcPr>
            <w:tcW w:w="1064" w:type="dxa"/>
            <w:vAlign w:val="top"/>
          </w:tcPr>
          <w:p>
            <w:pPr>
              <w:pStyle w:val="TableText"/>
              <w:ind w:left="718"/>
              <w:spacing w:before="87" w:line="186" w:lineRule="auto"/>
              <w:rPr>
                <w:sz w:val="13"/>
                <w:szCs w:val="13"/>
              </w:rPr>
            </w:pPr>
            <w:r>
              <w:rPr>
                <w:sz w:val="13"/>
                <w:szCs w:val="13"/>
                <w:color w:val="212529"/>
                <w:spacing w:val="1"/>
              </w:rPr>
              <w:t>5.</w:t>
            </w:r>
            <w:r>
              <w:rPr>
                <w:sz w:val="13"/>
                <w:szCs w:val="13"/>
                <w:color w:val="212529"/>
                <w:spacing w:val="16"/>
              </w:rPr>
              <w:t xml:space="preserve"> </w:t>
            </w:r>
            <w:r>
              <w:rPr>
                <w:sz w:val="13"/>
                <w:szCs w:val="13"/>
                <w:color w:val="212529"/>
                <w:spacing w:val="1"/>
              </w:rPr>
              <w:t>12</w:t>
            </w:r>
          </w:p>
        </w:tc>
      </w:tr>
      <w:tr>
        <w:trPr>
          <w:trHeight w:val="292" w:hRule="atLeast"/>
        </w:trPr>
        <w:tc>
          <w:tcPr>
            <w:tcW w:w="3407"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343" w:type="dxa"/>
            <w:vAlign w:val="top"/>
          </w:tcPr>
          <w:p>
            <w:pPr>
              <w:pStyle w:val="TableText"/>
              <w:rPr/>
            </w:pPr>
            <w:r/>
          </w:p>
        </w:tc>
        <w:tc>
          <w:tcPr>
            <w:tcW w:w="1134" w:type="dxa"/>
            <w:vAlign w:val="top"/>
          </w:tcPr>
          <w:p>
            <w:pPr>
              <w:ind w:right="18"/>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68.56</w:t>
            </w:r>
          </w:p>
        </w:tc>
        <w:tc>
          <w:tcPr>
            <w:tcW w:w="1134" w:type="dxa"/>
            <w:vAlign w:val="top"/>
          </w:tcPr>
          <w:p>
            <w:pPr>
              <w:ind w:right="15"/>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68.56</w:t>
            </w:r>
          </w:p>
        </w:tc>
        <w:tc>
          <w:tcPr>
            <w:tcW w:w="1064" w:type="dxa"/>
            <w:vAlign w:val="top"/>
          </w:tcPr>
          <w:p>
            <w:pPr>
              <w:pStyle w:val="TableText"/>
              <w:rPr/>
            </w:pPr>
            <w:r/>
          </w:p>
        </w:tc>
      </w:tr>
      <w:tr>
        <w:trPr>
          <w:trHeight w:val="292" w:hRule="atLeast"/>
        </w:trPr>
        <w:tc>
          <w:tcPr>
            <w:tcW w:w="3407"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343" w:type="dxa"/>
            <w:vAlign w:val="top"/>
          </w:tcPr>
          <w:p>
            <w:pPr>
              <w:ind w:left="331"/>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23.79</w:t>
            </w:r>
          </w:p>
        </w:tc>
        <w:tc>
          <w:tcPr>
            <w:tcW w:w="1134" w:type="dxa"/>
            <w:vAlign w:val="top"/>
          </w:tcPr>
          <w:p>
            <w:pPr>
              <w:ind w:right="15"/>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23.79</w:t>
            </w:r>
          </w:p>
        </w:tc>
        <w:tc>
          <w:tcPr>
            <w:tcW w:w="1064" w:type="dxa"/>
            <w:vAlign w:val="top"/>
          </w:tcPr>
          <w:p>
            <w:pPr>
              <w:pStyle w:val="TableText"/>
              <w:rPr/>
            </w:pPr>
            <w:r/>
          </w:p>
        </w:tc>
      </w:tr>
      <w:tr>
        <w:trPr>
          <w:trHeight w:val="292" w:hRule="atLeast"/>
        </w:trPr>
        <w:tc>
          <w:tcPr>
            <w:tcW w:w="3407"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343" w:type="dxa"/>
            <w:vAlign w:val="top"/>
          </w:tcPr>
          <w:p>
            <w:pPr>
              <w:ind w:left="331"/>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11.47</w:t>
            </w:r>
          </w:p>
        </w:tc>
        <w:tc>
          <w:tcPr>
            <w:tcW w:w="1134" w:type="dxa"/>
            <w:vAlign w:val="top"/>
          </w:tcPr>
          <w:p>
            <w:pPr>
              <w:ind w:right="15"/>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11.47</w:t>
            </w:r>
          </w:p>
        </w:tc>
        <w:tc>
          <w:tcPr>
            <w:tcW w:w="1064" w:type="dxa"/>
            <w:vAlign w:val="top"/>
          </w:tcPr>
          <w:p>
            <w:pPr>
              <w:pStyle w:val="TableText"/>
              <w:rPr/>
            </w:pPr>
            <w:r/>
          </w:p>
        </w:tc>
      </w:tr>
      <w:tr>
        <w:trPr>
          <w:trHeight w:val="292" w:hRule="atLeast"/>
        </w:trPr>
        <w:tc>
          <w:tcPr>
            <w:tcW w:w="3407"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343" w:type="dxa"/>
            <w:vAlign w:val="top"/>
          </w:tcPr>
          <w:p>
            <w:pPr>
              <w:ind w:left="331"/>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16.56</w:t>
            </w:r>
          </w:p>
        </w:tc>
        <w:tc>
          <w:tcPr>
            <w:tcW w:w="1134" w:type="dxa"/>
            <w:vAlign w:val="top"/>
          </w:tcPr>
          <w:p>
            <w:pPr>
              <w:ind w:right="15"/>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16.56</w:t>
            </w:r>
          </w:p>
        </w:tc>
        <w:tc>
          <w:tcPr>
            <w:tcW w:w="1064" w:type="dxa"/>
            <w:vAlign w:val="top"/>
          </w:tcPr>
          <w:p>
            <w:pPr>
              <w:pStyle w:val="TableText"/>
              <w:rPr/>
            </w:pPr>
            <w:r/>
          </w:p>
        </w:tc>
      </w:tr>
      <w:tr>
        <w:trPr>
          <w:trHeight w:val="292" w:hRule="atLeast"/>
        </w:trPr>
        <w:tc>
          <w:tcPr>
            <w:tcW w:w="3407"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343" w:type="dxa"/>
            <w:vAlign w:val="top"/>
          </w:tcPr>
          <w:p>
            <w:pPr>
              <w:ind w:left="331"/>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6.59</w:t>
            </w:r>
          </w:p>
        </w:tc>
        <w:tc>
          <w:tcPr>
            <w:tcW w:w="1134" w:type="dxa"/>
            <w:vAlign w:val="top"/>
          </w:tcPr>
          <w:p>
            <w:pPr>
              <w:ind w:right="15"/>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6.59</w:t>
            </w:r>
          </w:p>
        </w:tc>
        <w:tc>
          <w:tcPr>
            <w:tcW w:w="1064" w:type="dxa"/>
            <w:vAlign w:val="top"/>
          </w:tcPr>
          <w:p>
            <w:pPr>
              <w:pStyle w:val="TableText"/>
              <w:rPr/>
            </w:pPr>
            <w:r/>
          </w:p>
        </w:tc>
      </w:tr>
      <w:tr>
        <w:trPr>
          <w:trHeight w:val="292" w:hRule="atLeast"/>
        </w:trPr>
        <w:tc>
          <w:tcPr>
            <w:tcW w:w="3407"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343"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2.68</w:t>
            </w:r>
          </w:p>
        </w:tc>
        <w:tc>
          <w:tcPr>
            <w:tcW w:w="1134" w:type="dxa"/>
            <w:vAlign w:val="top"/>
          </w:tcPr>
          <w:p>
            <w:pPr>
              <w:ind w:right="15"/>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2.68</w:t>
            </w:r>
          </w:p>
        </w:tc>
        <w:tc>
          <w:tcPr>
            <w:tcW w:w="1064" w:type="dxa"/>
            <w:vAlign w:val="top"/>
          </w:tcPr>
          <w:p>
            <w:pPr>
              <w:pStyle w:val="TableText"/>
              <w:rPr/>
            </w:pPr>
            <w:r/>
          </w:p>
        </w:tc>
      </w:tr>
      <w:tr>
        <w:trPr>
          <w:trHeight w:val="292" w:hRule="atLeast"/>
        </w:trPr>
        <w:tc>
          <w:tcPr>
            <w:tcW w:w="3407"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343"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0.15</w:t>
            </w:r>
          </w:p>
        </w:tc>
        <w:tc>
          <w:tcPr>
            <w:tcW w:w="1134" w:type="dxa"/>
            <w:vAlign w:val="top"/>
          </w:tcPr>
          <w:p>
            <w:pPr>
              <w:ind w:right="15"/>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0.15</w:t>
            </w:r>
          </w:p>
        </w:tc>
        <w:tc>
          <w:tcPr>
            <w:tcW w:w="1064" w:type="dxa"/>
            <w:vAlign w:val="top"/>
          </w:tcPr>
          <w:p>
            <w:pPr>
              <w:pStyle w:val="TableText"/>
              <w:rPr/>
            </w:pPr>
            <w:r/>
          </w:p>
        </w:tc>
      </w:tr>
      <w:tr>
        <w:trPr>
          <w:trHeight w:val="292" w:hRule="atLeast"/>
        </w:trPr>
        <w:tc>
          <w:tcPr>
            <w:tcW w:w="3407" w:type="dxa"/>
            <w:vAlign w:val="top"/>
          </w:tcPr>
          <w:p>
            <w:pPr>
              <w:ind w:left="660"/>
              <w:spacing w:before="73" w:line="230" w:lineRule="auto"/>
              <w:rPr>
                <w:rFonts w:ascii="SimSun" w:hAnsi="SimSun" w:eastAsia="SimSun" w:cs="SimSun"/>
                <w:sz w:val="15"/>
                <w:szCs w:val="15"/>
              </w:rPr>
            </w:pPr>
            <w:r>
              <w:rPr>
                <w:rFonts w:ascii="SimSun" w:hAnsi="SimSun" w:eastAsia="SimSun" w:cs="SimSun"/>
                <w:sz w:val="15"/>
                <w:szCs w:val="15"/>
                <w:color w:val="212529"/>
                <w:spacing w:val="7"/>
              </w:rPr>
              <w:t>公积金</w:t>
            </w:r>
          </w:p>
        </w:tc>
        <w:tc>
          <w:tcPr>
            <w:tcW w:w="2343"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6.05</w:t>
            </w:r>
          </w:p>
        </w:tc>
        <w:tc>
          <w:tcPr>
            <w:tcW w:w="1134" w:type="dxa"/>
            <w:vAlign w:val="top"/>
          </w:tcPr>
          <w:p>
            <w:pPr>
              <w:ind w:right="15"/>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6.05</w:t>
            </w:r>
          </w:p>
        </w:tc>
        <w:tc>
          <w:tcPr>
            <w:tcW w:w="1064" w:type="dxa"/>
            <w:vAlign w:val="top"/>
          </w:tcPr>
          <w:p>
            <w:pPr>
              <w:pStyle w:val="TableText"/>
              <w:rPr/>
            </w:pPr>
            <w:r/>
          </w:p>
        </w:tc>
      </w:tr>
      <w:tr>
        <w:trPr>
          <w:trHeight w:val="292" w:hRule="atLeast"/>
        </w:trPr>
        <w:tc>
          <w:tcPr>
            <w:tcW w:w="3407"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343" w:type="dxa"/>
            <w:vAlign w:val="top"/>
          </w:tcPr>
          <w:p>
            <w:pPr>
              <w:ind w:left="331"/>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1.26</w:t>
            </w:r>
          </w:p>
        </w:tc>
        <w:tc>
          <w:tcPr>
            <w:tcW w:w="1134" w:type="dxa"/>
            <w:vAlign w:val="top"/>
          </w:tcPr>
          <w:p>
            <w:pPr>
              <w:ind w:left="877"/>
              <w:spacing w:before="191" w:line="62" w:lineRule="exact"/>
              <w:rPr>
                <w:rFonts w:ascii="SimSun" w:hAnsi="SimSun" w:eastAsia="SimSun" w:cs="SimSun"/>
                <w:sz w:val="15"/>
                <w:szCs w:val="15"/>
              </w:rPr>
            </w:pPr>
            <w:r>
              <w:rPr>
                <w:rFonts w:ascii="SimSun" w:hAnsi="SimSun" w:eastAsia="SimSun" w:cs="SimSun"/>
                <w:sz w:val="15"/>
                <w:szCs w:val="15"/>
                <w:color w:val="212529"/>
                <w:position w:val="1"/>
              </w:rPr>
              <w:t>.</w:t>
            </w:r>
          </w:p>
        </w:tc>
        <w:tc>
          <w:tcPr>
            <w:tcW w:w="1064" w:type="dxa"/>
            <w:vAlign w:val="top"/>
          </w:tcPr>
          <w:p>
            <w:pPr>
              <w:pStyle w:val="TableText"/>
              <w:rPr/>
            </w:pPr>
            <w:r/>
          </w:p>
        </w:tc>
      </w:tr>
      <w:tr>
        <w:trPr>
          <w:trHeight w:val="293" w:hRule="atLeast"/>
        </w:trPr>
        <w:tc>
          <w:tcPr>
            <w:tcW w:w="3407"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343" w:type="dxa"/>
            <w:vAlign w:val="top"/>
          </w:tcPr>
          <w:p>
            <w:pPr>
              <w:pStyle w:val="TableText"/>
              <w:rPr/>
            </w:pPr>
            <w:r/>
          </w:p>
        </w:tc>
        <w:tc>
          <w:tcPr>
            <w:tcW w:w="113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5.12</w:t>
            </w:r>
          </w:p>
        </w:tc>
        <w:tc>
          <w:tcPr>
            <w:tcW w:w="1134" w:type="dxa"/>
            <w:vAlign w:val="top"/>
          </w:tcPr>
          <w:p>
            <w:pPr>
              <w:pStyle w:val="TableText"/>
              <w:rPr/>
            </w:pPr>
            <w:r/>
          </w:p>
        </w:tc>
        <w:tc>
          <w:tcPr>
            <w:tcW w:w="106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5.12</w:t>
            </w:r>
          </w:p>
        </w:tc>
      </w:tr>
      <w:tr>
        <w:trPr>
          <w:trHeight w:val="293" w:hRule="atLeast"/>
        </w:trPr>
        <w:tc>
          <w:tcPr>
            <w:tcW w:w="3407"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343"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34" w:type="dxa"/>
            <w:vAlign w:val="top"/>
          </w:tcPr>
          <w:p>
            <w:pPr>
              <w:ind w:left="875"/>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34" w:type="dxa"/>
            <w:vAlign w:val="top"/>
          </w:tcPr>
          <w:p>
            <w:pPr>
              <w:pStyle w:val="TableText"/>
              <w:rPr/>
            </w:pPr>
            <w:r/>
          </w:p>
        </w:tc>
        <w:tc>
          <w:tcPr>
            <w:tcW w:w="106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2.85</w:t>
            </w:r>
          </w:p>
        </w:tc>
      </w:tr>
      <w:tr>
        <w:trPr>
          <w:trHeight w:val="292" w:hRule="atLeast"/>
        </w:trPr>
        <w:tc>
          <w:tcPr>
            <w:tcW w:w="3407"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343" w:type="dxa"/>
            <w:vAlign w:val="top"/>
          </w:tcPr>
          <w:p>
            <w:pPr>
              <w:ind w:left="332"/>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34" w:type="dxa"/>
            <w:vAlign w:val="top"/>
          </w:tcPr>
          <w:p>
            <w:pPr>
              <w:ind w:left="875"/>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34" w:type="dxa"/>
            <w:vAlign w:val="top"/>
          </w:tcPr>
          <w:p>
            <w:pPr>
              <w:pStyle w:val="TableText"/>
              <w:rPr/>
            </w:pPr>
            <w:r/>
          </w:p>
        </w:tc>
        <w:tc>
          <w:tcPr>
            <w:tcW w:w="106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0.82</w:t>
            </w:r>
          </w:p>
        </w:tc>
      </w:tr>
      <w:tr>
        <w:trPr>
          <w:trHeight w:val="293" w:hRule="atLeast"/>
        </w:trPr>
        <w:tc>
          <w:tcPr>
            <w:tcW w:w="3407"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343"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3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1.44</w:t>
            </w:r>
          </w:p>
        </w:tc>
        <w:tc>
          <w:tcPr>
            <w:tcW w:w="1134" w:type="dxa"/>
            <w:vAlign w:val="top"/>
          </w:tcPr>
          <w:p>
            <w:pPr>
              <w:pStyle w:val="TableText"/>
              <w:rPr/>
            </w:pPr>
            <w:r/>
          </w:p>
        </w:tc>
        <w:tc>
          <w:tcPr>
            <w:tcW w:w="106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1.44</w:t>
            </w:r>
          </w:p>
        </w:tc>
      </w:tr>
      <w:tr>
        <w:trPr>
          <w:trHeight w:val="292" w:hRule="atLeast"/>
        </w:trPr>
        <w:tc>
          <w:tcPr>
            <w:tcW w:w="3407"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343" w:type="dxa"/>
            <w:vAlign w:val="top"/>
          </w:tcPr>
          <w:p>
            <w:pPr>
              <w:pStyle w:val="TableText"/>
              <w:rPr/>
            </w:pPr>
            <w:r/>
          </w:p>
        </w:tc>
        <w:tc>
          <w:tcPr>
            <w:tcW w:w="113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134" w:type="dxa"/>
            <w:vAlign w:val="top"/>
          </w:tcPr>
          <w:p>
            <w:pPr>
              <w:ind w:right="15"/>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064" w:type="dxa"/>
            <w:vAlign w:val="top"/>
          </w:tcPr>
          <w:p>
            <w:pPr>
              <w:pStyle w:val="TableText"/>
              <w:rPr/>
            </w:pPr>
            <w:r/>
          </w:p>
        </w:tc>
      </w:tr>
      <w:tr>
        <w:trPr>
          <w:trHeight w:val="298" w:hRule="atLeast"/>
        </w:trPr>
        <w:tc>
          <w:tcPr>
            <w:tcW w:w="3407" w:type="dxa"/>
            <w:vAlign w:val="top"/>
          </w:tcPr>
          <w:p>
            <w:pPr>
              <w:ind w:left="330"/>
              <w:spacing w:before="76"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343" w:type="dxa"/>
            <w:vAlign w:val="top"/>
          </w:tcPr>
          <w:p>
            <w:pPr>
              <w:ind w:left="329"/>
              <w:spacing w:before="76"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134" w:type="dxa"/>
            <w:vAlign w:val="top"/>
          </w:tcPr>
          <w:p>
            <w:pPr>
              <w:ind w:right="18"/>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134" w:type="dxa"/>
            <w:vAlign w:val="top"/>
          </w:tcPr>
          <w:p>
            <w:pPr>
              <w:ind w:right="15"/>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064" w:type="dxa"/>
            <w:vAlign w:val="top"/>
          </w:tcPr>
          <w:p>
            <w:pPr>
              <w:pStyle w:val="TableText"/>
              <w:rPr/>
            </w:pPr>
            <w:r/>
          </w:p>
        </w:tc>
      </w:tr>
    </w:tbl>
    <w:p>
      <w:pPr>
        <w:pStyle w:val="BodyText"/>
        <w:rPr/>
      </w:pPr>
      <w:r/>
    </w:p>
    <w:p>
      <w:pPr>
        <w:sectPr>
          <w:headerReference w:type="default" r:id="rId21"/>
          <w:footerReference w:type="default" r:id="rId22"/>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单位名称：兴县瓦塘镇中心卫生院裴家川口分院</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3"/>
          <w:footerReference w:type="default" r:id="rId24"/>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单位名称：兴县瓦塘镇中心卫生院裴家川口分院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5"/>
          <w:footerReference w:type="default" r:id="rId26"/>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单位名称：兴县瓦塘镇中心卫生院裴家川口分院</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单位名称：兴县瓦塘镇中心卫生院裴家川口分院</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7"/>
          <w:footerReference w:type="default" r:id="rId28"/>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单位名称：兴县瓦塘镇中心卫生院裴家川口分院</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9"/>
          <w:footerReference w:type="default" r:id="rId30"/>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18"/>
        <w:gridCol w:w="1069"/>
        <w:gridCol w:w="1080"/>
        <w:gridCol w:w="832"/>
        <w:gridCol w:w="1242"/>
        <w:gridCol w:w="1069"/>
        <w:gridCol w:w="848"/>
      </w:tblGrid>
      <w:tr>
        <w:trPr>
          <w:trHeight w:val="384" w:hRule="atLeast"/>
        </w:trPr>
        <w:tc>
          <w:tcPr>
            <w:tcW w:w="301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17"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41"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单位名称：兴县瓦塘镇中心卫生院裴家川口分院</w:t>
            </w:r>
          </w:p>
        </w:tc>
        <w:tc>
          <w:tcPr>
            <w:tcW w:w="1917" w:type="dxa"/>
            <w:vAlign w:val="top"/>
            <w:gridSpan w:val="2"/>
            <w:tcBorders>
              <w:top w:val="single" w:color="FFFFFF" w:sz="4" w:space="0"/>
              <w:left w:val="single" w:color="FFFFFF" w:sz="2" w:space="0"/>
              <w:right w:val="single" w:color="FFFFFF" w:sz="2" w:space="0"/>
            </w:tcBorders>
          </w:tcPr>
          <w:p>
            <w:pPr>
              <w:ind w:left="1244"/>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018" w:type="dxa"/>
            <w:vAlign w:val="top"/>
            <w:vMerge w:val="restart"/>
            <w:tcBorders>
              <w:bottom w:val="nil"/>
            </w:tcBorders>
          </w:tcPr>
          <w:p>
            <w:pPr>
              <w:ind w:left="1170"/>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069" w:type="dxa"/>
            <w:vAlign w:val="top"/>
            <w:vMerge w:val="restart"/>
            <w:tcBorders>
              <w:bottom w:val="nil"/>
            </w:tcBorders>
          </w:tcPr>
          <w:p>
            <w:pPr>
              <w:ind w:left="36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54" w:type="dxa"/>
            <w:vAlign w:val="top"/>
            <w:gridSpan w:val="3"/>
          </w:tcPr>
          <w:p>
            <w:pPr>
              <w:ind w:left="1003"/>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69" w:type="dxa"/>
            <w:vAlign w:val="top"/>
            <w:vMerge w:val="restart"/>
            <w:tcBorders>
              <w:bottom w:val="nil"/>
            </w:tcBorders>
          </w:tcPr>
          <w:p>
            <w:pPr>
              <w:ind w:left="40"/>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0"/>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48" w:type="dxa"/>
            <w:vAlign w:val="top"/>
            <w:vMerge w:val="restart"/>
            <w:tcBorders>
              <w:bottom w:val="nil"/>
            </w:tcBorders>
          </w:tcPr>
          <w:p>
            <w:pPr>
              <w:ind w:left="88"/>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3018" w:type="dxa"/>
            <w:vAlign w:val="top"/>
            <w:vMerge w:val="continue"/>
            <w:tcBorders>
              <w:top w:val="nil"/>
            </w:tcBorders>
          </w:tcPr>
          <w:p>
            <w:pPr>
              <w:pStyle w:val="TableText"/>
              <w:rPr/>
            </w:pPr>
            <w:r/>
          </w:p>
        </w:tc>
        <w:tc>
          <w:tcPr>
            <w:tcW w:w="1069" w:type="dxa"/>
            <w:vAlign w:val="top"/>
            <w:vMerge w:val="continue"/>
            <w:tcBorders>
              <w:top w:val="nil"/>
            </w:tcBorders>
          </w:tcPr>
          <w:p>
            <w:pPr>
              <w:pStyle w:val="TableText"/>
              <w:rPr/>
            </w:pPr>
            <w:r/>
          </w:p>
        </w:tc>
        <w:tc>
          <w:tcPr>
            <w:tcW w:w="1080" w:type="dxa"/>
            <w:vAlign w:val="top"/>
          </w:tcPr>
          <w:p>
            <w:pPr>
              <w:ind w:left="45"/>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0" w:right="97"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42" w:type="dxa"/>
            <w:vAlign w:val="top"/>
          </w:tcPr>
          <w:p>
            <w:pPr>
              <w:ind w:left="57"/>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23"/>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69" w:type="dxa"/>
            <w:vAlign w:val="top"/>
            <w:vMerge w:val="continue"/>
            <w:tcBorders>
              <w:top w:val="nil"/>
            </w:tcBorders>
          </w:tcPr>
          <w:p>
            <w:pPr>
              <w:pStyle w:val="TableText"/>
              <w:rPr/>
            </w:pPr>
            <w:r/>
          </w:p>
        </w:tc>
        <w:tc>
          <w:tcPr>
            <w:tcW w:w="848" w:type="dxa"/>
            <w:vAlign w:val="top"/>
            <w:vMerge w:val="continue"/>
            <w:tcBorders>
              <w:top w:val="nil"/>
            </w:tcBorders>
          </w:tcPr>
          <w:p>
            <w:pPr>
              <w:pStyle w:val="TableText"/>
              <w:rPr/>
            </w:pPr>
            <w:r/>
          </w:p>
        </w:tc>
      </w:tr>
      <w:tr>
        <w:trPr>
          <w:trHeight w:val="378" w:hRule="atLeast"/>
        </w:trPr>
        <w:tc>
          <w:tcPr>
            <w:tcW w:w="3018" w:type="dxa"/>
            <w:vAlign w:val="top"/>
          </w:tcPr>
          <w:p>
            <w:pPr>
              <w:ind w:left="1467"/>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069" w:type="dxa"/>
            <w:vAlign w:val="top"/>
          </w:tcPr>
          <w:p>
            <w:pPr>
              <w:ind w:left="485"/>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080" w:type="dxa"/>
            <w:vAlign w:val="top"/>
          </w:tcPr>
          <w:p>
            <w:pPr>
              <w:ind w:left="497"/>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6"/>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2" w:type="dxa"/>
            <w:vAlign w:val="top"/>
          </w:tcPr>
          <w:p>
            <w:pPr>
              <w:ind w:left="572"/>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69" w:type="dxa"/>
            <w:vAlign w:val="top"/>
          </w:tcPr>
          <w:p>
            <w:pPr>
              <w:ind w:left="487"/>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48" w:type="dxa"/>
            <w:vAlign w:val="top"/>
          </w:tcPr>
          <w:p>
            <w:pPr>
              <w:ind w:left="379"/>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3018" w:type="dxa"/>
            <w:vAlign w:val="top"/>
          </w:tcPr>
          <w:p>
            <w:pPr>
              <w:ind w:left="91"/>
              <w:spacing w:before="115" w:line="229" w:lineRule="auto"/>
              <w:rPr>
                <w:rFonts w:ascii="SimSun" w:hAnsi="SimSun" w:eastAsia="SimSun" w:cs="SimSun"/>
                <w:sz w:val="15"/>
                <w:szCs w:val="15"/>
              </w:rPr>
            </w:pPr>
            <w:r>
              <w:rPr>
                <w:rFonts w:ascii="SimSun" w:hAnsi="SimSun" w:eastAsia="SimSun" w:cs="SimSun"/>
                <w:sz w:val="15"/>
                <w:szCs w:val="15"/>
                <w:color w:val="212529"/>
                <w:spacing w:val="11"/>
              </w:rPr>
              <w:t>兴县瓦塘镇中心卫生院裴家川口分院</w:t>
            </w:r>
          </w:p>
        </w:tc>
        <w:tc>
          <w:tcPr>
            <w:tcW w:w="106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21.04</w:t>
            </w:r>
          </w:p>
        </w:tc>
        <w:tc>
          <w:tcPr>
            <w:tcW w:w="1080"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21.04</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8" w:hRule="atLeast"/>
        </w:trPr>
        <w:tc>
          <w:tcPr>
            <w:tcW w:w="3018"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11"/>
              </w:rPr>
              <w:t>法院执行基层卫生院欠配送企业药款</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8.94</w:t>
            </w:r>
          </w:p>
        </w:tc>
        <w:tc>
          <w:tcPr>
            <w:tcW w:w="1080"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8.94</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9" w:right="91" w:firstLine="161"/>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2025年中央财政基本药物制度（村卫生</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7"/>
              </w:rPr>
              <w:t>室）晋财社[2024 208号</w:t>
            </w:r>
          </w:p>
        </w:tc>
        <w:tc>
          <w:tcPr>
            <w:tcW w:w="1069"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1.37</w:t>
            </w:r>
          </w:p>
        </w:tc>
        <w:tc>
          <w:tcPr>
            <w:tcW w:w="1080"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1.37</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6" w:right="91" w:firstLine="164"/>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2025年中央财政基本药物制度（基层医</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疗卫生机构）晋财社[2024]208号</w:t>
            </w:r>
          </w:p>
        </w:tc>
        <w:tc>
          <w:tcPr>
            <w:tcW w:w="1069"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3.10</w:t>
            </w:r>
          </w:p>
        </w:tc>
        <w:tc>
          <w:tcPr>
            <w:tcW w:w="1080"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654" w:right="91" w:firstLine="4"/>
              <w:spacing w:before="31" w:line="208" w:lineRule="auto"/>
              <w:rPr>
                <w:rFonts w:ascii="SimSun" w:hAnsi="SimSun" w:eastAsia="SimSun" w:cs="SimSun"/>
                <w:sz w:val="15"/>
                <w:szCs w:val="15"/>
              </w:rPr>
            </w:pPr>
            <w:r>
              <w:rPr>
                <w:rFonts w:ascii="SimSun" w:hAnsi="SimSun" w:eastAsia="SimSun" w:cs="SimSun"/>
                <w:sz w:val="15"/>
                <w:szCs w:val="15"/>
                <w:color w:val="212529"/>
                <w:spacing w:val="11"/>
              </w:rPr>
              <w:t>省级财政卫生健康人才培养（在</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8"/>
              </w:rPr>
              <w:t>位补助）晋财社[2024]218号</w:t>
            </w:r>
          </w:p>
        </w:tc>
        <w:tc>
          <w:tcPr>
            <w:tcW w:w="1069" w:type="dxa"/>
            <w:vAlign w:val="top"/>
          </w:tcPr>
          <w:p>
            <w:pPr>
              <w:ind w:right="18"/>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080"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11" w:right="172" w:firstLine="320"/>
              <w:spacing w:before="32" w:line="207" w:lineRule="auto"/>
              <w:rPr>
                <w:rFonts w:ascii="SimSun" w:hAnsi="SimSun" w:eastAsia="SimSun" w:cs="SimSun"/>
                <w:sz w:val="15"/>
                <w:szCs w:val="15"/>
              </w:rPr>
            </w:pPr>
            <w:r>
              <w:rPr>
                <w:rFonts w:ascii="SimSun" w:hAnsi="SimSun" w:eastAsia="SimSun" w:cs="SimSun"/>
                <w:sz w:val="15"/>
                <w:szCs w:val="15"/>
                <w:color w:val="212529"/>
                <w:spacing w:val="8"/>
              </w:rPr>
              <w:t>财社〔2025〕6号预拨2025年驻村医</w:t>
            </w:r>
            <w:r>
              <w:rPr>
                <w:rFonts w:ascii="SimSun" w:hAnsi="SimSun" w:eastAsia="SimSun" w:cs="SimSun"/>
                <w:sz w:val="15"/>
                <w:szCs w:val="15"/>
                <w:color w:val="212529"/>
                <w:spacing w:val="17"/>
              </w:rPr>
              <w:t xml:space="preserve"> </w:t>
            </w:r>
            <w:r>
              <w:rPr>
                <w:rFonts w:ascii="SimSun" w:hAnsi="SimSun" w:eastAsia="SimSun" w:cs="SimSun"/>
                <w:sz w:val="15"/>
                <w:szCs w:val="15"/>
                <w:color w:val="212529"/>
                <w:spacing w:val="10"/>
              </w:rPr>
              <w:t>生岗位津贴市级补助资金</w:t>
            </w:r>
          </w:p>
        </w:tc>
        <w:tc>
          <w:tcPr>
            <w:tcW w:w="106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080"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84" w:hRule="atLeast"/>
        </w:trPr>
        <w:tc>
          <w:tcPr>
            <w:tcW w:w="3018" w:type="dxa"/>
            <w:vAlign w:val="top"/>
          </w:tcPr>
          <w:p>
            <w:pPr>
              <w:ind w:left="7" w:right="172" w:firstLine="185"/>
              <w:spacing w:before="32" w:line="210" w:lineRule="auto"/>
              <w:rPr>
                <w:rFonts w:ascii="SimSun" w:hAnsi="SimSun" w:eastAsia="SimSun" w:cs="SimSun"/>
                <w:sz w:val="15"/>
                <w:szCs w:val="15"/>
              </w:rPr>
            </w:pPr>
            <w:r>
              <w:rPr>
                <w:rFonts w:ascii="SimSun" w:hAnsi="SimSun" w:eastAsia="SimSun" w:cs="SimSun"/>
                <w:sz w:val="15"/>
                <w:szCs w:val="15"/>
                <w:color w:val="212529"/>
                <w:spacing w:val="7"/>
              </w:rPr>
              <w:t>吕财社〔2025〕8号关于预拨2025年行</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1"/>
              </w:rPr>
              <w:t>政村卫生室运行经费市级配套资金</w:t>
            </w:r>
          </w:p>
        </w:tc>
        <w:tc>
          <w:tcPr>
            <w:tcW w:w="106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0.63</w:t>
            </w:r>
          </w:p>
        </w:tc>
        <w:tc>
          <w:tcPr>
            <w:tcW w:w="1080"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0.63</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bl>
    <w:p>
      <w:pPr>
        <w:pStyle w:val="BodyText"/>
        <w:rPr/>
      </w:pPr>
      <w:r/>
    </w:p>
    <w:p>
      <w:pPr>
        <w:sectPr>
          <w:headerReference w:type="default" r:id="rId31"/>
          <w:footerReference w:type="default" r:id="rId32"/>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单位名称：兴县瓦塘镇中心卫生院裴家川口分院</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269"/>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51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33"/>
          <w:footerReference w:type="default" r:id="rId34"/>
          <w:pgSz w:w="11900" w:h="16840"/>
          <w:pgMar w:top="642" w:right="0" w:bottom="340" w:left="0" w:header="326" w:footer="111" w:gutter="0"/>
        </w:sectPr>
        <w:rPr/>
      </w:pPr>
    </w:p>
    <w:p>
      <w:pPr>
        <w:pStyle w:val="BodyText"/>
        <w:spacing w:line="334" w:lineRule="auto"/>
        <w:rPr/>
      </w:pPr>
      <w:r/>
    </w:p>
    <w:p>
      <w:pPr>
        <w:pStyle w:val="BodyText"/>
        <w:spacing w:line="335" w:lineRule="auto"/>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63" w:right="1223" w:firstLine="456"/>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2025年度兴县瓦塘镇中心卫生院裴家川口分院预算收入总计100.71万元，其中：本年收</w:t>
      </w:r>
      <w:r>
        <w:rPr>
          <w:rFonts w:ascii="FangSong" w:hAnsi="FangSong" w:eastAsia="FangSong" w:cs="FangSong"/>
          <w:sz w:val="23"/>
          <w:szCs w:val="23"/>
        </w:rPr>
        <w:t xml:space="preserve"> </w:t>
      </w:r>
      <w:r>
        <w:rPr>
          <w:rFonts w:ascii="FangSong" w:hAnsi="FangSong" w:eastAsia="FangSong" w:cs="FangSong"/>
          <w:sz w:val="23"/>
          <w:szCs w:val="23"/>
          <w:spacing w:val="3"/>
        </w:rPr>
        <w:t>入100.71万元，上年结转0万元，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比上年减少30.89万元，下降23.47%，主要原因是公卫资金</w:t>
      </w:r>
      <w:r>
        <w:rPr>
          <w:rFonts w:ascii="FangSong" w:hAnsi="FangSong" w:eastAsia="FangSong" w:cs="FangSong"/>
          <w:sz w:val="23"/>
          <w:szCs w:val="23"/>
        </w:rPr>
        <w:t xml:space="preserve"> </w:t>
      </w:r>
      <w:r>
        <w:rPr>
          <w:rFonts w:ascii="FangSong" w:hAnsi="FangSong" w:eastAsia="FangSong" w:cs="FangSong"/>
          <w:sz w:val="23"/>
          <w:szCs w:val="23"/>
          <w:spacing w:val="5"/>
        </w:rPr>
        <w:t>减少，基药补助资金减少；本年单位预算支出总计100.7</w:t>
      </w:r>
      <w:r>
        <w:rPr>
          <w:rFonts w:ascii="FangSong" w:hAnsi="FangSong" w:eastAsia="FangSong" w:cs="FangSong"/>
          <w:sz w:val="23"/>
          <w:szCs w:val="23"/>
          <w:spacing w:val="4"/>
        </w:rPr>
        <w:t>1万元，其中：本年预算安排100.71</w:t>
      </w:r>
      <w:r>
        <w:rPr>
          <w:rFonts w:ascii="FangSong" w:hAnsi="FangSong" w:eastAsia="FangSong" w:cs="FangSong"/>
          <w:sz w:val="23"/>
          <w:szCs w:val="23"/>
        </w:rPr>
        <w:t xml:space="preserve"> </w:t>
      </w:r>
      <w:r>
        <w:rPr>
          <w:rFonts w:ascii="FangSong" w:hAnsi="FangSong" w:eastAsia="FangSong" w:cs="FangSong"/>
          <w:sz w:val="23"/>
          <w:szCs w:val="23"/>
          <w:spacing w:val="4"/>
        </w:rPr>
        <w:t>万元，上年结转0万元，</w:t>
      </w:r>
      <w:r>
        <w:rPr>
          <w:rFonts w:ascii="FangSong" w:hAnsi="FangSong" w:eastAsia="FangSong" w:cs="FangSong"/>
          <w:sz w:val="23"/>
          <w:szCs w:val="23"/>
          <w:spacing w:val="-68"/>
        </w:rPr>
        <w:t xml:space="preserve"> </w:t>
      </w:r>
      <w:r>
        <w:rPr>
          <w:rFonts w:ascii="FangSong" w:hAnsi="FangSong" w:eastAsia="FangSong" w:cs="FangSong"/>
          <w:sz w:val="23"/>
          <w:szCs w:val="23"/>
          <w:spacing w:val="4"/>
        </w:rPr>
        <w:t>比上年减少30.89万元，下降</w:t>
      </w:r>
      <w:r>
        <w:rPr>
          <w:rFonts w:ascii="FangSong" w:hAnsi="FangSong" w:eastAsia="FangSong" w:cs="FangSong"/>
          <w:sz w:val="23"/>
          <w:szCs w:val="23"/>
          <w:spacing w:val="3"/>
        </w:rPr>
        <w:t>23.47%，主要原因是公卫资金减少，基</w:t>
      </w:r>
      <w:r>
        <w:rPr>
          <w:rFonts w:ascii="FangSong" w:hAnsi="FangSong" w:eastAsia="FangSong" w:cs="FangSong"/>
          <w:sz w:val="23"/>
          <w:szCs w:val="23"/>
        </w:rPr>
        <w:t xml:space="preserve"> </w:t>
      </w:r>
      <w:r>
        <w:rPr>
          <w:rFonts w:ascii="FangSong" w:hAnsi="FangSong" w:eastAsia="FangSong" w:cs="FangSong"/>
          <w:sz w:val="23"/>
          <w:szCs w:val="23"/>
          <w:spacing w:val="-2"/>
        </w:rPr>
        <w:t>药补助资金减少</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265" w:right="1223" w:firstLine="454"/>
        <w:spacing w:before="185" w:line="321" w:lineRule="auto"/>
        <w:rPr>
          <w:rFonts w:ascii="FangSong" w:hAnsi="FangSong" w:eastAsia="FangSong" w:cs="FangSong"/>
          <w:sz w:val="23"/>
          <w:szCs w:val="23"/>
        </w:rPr>
      </w:pPr>
      <w:r>
        <w:rPr>
          <w:rFonts w:ascii="FangSong" w:hAnsi="FangSong" w:eastAsia="FangSong" w:cs="FangSong"/>
          <w:sz w:val="23"/>
          <w:szCs w:val="23"/>
          <w:spacing w:val="5"/>
        </w:rPr>
        <w:t>2025年度兴县瓦塘镇中心卫生院裴家川口分院预算收入100.71万元，主要包括一般公共</w:t>
      </w:r>
      <w:r>
        <w:rPr>
          <w:rFonts w:ascii="FangSong" w:hAnsi="FangSong" w:eastAsia="FangSong" w:cs="FangSong"/>
          <w:sz w:val="23"/>
          <w:szCs w:val="23"/>
        </w:rPr>
        <w:t xml:space="preserve"> </w:t>
      </w:r>
      <w:r>
        <w:rPr>
          <w:rFonts w:ascii="FangSong" w:hAnsi="FangSong" w:eastAsia="FangSong" w:cs="FangSong"/>
          <w:sz w:val="23"/>
          <w:szCs w:val="23"/>
          <w:spacing w:val="1"/>
        </w:rPr>
        <w:t>预算</w:t>
      </w:r>
      <w:r>
        <w:rPr>
          <w:rFonts w:ascii="FangSong" w:hAnsi="FangSong" w:eastAsia="FangSong" w:cs="FangSong"/>
          <w:sz w:val="23"/>
          <w:szCs w:val="23"/>
          <w:spacing w:val="1"/>
        </w:rPr>
        <w:t xml:space="preserve">  </w:t>
      </w:r>
      <w:r>
        <w:rPr>
          <w:rFonts w:ascii="FangSong" w:hAnsi="FangSong" w:eastAsia="FangSong" w:cs="FangSong"/>
          <w:sz w:val="23"/>
          <w:szCs w:val="23"/>
          <w:spacing w:val="1"/>
        </w:rPr>
        <w:t>款收入100.71万元，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占100.00%；政府性基金预算拨款收入0万</w:t>
      </w:r>
      <w:r>
        <w:rPr>
          <w:rFonts w:ascii="FangSong" w:hAnsi="FangSong" w:eastAsia="FangSong" w:cs="FangSong"/>
          <w:sz w:val="23"/>
          <w:szCs w:val="23"/>
        </w:rPr>
        <w:t>元，</w:t>
      </w:r>
      <w:r>
        <w:rPr>
          <w:rFonts w:ascii="FangSong" w:hAnsi="FangSong" w:eastAsia="FangSong" w:cs="FangSong"/>
          <w:sz w:val="23"/>
          <w:szCs w:val="23"/>
          <w:spacing w:val="-53"/>
        </w:rPr>
        <w:t xml:space="preserve"> </w:t>
      </w:r>
      <w:r>
        <w:rPr>
          <w:rFonts w:ascii="FangSong" w:hAnsi="FangSong" w:eastAsia="FangSong" w:cs="FangSong"/>
          <w:sz w:val="23"/>
          <w:szCs w:val="23"/>
        </w:rPr>
        <w:t>占0%；</w:t>
      </w:r>
      <w:r>
        <w:rPr>
          <w:rFonts w:ascii="FangSong" w:hAnsi="FangSong" w:eastAsia="FangSong" w:cs="FangSong"/>
          <w:sz w:val="23"/>
          <w:szCs w:val="23"/>
          <w:spacing w:val="-67"/>
        </w:rPr>
        <w:t xml:space="preserve"> </w:t>
      </w:r>
      <w:r>
        <w:rPr>
          <w:rFonts w:ascii="FangSong" w:hAnsi="FangSong" w:eastAsia="FangSong" w:cs="FangSong"/>
          <w:sz w:val="23"/>
          <w:szCs w:val="23"/>
        </w:rPr>
        <w:t>国</w:t>
      </w:r>
      <w:r>
        <w:rPr>
          <w:rFonts w:ascii="FangSong" w:hAnsi="FangSong" w:eastAsia="FangSong" w:cs="FangSong"/>
          <w:sz w:val="23"/>
          <w:szCs w:val="23"/>
        </w:rPr>
        <w:t xml:space="preserve">    </w:t>
      </w:r>
      <w:r>
        <w:rPr>
          <w:rFonts w:ascii="FangSong" w:hAnsi="FangSong" w:eastAsia="FangSong" w:cs="FangSong"/>
          <w:sz w:val="23"/>
          <w:szCs w:val="23"/>
        </w:rPr>
        <w:t>本经</w:t>
      </w:r>
    </w:p>
    <w:p>
      <w:pPr>
        <w:ind w:left="1729"/>
        <w:spacing w:before="1" w:line="221" w:lineRule="auto"/>
        <w:rPr>
          <w:rFonts w:ascii="FangSong" w:hAnsi="FangSong" w:eastAsia="FangSong" w:cs="FangSong"/>
          <w:sz w:val="23"/>
          <w:szCs w:val="23"/>
        </w:rPr>
      </w:pPr>
      <w:r>
        <w:rPr>
          <w:rFonts w:ascii="FangSong" w:hAnsi="FangSong" w:eastAsia="FangSong" w:cs="FangSong"/>
          <w:sz w:val="23"/>
          <w:szCs w:val="23"/>
          <w:spacing w:val="-3"/>
        </w:rPr>
        <w:t>算拨款收入0万元，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占0%；财政专户管理资金收入0万元，</w:t>
      </w:r>
      <w:r>
        <w:rPr>
          <w:rFonts w:ascii="FangSong" w:hAnsi="FangSong" w:eastAsia="FangSong" w:cs="FangSong"/>
          <w:sz w:val="23"/>
          <w:szCs w:val="23"/>
          <w:spacing w:val="-58"/>
        </w:rPr>
        <w:t xml:space="preserve"> </w:t>
      </w:r>
      <w:r>
        <w:rPr>
          <w:rFonts w:ascii="FangSong" w:hAnsi="FangSong" w:eastAsia="FangSong" w:cs="FangSong"/>
          <w:sz w:val="23"/>
          <w:szCs w:val="23"/>
          <w:spacing w:val="-4"/>
        </w:rPr>
        <w:t>占0%</w:t>
      </w:r>
      <w:r>
        <w:rPr>
          <w:rFonts w:ascii="FangSong" w:hAnsi="FangSong" w:eastAsia="FangSong" w:cs="FangSong"/>
          <w:sz w:val="23"/>
          <w:szCs w:val="23"/>
          <w:spacing w:val="-4"/>
        </w:rPr>
        <w:t xml:space="preserve">  </w:t>
      </w:r>
      <w:r>
        <w:rPr>
          <w:rFonts w:ascii="FangSong" w:hAnsi="FangSong" w:eastAsia="FangSong" w:cs="FangSong"/>
          <w:sz w:val="23"/>
          <w:szCs w:val="23"/>
          <w:spacing w:val="-4"/>
        </w:rPr>
        <w:t>单位资</w:t>
      </w:r>
      <w:r>
        <w:rPr>
          <w:rFonts w:ascii="FangSong" w:hAnsi="FangSong" w:eastAsia="FangSong" w:cs="FangSong"/>
          <w:sz w:val="23"/>
          <w:szCs w:val="23"/>
          <w:spacing w:val="6"/>
        </w:rPr>
        <w:t xml:space="preserve">       </w:t>
      </w:r>
      <w:r>
        <w:rPr>
          <w:rFonts w:ascii="FangSong" w:hAnsi="FangSong" w:eastAsia="FangSong" w:cs="FangSong"/>
          <w:sz w:val="23"/>
          <w:szCs w:val="23"/>
          <w:spacing w:val="-4"/>
        </w:rPr>
        <w:t>，</w:t>
      </w:r>
      <w:r>
        <w:rPr>
          <w:rFonts w:ascii="FangSong" w:hAnsi="FangSong" w:eastAsia="FangSong" w:cs="FangSong"/>
          <w:sz w:val="23"/>
          <w:szCs w:val="23"/>
          <w:spacing w:val="-54"/>
        </w:rPr>
        <w:t xml:space="preserve"> </w:t>
      </w:r>
      <w:r>
        <w:rPr>
          <w:rFonts w:ascii="FangSong" w:hAnsi="FangSong" w:eastAsia="FangSong" w:cs="FangSong"/>
          <w:sz w:val="23"/>
          <w:szCs w:val="23"/>
          <w:spacing w:val="-4"/>
        </w:rPr>
        <w:t>占0%</w:t>
      </w:r>
    </w:p>
    <w:p>
      <w:pPr>
        <w:ind w:left="1265"/>
        <w:spacing w:before="135" w:line="219" w:lineRule="auto"/>
        <w:rPr>
          <w:rFonts w:ascii="FangSong" w:hAnsi="FangSong" w:eastAsia="FangSong" w:cs="FangSong"/>
          <w:sz w:val="23"/>
          <w:szCs w:val="23"/>
        </w:rPr>
      </w:pPr>
      <w:r>
        <w:rPr>
          <w:rFonts w:ascii="FangSong" w:hAnsi="FangSong" w:eastAsia="FangSong" w:cs="FangSong"/>
          <w:sz w:val="23"/>
          <w:szCs w:val="23"/>
          <w:spacing w:val="-6"/>
        </w:rPr>
        <w:t>上年结转0万元，</w:t>
      </w:r>
      <w:r>
        <w:rPr>
          <w:rFonts w:ascii="FangSong" w:hAnsi="FangSong" w:eastAsia="FangSong" w:cs="FangSong"/>
          <w:sz w:val="23"/>
          <w:szCs w:val="23"/>
          <w:spacing w:val="-56"/>
        </w:rPr>
        <w:t xml:space="preserve"> </w:t>
      </w:r>
      <w:r>
        <w:rPr>
          <w:rFonts w:ascii="FangSong" w:hAnsi="FangSong" w:eastAsia="FangSong" w:cs="FangSong"/>
          <w:sz w:val="23"/>
          <w:szCs w:val="23"/>
          <w:spacing w:val="-6"/>
        </w:rPr>
        <w:t>占0%。</w:t>
      </w:r>
    </w:p>
    <w:p>
      <w:pPr>
        <w:pStyle w:val="BodyText"/>
        <w:spacing w:line="244" w:lineRule="auto"/>
        <w:rPr/>
      </w:pPr>
      <w:r/>
    </w:p>
    <w:p>
      <w:pPr>
        <w:pStyle w:val="BodyText"/>
        <w:spacing w:line="245" w:lineRule="auto"/>
        <w:rPr/>
      </w:pPr>
      <w:r/>
    </w:p>
    <w:p>
      <w:pPr>
        <w:ind w:firstLine="3705"/>
        <w:spacing w:before="1" w:line="2855" w:lineRule="exact"/>
        <w:rPr/>
      </w:pPr>
      <w:r>
        <w:rPr>
          <w:position w:val="-57"/>
        </w:rPr>
        <w:drawing>
          <wp:inline distT="0" distB="0" distL="0" distR="0">
            <wp:extent cx="2333735" cy="1813292"/>
            <wp:effectExtent l="0" t="0" r="0" b="0"/>
            <wp:docPr id="4" name="IM 4"/>
            <wp:cNvGraphicFramePr/>
            <a:graphic>
              <a:graphicData uri="http://schemas.openxmlformats.org/drawingml/2006/picture">
                <pic:pic>
                  <pic:nvPicPr>
                    <pic:cNvPr id="4" name="IM 4"/>
                    <pic:cNvPicPr/>
                  </pic:nvPicPr>
                  <pic:blipFill>
                    <a:blip r:embed="rId37"/>
                    <a:stretch>
                      <a:fillRect/>
                    </a:stretch>
                  </pic:blipFill>
                  <pic:spPr>
                    <a:xfrm rot="0">
                      <a:off x="0" y="0"/>
                      <a:ext cx="2333735" cy="1813292"/>
                    </a:xfrm>
                    <a:prstGeom prst="rect">
                      <a:avLst/>
                    </a:prstGeom>
                  </pic:spPr>
                </pic:pic>
              </a:graphicData>
            </a:graphic>
          </wp:inline>
        </w:drawing>
      </w:r>
    </w:p>
    <w:p>
      <w:pPr>
        <w:pStyle w:val="BodyText"/>
        <w:spacing w:line="284" w:lineRule="auto"/>
        <w:rPr/>
      </w:pPr>
      <w:r/>
    </w:p>
    <w:p>
      <w:pPr>
        <w:pStyle w:val="BodyText"/>
        <w:spacing w:line="284" w:lineRule="auto"/>
        <w:rPr/>
      </w:pPr>
      <w:r/>
    </w:p>
    <w:p>
      <w:pPr>
        <w:ind w:left="1262"/>
        <w:spacing w:before="95"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720"/>
        <w:spacing w:before="175" w:line="222" w:lineRule="auto"/>
        <w:rPr>
          <w:rFonts w:ascii="FangSong" w:hAnsi="FangSong" w:eastAsia="FangSong" w:cs="FangSong"/>
          <w:sz w:val="23"/>
          <w:szCs w:val="23"/>
        </w:rPr>
      </w:pPr>
      <w:r>
        <w:rPr>
          <w:rFonts w:ascii="FangSong" w:hAnsi="FangSong" w:eastAsia="FangSong" w:cs="FangSong"/>
          <w:sz w:val="23"/>
          <w:szCs w:val="23"/>
          <w:spacing w:val="8"/>
        </w:rPr>
        <w:t>2025年度</w:t>
      </w:r>
      <w:r>
        <w:rPr>
          <w:rFonts w:ascii="FangSong" w:hAnsi="FangSong" w:eastAsia="FangSong" w:cs="FangSong"/>
          <w:sz w:val="23"/>
          <w:szCs w:val="23"/>
          <w:spacing w:val="8"/>
        </w:rPr>
        <w:t xml:space="preserve">      </w:t>
      </w:r>
      <w:r>
        <w:rPr>
          <w:rFonts w:ascii="FangSong" w:hAnsi="FangSong" w:eastAsia="FangSong" w:cs="FangSong"/>
          <w:sz w:val="23"/>
          <w:szCs w:val="23"/>
          <w:spacing w:val="8"/>
        </w:rPr>
        <w:t>塘镇中心卫生院裴家川</w:t>
      </w:r>
      <w:r>
        <w:rPr>
          <w:rFonts w:ascii="FangSong" w:hAnsi="FangSong" w:eastAsia="FangSong" w:cs="FangSong"/>
          <w:sz w:val="23"/>
          <w:szCs w:val="23"/>
          <w:spacing w:val="-31"/>
        </w:rPr>
        <w:t xml:space="preserve"> </w:t>
      </w:r>
      <w:r>
        <w:rPr>
          <w:rFonts w:ascii="FangSong" w:hAnsi="FangSong" w:eastAsia="FangSong" w:cs="FangSong"/>
          <w:sz w:val="23"/>
          <w:szCs w:val="23"/>
          <w:spacing w:val="8"/>
        </w:rPr>
        <w:t>口分院支出预算100.71万元，其中：基本支出</w:t>
      </w:r>
    </w:p>
    <w:p>
      <w:pPr>
        <w:ind w:left="1262"/>
        <w:spacing w:before="134" w:line="223" w:lineRule="auto"/>
        <w:rPr>
          <w:rFonts w:ascii="FangSong" w:hAnsi="FangSong" w:eastAsia="FangSong" w:cs="FangSong"/>
          <w:sz w:val="23"/>
          <w:szCs w:val="23"/>
        </w:rPr>
      </w:pPr>
      <w:r>
        <w:rPr>
          <w:rFonts w:ascii="FangSong" w:hAnsi="FangSong" w:eastAsia="FangSong" w:cs="FangSong"/>
          <w:sz w:val="23"/>
          <w:szCs w:val="23"/>
          <w:spacing w:val="-2"/>
        </w:rPr>
        <w:t>79.67</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r>
        <w:rPr>
          <w:rFonts w:ascii="FangSong" w:hAnsi="FangSong" w:eastAsia="FangSong" w:cs="FangSong"/>
          <w:sz w:val="23"/>
          <w:szCs w:val="23"/>
          <w:spacing w:val="9"/>
        </w:rPr>
        <w:t xml:space="preserve">  </w:t>
      </w:r>
      <w:r>
        <w:rPr>
          <w:rFonts w:ascii="FangSong" w:hAnsi="FangSong" w:eastAsia="FangSong" w:cs="FangSong"/>
          <w:sz w:val="23"/>
          <w:szCs w:val="23"/>
          <w:spacing w:val="-2"/>
        </w:rPr>
        <w:t>79.11%；项目支出21.04万元，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占20.89%。</w:t>
      </w:r>
    </w:p>
    <w:p>
      <w:pPr>
        <w:ind w:left="1271"/>
        <w:spacing w:before="118"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65" w:right="1223" w:firstLine="454"/>
        <w:spacing w:before="174" w:line="324" w:lineRule="auto"/>
        <w:rPr>
          <w:rFonts w:ascii="FangSong" w:hAnsi="FangSong" w:eastAsia="FangSong" w:cs="FangSong"/>
          <w:sz w:val="23"/>
          <w:szCs w:val="23"/>
        </w:rPr>
      </w:pPr>
      <w:r>
        <w:rPr>
          <w:rFonts w:ascii="FangSong" w:hAnsi="FangSong" w:eastAsia="FangSong" w:cs="FangSong"/>
          <w:sz w:val="23"/>
          <w:szCs w:val="23"/>
          <w:spacing w:val="5"/>
        </w:rPr>
        <w:t>2025年度兴县瓦塘镇中心卫生院裴家川口分院财政拨款收支总预算100.7</w:t>
      </w:r>
      <w:r>
        <w:rPr>
          <w:rFonts w:ascii="FangSong" w:hAnsi="FangSong" w:eastAsia="FangSong" w:cs="FangSong"/>
          <w:sz w:val="23"/>
          <w:szCs w:val="23"/>
          <w:spacing w:val="4"/>
        </w:rPr>
        <w:t>1万元。其中：</w:t>
      </w:r>
      <w:r>
        <w:rPr>
          <w:rFonts w:ascii="FangSong" w:hAnsi="FangSong" w:eastAsia="FangSong" w:cs="FangSong"/>
          <w:sz w:val="23"/>
          <w:szCs w:val="23"/>
        </w:rPr>
        <w:t xml:space="preserve"> </w:t>
      </w:r>
      <w:r>
        <w:rPr>
          <w:rFonts w:ascii="FangSong" w:hAnsi="FangSong" w:eastAsia="FangSong" w:cs="FangSong"/>
          <w:sz w:val="23"/>
          <w:szCs w:val="23"/>
          <w:spacing w:val="4"/>
        </w:rPr>
        <w:t>一般公共预算拨款100.71万元，政府性基金预算拨款0万元，</w:t>
      </w:r>
      <w:r>
        <w:rPr>
          <w:rFonts w:ascii="FangSong" w:hAnsi="FangSong" w:eastAsia="FangSong" w:cs="FangSong"/>
          <w:sz w:val="23"/>
          <w:szCs w:val="23"/>
          <w:spacing w:val="-68"/>
        </w:rPr>
        <w:t xml:space="preserve"> </w:t>
      </w:r>
      <w:r>
        <w:rPr>
          <w:rFonts w:ascii="FangSong" w:hAnsi="FangSong" w:eastAsia="FangSong" w:cs="FangSong"/>
          <w:sz w:val="23"/>
          <w:szCs w:val="23"/>
          <w:spacing w:val="3"/>
        </w:rPr>
        <w:t>国有资本经营预算拨款0万元。</w:t>
      </w:r>
      <w:r>
        <w:rPr>
          <w:rFonts w:ascii="FangSong" w:hAnsi="FangSong" w:eastAsia="FangSong" w:cs="FangSong"/>
          <w:sz w:val="23"/>
          <w:szCs w:val="23"/>
        </w:rPr>
        <w:t xml:space="preserve"> </w:t>
      </w:r>
      <w:r>
        <w:rPr>
          <w:rFonts w:ascii="FangSong" w:hAnsi="FangSong" w:eastAsia="FangSong" w:cs="FangSong"/>
          <w:sz w:val="23"/>
          <w:szCs w:val="23"/>
          <w:spacing w:val="2"/>
        </w:rPr>
        <w:t>其中：当年拨款收入100.71万元，上年结转收入0万元。支出包括：社会保障和就业支出6.59</w:t>
      </w:r>
      <w:r>
        <w:rPr>
          <w:rFonts w:ascii="FangSong" w:hAnsi="FangSong" w:eastAsia="FangSong" w:cs="FangSong"/>
          <w:sz w:val="23"/>
          <w:szCs w:val="23"/>
          <w:spacing w:val="2"/>
        </w:rPr>
        <w:t xml:space="preserve"> </w:t>
      </w:r>
      <w:r>
        <w:rPr>
          <w:rFonts w:ascii="FangSong" w:hAnsi="FangSong" w:eastAsia="FangSong" w:cs="FangSong"/>
          <w:sz w:val="23"/>
          <w:szCs w:val="23"/>
        </w:rPr>
        <w:t>万元、卫生健康支出88.07万元、住房保障支出6.05万</w:t>
      </w:r>
      <w:r>
        <w:rPr>
          <w:rFonts w:ascii="FangSong" w:hAnsi="FangSong" w:eastAsia="FangSong" w:cs="FangSong"/>
          <w:sz w:val="23"/>
          <w:szCs w:val="23"/>
          <w:spacing w:val="-1"/>
        </w:rPr>
        <w:t>元等。</w:t>
      </w:r>
    </w:p>
    <w:p>
      <w:pPr>
        <w:ind w:left="1264"/>
        <w:spacing w:before="3"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7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5" w:right="1223" w:firstLine="454"/>
        <w:spacing w:before="125" w:line="325" w:lineRule="auto"/>
        <w:rPr>
          <w:rFonts w:ascii="FangSong" w:hAnsi="FangSong" w:eastAsia="FangSong" w:cs="FangSong"/>
          <w:sz w:val="23"/>
          <w:szCs w:val="23"/>
        </w:rPr>
      </w:pPr>
      <w:r>
        <w:rPr>
          <w:rFonts w:ascii="FangSong" w:hAnsi="FangSong" w:eastAsia="FangSong" w:cs="FangSong"/>
          <w:sz w:val="23"/>
          <w:szCs w:val="23"/>
          <w:spacing w:val="2"/>
        </w:rPr>
        <w:t>2025年度兴县瓦塘镇中心卫生院裴家川口分院一般公共预算当年支出100.71万元,比上年</w:t>
      </w:r>
      <w:r>
        <w:rPr>
          <w:rFonts w:ascii="FangSong" w:hAnsi="FangSong" w:eastAsia="FangSong" w:cs="FangSong"/>
          <w:sz w:val="23"/>
          <w:szCs w:val="23"/>
          <w:spacing w:val="11"/>
        </w:rPr>
        <w:t xml:space="preserve"> </w:t>
      </w:r>
      <w:r>
        <w:rPr>
          <w:rFonts w:ascii="FangSong" w:hAnsi="FangSong" w:eastAsia="FangSong" w:cs="FangSong"/>
          <w:sz w:val="23"/>
          <w:szCs w:val="23"/>
          <w:spacing w:val="-1"/>
        </w:rPr>
        <w:t>减少30.89万元，下降23.47%。</w:t>
      </w:r>
    </w:p>
    <w:p>
      <w:pPr>
        <w:ind w:left="2204"/>
        <w:spacing w:line="222" w:lineRule="auto"/>
        <w:rPr>
          <w:rFonts w:ascii="FangSong" w:hAnsi="FangSong" w:eastAsia="FangSong" w:cs="FangSong"/>
          <w:sz w:val="23"/>
          <w:szCs w:val="23"/>
        </w:rPr>
      </w:pPr>
      <w:r>
        <w:rPr>
          <w:rFonts w:ascii="FangSong" w:hAnsi="FangSong" w:eastAsia="FangSong" w:cs="FangSong"/>
          <w:sz w:val="23"/>
          <w:szCs w:val="23"/>
          <w:spacing w:val="-4"/>
        </w:rPr>
        <w:t>)</w:t>
      </w:r>
      <w:r>
        <w:rPr>
          <w:rFonts w:ascii="FangSong" w:hAnsi="FangSong" w:eastAsia="FangSong" w:cs="FangSong"/>
          <w:sz w:val="23"/>
          <w:szCs w:val="23"/>
          <w:spacing w:val="34"/>
        </w:rPr>
        <w:t xml:space="preserve"> </w:t>
      </w:r>
      <w:r>
        <w:rPr>
          <w:rFonts w:ascii="FangSong" w:hAnsi="FangSong" w:eastAsia="FangSong" w:cs="FangSong"/>
          <w:sz w:val="23"/>
          <w:szCs w:val="23"/>
          <w:spacing w:val="-4"/>
        </w:rPr>
        <w:t>一般公共预算当年支出结构情况</w:t>
      </w:r>
    </w:p>
    <w:p>
      <w:pPr>
        <w:ind w:left="1720"/>
        <w:spacing w:before="123" w:line="222" w:lineRule="auto"/>
        <w:rPr>
          <w:rFonts w:ascii="FangSong" w:hAnsi="FangSong" w:eastAsia="FangSong" w:cs="FangSong"/>
          <w:sz w:val="23"/>
          <w:szCs w:val="23"/>
        </w:rPr>
      </w:pPr>
      <w:r>
        <w:rPr>
          <w:rFonts w:ascii="FangSong" w:hAnsi="FangSong" w:eastAsia="FangSong" w:cs="FangSong"/>
          <w:sz w:val="23"/>
          <w:szCs w:val="23"/>
          <w:spacing w:val="2"/>
        </w:rPr>
        <w:t>2025年度兴县瓦塘镇中心卫生院裴家川口分院一般公共预算当年支出</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r>
        <w:rPr>
          <w:rFonts w:ascii="FangSong" w:hAnsi="FangSong" w:eastAsia="FangSong" w:cs="FangSong"/>
          <w:sz w:val="23"/>
          <w:szCs w:val="23"/>
          <w:spacing w:val="2"/>
        </w:rPr>
        <w:t xml:space="preserve">    </w:t>
      </w:r>
      <w:r>
        <w:rPr>
          <w:rFonts w:ascii="FangSong" w:hAnsi="FangSong" w:eastAsia="FangSong" w:cs="FangSong"/>
          <w:sz w:val="23"/>
          <w:szCs w:val="23"/>
          <w:spacing w:val="2"/>
        </w:rPr>
        <w:t>元,主要用</w:t>
      </w:r>
    </w:p>
    <w:p>
      <w:pPr>
        <w:ind w:left="1268"/>
        <w:spacing w:before="135" w:line="221" w:lineRule="auto"/>
        <w:rPr>
          <w:rFonts w:ascii="FangSong" w:hAnsi="FangSong" w:eastAsia="FangSong" w:cs="FangSong"/>
          <w:sz w:val="23"/>
          <w:szCs w:val="23"/>
        </w:rPr>
      </w:pPr>
      <w:r>
        <w:rPr>
          <w:rFonts w:ascii="FangSong" w:hAnsi="FangSong" w:eastAsia="FangSong" w:cs="FangSong"/>
          <w:sz w:val="23"/>
          <w:szCs w:val="23"/>
          <w:spacing w:val="-3"/>
        </w:rPr>
        <w:t>于</w:t>
      </w:r>
      <w:r>
        <w:rPr>
          <w:rFonts w:ascii="FangSong" w:hAnsi="FangSong" w:eastAsia="FangSong" w:cs="FangSong"/>
          <w:sz w:val="23"/>
          <w:szCs w:val="23"/>
          <w:spacing w:val="-34"/>
        </w:rPr>
        <w:t xml:space="preserve"> </w:t>
      </w:r>
      <w:r>
        <w:rPr>
          <w:rFonts w:ascii="FangSong" w:hAnsi="FangSong" w:eastAsia="FangSong" w:cs="FangSong"/>
          <w:sz w:val="23"/>
          <w:szCs w:val="23"/>
          <w:spacing w:val="-3"/>
        </w:rPr>
        <w:t>以</w:t>
      </w:r>
      <w:r>
        <w:rPr>
          <w:rFonts w:ascii="FangSong" w:hAnsi="FangSong" w:eastAsia="FangSong" w:cs="FangSong"/>
          <w:sz w:val="23"/>
          <w:szCs w:val="23"/>
          <w:spacing w:val="-66"/>
        </w:rPr>
        <w:t xml:space="preserve"> </w:t>
      </w:r>
      <w:r>
        <w:rPr>
          <w:rFonts w:ascii="FangSong" w:hAnsi="FangSong" w:eastAsia="FangSong" w:cs="FangSong"/>
          <w:sz w:val="23"/>
          <w:szCs w:val="23"/>
          <w:spacing w:val="-3"/>
        </w:rPr>
        <w:t>下</w:t>
      </w:r>
      <w:r>
        <w:rPr>
          <w:rFonts w:ascii="FangSong" w:hAnsi="FangSong" w:eastAsia="FangSong" w:cs="FangSong"/>
          <w:sz w:val="23"/>
          <w:szCs w:val="23"/>
          <w:spacing w:val="-65"/>
        </w:rPr>
        <w:t xml:space="preserve"> </w:t>
      </w:r>
      <w:r>
        <w:rPr>
          <w:rFonts w:ascii="FangSong" w:hAnsi="FangSong" w:eastAsia="FangSong" w:cs="FangSong"/>
          <w:sz w:val="23"/>
          <w:szCs w:val="23"/>
          <w:spacing w:val="-3"/>
        </w:rPr>
        <w:t>方</w:t>
      </w:r>
      <w:r>
        <w:rPr>
          <w:rFonts w:ascii="FangSong" w:hAnsi="FangSong" w:eastAsia="FangSong" w:cs="FangSong"/>
          <w:sz w:val="23"/>
          <w:szCs w:val="23"/>
          <w:spacing w:val="-67"/>
        </w:rPr>
        <w:t xml:space="preserve"> </w:t>
      </w:r>
      <w:r>
        <w:rPr>
          <w:rFonts w:ascii="FangSong" w:hAnsi="FangSong" w:eastAsia="FangSong" w:cs="FangSong"/>
          <w:sz w:val="23"/>
          <w:szCs w:val="23"/>
          <w:spacing w:val="-3"/>
        </w:rPr>
        <w:t>面：</w:t>
      </w:r>
      <w:r>
        <w:rPr>
          <w:rFonts w:ascii="FangSong" w:hAnsi="FangSong" w:eastAsia="FangSong" w:cs="FangSong"/>
          <w:sz w:val="23"/>
          <w:szCs w:val="23"/>
          <w:spacing w:val="-41"/>
        </w:rPr>
        <w:t xml:space="preserve"> </w:t>
      </w:r>
      <w:r>
        <w:rPr>
          <w:rFonts w:ascii="FangSong" w:hAnsi="FangSong" w:eastAsia="FangSong" w:cs="FangSong"/>
          <w:sz w:val="23"/>
          <w:szCs w:val="23"/>
          <w:spacing w:val="-3"/>
        </w:rPr>
        <w:t>社</w:t>
      </w:r>
      <w:r>
        <w:rPr>
          <w:rFonts w:ascii="FangSong" w:hAnsi="FangSong" w:eastAsia="FangSong" w:cs="FangSong"/>
          <w:sz w:val="23"/>
          <w:szCs w:val="23"/>
          <w:spacing w:val="-63"/>
        </w:rPr>
        <w:t xml:space="preserve"> </w:t>
      </w:r>
      <w:r>
        <w:rPr>
          <w:rFonts w:ascii="FangSong" w:hAnsi="FangSong" w:eastAsia="FangSong" w:cs="FangSong"/>
          <w:sz w:val="23"/>
          <w:szCs w:val="23"/>
          <w:spacing w:val="-3"/>
        </w:rPr>
        <w:t>会保</w:t>
      </w:r>
      <w:r>
        <w:rPr>
          <w:rFonts w:ascii="FangSong" w:hAnsi="FangSong" w:eastAsia="FangSong" w:cs="FangSong"/>
          <w:sz w:val="23"/>
          <w:szCs w:val="23"/>
          <w:spacing w:val="-59"/>
        </w:rPr>
        <w:t xml:space="preserve"> </w:t>
      </w:r>
      <w:r>
        <w:rPr>
          <w:rFonts w:ascii="FangSong" w:hAnsi="FangSong" w:eastAsia="FangSong" w:cs="FangSong"/>
          <w:sz w:val="23"/>
          <w:szCs w:val="23"/>
          <w:spacing w:val="-3"/>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3"/>
        </w:rPr>
        <w:t>出6.59万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30"/>
        </w:rPr>
        <w:t xml:space="preserve"> </w:t>
      </w:r>
      <w:r>
        <w:rPr>
          <w:rFonts w:ascii="FangSong" w:hAnsi="FangSong" w:eastAsia="FangSong" w:cs="FangSong"/>
          <w:sz w:val="23"/>
          <w:szCs w:val="23"/>
          <w:spacing w:val="-3"/>
        </w:rPr>
        <w:t>占6.54%</w:t>
      </w:r>
      <w:r>
        <w:rPr>
          <w:rFonts w:ascii="FangSong" w:hAnsi="FangSong" w:eastAsia="FangSong" w:cs="FangSong"/>
          <w:sz w:val="23"/>
          <w:szCs w:val="23"/>
          <w:spacing w:val="-3"/>
        </w:rPr>
        <w:t xml:space="preserve">  </w:t>
      </w:r>
      <w:r>
        <w:rPr>
          <w:rFonts w:ascii="FangSong" w:hAnsi="FangSong" w:eastAsia="FangSong" w:cs="FangSong"/>
          <w:sz w:val="23"/>
          <w:szCs w:val="23"/>
          <w:spacing w:val="-3"/>
        </w:rPr>
        <w:t>卫</w:t>
      </w:r>
      <w:r>
        <w:rPr>
          <w:rFonts w:ascii="FangSong" w:hAnsi="FangSong" w:eastAsia="FangSong" w:cs="FangSong"/>
          <w:sz w:val="23"/>
          <w:szCs w:val="23"/>
          <w:spacing w:val="-58"/>
        </w:rPr>
        <w:t xml:space="preserve"> </w:t>
      </w:r>
      <w:r>
        <w:rPr>
          <w:rFonts w:ascii="FangSong" w:hAnsi="FangSong" w:eastAsia="FangSong" w:cs="FangSong"/>
          <w:sz w:val="23"/>
          <w:szCs w:val="23"/>
          <w:spacing w:val="-3"/>
        </w:rPr>
        <w:t>生</w:t>
      </w:r>
      <w:r>
        <w:rPr>
          <w:rFonts w:ascii="FangSong" w:hAnsi="FangSong" w:eastAsia="FangSong" w:cs="FangSong"/>
          <w:sz w:val="23"/>
          <w:szCs w:val="23"/>
          <w:spacing w:val="5"/>
        </w:rPr>
        <w:t xml:space="preserve">       </w:t>
      </w:r>
      <w:r>
        <w:rPr>
          <w:rFonts w:ascii="FangSong" w:hAnsi="FangSong" w:eastAsia="FangSong" w:cs="FangSong"/>
          <w:sz w:val="23"/>
          <w:szCs w:val="23"/>
          <w:spacing w:val="-3"/>
        </w:rPr>
        <w:t>出88.07万</w:t>
      </w:r>
      <w:r>
        <w:rPr>
          <w:rFonts w:ascii="FangSong" w:hAnsi="FangSong" w:eastAsia="FangSong" w:cs="FangSong"/>
          <w:sz w:val="23"/>
          <w:szCs w:val="23"/>
          <w:spacing w:val="-61"/>
        </w:rPr>
        <w:t xml:space="preserve"> </w:t>
      </w:r>
      <w:r>
        <w:rPr>
          <w:rFonts w:ascii="FangSong" w:hAnsi="FangSong" w:eastAsia="FangSong" w:cs="FangSong"/>
          <w:sz w:val="23"/>
          <w:szCs w:val="23"/>
          <w:spacing w:val="-3"/>
        </w:rPr>
        <w:t>元</w:t>
      </w:r>
      <w:r>
        <w:rPr>
          <w:rFonts w:ascii="FangSong" w:hAnsi="FangSong" w:eastAsia="FangSong" w:cs="FangSong"/>
          <w:sz w:val="23"/>
          <w:szCs w:val="23"/>
          <w:spacing w:val="-54"/>
        </w:rPr>
        <w:t xml:space="preserve"> </w:t>
      </w:r>
      <w:r>
        <w:rPr>
          <w:rFonts w:ascii="FangSong" w:hAnsi="FangSong" w:eastAsia="FangSong" w:cs="FangSong"/>
          <w:sz w:val="23"/>
          <w:szCs w:val="23"/>
          <w:spacing w:val="-3"/>
        </w:rPr>
        <w:t>，</w:t>
      </w:r>
      <w:r>
        <w:rPr>
          <w:rFonts w:ascii="FangSong" w:hAnsi="FangSong" w:eastAsia="FangSong" w:cs="FangSong"/>
          <w:sz w:val="23"/>
          <w:szCs w:val="23"/>
          <w:spacing w:val="-31"/>
        </w:rPr>
        <w:t xml:space="preserve"> </w:t>
      </w:r>
      <w:r>
        <w:rPr>
          <w:rFonts w:ascii="FangSong" w:hAnsi="FangSong" w:eastAsia="FangSong" w:cs="FangSong"/>
          <w:sz w:val="23"/>
          <w:szCs w:val="23"/>
          <w:spacing w:val="-3"/>
        </w:rPr>
        <w:t>占</w:t>
      </w:r>
    </w:p>
    <w:p>
      <w:pPr>
        <w:spacing w:line="221" w:lineRule="auto"/>
        <w:sectPr>
          <w:headerReference w:type="default" r:id="rId35"/>
          <w:footerReference w:type="default" r:id="rId36"/>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257"/>
        <w:spacing w:before="74" w:line="222" w:lineRule="auto"/>
        <w:rPr>
          <w:rFonts w:ascii="FangSong" w:hAnsi="FangSong" w:eastAsia="FangSong" w:cs="FangSong"/>
          <w:sz w:val="23"/>
          <w:szCs w:val="23"/>
        </w:rPr>
      </w:pPr>
      <w:r>
        <w:rPr>
          <w:rFonts w:ascii="FangSong" w:hAnsi="FangSong" w:eastAsia="FangSong" w:cs="FangSong"/>
          <w:sz w:val="23"/>
          <w:szCs w:val="23"/>
          <w:spacing w:val="-4"/>
        </w:rPr>
        <w:t>87.45</w:t>
      </w:r>
      <w:r>
        <w:rPr>
          <w:rFonts w:ascii="FangSong" w:hAnsi="FangSong" w:eastAsia="FangSong" w:cs="FangSong"/>
          <w:sz w:val="23"/>
          <w:szCs w:val="23"/>
          <w:spacing w:val="4"/>
        </w:rPr>
        <w:t xml:space="preserve">         </w:t>
      </w:r>
      <w:r>
        <w:rPr>
          <w:rFonts w:ascii="FangSong" w:hAnsi="FangSong" w:eastAsia="FangSong" w:cs="FangSong"/>
          <w:sz w:val="23"/>
          <w:szCs w:val="23"/>
          <w:spacing w:val="-4"/>
        </w:rPr>
        <w:t>障支出6.05万元，</w:t>
      </w:r>
      <w:r>
        <w:rPr>
          <w:rFonts w:ascii="FangSong" w:hAnsi="FangSong" w:eastAsia="FangSong" w:cs="FangSong"/>
          <w:sz w:val="23"/>
          <w:szCs w:val="23"/>
          <w:spacing w:val="-58"/>
        </w:rPr>
        <w:t xml:space="preserve"> </w:t>
      </w:r>
      <w:r>
        <w:rPr>
          <w:rFonts w:ascii="FangSong" w:hAnsi="FangSong" w:eastAsia="FangSong" w:cs="FangSong"/>
          <w:sz w:val="23"/>
          <w:szCs w:val="23"/>
          <w:spacing w:val="-4"/>
        </w:rPr>
        <w:t>占6.01%等。</w:t>
      </w:r>
    </w:p>
    <w:p>
      <w:pPr>
        <w:pStyle w:val="BodyText"/>
        <w:spacing w:line="269" w:lineRule="auto"/>
        <w:rPr/>
      </w:pPr>
      <w:r/>
    </w:p>
    <w:p>
      <w:pPr>
        <w:ind w:firstLine="4684"/>
        <w:spacing w:line="2464" w:lineRule="exact"/>
        <w:rPr/>
      </w:pPr>
      <w:r>
        <w:rPr>
          <w:position w:val="-49"/>
        </w:rPr>
        <w:drawing>
          <wp:inline distT="0" distB="0" distL="0" distR="0">
            <wp:extent cx="1877135" cy="1564258"/>
            <wp:effectExtent l="0" t="0" r="0" b="0"/>
            <wp:docPr id="6" name="IM 6"/>
            <wp:cNvGraphicFramePr/>
            <a:graphic>
              <a:graphicData uri="http://schemas.openxmlformats.org/drawingml/2006/picture">
                <pic:pic>
                  <pic:nvPicPr>
                    <pic:cNvPr id="6" name="IM 6"/>
                    <pic:cNvPicPr/>
                  </pic:nvPicPr>
                  <pic:blipFill>
                    <a:blip r:embed="rId40"/>
                    <a:stretch>
                      <a:fillRect/>
                    </a:stretch>
                  </pic:blipFill>
                  <pic:spPr>
                    <a:xfrm rot="0">
                      <a:off x="0" y="0"/>
                      <a:ext cx="1877135" cy="1564258"/>
                    </a:xfrm>
                    <a:prstGeom prst="rect">
                      <a:avLst/>
                    </a:prstGeom>
                  </pic:spPr>
                </pic:pic>
              </a:graphicData>
            </a:graphic>
          </wp:inline>
        </w:drawing>
      </w:r>
    </w:p>
    <w:p>
      <w:pPr>
        <w:pStyle w:val="BodyText"/>
        <w:spacing w:line="265" w:lineRule="auto"/>
        <w:rPr/>
      </w:pPr>
      <w:r/>
    </w:p>
    <w:p>
      <w:pPr>
        <w:pStyle w:val="BodyText"/>
        <w:spacing w:line="265" w:lineRule="auto"/>
        <w:rPr/>
      </w:pPr>
      <w:r/>
    </w:p>
    <w:p>
      <w:pPr>
        <w:ind w:left="1262"/>
        <w:spacing w:before="94"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2193"/>
        <w:spacing w:before="185" w:line="222" w:lineRule="auto"/>
        <w:rPr>
          <w:rFonts w:ascii="FangSong" w:hAnsi="FangSong" w:eastAsia="FangSong" w:cs="FangSong"/>
          <w:sz w:val="23"/>
          <w:szCs w:val="23"/>
        </w:rPr>
      </w:pPr>
      <w:r>
        <w:rPr>
          <w:rFonts w:ascii="FangSong" w:hAnsi="FangSong" w:eastAsia="FangSong" w:cs="FangSong"/>
          <w:sz w:val="23"/>
          <w:szCs w:val="23"/>
          <w:spacing w:val="3"/>
        </w:rPr>
        <w:t>年度兴县瓦塘镇中心卫生院裴家川口分院一般公</w:t>
      </w:r>
      <w:r>
        <w:rPr>
          <w:rFonts w:ascii="FangSong" w:hAnsi="FangSong" w:eastAsia="FangSong" w:cs="FangSong"/>
          <w:sz w:val="23"/>
          <w:szCs w:val="23"/>
          <w:spacing w:val="2"/>
        </w:rPr>
        <w:t>共预算安排基本支出79.</w:t>
      </w:r>
      <w:r>
        <w:rPr>
          <w:rFonts w:ascii="FangSong" w:hAnsi="FangSong" w:eastAsia="FangSong" w:cs="FangSong"/>
          <w:sz w:val="23"/>
          <w:szCs w:val="23"/>
          <w:spacing w:val="2"/>
        </w:rPr>
        <w:t xml:space="preserve">      </w:t>
      </w:r>
      <w:r>
        <w:rPr>
          <w:rFonts w:ascii="FangSong" w:hAnsi="FangSong" w:eastAsia="FangSong" w:cs="FangSong"/>
          <w:sz w:val="23"/>
          <w:szCs w:val="23"/>
          <w:spacing w:val="2"/>
        </w:rPr>
        <w:t>，其</w:t>
      </w:r>
    </w:p>
    <w:p>
      <w:pPr>
        <w:ind w:left="1511"/>
        <w:spacing w:before="123" w:line="241" w:lineRule="auto"/>
        <w:rPr>
          <w:rFonts w:ascii="FangSong" w:hAnsi="FangSong" w:eastAsia="FangSong" w:cs="FangSong"/>
          <w:sz w:val="23"/>
          <w:szCs w:val="23"/>
        </w:rPr>
      </w:pPr>
      <w:r>
        <w:rPr>
          <w:rFonts w:ascii="FangSong" w:hAnsi="FangSong" w:eastAsia="FangSong" w:cs="FangSong"/>
          <w:sz w:val="23"/>
          <w:szCs w:val="23"/>
        </w:rPr>
        <w:t>:</w:t>
      </w:r>
    </w:p>
    <w:p>
      <w:pPr>
        <w:ind w:left="1728"/>
        <w:spacing w:before="100" w:line="222" w:lineRule="auto"/>
        <w:rPr>
          <w:rFonts w:ascii="FangSong" w:hAnsi="FangSong" w:eastAsia="FangSong" w:cs="FangSong"/>
          <w:sz w:val="23"/>
          <w:szCs w:val="23"/>
        </w:rPr>
      </w:pPr>
      <w:r>
        <w:rPr>
          <w:rFonts w:ascii="FangSong" w:hAnsi="FangSong" w:eastAsia="FangSong" w:cs="FangSong"/>
          <w:sz w:val="23"/>
          <w:szCs w:val="23"/>
          <w:spacing w:val="2"/>
        </w:rPr>
        <w:t>人员经费74.56万元，主要包括：其他对个人和家庭的补助、</w:t>
      </w:r>
      <w:r>
        <w:rPr>
          <w:rFonts w:ascii="FangSong" w:hAnsi="FangSong" w:eastAsia="FangSong" w:cs="FangSong"/>
          <w:sz w:val="23"/>
          <w:szCs w:val="23"/>
          <w:spacing w:val="2"/>
        </w:rPr>
        <w:t xml:space="preserve">          </w:t>
      </w:r>
      <w:r>
        <w:rPr>
          <w:rFonts w:ascii="FangSong" w:hAnsi="FangSong" w:eastAsia="FangSong" w:cs="FangSong"/>
          <w:sz w:val="23"/>
          <w:szCs w:val="23"/>
          <w:spacing w:val="2"/>
        </w:rPr>
        <w:t>利支出、其他社</w:t>
      </w:r>
    </w:p>
    <w:p>
      <w:pPr>
        <w:ind w:left="1264" w:right="1223" w:firstLine="6"/>
        <w:spacing w:before="134" w:line="321" w:lineRule="auto"/>
        <w:rPr>
          <w:rFonts w:ascii="FangSong" w:hAnsi="FangSong" w:eastAsia="FangSong" w:cs="FangSong"/>
          <w:sz w:val="23"/>
          <w:szCs w:val="23"/>
        </w:rPr>
      </w:pPr>
      <w:r>
        <w:rPr>
          <w:rFonts w:ascii="FangSong" w:hAnsi="FangSong" w:eastAsia="FangSong" w:cs="FangSong"/>
          <w:sz w:val="23"/>
          <w:szCs w:val="23"/>
          <w:spacing w:val="5"/>
        </w:rPr>
        <w:t>会保障缴费、绩效工资、基本工资、机关事业单位基本养老保险缴费、住房公积金、职工基</w:t>
      </w:r>
      <w:r>
        <w:rPr>
          <w:rFonts w:ascii="FangSong" w:hAnsi="FangSong" w:eastAsia="FangSong" w:cs="FangSong"/>
          <w:sz w:val="23"/>
          <w:szCs w:val="23"/>
          <w:spacing w:val="4"/>
        </w:rPr>
        <w:t xml:space="preserve"> </w:t>
      </w:r>
      <w:r>
        <w:rPr>
          <w:rFonts w:ascii="FangSong" w:hAnsi="FangSong" w:eastAsia="FangSong" w:cs="FangSong"/>
          <w:sz w:val="23"/>
          <w:szCs w:val="23"/>
          <w:spacing w:val="-1"/>
        </w:rPr>
        <w:t>本医疗保险缴费、津贴补贴等；</w:t>
      </w:r>
    </w:p>
    <w:p>
      <w:pPr>
        <w:ind w:left="1729"/>
        <w:spacing w:before="1" w:line="222" w:lineRule="auto"/>
        <w:rPr>
          <w:rFonts w:ascii="FangSong" w:hAnsi="FangSong" w:eastAsia="FangSong" w:cs="FangSong"/>
          <w:sz w:val="23"/>
          <w:szCs w:val="23"/>
        </w:rPr>
      </w:pPr>
      <w:r>
        <w:rPr>
          <w:rFonts w:ascii="FangSong" w:hAnsi="FangSong" w:eastAsia="FangSong" w:cs="FangSong"/>
          <w:sz w:val="23"/>
          <w:szCs w:val="23"/>
        </w:rPr>
        <w:t>公用经费5.12万元，主要包括：福利费、工会经费、</w:t>
      </w:r>
      <w:r>
        <w:rPr>
          <w:rFonts w:ascii="FangSong" w:hAnsi="FangSong" w:eastAsia="FangSong" w:cs="FangSong"/>
          <w:sz w:val="23"/>
          <w:szCs w:val="23"/>
          <w:spacing w:val="-1"/>
        </w:rPr>
        <w:t>取暖费等。</w:t>
      </w:r>
    </w:p>
    <w:p>
      <w:pPr>
        <w:ind w:left="1255"/>
        <w:spacing w:before="130"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19" w:line="231"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85" w:line="221" w:lineRule="auto"/>
        <w:rPr>
          <w:rFonts w:ascii="FangSong" w:hAnsi="FangSong" w:eastAsia="FangSong" w:cs="FangSong"/>
          <w:sz w:val="23"/>
          <w:szCs w:val="23"/>
        </w:rPr>
      </w:pPr>
      <w:r>
        <w:rPr>
          <w:rFonts w:ascii="FangSong" w:hAnsi="FangSong" w:eastAsia="FangSong" w:cs="FangSong"/>
          <w:sz w:val="23"/>
          <w:szCs w:val="23"/>
        </w:rPr>
        <w:t>本单位本年度没有机关运行经费。上年度也没有机关运行经</w:t>
      </w:r>
      <w:r>
        <w:rPr>
          <w:rFonts w:ascii="FangSong" w:hAnsi="FangSong" w:eastAsia="FangSong" w:cs="FangSong"/>
          <w:sz w:val="23"/>
          <w:szCs w:val="23"/>
          <w:spacing w:val="-1"/>
        </w:rPr>
        <w:t>费。</w:t>
      </w:r>
    </w:p>
    <w:p>
      <w:pPr>
        <w:ind w:left="1258"/>
        <w:spacing w:before="122"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64" w:right="1223" w:firstLine="455"/>
        <w:spacing w:before="179" w:line="323" w:lineRule="auto"/>
        <w:rPr>
          <w:rFonts w:ascii="FangSong" w:hAnsi="FangSong" w:eastAsia="FangSong" w:cs="FangSong"/>
          <w:sz w:val="23"/>
          <w:szCs w:val="23"/>
        </w:rPr>
      </w:pPr>
      <w:r>
        <w:rPr>
          <w:rFonts w:ascii="FangSong" w:hAnsi="FangSong" w:eastAsia="FangSong" w:cs="FangSong"/>
          <w:sz w:val="23"/>
          <w:szCs w:val="23"/>
          <w:spacing w:val="2"/>
        </w:rPr>
        <w:t>2025年兴县瓦塘镇中心卫生院裴家川口分院政府采购预算总额0万元。其中：政府采购货</w:t>
      </w:r>
      <w:r>
        <w:rPr>
          <w:rFonts w:ascii="FangSong" w:hAnsi="FangSong" w:eastAsia="FangSong" w:cs="FangSong"/>
          <w:sz w:val="23"/>
          <w:szCs w:val="23"/>
          <w:spacing w:val="17"/>
        </w:rPr>
        <w:t xml:space="preserve"> </w:t>
      </w:r>
      <w:r>
        <w:rPr>
          <w:rFonts w:ascii="FangSong" w:hAnsi="FangSong" w:eastAsia="FangSong" w:cs="FangSong"/>
          <w:sz w:val="23"/>
          <w:szCs w:val="23"/>
        </w:rPr>
        <w:t>物预算0万元、政府采</w:t>
      </w:r>
      <w:r>
        <w:rPr>
          <w:rFonts w:ascii="FangSong" w:hAnsi="FangSong" w:eastAsia="FangSong" w:cs="FangSong"/>
          <w:sz w:val="23"/>
          <w:szCs w:val="23"/>
        </w:rPr>
        <w:t xml:space="preserve">      </w:t>
      </w:r>
      <w:r>
        <w:rPr>
          <w:rFonts w:ascii="FangSong" w:hAnsi="FangSong" w:eastAsia="FangSong" w:cs="FangSong"/>
          <w:sz w:val="23"/>
          <w:szCs w:val="23"/>
        </w:rPr>
        <w:t>预算0万元、政府采购服务预算0万元。</w:t>
      </w:r>
    </w:p>
    <w:p>
      <w:pPr>
        <w:ind w:left="1260"/>
        <w:spacing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74" w:line="223" w:lineRule="auto"/>
        <w:rPr>
          <w:rFonts w:ascii="FangSong" w:hAnsi="FangSong" w:eastAsia="FangSong" w:cs="FangSong"/>
          <w:sz w:val="23"/>
          <w:szCs w:val="23"/>
        </w:rPr>
      </w:pPr>
      <w:r>
        <w:rPr>
          <w:rFonts w:ascii="FangSong" w:hAnsi="FangSong" w:eastAsia="FangSong" w:cs="FangSong"/>
          <w:sz w:val="23"/>
          <w:szCs w:val="23"/>
          <w:spacing w:val="-20"/>
        </w:rPr>
        <w:t>1、</w:t>
      </w:r>
      <w:r>
        <w:rPr>
          <w:rFonts w:ascii="FangSong" w:hAnsi="FangSong" w:eastAsia="FangSong" w:cs="FangSong"/>
          <w:sz w:val="23"/>
          <w:szCs w:val="23"/>
          <w:spacing w:val="7"/>
        </w:rPr>
        <w:t xml:space="preserve">        </w:t>
      </w:r>
      <w:r>
        <w:rPr>
          <w:rFonts w:ascii="FangSong" w:hAnsi="FangSong" w:eastAsia="FangSong" w:cs="FangSong"/>
          <w:sz w:val="23"/>
          <w:szCs w:val="23"/>
          <w:spacing w:val="-20"/>
        </w:rPr>
        <w:t>目标</w:t>
      </w:r>
    </w:p>
    <w:p>
      <w:pPr>
        <w:ind w:left="1259"/>
        <w:spacing w:before="134" w:line="221" w:lineRule="auto"/>
        <w:rPr>
          <w:rFonts w:ascii="FangSong" w:hAnsi="FangSong" w:eastAsia="FangSong" w:cs="FangSong"/>
          <w:sz w:val="23"/>
          <w:szCs w:val="23"/>
        </w:rPr>
      </w:pPr>
      <w:r>
        <w:rPr>
          <w:rFonts w:ascii="FangSong" w:hAnsi="FangSong" w:eastAsia="FangSong" w:cs="FangSong"/>
          <w:sz w:val="23"/>
          <w:szCs w:val="23"/>
        </w:rPr>
        <w:t>2025年</w:t>
      </w:r>
      <w:r>
        <w:rPr>
          <w:rFonts w:ascii="FangSong" w:hAnsi="FangSong" w:eastAsia="FangSong" w:cs="FangSong"/>
          <w:sz w:val="23"/>
          <w:szCs w:val="23"/>
        </w:rPr>
        <w:t xml:space="preserve">  </w:t>
      </w:r>
      <w:r>
        <w:rPr>
          <w:rFonts w:ascii="FangSong" w:hAnsi="FangSong" w:eastAsia="FangSong" w:cs="FangSong"/>
          <w:sz w:val="23"/>
          <w:szCs w:val="23"/>
        </w:rPr>
        <w:t>报单位整体绩效目标，涉及资金21.04万元。</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58" w:right="1223" w:firstLine="462"/>
        <w:spacing w:before="120" w:line="325" w:lineRule="auto"/>
        <w:rPr>
          <w:rFonts w:ascii="FangSong" w:hAnsi="FangSong" w:eastAsia="FangSong" w:cs="FangSong"/>
          <w:sz w:val="23"/>
          <w:szCs w:val="23"/>
        </w:rPr>
      </w:pPr>
      <w:r>
        <w:rPr>
          <w:rFonts w:ascii="FangSong" w:hAnsi="FangSong" w:eastAsia="FangSong" w:cs="FangSong"/>
          <w:sz w:val="23"/>
          <w:szCs w:val="23"/>
          <w:spacing w:val="2"/>
        </w:rPr>
        <w:t>2025年兴县瓦塘镇中心卫生院裴家川口分院纳入绩效目标管理的二级项目6个，共计金额</w:t>
      </w:r>
      <w:r>
        <w:rPr>
          <w:rFonts w:ascii="FangSong" w:hAnsi="FangSong" w:eastAsia="FangSong" w:cs="FangSong"/>
          <w:sz w:val="23"/>
          <w:szCs w:val="23"/>
          <w:spacing w:val="17"/>
        </w:rPr>
        <w:t xml:space="preserve"> </w:t>
      </w:r>
      <w:r>
        <w:rPr>
          <w:rFonts w:ascii="FangSong" w:hAnsi="FangSong" w:eastAsia="FangSong" w:cs="FangSong"/>
          <w:sz w:val="23"/>
          <w:szCs w:val="23"/>
          <w:spacing w:val="2"/>
        </w:rPr>
        <w:t>21.04万元。其中：其他运转类项目0个，涉及金额0万元；特定目标类项目0个，涉及金额0万</w:t>
      </w:r>
      <w:r>
        <w:rPr>
          <w:rFonts w:ascii="FangSong" w:hAnsi="FangSong" w:eastAsia="FangSong" w:cs="FangSong"/>
          <w:sz w:val="23"/>
          <w:szCs w:val="23"/>
          <w:spacing w:val="12"/>
        </w:rPr>
        <w:t xml:space="preserve"> </w:t>
      </w:r>
      <w:r>
        <w:rPr>
          <w:rFonts w:ascii="FangSong" w:hAnsi="FangSong" w:eastAsia="FangSong" w:cs="FangSong"/>
          <w:sz w:val="23"/>
          <w:szCs w:val="23"/>
          <w:spacing w:val="3"/>
        </w:rPr>
        <w:t>元</w:t>
      </w:r>
      <w:r>
        <w:rPr>
          <w:rFonts w:ascii="FangSong" w:hAnsi="FangSong" w:eastAsia="FangSong" w:cs="FangSong"/>
          <w:sz w:val="23"/>
          <w:szCs w:val="23"/>
          <w:spacing w:val="-64"/>
        </w:rPr>
        <w:t xml:space="preserve"> </w:t>
      </w:r>
      <w:r>
        <w:rPr>
          <w:rFonts w:ascii="FangSong" w:hAnsi="FangSong" w:eastAsia="FangSong" w:cs="FangSong"/>
          <w:sz w:val="23"/>
          <w:szCs w:val="23"/>
          <w:spacing w:val="3"/>
        </w:rPr>
        <w:t>。公开项</w:t>
      </w:r>
      <w:r>
        <w:rPr>
          <w:rFonts w:ascii="FangSong" w:hAnsi="FangSong" w:eastAsia="FangSong" w:cs="FangSong"/>
          <w:sz w:val="23"/>
          <w:szCs w:val="23"/>
          <w:spacing w:val="-41"/>
        </w:rPr>
        <w:t xml:space="preserve"> </w:t>
      </w:r>
      <w:r>
        <w:rPr>
          <w:rFonts w:ascii="FangSong" w:hAnsi="FangSong" w:eastAsia="FangSong" w:cs="FangSong"/>
          <w:sz w:val="23"/>
          <w:szCs w:val="23"/>
          <w:spacing w:val="3"/>
        </w:rPr>
        <w:t>目绩效</w:t>
      </w:r>
      <w:r>
        <w:rPr>
          <w:rFonts w:ascii="FangSong" w:hAnsi="FangSong" w:eastAsia="FangSong" w:cs="FangSong"/>
          <w:sz w:val="23"/>
          <w:szCs w:val="23"/>
          <w:spacing w:val="-41"/>
        </w:rPr>
        <w:t xml:space="preserve"> </w:t>
      </w:r>
      <w:r>
        <w:rPr>
          <w:rFonts w:ascii="FangSong" w:hAnsi="FangSong" w:eastAsia="FangSong" w:cs="FangSong"/>
          <w:sz w:val="23"/>
          <w:szCs w:val="23"/>
          <w:spacing w:val="3"/>
        </w:rPr>
        <w:t>目标6个</w:t>
      </w:r>
      <w:r>
        <w:rPr>
          <w:rFonts w:ascii="FangSong" w:hAnsi="FangSong" w:eastAsia="FangSong" w:cs="FangSong"/>
          <w:sz w:val="23"/>
          <w:szCs w:val="23"/>
          <w:spacing w:val="-65"/>
        </w:rPr>
        <w:t xml:space="preserve"> </w:t>
      </w:r>
      <w:r>
        <w:rPr>
          <w:rFonts w:ascii="FangSong" w:hAnsi="FangSong" w:eastAsia="FangSong" w:cs="FangSong"/>
          <w:sz w:val="23"/>
          <w:szCs w:val="23"/>
          <w:spacing w:val="3"/>
        </w:rPr>
        <w:t>，涉及项</w:t>
      </w:r>
      <w:r>
        <w:rPr>
          <w:rFonts w:ascii="FangSong" w:hAnsi="FangSong" w:eastAsia="FangSong" w:cs="FangSong"/>
          <w:sz w:val="23"/>
          <w:szCs w:val="23"/>
          <w:spacing w:val="-40"/>
        </w:rPr>
        <w:t xml:space="preserve"> </w:t>
      </w:r>
      <w:r>
        <w:rPr>
          <w:rFonts w:ascii="FangSong" w:hAnsi="FangSong" w:eastAsia="FangSong" w:cs="FangSong"/>
          <w:sz w:val="23"/>
          <w:szCs w:val="23"/>
          <w:spacing w:val="3"/>
        </w:rPr>
        <w:t>目金额</w:t>
      </w:r>
      <w:r>
        <w:rPr>
          <w:rFonts w:ascii="FangSong" w:hAnsi="FangSong" w:eastAsia="FangSong" w:cs="FangSong"/>
          <w:sz w:val="23"/>
          <w:szCs w:val="23"/>
          <w:spacing w:val="2"/>
        </w:rPr>
        <w:t>21.04万元</w:t>
      </w:r>
      <w:r>
        <w:rPr>
          <w:rFonts w:ascii="FangSong" w:hAnsi="FangSong" w:eastAsia="FangSong" w:cs="FangSong"/>
          <w:sz w:val="23"/>
          <w:szCs w:val="23"/>
          <w:spacing w:val="-65"/>
        </w:rPr>
        <w:t xml:space="preserve"> </w:t>
      </w:r>
      <w:r>
        <w:rPr>
          <w:rFonts w:ascii="FangSong" w:hAnsi="FangSong" w:eastAsia="FangSong" w:cs="FangSong"/>
          <w:sz w:val="23"/>
          <w:szCs w:val="23"/>
          <w:spacing w:val="2"/>
        </w:rPr>
        <w:t>，</w:t>
      </w:r>
      <w:r>
        <w:rPr>
          <w:rFonts w:ascii="FangSong" w:hAnsi="FangSong" w:eastAsia="FangSong" w:cs="FangSong"/>
          <w:sz w:val="23"/>
          <w:szCs w:val="23"/>
          <w:spacing w:val="-42"/>
        </w:rPr>
        <w:t xml:space="preserve"> </w:t>
      </w:r>
      <w:r>
        <w:rPr>
          <w:rFonts w:ascii="FangSong" w:hAnsi="FangSong" w:eastAsia="FangSong" w:cs="FangSong"/>
          <w:sz w:val="23"/>
          <w:szCs w:val="23"/>
          <w:spacing w:val="2"/>
        </w:rPr>
        <w:t>占部门（单位）</w:t>
      </w:r>
      <w:r>
        <w:rPr>
          <w:rFonts w:ascii="FangSong" w:hAnsi="FangSong" w:eastAsia="FangSong" w:cs="FangSong"/>
          <w:sz w:val="23"/>
          <w:szCs w:val="23"/>
          <w:spacing w:val="-61"/>
        </w:rPr>
        <w:t xml:space="preserve"> </w:t>
      </w:r>
      <w:r>
        <w:rPr>
          <w:rFonts w:ascii="FangSong" w:hAnsi="FangSong" w:eastAsia="FangSong" w:cs="FangSong"/>
          <w:sz w:val="23"/>
          <w:szCs w:val="23"/>
          <w:spacing w:val="2"/>
        </w:rPr>
        <w:t>项</w:t>
      </w:r>
      <w:r>
        <w:rPr>
          <w:rFonts w:ascii="FangSong" w:hAnsi="FangSong" w:eastAsia="FangSong" w:cs="FangSong"/>
          <w:sz w:val="23"/>
          <w:szCs w:val="23"/>
          <w:spacing w:val="-41"/>
        </w:rPr>
        <w:t xml:space="preserve"> </w:t>
      </w:r>
      <w:r>
        <w:rPr>
          <w:rFonts w:ascii="FangSong" w:hAnsi="FangSong" w:eastAsia="FangSong" w:cs="FangSong"/>
          <w:sz w:val="23"/>
          <w:szCs w:val="23"/>
          <w:spacing w:val="2"/>
        </w:rPr>
        <w:t>目支出总额的</w:t>
      </w:r>
      <w:r>
        <w:rPr>
          <w:rFonts w:ascii="FangSong" w:hAnsi="FangSong" w:eastAsia="FangSong" w:cs="FangSong"/>
          <w:sz w:val="23"/>
          <w:szCs w:val="23"/>
        </w:rPr>
        <w:t xml:space="preserve"> </w:t>
      </w:r>
      <w:r>
        <w:rPr>
          <w:rFonts w:ascii="FangSong" w:hAnsi="FangSong" w:eastAsia="FangSong" w:cs="FangSong"/>
          <w:sz w:val="23"/>
          <w:szCs w:val="23"/>
          <w:spacing w:val="2"/>
        </w:rPr>
        <w:t>100%。其中：其他运转类项目0个，涉及项目金额0万元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特定目标类项目0个，涉及项目金额</w:t>
      </w:r>
      <w:r>
        <w:rPr>
          <w:rFonts w:ascii="FangSong" w:hAnsi="FangSong" w:eastAsia="FangSong" w:cs="FangSong"/>
          <w:sz w:val="23"/>
          <w:szCs w:val="23"/>
          <w:spacing w:val="11"/>
        </w:rPr>
        <w:t xml:space="preserve"> </w:t>
      </w:r>
      <w:r>
        <w:rPr>
          <w:rFonts w:ascii="FangSong" w:hAnsi="FangSong" w:eastAsia="FangSong" w:cs="FangSong"/>
          <w:sz w:val="23"/>
          <w:szCs w:val="23"/>
          <w:spacing w:val="-3"/>
        </w:rPr>
        <w:t>0万元。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38"/>
          <w:footerReference w:type="default" r:id="rId39"/>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ict>
          <v:shape id="_x0000_s444" style="position:absolute;margin-left:491.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2282" w:lineRule="exact"/>
        <w:rPr/>
      </w:pPr>
      <w:r>
        <w:pict>
          <v:shape id="_x0000_s446" style="position:absolute;margin-left:86.92pt;margin-top:472.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pict>
          <v:shape id="_x0000_s448" style="position:absolute;margin-left:491.92pt;margin-top:472.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450" style="position:absolute;margin-left:-13.08pt;margin-top:228.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pict>
          <v:shape id="_x0000_s452" style="position:absolute;margin-left:391.92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052859" cy="7798977"/>
            <wp:effectExtent l="0" t="0" r="0" b="0"/>
            <wp:docPr id="8" name="IM 8"/>
            <wp:cNvGraphicFramePr/>
            <a:graphic>
              <a:graphicData uri="http://schemas.openxmlformats.org/drawingml/2006/picture">
                <pic:pic>
                  <pic:nvPicPr>
                    <pic:cNvPr id="8" name="IM 8"/>
                    <pic:cNvPicPr/>
                  </pic:nvPicPr>
                  <pic:blipFill>
                    <a:blip r:embed="rId43"/>
                    <a:stretch>
                      <a:fillRect/>
                    </a:stretch>
                  </pic:blipFill>
                  <pic:spPr>
                    <a:xfrm rot="0">
                      <a:off x="0" y="0"/>
                      <a:ext cx="5052859" cy="7798977"/>
                    </a:xfrm>
                    <a:prstGeom prst="rect">
                      <a:avLst/>
                    </a:prstGeom>
                  </pic:spPr>
                </pic:pic>
              </a:graphicData>
            </a:graphic>
          </wp:inline>
        </w:drawing>
      </w:r>
    </w:p>
    <w:p>
      <w:pPr>
        <w:spacing w:line="12282" w:lineRule="exact"/>
        <w:sectPr>
          <w:headerReference w:type="default" r:id="rId41"/>
          <w:footerReference w:type="default" r:id="rId42"/>
          <w:pgSz w:w="11900" w:h="16840"/>
          <w:pgMar w:top="642" w:right="0" w:bottom="340" w:left="0" w:header="326" w:footer="111" w:gutter="0"/>
        </w:sectPr>
        <w:rPr/>
      </w:pPr>
    </w:p>
    <w:p>
      <w:pPr>
        <w:pStyle w:val="BodyText"/>
        <w:spacing w:line="277" w:lineRule="auto"/>
        <w:rPr/>
      </w:pPr>
      <w:r>
        <w:pict>
          <v:shape id="_x0000_s454" style="position:absolute;margin-left:491.92pt;margin-top:44.1055pt;mso-position-vertical-relative:page;mso-position-horizontal-relative:page;width:119.4pt;height:18.85pt;z-index:25166540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2217" w:lineRule="exact"/>
        <w:rPr/>
      </w:pPr>
      <w:r>
        <w:pict>
          <v:shape id="_x0000_s456" style="position:absolute;margin-left:-13.08pt;margin-top:228.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pict>
          <v:shape id="_x0000_s458" style="position:absolute;margin-left:391.92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460" style="position:absolute;margin-left:491.92pt;margin-top:472.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462" style="position:absolute;margin-left:86.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5052859" cy="7757785"/>
            <wp:effectExtent l="0" t="0" r="0" b="0"/>
            <wp:docPr id="10" name="IM 10"/>
            <wp:cNvGraphicFramePr/>
            <a:graphic>
              <a:graphicData uri="http://schemas.openxmlformats.org/drawingml/2006/picture">
                <pic:pic>
                  <pic:nvPicPr>
                    <pic:cNvPr id="10" name="IM 10"/>
                    <pic:cNvPicPr/>
                  </pic:nvPicPr>
                  <pic:blipFill>
                    <a:blip r:embed="rId45"/>
                    <a:stretch>
                      <a:fillRect/>
                    </a:stretch>
                  </pic:blipFill>
                  <pic:spPr>
                    <a:xfrm rot="0">
                      <a:off x="0" y="0"/>
                      <a:ext cx="5052859" cy="7757785"/>
                    </a:xfrm>
                    <a:prstGeom prst="rect">
                      <a:avLst/>
                    </a:prstGeom>
                  </pic:spPr>
                </pic:pic>
              </a:graphicData>
            </a:graphic>
          </wp:inline>
        </w:drawing>
      </w:r>
    </w:p>
    <w:p>
      <w:pPr>
        <w:spacing w:line="12217" w:lineRule="exact"/>
        <w:sectPr>
          <w:footerReference w:type="default" r:id="rId44"/>
          <w:pgSz w:w="11900" w:h="16840"/>
          <w:pgMar w:top="642" w:right="0" w:bottom="340" w:left="0" w:header="326" w:footer="111" w:gutter="0"/>
        </w:sectPr>
        <w:rPr/>
      </w:pPr>
    </w:p>
    <w:p>
      <w:pPr>
        <w:pStyle w:val="BodyText"/>
        <w:spacing w:line="277" w:lineRule="auto"/>
        <w:rPr/>
      </w:pPr>
      <w:r>
        <w:pict>
          <v:shape id="_x0000_s464" style="position:absolute;margin-left:491.92pt;margin-top:44.1055pt;mso-position-vertical-relative:page;mso-position-horizontal-relative:page;width:119.4pt;height:18.85pt;z-index:25167052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2001" w:lineRule="exact"/>
        <w:rPr/>
      </w:pPr>
      <w:r>
        <w:pict>
          <v:shape id="_x0000_s466" style="position:absolute;margin-left:-13.08pt;margin-top:228.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468" style="position:absolute;margin-left:391.92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pict>
          <v:shape id="_x0000_s470" style="position:absolute;margin-left:491.92pt;margin-top:472.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pict>
          <v:shape id="_x0000_s472" style="position:absolute;margin-left:86.92pt;margin-top:472.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rPr>
          <w:position w:val="-240"/>
        </w:rPr>
        <w:drawing>
          <wp:inline distT="0" distB="0" distL="0" distR="0">
            <wp:extent cx="5052859" cy="7620480"/>
            <wp:effectExtent l="0" t="0" r="0" b="0"/>
            <wp:docPr id="12" name="IM 12"/>
            <wp:cNvGraphicFramePr/>
            <a:graphic>
              <a:graphicData uri="http://schemas.openxmlformats.org/drawingml/2006/picture">
                <pic:pic>
                  <pic:nvPicPr>
                    <pic:cNvPr id="12" name="IM 12"/>
                    <pic:cNvPicPr/>
                  </pic:nvPicPr>
                  <pic:blipFill>
                    <a:blip r:embed="rId47"/>
                    <a:stretch>
                      <a:fillRect/>
                    </a:stretch>
                  </pic:blipFill>
                  <pic:spPr>
                    <a:xfrm rot="0">
                      <a:off x="0" y="0"/>
                      <a:ext cx="5052859" cy="7620480"/>
                    </a:xfrm>
                    <a:prstGeom prst="rect">
                      <a:avLst/>
                    </a:prstGeom>
                  </pic:spPr>
                </pic:pic>
              </a:graphicData>
            </a:graphic>
          </wp:inline>
        </w:drawing>
      </w:r>
    </w:p>
    <w:p>
      <w:pPr>
        <w:spacing w:line="12001" w:lineRule="exact"/>
        <w:sectPr>
          <w:footerReference w:type="default" r:id="rId46"/>
          <w:pgSz w:w="11900" w:h="16840"/>
          <w:pgMar w:top="642" w:right="0" w:bottom="340" w:left="0" w:header="326" w:footer="111" w:gutter="0"/>
        </w:sectPr>
        <w:rPr/>
      </w:pPr>
    </w:p>
    <w:p>
      <w:pPr>
        <w:pStyle w:val="BodyText"/>
        <w:spacing w:line="277" w:lineRule="auto"/>
        <w:rPr/>
      </w:pPr>
      <w:r>
        <w:pict>
          <v:shape id="_x0000_s474" style="position:absolute;margin-left:491.92pt;margin-top:44.1055pt;mso-position-vertical-relative:page;mso-position-horizontal-relative:page;width:119.4pt;height:18.85pt;z-index:25167462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2282" w:lineRule="exact"/>
        <w:rPr/>
      </w:pPr>
      <w:r>
        <w:pict>
          <v:shape id="_x0000_s476" style="position:absolute;margin-left:-13.08pt;margin-top:228.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478" style="position:absolute;margin-left:491.92pt;margin-top:472.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pict>
          <v:shape id="_x0000_s480" style="position:absolute;margin-left:391.92pt;margin-top:228.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482" style="position:absolute;margin-left:86.92pt;margin-top:472.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052859" cy="7798977"/>
            <wp:effectExtent l="0" t="0" r="0" b="0"/>
            <wp:docPr id="14" name="IM 14"/>
            <wp:cNvGraphicFramePr/>
            <a:graphic>
              <a:graphicData uri="http://schemas.openxmlformats.org/drawingml/2006/picture">
                <pic:pic>
                  <pic:nvPicPr>
                    <pic:cNvPr id="14" name="IM 14"/>
                    <pic:cNvPicPr/>
                  </pic:nvPicPr>
                  <pic:blipFill>
                    <a:blip r:embed="rId49"/>
                    <a:stretch>
                      <a:fillRect/>
                    </a:stretch>
                  </pic:blipFill>
                  <pic:spPr>
                    <a:xfrm rot="0">
                      <a:off x="0" y="0"/>
                      <a:ext cx="5052859" cy="7798977"/>
                    </a:xfrm>
                    <a:prstGeom prst="rect">
                      <a:avLst/>
                    </a:prstGeom>
                  </pic:spPr>
                </pic:pic>
              </a:graphicData>
            </a:graphic>
          </wp:inline>
        </w:drawing>
      </w:r>
    </w:p>
    <w:p>
      <w:pPr>
        <w:spacing w:line="12282" w:lineRule="exact"/>
        <w:sectPr>
          <w:footerReference w:type="default" r:id="rId48"/>
          <w:pgSz w:w="11900" w:h="16840"/>
          <w:pgMar w:top="642" w:right="0" w:bottom="340" w:left="0" w:header="326" w:footer="110" w:gutter="0"/>
        </w:sectPr>
        <w:rPr/>
      </w:pPr>
    </w:p>
    <w:p>
      <w:pPr>
        <w:pStyle w:val="BodyText"/>
        <w:spacing w:line="277" w:lineRule="auto"/>
        <w:rPr/>
      </w:pPr>
      <w:r>
        <w:pict>
          <v:shape id="_x0000_s484" style="position:absolute;margin-left:491.92pt;margin-top:44.1055pt;mso-position-vertical-relative:page;mso-position-horizontal-relative:page;width:119.4pt;height:18.85pt;z-index:25168281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2261" w:lineRule="exact"/>
        <w:rPr/>
      </w:pPr>
      <w:r>
        <w:pict>
          <v:shape id="_x0000_s486" style="position:absolute;margin-left:86.92pt;margin-top:472.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488" style="position:absolute;margin-left:491.92pt;margin-top:472.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490" style="position:absolute;margin-left:391.92pt;margin-top:228.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492" style="position:absolute;margin-left:-13.08pt;margin-top:228.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052859" cy="7785246"/>
            <wp:effectExtent l="0" t="0" r="0" b="0"/>
            <wp:docPr id="16" name="IM 16"/>
            <wp:cNvGraphicFramePr/>
            <a:graphic>
              <a:graphicData uri="http://schemas.openxmlformats.org/drawingml/2006/picture">
                <pic:pic>
                  <pic:nvPicPr>
                    <pic:cNvPr id="16" name="IM 16"/>
                    <pic:cNvPicPr/>
                  </pic:nvPicPr>
                  <pic:blipFill>
                    <a:blip r:embed="rId51"/>
                    <a:stretch>
                      <a:fillRect/>
                    </a:stretch>
                  </pic:blipFill>
                  <pic:spPr>
                    <a:xfrm rot="0">
                      <a:off x="0" y="0"/>
                      <a:ext cx="5052859" cy="7785246"/>
                    </a:xfrm>
                    <a:prstGeom prst="rect">
                      <a:avLst/>
                    </a:prstGeom>
                  </pic:spPr>
                </pic:pic>
              </a:graphicData>
            </a:graphic>
          </wp:inline>
        </w:drawing>
      </w:r>
    </w:p>
    <w:p>
      <w:pPr>
        <w:spacing w:line="12261" w:lineRule="exact"/>
        <w:sectPr>
          <w:footerReference w:type="default" r:id="rId50"/>
          <w:pgSz w:w="11900" w:h="16840"/>
          <w:pgMar w:top="642" w:right="0" w:bottom="340" w:left="0" w:header="326" w:footer="110" w:gutter="0"/>
        </w:sectPr>
        <w:rPr/>
      </w:pPr>
    </w:p>
    <w:p>
      <w:pPr>
        <w:pStyle w:val="BodyText"/>
        <w:spacing w:line="277" w:lineRule="auto"/>
        <w:rPr/>
      </w:pPr>
      <w:r>
        <w:pict>
          <v:shape id="_x0000_s494" style="position:absolute;margin-left:491.92pt;margin-top:44.1055pt;mso-position-vertical-relative:page;mso-position-horizontal-relative:page;width:119.4pt;height:18.85pt;z-index:25168793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969" w:lineRule="exact"/>
        <w:rPr/>
      </w:pPr>
      <w:r>
        <w:pict>
          <v:shape id="_x0000_s496" style="position:absolute;margin-left:86.92pt;margin-top:472.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498" style="position:absolute;margin-left:-13.08pt;margin-top:228.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500" style="position:absolute;margin-left:391.92pt;margin-top:228.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502" style="position:absolute;margin-left:491.92pt;margin-top:472.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rPr>
          <w:position w:val="-239"/>
        </w:rPr>
        <w:drawing>
          <wp:inline distT="0" distB="0" distL="0" distR="0">
            <wp:extent cx="5052859" cy="7599884"/>
            <wp:effectExtent l="0" t="0" r="0" b="0"/>
            <wp:docPr id="18" name="IM 18"/>
            <wp:cNvGraphicFramePr/>
            <a:graphic>
              <a:graphicData uri="http://schemas.openxmlformats.org/drawingml/2006/picture">
                <pic:pic>
                  <pic:nvPicPr>
                    <pic:cNvPr id="18" name="IM 18"/>
                    <pic:cNvPicPr/>
                  </pic:nvPicPr>
                  <pic:blipFill>
                    <a:blip r:embed="rId53"/>
                    <a:stretch>
                      <a:fillRect/>
                    </a:stretch>
                  </pic:blipFill>
                  <pic:spPr>
                    <a:xfrm rot="0">
                      <a:off x="0" y="0"/>
                      <a:ext cx="5052859" cy="7599884"/>
                    </a:xfrm>
                    <a:prstGeom prst="rect">
                      <a:avLst/>
                    </a:prstGeom>
                  </pic:spPr>
                </pic:pic>
              </a:graphicData>
            </a:graphic>
          </wp:inline>
        </w:drawing>
      </w:r>
    </w:p>
    <w:p>
      <w:pPr>
        <w:spacing w:line="11969" w:lineRule="exact"/>
        <w:sectPr>
          <w:footerReference w:type="default" r:id="rId52"/>
          <w:pgSz w:w="11900" w:h="16840"/>
          <w:pgMar w:top="642" w:right="0" w:bottom="340" w:left="0" w:header="326" w:footer="111" w:gutter="0"/>
        </w:sectPr>
        <w:rPr/>
      </w:pPr>
    </w:p>
    <w:p>
      <w:pPr>
        <w:pStyle w:val="BodyText"/>
        <w:spacing w:line="277" w:lineRule="auto"/>
        <w:rPr/>
      </w:pPr>
      <w:r>
        <w:pict>
          <v:shape id="_x0000_s504" style="position:absolute;margin-left:491.92pt;margin-top:44.1055pt;mso-position-vertical-relative:page;mso-position-horizontal-relative:page;width:119.4pt;height:18.85pt;z-index:25168998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2282" w:lineRule="exact"/>
        <w:rPr/>
      </w:pPr>
      <w:r>
        <w:pict>
          <v:shape id="_x0000_s506" style="position:absolute;margin-left:86.92pt;margin-top:472.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508" style="position:absolute;margin-left:391.92pt;margin-top:228.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510" style="position:absolute;margin-left:-13.08pt;margin-top:228.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512" style="position:absolute;margin-left:491.92pt;margin-top:472.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052859" cy="7798977"/>
            <wp:effectExtent l="0" t="0" r="0" b="0"/>
            <wp:docPr id="20" name="IM 20"/>
            <wp:cNvGraphicFramePr/>
            <a:graphic>
              <a:graphicData uri="http://schemas.openxmlformats.org/drawingml/2006/picture">
                <pic:pic>
                  <pic:nvPicPr>
                    <pic:cNvPr id="20" name="IM 20"/>
                    <pic:cNvPicPr/>
                  </pic:nvPicPr>
                  <pic:blipFill>
                    <a:blip r:embed="rId55"/>
                    <a:stretch>
                      <a:fillRect/>
                    </a:stretch>
                  </pic:blipFill>
                  <pic:spPr>
                    <a:xfrm rot="0">
                      <a:off x="0" y="0"/>
                      <a:ext cx="5052859" cy="7798977"/>
                    </a:xfrm>
                    <a:prstGeom prst="rect">
                      <a:avLst/>
                    </a:prstGeom>
                  </pic:spPr>
                </pic:pic>
              </a:graphicData>
            </a:graphic>
          </wp:inline>
        </w:drawing>
      </w:r>
    </w:p>
    <w:p>
      <w:pPr>
        <w:spacing w:line="12282" w:lineRule="exact"/>
        <w:sectPr>
          <w:footerReference w:type="default" r:id="rId54"/>
          <w:pgSz w:w="11900" w:h="16840"/>
          <w:pgMar w:top="642" w:right="0" w:bottom="340" w:left="0" w:header="326" w:footer="110" w:gutter="0"/>
        </w:sectPr>
        <w:rPr/>
      </w:pPr>
    </w:p>
    <w:p>
      <w:pPr>
        <w:pStyle w:val="BodyText"/>
        <w:spacing w:line="277" w:lineRule="auto"/>
        <w:rPr/>
      </w:pPr>
      <w:r>
        <w:pict>
          <v:shape id="_x0000_s530" style="position:absolute;margin-left:491.92pt;margin-top:44.1055pt;mso-position-vertical-relative:page;mso-position-horizontal-relative:page;width:119.4pt;height:18.85pt;z-index:25169408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3417" w:lineRule="exact"/>
        <w:rPr/>
      </w:pPr>
      <w:r>
        <w:rPr>
          <w:position w:val="-68"/>
        </w:rPr>
        <w:drawing>
          <wp:inline distT="0" distB="0" distL="0" distR="0">
            <wp:extent cx="5052859" cy="2169433"/>
            <wp:effectExtent l="0" t="0" r="0" b="0"/>
            <wp:docPr id="22" name="IM 22"/>
            <wp:cNvGraphicFramePr/>
            <a:graphic>
              <a:graphicData uri="http://schemas.openxmlformats.org/drawingml/2006/picture">
                <pic:pic>
                  <pic:nvPicPr>
                    <pic:cNvPr id="22" name="IM 22"/>
                    <pic:cNvPicPr/>
                  </pic:nvPicPr>
                  <pic:blipFill>
                    <a:blip r:embed="rId58"/>
                    <a:stretch>
                      <a:fillRect/>
                    </a:stretch>
                  </pic:blipFill>
                  <pic:spPr>
                    <a:xfrm rot="0">
                      <a:off x="0" y="0"/>
                      <a:ext cx="5052859" cy="2169433"/>
                    </a:xfrm>
                    <a:prstGeom prst="rect">
                      <a:avLst/>
                    </a:prstGeom>
                  </pic:spPr>
                </pic:pic>
              </a:graphicData>
            </a:graphic>
          </wp:inline>
        </w:drawing>
      </w:r>
    </w:p>
    <w:p>
      <w:pPr>
        <w:spacing w:line="3417" w:lineRule="exact"/>
        <w:sectPr>
          <w:headerReference w:type="default" r:id="rId56"/>
          <w:footerReference w:type="default" r:id="rId57"/>
          <w:pgSz w:w="11900" w:h="16840"/>
          <w:pgMar w:top="642" w:right="0" w:bottom="340" w:left="0" w:header="326" w:footer="111"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58" w:right="1223" w:firstLine="466"/>
        <w:spacing w:before="135" w:line="321" w:lineRule="auto"/>
        <w:jc w:val="both"/>
        <w:rPr>
          <w:rFonts w:ascii="FangSong" w:hAnsi="FangSong" w:eastAsia="FangSong" w:cs="FangSong"/>
          <w:sz w:val="23"/>
          <w:szCs w:val="23"/>
        </w:rPr>
      </w:pPr>
      <w:r>
        <w:rPr>
          <w:rFonts w:ascii="FangSong" w:hAnsi="FangSong" w:eastAsia="FangSong" w:cs="FangSong"/>
          <w:sz w:val="23"/>
          <w:szCs w:val="23"/>
          <w:spacing w:val="2"/>
        </w:rPr>
        <w:t>截至2024年12月31日，兴县瓦塘镇中心卫生院裴家川口分院共有公务用车编制0辆，实有</w:t>
      </w:r>
      <w:r>
        <w:rPr>
          <w:rFonts w:ascii="FangSong" w:hAnsi="FangSong" w:eastAsia="FangSong" w:cs="FangSong"/>
          <w:sz w:val="23"/>
          <w:szCs w:val="23"/>
          <w:spacing w:val="9"/>
        </w:rPr>
        <w:t xml:space="preserve"> </w:t>
      </w:r>
      <w:r>
        <w:rPr>
          <w:rFonts w:ascii="FangSong" w:hAnsi="FangSong" w:eastAsia="FangSong" w:cs="FangSong"/>
          <w:sz w:val="23"/>
          <w:szCs w:val="23"/>
          <w:spacing w:val="2"/>
        </w:rPr>
        <w:t>0辆，其中：领导用车0辆，机要通信用车0辆，应急保障用车0辆，执法执勤用车0辆，特种专</w:t>
      </w:r>
      <w:r>
        <w:rPr>
          <w:rFonts w:ascii="FangSong" w:hAnsi="FangSong" w:eastAsia="FangSong" w:cs="FangSong"/>
          <w:sz w:val="23"/>
          <w:szCs w:val="23"/>
          <w:spacing w:val="16"/>
        </w:rPr>
        <w:t xml:space="preserve"> </w:t>
      </w:r>
      <w:r>
        <w:rPr>
          <w:rFonts w:ascii="FangSong" w:hAnsi="FangSong" w:eastAsia="FangSong" w:cs="FangSong"/>
          <w:sz w:val="23"/>
          <w:szCs w:val="23"/>
        </w:rPr>
        <w:t>业技术用车0辆，事业单位业务用车0辆，其他公务用车0辆。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61" w:right="1223" w:firstLine="463"/>
        <w:spacing w:before="123" w:line="322" w:lineRule="auto"/>
        <w:rPr>
          <w:rFonts w:ascii="FangSong" w:hAnsi="FangSong" w:eastAsia="FangSong" w:cs="FangSong"/>
          <w:sz w:val="23"/>
          <w:szCs w:val="23"/>
        </w:rPr>
      </w:pPr>
      <w:r>
        <w:rPr>
          <w:rFonts w:ascii="FangSong" w:hAnsi="FangSong" w:eastAsia="FangSong" w:cs="FangSong"/>
          <w:sz w:val="23"/>
          <w:szCs w:val="23"/>
          <w:spacing w:val="5"/>
        </w:rPr>
        <w:t>截至2024年12月31日，兴县瓦塘镇中心卫生院裴家川口分院使用的办公用房建筑总面积</w:t>
      </w:r>
      <w:r>
        <w:rPr>
          <w:rFonts w:ascii="FangSong" w:hAnsi="FangSong" w:eastAsia="FangSong" w:cs="FangSong"/>
          <w:sz w:val="23"/>
          <w:szCs w:val="23"/>
        </w:rPr>
        <w:t xml:space="preserve"> </w:t>
      </w:r>
      <w:r>
        <w:rPr>
          <w:rFonts w:ascii="FangSong" w:hAnsi="FangSong" w:eastAsia="FangSong" w:cs="FangSong"/>
          <w:sz w:val="23"/>
          <w:szCs w:val="23"/>
          <w:spacing w:val="-2"/>
        </w:rPr>
        <w:t>300平方米。</w:t>
      </w:r>
    </w:p>
    <w:p>
      <w:pPr>
        <w:ind w:left="1722"/>
        <w:spacing w:before="8"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3" w:right="1223" w:firstLine="461"/>
        <w:spacing w:before="125" w:line="323" w:lineRule="auto"/>
        <w:jc w:val="both"/>
        <w:rPr>
          <w:rFonts w:ascii="FangSong" w:hAnsi="FangSong" w:eastAsia="FangSong" w:cs="FangSong"/>
          <w:sz w:val="23"/>
          <w:szCs w:val="23"/>
        </w:rPr>
      </w:pPr>
      <w:r>
        <w:rPr>
          <w:rFonts w:ascii="FangSong" w:hAnsi="FangSong" w:eastAsia="FangSong" w:cs="FangSong"/>
          <w:sz w:val="23"/>
          <w:szCs w:val="23"/>
          <w:spacing w:val="9"/>
        </w:rPr>
        <w:t>截至2024年12月31</w:t>
      </w:r>
      <w:r>
        <w:rPr>
          <w:rFonts w:ascii="FangSong" w:hAnsi="FangSong" w:eastAsia="FangSong" w:cs="FangSong"/>
          <w:sz w:val="23"/>
          <w:szCs w:val="23"/>
          <w:spacing w:val="-39"/>
        </w:rPr>
        <w:t xml:space="preserve"> </w:t>
      </w:r>
      <w:r>
        <w:rPr>
          <w:rFonts w:ascii="FangSong" w:hAnsi="FangSong" w:eastAsia="FangSong" w:cs="FangSong"/>
          <w:sz w:val="23"/>
          <w:szCs w:val="23"/>
          <w:spacing w:val="9"/>
        </w:rPr>
        <w:t>日，兴县瓦塘镇中心卫生院裴家川口</w:t>
      </w:r>
      <w:r>
        <w:rPr>
          <w:rFonts w:ascii="FangSong" w:hAnsi="FangSong" w:eastAsia="FangSong" w:cs="FangSong"/>
          <w:sz w:val="23"/>
          <w:szCs w:val="23"/>
          <w:spacing w:val="8"/>
        </w:rPr>
        <w:t>分院占有使用价值50万元（原</w:t>
      </w:r>
      <w:r>
        <w:rPr>
          <w:rFonts w:ascii="FangSong" w:hAnsi="FangSong" w:eastAsia="FangSong" w:cs="FangSong"/>
          <w:sz w:val="23"/>
          <w:szCs w:val="23"/>
        </w:rPr>
        <w:t xml:space="preserve"> </w:t>
      </w:r>
      <w:r>
        <w:rPr>
          <w:rFonts w:ascii="FangSong" w:hAnsi="FangSong" w:eastAsia="FangSong" w:cs="FangSong"/>
          <w:sz w:val="23"/>
          <w:szCs w:val="23"/>
          <w:spacing w:val="3"/>
        </w:rPr>
        <w:t>值）</w:t>
      </w:r>
      <w:r>
        <w:rPr>
          <w:rFonts w:ascii="FangSong" w:hAnsi="FangSong" w:eastAsia="FangSong" w:cs="FangSong"/>
          <w:sz w:val="23"/>
          <w:szCs w:val="23"/>
          <w:spacing w:val="-65"/>
        </w:rPr>
        <w:t xml:space="preserve"> </w:t>
      </w:r>
      <w:r>
        <w:rPr>
          <w:rFonts w:ascii="FangSong" w:hAnsi="FangSong" w:eastAsia="FangSong" w:cs="FangSong"/>
          <w:sz w:val="23"/>
          <w:szCs w:val="23"/>
          <w:spacing w:val="3"/>
        </w:rPr>
        <w:t>以上的通用设备0台（套</w:t>
      </w:r>
      <w:r>
        <w:rPr>
          <w:rFonts w:ascii="FangSong" w:hAnsi="FangSong" w:eastAsia="FangSong" w:cs="FangSong"/>
          <w:sz w:val="23"/>
          <w:szCs w:val="23"/>
          <w:spacing w:val="21"/>
        </w:rPr>
        <w:t>）；</w:t>
      </w:r>
      <w:r>
        <w:rPr>
          <w:rFonts w:ascii="FangSong" w:hAnsi="FangSong" w:eastAsia="FangSong" w:cs="FangSong"/>
          <w:sz w:val="23"/>
          <w:szCs w:val="23"/>
          <w:spacing w:val="3"/>
        </w:rPr>
        <w:t>兴县瓦塘镇中心卫生院裴家川口分院占有使用价值100万元</w:t>
      </w:r>
      <w:r>
        <w:rPr>
          <w:rFonts w:ascii="FangSong" w:hAnsi="FangSong" w:eastAsia="FangSong" w:cs="FangSong"/>
          <w:sz w:val="23"/>
          <w:szCs w:val="23"/>
        </w:rPr>
        <w:t xml:space="preserve"> </w:t>
      </w:r>
      <w:r>
        <w:rPr>
          <w:rFonts w:ascii="FangSong" w:hAnsi="FangSong" w:eastAsia="FangSong" w:cs="FangSong"/>
          <w:sz w:val="23"/>
          <w:szCs w:val="23"/>
          <w:spacing w:val="-1"/>
        </w:rPr>
        <w:t>（原值）以上的通用设备0台（套）。</w:t>
      </w:r>
    </w:p>
    <w:p>
      <w:pPr>
        <w:ind w:left="1260"/>
        <w:spacing w:line="228"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27"/>
        <w:spacing w:before="26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9"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27"/>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5"/>
          <w:footerReference w:type="default" r:id="rId59"/>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ict>
          <v:shape id="_x0000_s532" style="position:absolute;margin-left:491.92pt;margin-top:44.1055pt;mso-position-vertical-relative:page;mso-position-horizontal-relative:page;width:119.4pt;height:18.85pt;z-index:25170739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35"/>
        <w:spacing w:line="13461" w:lineRule="exact"/>
        <w:rPr/>
      </w:pPr>
      <w:r>
        <w:pict>
          <v:shape id="_x0000_s534" style="position:absolute;margin-left:391.92pt;margin-top:228.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536" style="position:absolute;margin-left:86.92pt;margin-top:472.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538" style="position:absolute;margin-left:491.92pt;margin-top:472.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540" style="position:absolute;margin-left:-13.08pt;margin-top:228.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76694" cy="8547295"/>
            <wp:effectExtent l="0" t="0" r="0" b="0"/>
            <wp:docPr id="24" name="IM 24"/>
            <wp:cNvGraphicFramePr/>
            <a:graphic>
              <a:graphicData uri="http://schemas.openxmlformats.org/drawingml/2006/picture">
                <pic:pic>
                  <pic:nvPicPr>
                    <pic:cNvPr id="24" name="IM 24"/>
                    <pic:cNvPicPr/>
                  </pic:nvPicPr>
                  <pic:blipFill>
                    <a:blip r:embed="rId61"/>
                    <a:stretch>
                      <a:fillRect/>
                    </a:stretch>
                  </pic:blipFill>
                  <pic:spPr>
                    <a:xfrm rot="0">
                      <a:off x="0" y="0"/>
                      <a:ext cx="5876694" cy="8547295"/>
                    </a:xfrm>
                    <a:prstGeom prst="rect">
                      <a:avLst/>
                    </a:prstGeom>
                  </pic:spPr>
                </pic:pic>
              </a:graphicData>
            </a:graphic>
          </wp:inline>
        </w:drawing>
      </w:r>
    </w:p>
    <w:p>
      <w:pPr>
        <w:spacing w:line="13461" w:lineRule="exact"/>
        <w:sectPr>
          <w:headerReference w:type="default" r:id="rId41"/>
          <w:footerReference w:type="default" r:id="rId60"/>
          <w:pgSz w:w="11900" w:h="16840"/>
          <w:pgMar w:top="642" w:right="0" w:bottom="340" w:left="0" w:header="326" w:footer="111" w:gutter="0"/>
        </w:sectPr>
        <w:rPr/>
      </w:pPr>
    </w:p>
    <w:p>
      <w:pPr>
        <w:pStyle w:val="BodyText"/>
        <w:spacing w:line="277" w:lineRule="auto"/>
        <w:rPr/>
      </w:pPr>
      <w:r>
        <w:pict>
          <v:shape id="_x0000_s542" style="position:absolute;margin-left:491.92pt;margin-top:44.1055pt;mso-position-vertical-relative:page;mso-position-horizontal-relative:page;width:119.4pt;height:18.85pt;z-index:25171251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78"/>
        <w:spacing w:line="13461" w:lineRule="exact"/>
        <w:rPr/>
      </w:pPr>
      <w:r>
        <w:pict>
          <v:shape id="_x0000_s544" style="position:absolute;margin-left:86.92pt;margin-top:472.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546" style="position:absolute;margin-left:491.92pt;margin-top:472.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548" style="position:absolute;margin-left:-13.08pt;margin-top:228.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550" style="position:absolute;margin-left:391.92pt;margin-top:228.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21771" cy="8547295"/>
            <wp:effectExtent l="0" t="0" r="0" b="0"/>
            <wp:docPr id="26" name="IM 26"/>
            <wp:cNvGraphicFramePr/>
            <a:graphic>
              <a:graphicData uri="http://schemas.openxmlformats.org/drawingml/2006/picture">
                <pic:pic>
                  <pic:nvPicPr>
                    <pic:cNvPr id="26" name="IM 26"/>
                    <pic:cNvPicPr/>
                  </pic:nvPicPr>
                  <pic:blipFill>
                    <a:blip r:embed="rId63"/>
                    <a:stretch>
                      <a:fillRect/>
                    </a:stretch>
                  </pic:blipFill>
                  <pic:spPr>
                    <a:xfrm rot="0">
                      <a:off x="0" y="0"/>
                      <a:ext cx="5821771" cy="8547295"/>
                    </a:xfrm>
                    <a:prstGeom prst="rect">
                      <a:avLst/>
                    </a:prstGeom>
                  </pic:spPr>
                </pic:pic>
              </a:graphicData>
            </a:graphic>
          </wp:inline>
        </w:drawing>
      </w:r>
    </w:p>
    <w:p>
      <w:pPr>
        <w:spacing w:line="13461" w:lineRule="exact"/>
        <w:sectPr>
          <w:footerReference w:type="default" r:id="rId62"/>
          <w:pgSz w:w="11900" w:h="16840"/>
          <w:pgMar w:top="642" w:right="0" w:bottom="340" w:left="0" w:header="326" w:footer="111" w:gutter="0"/>
        </w:sectPr>
        <w:rPr/>
      </w:pPr>
    </w:p>
    <w:p>
      <w:pPr>
        <w:pStyle w:val="BodyText"/>
        <w:spacing w:line="277" w:lineRule="auto"/>
        <w:rPr/>
      </w:pPr>
      <w:r>
        <w:pict>
          <v:shape id="_x0000_s552" style="position:absolute;margin-left:491.92pt;margin-top:44.1055pt;mso-position-vertical-relative:page;mso-position-horizontal-relative:page;width:119.4pt;height:18.85pt;z-index:25171763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554" style="position:absolute;margin-left:391.92pt;margin-top:228.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556" style="position:absolute;margin-left:491.92pt;margin-top:472.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558" style="position:absolute;margin-left:-13.08pt;margin-top:228.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560" style="position:absolute;margin-left:86.92pt;margin-top:472.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8" name="IM 28"/>
            <wp:cNvGraphicFramePr/>
            <a:graphic>
              <a:graphicData uri="http://schemas.openxmlformats.org/drawingml/2006/picture">
                <pic:pic>
                  <pic:nvPicPr>
                    <pic:cNvPr id="28" name="IM 28"/>
                    <pic:cNvPicPr/>
                  </pic:nvPicPr>
                  <pic:blipFill>
                    <a:blip r:embed="rId65"/>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4"/>
          <w:pgSz w:w="11900" w:h="16840"/>
          <w:pgMar w:top="642" w:right="0" w:bottom="340" w:left="0" w:header="326" w:footer="111" w:gutter="0"/>
        </w:sectPr>
        <w:rPr/>
      </w:pPr>
    </w:p>
    <w:p>
      <w:pPr>
        <w:pStyle w:val="BodyText"/>
        <w:spacing w:line="277" w:lineRule="auto"/>
        <w:rPr/>
      </w:pPr>
      <w:r>
        <w:pict>
          <v:shape id="_x0000_s562" style="position:absolute;margin-left:491.92pt;margin-top:44.1055pt;mso-position-vertical-relative:page;mso-position-horizontal-relative:page;width:119.4pt;height:18.85pt;z-index:25172377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564" style="position:absolute;margin-left:86.92pt;margin-top:472.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566" style="position:absolute;margin-left:391.92pt;margin-top:228.067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pict>
          <v:shape id="_x0000_s568" style="position:absolute;margin-left:-13.08pt;margin-top:228.067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570" style="position:absolute;margin-left:491.92pt;margin-top:472.067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0" name="IM 30"/>
            <wp:cNvGraphicFramePr/>
            <a:graphic>
              <a:graphicData uri="http://schemas.openxmlformats.org/drawingml/2006/picture">
                <pic:pic>
                  <pic:nvPicPr>
                    <pic:cNvPr id="30" name="IM 30"/>
                    <pic:cNvPicPr/>
                  </pic:nvPicPr>
                  <pic:blipFill>
                    <a:blip r:embed="rId67"/>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6"/>
          <w:pgSz w:w="11900" w:h="16840"/>
          <w:pgMar w:top="642" w:right="0" w:bottom="340" w:left="0" w:header="326" w:footer="111" w:gutter="0"/>
        </w:sectPr>
        <w:rPr/>
      </w:pPr>
    </w:p>
    <w:p>
      <w:pPr>
        <w:pStyle w:val="BodyText"/>
        <w:spacing w:line="277" w:lineRule="auto"/>
        <w:rPr/>
      </w:pPr>
      <w:r>
        <w:pict>
          <v:shape id="_x0000_s572" style="position:absolute;margin-left:491.92pt;margin-top:44.1055pt;mso-position-vertical-relative:page;mso-position-horizontal-relative:page;width:119.4pt;height:18.85pt;z-index:25172684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574" style="position:absolute;margin-left:491.92pt;margin-top:472.067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pict>
          <v:shape id="_x0000_s576" style="position:absolute;margin-left:86.92pt;margin-top:472.067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pict>
          <v:shape id="_x0000_s578" style="position:absolute;margin-left:-13.08pt;margin-top:228.067pt;mso-position-vertical-relative:text;mso-position-horizontal-relative:text;width:119.4pt;height:18.85pt;z-index:251727872;rotation:330;" fillcolor="#404040" filled="true" stroked="false" type="#_x0000_t136">
            <v:fill opacity="0.400000"/>
            <v:textpath style="font-family:&quot;SimSun&quot;;font-size:20;v-text-kern:t;mso-text-shadow:auto" string="仅供内部审核"/>
          </v:shape>
        </w:pict>
      </w:r>
      <w:r>
        <w:pict>
          <v:shape id="_x0000_s580" style="position:absolute;margin-left:391.92pt;margin-top:228.067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2" name="IM 32"/>
            <wp:cNvGraphicFramePr/>
            <a:graphic>
              <a:graphicData uri="http://schemas.openxmlformats.org/drawingml/2006/picture">
                <pic:pic>
                  <pic:nvPicPr>
                    <pic:cNvPr id="32" name="IM 32"/>
                    <pic:cNvPicPr/>
                  </pic:nvPicPr>
                  <pic:blipFill>
                    <a:blip r:embed="rId69"/>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8"/>
          <w:pgSz w:w="11900" w:h="16840"/>
          <w:pgMar w:top="642" w:right="0" w:bottom="340" w:left="0" w:header="326" w:footer="111" w:gutter="0"/>
        </w:sectPr>
        <w:rPr/>
      </w:pPr>
    </w:p>
    <w:p>
      <w:pPr>
        <w:pStyle w:val="BodyText"/>
        <w:spacing w:line="277" w:lineRule="auto"/>
        <w:rPr/>
      </w:pPr>
      <w:r>
        <w:pict>
          <v:shape id="_x0000_s582" style="position:absolute;margin-left:491.92pt;margin-top:44.1055pt;mso-position-vertical-relative:page;mso-position-horizontal-relative:page;width:119.4pt;height:18.85pt;z-index:25173094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67"/>
        <w:spacing w:line="13461" w:lineRule="exact"/>
        <w:rPr/>
      </w:pPr>
      <w:r>
        <w:pict>
          <v:shape id="_x0000_s584" style="position:absolute;margin-left:391.92pt;margin-top:228.067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pict>
          <v:shape id="_x0000_s586" style="position:absolute;margin-left:86.92pt;margin-top:472.067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pict>
          <v:shape id="_x0000_s588" style="position:absolute;margin-left:-13.08pt;margin-top:228.067pt;mso-position-vertical-relative:text;mso-position-horizontal-relative:text;width:119.4pt;height:18.85pt;z-index:251732992;rotation:330;" fillcolor="#404040" filled="true" stroked="false" type="#_x0000_t136">
            <v:fill opacity="0.400000"/>
            <v:textpath style="font-family:&quot;SimSun&quot;;font-size:20;v-text-kern:t;mso-text-shadow:auto" string="仅供内部审核"/>
          </v:shape>
        </w:pict>
      </w:r>
      <w:r>
        <w:pict>
          <v:shape id="_x0000_s590" style="position:absolute;margin-left:491.92pt;margin-top:472.067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4" name="IM 34"/>
            <wp:cNvGraphicFramePr/>
            <a:graphic>
              <a:graphicData uri="http://schemas.openxmlformats.org/drawingml/2006/picture">
                <pic:pic>
                  <pic:nvPicPr>
                    <pic:cNvPr id="34" name="IM 34"/>
                    <pic:cNvPicPr/>
                  </pic:nvPicPr>
                  <pic:blipFill>
                    <a:blip r:embed="rId71"/>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70"/>
          <w:pgSz w:w="11900" w:h="16840"/>
          <w:pgMar w:top="642" w:right="0" w:bottom="340" w:left="0" w:header="326" w:footer="111" w:gutter="0"/>
        </w:sectPr>
        <w:rPr/>
      </w:pPr>
    </w:p>
    <w:p>
      <w:pPr>
        <w:pStyle w:val="BodyText"/>
        <w:spacing w:line="277" w:lineRule="auto"/>
        <w:rPr/>
      </w:pPr>
      <w:r>
        <w:pict>
          <v:shape id="_x0000_s592" style="position:absolute;margin-left:491.92pt;margin-top:44.1055pt;mso-position-vertical-relative:page;mso-position-horizontal-relative:page;width:119.4pt;height:18.85pt;z-index:25173504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89"/>
        <w:spacing w:line="13461" w:lineRule="exact"/>
        <w:rPr/>
      </w:pPr>
      <w:r>
        <w:pict>
          <v:shape id="_x0000_s594" style="position:absolute;margin-left:491.92pt;margin-top:472.067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pict>
          <v:shape id="_x0000_s596" style="position:absolute;margin-left:86.92pt;margin-top:472.067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pict>
          <v:shape id="_x0000_s598" style="position:absolute;margin-left:-13.08pt;margin-top:228.067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pict>
          <v:shape id="_x0000_s600" style="position:absolute;margin-left:391.92pt;margin-top:228.067pt;mso-position-vertical-relative:text;mso-position-horizontal-relative:text;width:119.4pt;height:18.85pt;z-index:2517391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08041" cy="8547295"/>
            <wp:effectExtent l="0" t="0" r="0" b="0"/>
            <wp:docPr id="36" name="IM 36"/>
            <wp:cNvGraphicFramePr/>
            <a:graphic>
              <a:graphicData uri="http://schemas.openxmlformats.org/drawingml/2006/picture">
                <pic:pic>
                  <pic:nvPicPr>
                    <pic:cNvPr id="36" name="IM 36"/>
                    <pic:cNvPicPr/>
                  </pic:nvPicPr>
                  <pic:blipFill>
                    <a:blip r:embed="rId73"/>
                    <a:stretch>
                      <a:fillRect/>
                    </a:stretch>
                  </pic:blipFill>
                  <pic:spPr>
                    <a:xfrm rot="0">
                      <a:off x="0" y="0"/>
                      <a:ext cx="5808041" cy="8547295"/>
                    </a:xfrm>
                    <a:prstGeom prst="rect">
                      <a:avLst/>
                    </a:prstGeom>
                  </pic:spPr>
                </pic:pic>
              </a:graphicData>
            </a:graphic>
          </wp:inline>
        </w:drawing>
      </w:r>
    </w:p>
    <w:p>
      <w:pPr>
        <w:spacing w:line="13461" w:lineRule="exact"/>
        <w:sectPr>
          <w:footerReference w:type="default" r:id="rId72"/>
          <w:pgSz w:w="11900" w:h="16840"/>
          <w:pgMar w:top="642" w:right="0" w:bottom="340" w:left="0" w:header="326" w:footer="111" w:gutter="0"/>
        </w:sectPr>
        <w:rPr/>
      </w:pPr>
    </w:p>
    <w:p>
      <w:pPr>
        <w:pStyle w:val="BodyText"/>
        <w:spacing w:line="277" w:lineRule="auto"/>
        <w:rPr/>
      </w:pPr>
      <w:r>
        <w:pict>
          <v:shape id="_x0000_s602" style="position:absolute;margin-left:491.92pt;margin-top:44.1055pt;mso-position-vertical-relative:page;mso-position-horizontal-relative:page;width:119.4pt;height:18.85pt;z-index:25174323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67"/>
        <w:spacing w:line="13461" w:lineRule="exact"/>
        <w:rPr/>
      </w:pPr>
      <w:r>
        <w:pict>
          <v:shape id="_x0000_s604" style="position:absolute;margin-left:86.92pt;margin-top:472.067pt;mso-position-vertical-relative:text;mso-position-horizontal-relative:text;width:119.4pt;height:18.85pt;z-index:251740160;rotation:330;" fillcolor="#404040" filled="true" stroked="false" type="#_x0000_t136">
            <v:fill opacity="0.400000"/>
            <v:textpath style="font-family:&quot;SimSun&quot;;font-size:20;v-text-kern:t;mso-text-shadow:auto" string="仅供内部审核"/>
          </v:shape>
        </w:pict>
      </w:r>
      <w:r>
        <w:pict>
          <v:shape id="_x0000_s606" style="position:absolute;margin-left:391.92pt;margin-top:228.067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pict>
          <v:shape id="_x0000_s608" style="position:absolute;margin-left:491.92pt;margin-top:472.067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pict>
          <v:shape id="_x0000_s610" style="position:absolute;margin-left:-13.08pt;margin-top:228.067pt;mso-position-vertical-relative:text;mso-position-horizontal-relative:text;width:119.4pt;height:18.85pt;z-index:2517442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8" name="IM 38"/>
            <wp:cNvGraphicFramePr/>
            <a:graphic>
              <a:graphicData uri="http://schemas.openxmlformats.org/drawingml/2006/picture">
                <pic:pic>
                  <pic:nvPicPr>
                    <pic:cNvPr id="38" name="IM 38"/>
                    <pic:cNvPicPr/>
                  </pic:nvPicPr>
                  <pic:blipFill>
                    <a:blip r:embed="rId75"/>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74"/>
          <w:pgSz w:w="11900" w:h="16840"/>
          <w:pgMar w:top="642" w:right="0" w:bottom="340" w:left="0" w:header="326" w:footer="111"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9"/>
      <w:footerReference w:type="default" r:id="rId76"/>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8" w:id="44"/>
    <w:bookmarkEnd w:id="44"/>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9" w:id="49"/>
    <w:bookmarkEnd w:id="49"/>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60" style="position:absolute;margin-left:94.1286pt;margin-top:66.2782pt;mso-position-vertical-relative:page;mso-position-horizontal-relative:page;width:40.05pt;height:7.9pt;z-index:-251571200;" o:allowincell="f" fillcolor="#212529" filled="true" stroked="false" type="#_x0000_t136">
          <v:textpath style="font-family:&quot;SimSun&quot;;font-size:7.5;v-text-kern:t;mso-text-shadow:auto" string="政拨款结转"/>
        </v:shape>
      </w:pict>
    </w:r>
    <w:r>
      <w:pict>
        <v:shape id="PowerPlusWaterMarkObject162" style="position:absolute;margin-left:86.92pt;margin-top:27.7633pt;mso-position-vertical-relative:text;mso-position-horizontal-relative:text;width:119.4pt;height:18.85pt;z-index:-251568128;rotation:330;" fillcolor="#404040" filled="true" stroked="false" type="#_x0000_t136">
          <v:fill opacity="0.400000"/>
          <v:textpath style="font-family:&quot;SimSun&quot;;font-size:20;v-text-kern:t;mso-text-shadow:auto" string="仅供内部审核"/>
        </v:shape>
      </w:pict>
    </w:r>
    <w:r>
      <w:pict>
        <v:shape id="PowerPlusWaterMarkObject164" style="position:absolute;margin-left:-13.08pt;margin-top:288.10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91.92pt;margin-top:44.105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8" style="position:absolute;margin-left:30pt;margin-top:29.5pt;mso-position-vertical-relative:page;mso-position-horizontal-relative:page;width:535pt;height:1pt;z-index:-251570176;"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兴县瓦塘镇中心卫生院裴家川口分院2025年单位预</w:t>
    </w:r>
    <w:r>
      <w:rPr>
        <w:rFonts w:ascii="SimSun" w:hAnsi="SimSun" w:eastAsia="SimSun" w:cs="SimSun"/>
        <w:sz w:val="16"/>
        <w:szCs w:val="16"/>
        <w:spacing w:val="-2"/>
        <w:position w:val="1"/>
      </w:rPr>
      <w:t>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80" style="position:absolute;margin-left:86.92pt;margin-top:27.7633pt;mso-position-vertical-relative:text;mso-position-horizontal-relative:text;width:119.4pt;height:18.85pt;z-index:-251552768;rotation:330;" fillcolor="#404040" filled="true" stroked="false" type="#_x0000_t136">
          <v:fill opacity="0.400000"/>
          <v:textpath style="font-family:&quot;SimSun&quot;;font-size:20;v-text-kern:t;mso-text-shadow:auto" string="仅供内部审核"/>
        </v:shape>
      </w:pict>
    </w:r>
    <w:r>
      <w:pict>
        <v:shape id="PowerPlusWaterMarkObject182" style="position:absolute;margin-left:490.282pt;margin-top:71.2915pt;mso-position-vertical-relative:page;mso-position-horizontal-relative:page;width:35.45pt;height:6.5pt;z-index:-251553792;" o:allowincell="f" fillcolor="#212529" filled="true" stroked="false" type="#_x0000_t136">
          <v:textpath style="font-family:&quot;SimSun&quot;;font-size:6;v-text-kern:t;mso-text-shadow:auto" string="预算公开表5"/>
        </v:shape>
      </w:pict>
    </w:r>
    <w:r>
      <w:pict>
        <v:shape id="PowerPlusWaterMarkObject184"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74.4118pt;margin-top:267.372pt;mso-position-vertical-relative:page;mso-position-horizontal-relative:page;width:15.25pt;height:7.9pt;z-index:-251566080;" o:allowincell="f" fillcolor="#212529" filled="true" stroked="false" type="#_x0000_t136">
          <v:textpath style="font-family:&quot;SimSun&quot;;font-size:7.5;v-text-kern:t;mso-text-shadow:auto" string="1011"/>
        </v:shape>
      </w:pict>
    </w:r>
    <w:r>
      <w:pict>
        <v:shape id="PowerPlusWaterMarkObject188" style="position:absolute;margin-left:69.8661pt;margin-top:282.508pt;mso-position-vertical-relative:page;mso-position-horizontal-relative:page;width:11.7pt;height:7.9pt;z-index:-251565056;" o:allowincell="f" fillcolor="#212529" filled="true" stroked="false" type="#_x0000_t136">
          <v:textpath style="font-family:&quot;SimSun&quot;;font-size:7.5;v-text-kern:t;mso-text-shadow:auto" string="210"/>
        </v:shape>
      </w:pict>
    </w:r>
    <w:r>
      <w:pict>
        <v:shape id="PowerPlusWaterMarkObject190" style="position:absolute;margin-left:-13.08pt;margin-top:288.105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448.701pt;margin-top:282.508pt;mso-position-vertical-relative:page;mso-position-horizontal-relative:page;width:7.55pt;height:7.9pt;z-index:-251563008;" o:allowincell="f" fillcolor="#212529" filled="true" stroked="false" type="#_x0000_t136">
          <v:textpath style="font-family:&quot;SimSun&quot;;font-size:7.5;v-text-kern:t;mso-text-shadow:auto" string="71"/>
        </v:shape>
      </w:pict>
    </w:r>
    <w:r>
      <w:pict>
        <v:shape id="PowerPlusWaterMarkObject194" style="position:absolute;margin-left:440.466pt;margin-top:297.644pt;mso-position-vertical-relative:page;mso-position-horizontal-relative:page;width:15.8pt;height:7.9pt;z-index:-251561984;" o:allowincell="f" fillcolor="#212529" filled="true" stroked="false" type="#_x0000_t136">
          <v:textpath style="font-family:&quot;SimSun&quot;;font-size:7.5;v-text-kern:t;mso-text-shadow:auto" string="6 05"/>
        </v:shape>
      </w:pict>
    </w:r>
    <w:r>
      <w:pict>
        <v:shape id="PowerPlusWaterMarkObject196" style="position:absolute;margin-left:440.466pt;margin-top:312.78pt;mso-position-vertical-relative:page;mso-position-horizontal-relative:page;width:3.6pt;height:7.9pt;z-index:-251560960;" o:allowincell="f" fillcolor="#212529" filled="true" stroked="false" type="#_x0000_t136">
          <v:textpath style="font-family:&quot;SimSun&quot;;font-size:7.5;v-text-kern:t;mso-text-shadow:auto" string="6"/>
        </v:shape>
      </w:pict>
    </w:r>
    <w:r>
      <w:pict>
        <v:shape id="PowerPlusWaterMarkObject198" style="position:absolute;margin-left:391.92pt;margin-top:288.10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86.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491.92pt;margin-top:532.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_x0000_s208"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兴县瓦塘镇中心卫生院裴家川口分院2025年单位预</w:t>
    </w:r>
    <w:r>
      <w:rPr>
        <w:rFonts w:ascii="SimSun" w:hAnsi="SimSun" w:eastAsia="SimSun" w:cs="SimSun"/>
        <w:sz w:val="16"/>
        <w:szCs w:val="16"/>
        <w:spacing w:val="-2"/>
        <w:position w:val="1"/>
      </w:rPr>
      <w:t>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10" style="position:absolute;margin-left:86.02pt;margin-top:267.372pt;mso-position-vertical-relative:page;mso-position-horizontal-relative:page;width:15.7pt;height:7.9pt;z-index:-251550720;" o:allowincell="f" fillcolor="#212529" filled="true" stroked="false" type="#_x0000_t136">
          <v:textpath style="font-family:&quot;SimSun&quot;;font-size:7.5;v-text-kern:t;mso-text-shadow:auto" string="住房"/>
        </v:shape>
      </w:pict>
    </w:r>
    <w:r>
      <w:pict>
        <v:shape id="PowerPlusWaterMarkObject212" style="position:absolute;margin-left:86.92pt;margin-top:27.7633pt;mso-position-vertical-relative:text;mso-position-horizontal-relative:text;width:119.4pt;height:18.85pt;z-index:-251538432;rotation:330;" fillcolor="#404040" filled="true" stroked="false" type="#_x0000_t136">
          <v:fill opacity="0.400000"/>
          <v:textpath style="font-family:&quot;SimSun&quot;;font-size:20;v-text-kern:t;mso-text-shadow:auto" string="仅供内部审核"/>
        </v:shape>
      </w:pict>
    </w:r>
    <w:r>
      <w:pict>
        <v:shape id="PowerPlusWaterMarkObject214" style="position:absolute;margin-left:-13.08pt;margin-top:288.105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86.92pt;margin-top:532.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13.08pt;margin-top:776.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486.557pt;margin-top:71.2915pt;mso-position-vertical-relative:page;mso-position-horizontal-relative:page;width:35.45pt;height:6.5pt;z-index:-251539456;" o:allowincell="f" fillcolor="#212529" filled="true" stroked="false" type="#_x0000_t136">
          <v:textpath style="font-family:&quot;SimSun&quot;;font-size:6;v-text-kern:t;mso-text-shadow:auto" string="预算公开表6"/>
        </v:shape>
      </w:pict>
    </w:r>
    <w:r>
      <w:pict>
        <v:shape id="PowerPlusWaterMarkObject222" style="position:absolute;margin-left:453.794pt;margin-top:282.508pt;mso-position-vertical-relative:page;mso-position-horizontal-relative:page;width:15.25pt;height:7.9pt;z-index:-251548672;" o:allowincell="f" fillcolor="#212529" filled="true" stroked="false" type="#_x0000_t136">
          <v:textpath style="font-family:&quot;SimSun&quot;;font-size:7.5;v-text-kern:t;mso-text-shadow:auto" string="1 26"/>
        </v:shape>
      </w:pict>
    </w:r>
    <w:r>
      <w:pict>
        <v:shape id="PowerPlusWaterMarkObject224" style="position:absolute;margin-left:396.5pt;margin-top:312.78pt;mso-position-vertical-relative:page;mso-position-horizontal-relative:page;width:15.75pt;height:7.9pt;z-index:-251547648;" o:allowincell="f" fillcolor="#212529" filled="true" stroked="false" type="#_x0000_t136">
          <v:textpath style="font-family:&quot;SimSun&quot;;font-size:7.5;v-text-kern:t;mso-text-shadow:auto" string="2 85"/>
        </v:shape>
      </w:pict>
    </w:r>
    <w:r>
      <w:pict>
        <v:shape id="PowerPlusWaterMarkObject226" style="position:absolute;margin-left:396.468pt;margin-top:327.916pt;mso-position-vertical-relative:page;mso-position-horizontal-relative:page;width:15.8pt;height:7.9pt;z-index:-251546624;" o:allowincell="f" fillcolor="#212529" filled="true" stroked="false" type="#_x0000_t136">
          <v:textpath style="font-family:&quot;SimSun&quot;;font-size:7.5;v-text-kern:t;mso-text-shadow:auto" string="0 82"/>
        </v:shape>
      </w:pict>
    </w:r>
    <w:r>
      <w:pict>
        <v:shape id="PowerPlusWaterMarkObject228" style="position:absolute;margin-left:491.92pt;margin-top:44.1055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391.92pt;margin-top:288.105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491.92pt;margin-top:532.106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391.92pt;margin-top:776.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_x0000_s236" style="position:absolute;margin-left:30pt;margin-top:29.5pt;mso-position-vertical-relative:page;mso-position-horizontal-relative:page;width:535pt;height:1pt;z-index:-25154150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兴县瓦塘镇中心卫生院裴家川口分院2025年单位预</w:t>
    </w:r>
    <w:r>
      <w:rPr>
        <w:rFonts w:ascii="SimSun" w:hAnsi="SimSun" w:eastAsia="SimSun" w:cs="SimSun"/>
        <w:sz w:val="16"/>
        <w:szCs w:val="16"/>
        <w:spacing w:val="-2"/>
        <w:position w:val="1"/>
      </w:rPr>
      <w:t>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38" style="position:absolute;margin-left:86.92pt;margin-top:27.7633pt;mso-position-vertical-relative:text;mso-position-horizontal-relative:text;width:119.4pt;height:18.85pt;z-index:-251528192;rotation:330;" fillcolor="#404040" filled="true" stroked="false" type="#_x0000_t136">
          <v:fill opacity="0.400000"/>
          <v:textpath style="font-family:&quot;SimSun&quot;;font-size:20;v-text-kern:t;mso-text-shadow:auto" string="仅供内部审核"/>
        </v:shape>
      </w:pict>
    </w:r>
    <w:r>
      <w:pict>
        <v:shape id="PowerPlusWaterMarkObject240" style="position:absolute;margin-left:490.334pt;margin-top:73.4279pt;mso-position-vertical-relative:page;mso-position-horizontal-relative:page;width:35.4pt;height:6.5pt;z-index:-251529216;" o:allowincell="f" fillcolor="#212529" filled="true" stroked="false" type="#_x0000_t136">
          <v:textpath style="font-family:&quot;SimSun&quot;;font-size:6;v-text-kern:t;mso-text-shadow:auto" string="预算公开表7"/>
        </v:shape>
      </w:pict>
    </w:r>
    <w:r>
      <w:pict>
        <v:shape id="PowerPlusWaterMarkObject242" style="position:absolute;margin-left:491.92pt;margin-top:44.1055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244" style="position:absolute;margin-left:-13.08pt;margin-top:288.105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391.92pt;margin-top:288.105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86.92pt;margin-top:532.106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13.08pt;margin-top:776.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491.92pt;margin-top:532.106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391.92pt;margin-top:776.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_x0000_s256" style="position:absolute;margin-left:30pt;margin-top:29.5pt;mso-position-vertical-relative:page;mso-position-horizontal-relative:page;width:535pt;height:1pt;z-index:-25153126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兴县瓦塘镇中心卫生院裴家川口分院2025年单位预</w:t>
    </w:r>
    <w:r>
      <w:rPr>
        <w:rFonts w:ascii="SimSun" w:hAnsi="SimSun" w:eastAsia="SimSun" w:cs="SimSun"/>
        <w:sz w:val="16"/>
        <w:szCs w:val="16"/>
        <w:spacing w:val="-2"/>
        <w:position w:val="1"/>
      </w:rPr>
      <w:t>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58" style="position:absolute;margin-left:86.92pt;margin-top:27.7633pt;mso-position-vertical-relative:text;mso-position-horizontal-relative:text;width:119.4pt;height:18.85pt;z-index:-251517952;rotation:330;" fillcolor="#404040" filled="true" stroked="false" type="#_x0000_t136">
          <v:fill opacity="0.400000"/>
          <v:textpath style="font-family:&quot;SimSun&quot;;font-size:20;v-text-kern:t;mso-text-shadow:auto" string="仅供内部审核"/>
        </v:shape>
      </w:pict>
    </w:r>
    <w:r>
      <w:pict>
        <v:shape id="PowerPlusWaterMarkObject260" style="position:absolute;margin-left:490.282pt;margin-top:73.4538pt;mso-position-vertical-relative:page;mso-position-horizontal-relative:page;width:35.45pt;height:6.5pt;z-index:-251518976;" o:allowincell="f" fillcolor="#212529" filled="true" stroked="false" type="#_x0000_t136">
          <v:textpath style="font-family:&quot;SimSun&quot;;font-size:6;v-text-kern:t;mso-text-shadow:auto" string="预算公开表8"/>
        </v:shape>
      </w:pict>
    </w:r>
    <w:r>
      <w:pict>
        <v:shape id="PowerPlusWaterMarkObject262" style="position:absolute;margin-left:491.92pt;margin-top:44.1055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PowerPlusWaterMarkObject264" style="position:absolute;margin-left:-13.08pt;margin-top:288.105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391.92pt;margin-top:288.105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86.92pt;margin-top:532.106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13.08pt;margin-top:776.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491.92pt;margin-top:532.106pt;mso-position-vertical-relative:page;mso-position-horizontal-relative:page;width:119.4pt;height:18.85pt;z-index:-251527168;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391.92pt;margin-top:776.106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_x0000_s276" style="position:absolute;margin-left:30pt;margin-top:29.5pt;mso-position-vertical-relative:page;mso-position-horizontal-relative:page;width:535pt;height:1pt;z-index:-25152102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兴县瓦塘镇中心卫生院裴家川口分院2025年单位预</w:t>
    </w:r>
    <w:r>
      <w:rPr>
        <w:rFonts w:ascii="SimSun" w:hAnsi="SimSun" w:eastAsia="SimSun" w:cs="SimSun"/>
        <w:sz w:val="16"/>
        <w:szCs w:val="16"/>
        <w:spacing w:val="-2"/>
        <w:position w:val="1"/>
      </w:rPr>
      <w:t>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78" style="position:absolute;margin-left:86.92pt;margin-top:27.7633pt;mso-position-vertical-relative:text;mso-position-horizontal-relative:text;width:119.4pt;height:18.85pt;z-index:-251507712;rotation:330;" fillcolor="#404040" filled="true" stroked="false" type="#_x0000_t136">
          <v:fill opacity="0.400000"/>
          <v:textpath style="font-family:&quot;SimSun&quot;;font-size:20;v-text-kern:t;mso-text-shadow:auto" string="仅供内部审核"/>
        </v:shape>
      </w:pict>
    </w:r>
    <w:r>
      <w:pict>
        <v:shape id="PowerPlusWaterMarkObject280" style="position:absolute;margin-left:490.36pt;margin-top:78.8596pt;mso-position-vertical-relative:page;mso-position-horizontal-relative:page;width:35.35pt;height:6.5pt;z-index:-251508736;" o:allowincell="f" fillcolor="#212529" filled="true" stroked="false" type="#_x0000_t136">
          <v:textpath style="font-family:&quot;SimSun&quot;;font-size:6;v-text-kern:t;mso-text-shadow:auto" string="部门公开表9"/>
        </v:shape>
      </w:pict>
    </w:r>
    <w:r>
      <w:pict>
        <v:shape id="PowerPlusWaterMarkObject282" style="position:absolute;margin-left:491.92pt;margin-top:44.1055pt;mso-position-vertical-relative:page;mso-position-horizontal-relative:page;width:119.4pt;height:18.85pt;z-index:-251509760;rotation:330;" o:allowincell="f" fillcolor="#404040" filled="true" stroked="false" type="#_x0000_t136">
          <v:fill opacity="0.400000"/>
          <v:textpath style="font-family:&quot;SimSun&quot;;font-size:20;v-text-kern:t;mso-text-shadow:auto" string="仅供内部审核"/>
        </v:shape>
      </w:pict>
    </w:r>
    <w:r>
      <w:pict>
        <v:shape id="PowerPlusWaterMarkObject284" style="position:absolute;margin-left:-13.08pt;margin-top:288.105pt;mso-position-vertical-relative:page;mso-position-horizontal-relative:page;width:119.4pt;height:18.85pt;z-index:-251516928;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391.92pt;margin-top:288.105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86.92pt;margin-top:532.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13.08pt;margin-top:776.106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491.92pt;margin-top:532.106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94" style="position:absolute;margin-left:391.92pt;margin-top:776.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_x0000_s296" style="position:absolute;margin-left:30pt;margin-top:29.5pt;mso-position-vertical-relative:page;mso-position-horizontal-relative:page;width:535pt;height:1pt;z-index:-25151078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兴县瓦塘镇中心卫生院裴家川口分院2025年单位预</w:t>
    </w:r>
    <w:r>
      <w:rPr>
        <w:rFonts w:ascii="SimSun" w:hAnsi="SimSun" w:eastAsia="SimSun" w:cs="SimSun"/>
        <w:sz w:val="16"/>
        <w:szCs w:val="16"/>
        <w:spacing w:val="-2"/>
        <w:position w:val="1"/>
      </w:rPr>
      <w:t>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98" style="position:absolute;margin-left:86.92pt;margin-top:27.7633pt;mso-position-vertical-relative:text;mso-position-horizontal-relative:text;width:119.4pt;height:18.85pt;z-index:-251497472;rotation:330;" fillcolor="#404040" filled="true" stroked="false" type="#_x0000_t136">
          <v:fill opacity="0.400000"/>
          <v:textpath style="font-family:&quot;SimSun&quot;;font-size:20;v-text-kern:t;mso-text-shadow:auto" string="仅供内部审核"/>
        </v:shape>
      </w:pict>
    </w:r>
    <w:r>
      <w:pict>
        <v:shape id="PowerPlusWaterMarkObject300" style="position:absolute;margin-left:-13.08pt;margin-top:288.105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pict>
        <v:shape id="PowerPlusWaterMarkObject302" style="position:absolute;margin-left:86.92pt;margin-top:532.106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13.08pt;margin-top:776.106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pict>
        <v:shape id="PowerPlusWaterMarkObject306" style="position:absolute;margin-left:487.09pt;margin-top:67.4816pt;mso-position-vertical-relative:page;mso-position-horizontal-relative:page;width:38.65pt;height:6.5pt;z-index:-251498496;" o:allowincell="f" fillcolor="#212529" filled="true" stroked="false" type="#_x0000_t136">
          <v:textpath style="font-family:&quot;SimSun&quot;;font-size:6;v-text-kern:t;mso-text-shadow:auto" string="预算公开表11"/>
        </v:shape>
      </w:pict>
    </w:r>
    <w:r>
      <w:pict>
        <v:shape id="PowerPlusWaterMarkObject308" style="position:absolute;margin-left:491.92pt;margin-top:44.1055pt;mso-position-vertical-relative:page;mso-position-horizontal-relative:page;width:119.4pt;height:18.85pt;z-index:-251499520;rotation:330;" o:allowincell="f" fillcolor="#404040" filled="true" stroked="false" type="#_x0000_t136">
          <v:fill opacity="0.400000"/>
          <v:textpath style="font-family:&quot;SimSun&quot;;font-size:20;v-text-kern:t;mso-text-shadow:auto" string="仅供内部审核"/>
        </v:shape>
      </w:pict>
    </w:r>
    <w:r>
      <w:pict>
        <v:shape id="PowerPlusWaterMarkObject310" style="position:absolute;margin-left:391.92pt;margin-top:288.105pt;mso-position-vertical-relative:page;mso-position-horizontal-relative:page;width:119.4pt;height:18.85pt;z-index:-251502592;rotation:330;" o:allowincell="f" fillcolor="#404040" filled="true" stroked="false" type="#_x0000_t136">
          <v:fill opacity="0.400000"/>
          <v:textpath style="font-family:&quot;SimSun&quot;;font-size:20;v-text-kern:t;mso-text-shadow:auto" string="仅供内部审核"/>
        </v:shape>
      </w:pict>
    </w:r>
    <w:r>
      <w:pict>
        <v:shape id="PowerPlusWaterMarkObject312" style="position:absolute;margin-left:491.92pt;margin-top:532.106pt;mso-position-vertical-relative:page;mso-position-horizontal-relative:page;width:119.4pt;height:18.85pt;z-index:-251506688;rotation:330;" o:allowincell="f" fillcolor="#404040" filled="true" stroked="false" type="#_x0000_t136">
          <v:fill opacity="0.400000"/>
          <v:textpath style="font-family:&quot;SimSun&quot;;font-size:20;v-text-kern:t;mso-text-shadow:auto" string="仅供内部审核"/>
        </v:shape>
      </w:pict>
    </w:r>
    <w:r>
      <w:pict>
        <v:shape id="PowerPlusWaterMarkObject314" style="position:absolute;margin-left:391.92pt;margin-top:776.106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_x0000_s316" style="position:absolute;margin-left:30pt;margin-top:29.5pt;mso-position-vertical-relative:page;mso-position-horizontal-relative:page;width:535pt;height:1pt;z-index:-25150054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兴县瓦塘镇中心卫生院裴家川口分院2025年单位预</w:t>
    </w:r>
    <w:r>
      <w:rPr>
        <w:rFonts w:ascii="SimSun" w:hAnsi="SimSun" w:eastAsia="SimSun" w:cs="SimSun"/>
        <w:sz w:val="16"/>
        <w:szCs w:val="16"/>
        <w:spacing w:val="-2"/>
        <w:position w:val="1"/>
      </w:rPr>
      <w:t>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18" style="position:absolute;margin-left:86.92pt;margin-top:27.7633pt;mso-position-vertical-relative:text;mso-position-horizontal-relative:text;width:119.4pt;height:18.85pt;z-index:-251483136;rotation:330;" fillcolor="#404040" filled="true" stroked="false" type="#_x0000_t136">
          <v:fill opacity="0.400000"/>
          <v:textpath style="font-family:&quot;SimSun&quot;;font-size:20;v-text-kern:t;mso-text-shadow:auto" string="仅供内部审核"/>
        </v:shape>
      </w:pict>
    </w:r>
    <w:r>
      <w:pict>
        <v:shape id="PowerPlusWaterMarkObject320" style="position:absolute;margin-left:130.8pt;margin-top:233.316pt;mso-position-vertical-relative:page;mso-position-horizontal-relative:page;width:3.45pt;height:7.9pt;z-index:-251491328;" o:allowincell="f" fillcolor="#212529" filled="true" stroked="false" type="#_x0000_t136">
          <v:textpath style="font-family:&quot;SimSun&quot;;font-size:7.5;v-text-kern:t;mso-text-shadow:auto" string="]"/>
        </v:shape>
      </w:pict>
    </w:r>
    <w:r>
      <w:pict>
        <v:shape id="PowerPlusWaterMarkObject322" style="position:absolute;margin-left:77.9747pt;margin-top:263.047pt;mso-position-vertical-relative:page;mso-position-horizontal-relative:page;width:23.75pt;height:7.9pt;z-index:-251495424;" o:allowincell="f" fillcolor="#212529" filled="true" stroked="false" type="#_x0000_t136">
          <v:textpath style="font-family:&quot;SimSun&quot;;font-size:7.5;v-text-kern:t;mso-text-shadow:auto" string="2025年"/>
        </v:shape>
      </w:pict>
    </w:r>
    <w:r>
      <w:pict>
        <v:shape id="PowerPlusWaterMarkObject324" style="position:absolute;margin-left:70.6348pt;margin-top:272.237pt;mso-position-vertical-relative:page;mso-position-horizontal-relative:page;width:31.1pt;height:7.9pt;z-index:-251494400;" o:allowincell="f" fillcolor="#212529" filled="true" stroked="false" type="#_x0000_t136">
          <v:textpath style="font-family:&quot;SimSun&quot;;font-size:7.5;v-text-kern:t;mso-text-shadow:auto" string="岗村医岗"/>
        </v:shape>
      </w:pict>
    </w:r>
    <w:r>
      <w:pict>
        <v:shape id="PowerPlusWaterMarkObject326" style="position:absolute;margin-left:79.0842pt;margin-top:282.508pt;mso-position-vertical-relative:page;mso-position-horizontal-relative:page;width:6.45pt;height:7.9pt;z-index:-251493376;" o:allowincell="f" fillcolor="#212529" filled="true" stroked="false" type="#_x0000_t136">
          <v:textpath style="font-family:&quot;SimSun&quot;;font-size:7.5;v-text-kern:t;mso-text-shadow:auto" string="吕"/>
        </v:shape>
      </w:pict>
    </w:r>
    <w:r>
      <w:pict>
        <v:shape id="PowerPlusWaterMarkObject328" style="position:absolute;margin-left:-13.08pt;margin-top:288.105pt;mso-position-vertical-relative:page;mso-position-horizontal-relative:page;width:119.4pt;height:18.85pt;z-index:-251496448;rotation:330;" o:allowincell="f" fillcolor="#404040" filled="true" stroked="false" type="#_x0000_t136">
          <v:fill opacity="0.400000"/>
          <v:textpath style="font-family:&quot;SimSun&quot;;font-size:20;v-text-kern:t;mso-text-shadow:auto" string="仅供内部审核"/>
        </v:shape>
      </w:pict>
    </w:r>
    <w:r>
      <w:pict>
        <v:shape id="PowerPlusWaterMarkObject330" style="position:absolute;margin-left:86.92pt;margin-top:532.106pt;mso-position-vertical-relative:page;mso-position-horizontal-relative:page;width:119.4pt;height:18.85pt;z-index:-251489280;rotation:330;" o:allowincell="f" fillcolor="#404040" filled="true" stroked="false" type="#_x0000_t136">
          <v:fill opacity="0.400000"/>
          <v:textpath style="font-family:&quot;SimSun&quot;;font-size:20;v-text-kern:t;mso-text-shadow:auto" string="仅供内部审核"/>
        </v:shape>
      </w:pict>
    </w:r>
    <w:r>
      <w:pict>
        <v:shape id="PowerPlusWaterMarkObject332" style="position:absolute;margin-left:-13.08pt;margin-top:776.106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PowerPlusWaterMarkObject334" style="position:absolute;margin-left:487.09pt;margin-top:73.4279pt;mso-position-vertical-relative:page;mso-position-horizontal-relative:page;width:38.65pt;height:6.5pt;z-index:-251484160;" o:allowincell="f" fillcolor="#212529" filled="true" stroked="false" type="#_x0000_t136">
          <v:textpath style="font-family:&quot;SimSun&quot;;font-size:6;v-text-kern:t;mso-text-shadow:auto" string="预算公开表12"/>
        </v:shape>
      </w:pict>
    </w:r>
    <w:r>
      <w:pict>
        <v:shape id="PowerPlusWaterMarkObject336" style="position:absolute;margin-left:491.92pt;margin-top:44.1055pt;mso-position-vertical-relative:page;mso-position-horizontal-relative:page;width:119.4pt;height:18.85pt;z-index:-251485184;rotation:330;" o:allowincell="f" fillcolor="#404040" filled="true" stroked="false" type="#_x0000_t136">
          <v:fill opacity="0.400000"/>
          <v:textpath style="font-family:&quot;SimSun&quot;;font-size:20;v-text-kern:t;mso-text-shadow:auto" string="仅供内部审核"/>
        </v:shape>
      </w:pict>
    </w:r>
    <w:r>
      <w:pict>
        <v:shape id="PowerPlusWaterMarkObject338" style="position:absolute;margin-left:391.92pt;margin-top:288.105pt;mso-position-vertical-relative:page;mso-position-horizontal-relative:page;width:119.4pt;height:18.85pt;z-index:-251492352;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491.92pt;margin-top:532.106pt;mso-position-vertical-relative:page;mso-position-horizontal-relative:page;width:119.4pt;height:18.85pt;z-index:-251490304;rotation:330;" o:allowincell="f" fillcolor="#404040" filled="true" stroked="false" type="#_x0000_t136">
          <v:fill opacity="0.400000"/>
          <v:textpath style="font-family:&quot;SimSun&quot;;font-size:20;v-text-kern:t;mso-text-shadow:auto" string="仅供内部审核"/>
        </v:shape>
      </w:pict>
    </w:r>
    <w:r>
      <w:pict>
        <v:shape id="PowerPlusWaterMarkObject342" style="position:absolute;margin-left:391.92pt;margin-top:776.106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_x0000_s344" style="position:absolute;margin-left:30pt;margin-top:29.5pt;mso-position-vertical-relative:page;mso-position-horizontal-relative:page;width:535pt;height:1pt;z-index:-251486208;"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兴县瓦塘镇中心卫生院裴家川口分院2025年单位预</w:t>
    </w:r>
    <w:r>
      <w:rPr>
        <w:rFonts w:ascii="SimSun" w:hAnsi="SimSun" w:eastAsia="SimSun" w:cs="SimSun"/>
        <w:sz w:val="16"/>
        <w:szCs w:val="16"/>
        <w:spacing w:val="-2"/>
        <w:position w:val="1"/>
      </w:rPr>
      <w:t>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46" style="position:absolute;margin-left:86.92pt;margin-top:27.7633pt;mso-position-vertical-relative:text;mso-position-horizontal-relative:text;width:119.4pt;height:18.85pt;z-index:-251472896;rotation:330;" fillcolor="#404040" filled="true" stroked="false" type="#_x0000_t136">
          <v:fill opacity="0.400000"/>
          <v:textpath style="font-family:&quot;SimSun&quot;;font-size:20;v-text-kern:t;mso-text-shadow:auto" string="仅供内部审核"/>
        </v:shape>
      </w:pict>
    </w:r>
    <w:r>
      <w:pict>
        <v:shape id="PowerPlusWaterMarkObject348" style="position:absolute;margin-left:-13.08pt;margin-top:288.105pt;mso-position-vertical-relative:page;mso-position-horizontal-relative:page;width:119.4pt;height:18.85pt;z-index:-251476992;rotation:330;" o:allowincell="f" fillcolor="#404040" filled="true" stroked="false" type="#_x0000_t136">
          <v:fill opacity="0.400000"/>
          <v:textpath style="font-family:&quot;SimSun&quot;;font-size:20;v-text-kern:t;mso-text-shadow:auto" string="仅供内部审核"/>
        </v:shape>
      </w:pict>
    </w:r>
    <w:r>
      <w:pict>
        <v:shape id="PowerPlusWaterMarkObject350" style="position:absolute;margin-left:86.92pt;margin-top:532.106pt;mso-position-vertical-relative:page;mso-position-horizontal-relative:page;width:119.4pt;height:18.85pt;z-index:-251481088;rotation:330;" o:allowincell="f" fillcolor="#404040" filled="true" stroked="false" type="#_x0000_t136">
          <v:fill opacity="0.400000"/>
          <v:textpath style="font-family:&quot;SimSun&quot;;font-size:20;v-text-kern:t;mso-text-shadow:auto" string="仅供内部审核"/>
        </v:shape>
      </w:pict>
    </w:r>
    <w:r>
      <w:pict>
        <v:shape id="PowerPlusWaterMarkObject352" style="position:absolute;margin-left:-13.08pt;margin-top:776.106pt;mso-position-vertical-relative:page;mso-position-horizontal-relative:page;width:119.4pt;height:18.85pt;z-index:-251479040;rotation:330;" o:allowincell="f" fillcolor="#404040" filled="true" stroked="false" type="#_x0000_t136">
          <v:fill opacity="0.400000"/>
          <v:textpath style="font-family:&quot;SimSun&quot;;font-size:20;v-text-kern:t;mso-text-shadow:auto" string="仅供内部审核"/>
        </v:shape>
      </w:pict>
    </w:r>
    <w:r>
      <w:pict>
        <v:shape id="PowerPlusWaterMarkObject354" style="position:absolute;margin-left:487.09pt;margin-top:73.4279pt;mso-position-vertical-relative:page;mso-position-horizontal-relative:page;width:38.65pt;height:6.5pt;z-index:-251473920;" o:allowincell="f" fillcolor="#212529" filled="true" stroked="false" type="#_x0000_t136">
          <v:textpath style="font-family:&quot;SimSun&quot;;font-size:6;v-text-kern:t;mso-text-shadow:auto" string="预算公开表13"/>
        </v:shape>
      </w:pict>
    </w:r>
    <w:r>
      <w:pict>
        <v:shape id="PowerPlusWaterMarkObject356" style="position:absolute;margin-left:491.92pt;margin-top:44.1055pt;mso-position-vertical-relative:page;mso-position-horizontal-relative:page;width:119.4pt;height:18.85pt;z-index:-251474944;rotation:330;" o:allowincell="f" fillcolor="#404040" filled="true" stroked="false" type="#_x0000_t136">
          <v:fill opacity="0.400000"/>
          <v:textpath style="font-family:&quot;SimSun&quot;;font-size:20;v-text-kern:t;mso-text-shadow:auto" string="仅供内部审核"/>
        </v:shape>
      </w:pict>
    </w:r>
    <w:r>
      <w:pict>
        <v:shape id="PowerPlusWaterMarkObject358" style="position:absolute;margin-left:391.92pt;margin-top:288.105pt;mso-position-vertical-relative:page;mso-position-horizontal-relative:page;width:119.4pt;height:18.85pt;z-index:-251478016;rotation:330;" o:allowincell="f" fillcolor="#404040" filled="true" stroked="false" type="#_x0000_t136">
          <v:fill opacity="0.400000"/>
          <v:textpath style="font-family:&quot;SimSun&quot;;font-size:20;v-text-kern:t;mso-text-shadow:auto" string="仅供内部审核"/>
        </v:shape>
      </w:pict>
    </w:r>
    <w:r>
      <w:pict>
        <v:shape id="PowerPlusWaterMarkObject360" style="position:absolute;margin-left:491.92pt;margin-top:532.106pt;mso-position-vertical-relative:page;mso-position-horizontal-relative:page;width:119.4pt;height:18.85pt;z-index:-251482112;rotation:330;" o:allowincell="f" fillcolor="#404040" filled="true" stroked="false" type="#_x0000_t136">
          <v:fill opacity="0.400000"/>
          <v:textpath style="font-family:&quot;SimSun&quot;;font-size:20;v-text-kern:t;mso-text-shadow:auto" string="仅供内部审核"/>
        </v:shape>
      </w:pict>
    </w:r>
    <w:r>
      <w:pict>
        <v:shape id="PowerPlusWaterMarkObject362" style="position:absolute;margin-left:391.92pt;margin-top:776.106pt;mso-position-vertical-relative:page;mso-position-horizontal-relative:page;width:119.4pt;height:18.85pt;z-index:-251480064;rotation:330;" o:allowincell="f" fillcolor="#404040" filled="true" stroked="false" type="#_x0000_t136">
          <v:fill opacity="0.400000"/>
          <v:textpath style="font-family:&quot;SimSun&quot;;font-size:20;v-text-kern:t;mso-text-shadow:auto" string="仅供内部审核"/>
        </v:shape>
      </w:pict>
    </w:r>
    <w:r>
      <w:pict>
        <v:shape id="_x0000_s364" style="position:absolute;margin-left:30pt;margin-top:29.5pt;mso-position-vertical-relative:page;mso-position-horizontal-relative:page;width:535pt;height:1pt;z-index:-251475968;"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兴县瓦塘镇中心卫生院裴家川口分院2025年单位预</w:t>
    </w:r>
    <w:r>
      <w:rPr>
        <w:rFonts w:ascii="SimSun" w:hAnsi="SimSun" w:eastAsia="SimSun" w:cs="SimSun"/>
        <w:sz w:val="16"/>
        <w:szCs w:val="16"/>
        <w:spacing w:val="-2"/>
        <w:position w:val="1"/>
      </w:rPr>
      <w:t>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66" style="position:absolute;margin-left:86.92pt;margin-top:27.7633pt;mso-position-vertical-relative:text;mso-position-horizontal-relative:text;width:119.4pt;height:18.85pt;z-index:-251454464;rotation:330;" fillcolor="#404040" filled="true" stroked="false" type="#_x0000_t136">
          <v:fill opacity="0.400000"/>
          <v:textpath style="font-family:&quot;SimSun&quot;;font-size:20;v-text-kern:t;mso-text-shadow:auto" string="仅供内部审核"/>
        </v:shape>
      </w:pict>
    </w:r>
    <w:r>
      <w:pict>
        <v:shape id="PowerPlusWaterMarkObject368" style="position:absolute;margin-left:491.92pt;margin-top:44.1055pt;mso-position-vertical-relative:page;mso-position-horizontal-relative:page;width:119.4pt;height:18.85pt;z-index:-251455488;rotation:330;" o:allowincell="f" fillcolor="#404040" filled="true" stroked="false" type="#_x0000_t136">
          <v:fill opacity="0.400000"/>
          <v:textpath style="font-family:&quot;SimSun&quot;;font-size:20;v-text-kern:t;mso-text-shadow:auto" string="仅供内部审核"/>
        </v:shape>
      </w:pict>
    </w:r>
    <w:r>
      <w:pict>
        <v:shape id="PowerPlusWaterMarkObject370" style="position:absolute;margin-left:86.8722pt;margin-top:258.837pt;mso-position-vertical-relative:page;mso-position-horizontal-relative:page;width:10.8pt;height:11.8pt;z-index:-251469824;" o:allowincell="f" fillcolor="#000000" filled="true" stroked="false" type="#_x0000_t136">
          <v:textpath style="font-family:&quot;FangSong&quot;;font-size:11.5;v-text-kern:t;mso-text-shadow:auto" string="拨"/>
        </v:shape>
      </w:pict>
    </w:r>
    <w:r>
      <w:pict>
        <v:shape id="PowerPlusWaterMarkObject372" style="position:absolute;margin-left:63.5183pt;margin-top:278.838pt;mso-position-vertical-relative:page;mso-position-horizontal-relative:page;width:22.1pt;height:11.8pt;z-index:-251470848;" o:allowincell="f" fillcolor="#000000" filled="true" stroked="false" type="#_x0000_t136">
          <v:textpath style="font-family:&quot;FangSong&quot;;font-size:11.5;v-text-kern:t;mso-text-shadow:auto" string="营预"/>
        </v:shape>
      </w:pict>
    </w:r>
    <w:r>
      <w:pict>
        <v:shape id="PowerPlusWaterMarkObject374" style="position:absolute;margin-left:-13.08pt;margin-top:288.105pt;mso-position-vertical-relative:page;mso-position-horizontal-relative:page;width:119.4pt;height:18.85pt;z-index:-251471872;rotation:330;" o:allowincell="f" fillcolor="#404040" filled="true" stroked="false" type="#_x0000_t136">
          <v:fill opacity="0.400000"/>
          <v:textpath style="font-family:&quot;SimSun&quot;;font-size:20;v-text-kern:t;mso-text-shadow:auto" string="仅供内部审核"/>
        </v:shape>
      </w:pict>
    </w:r>
    <w:r>
      <w:pict>
        <v:shape id="PowerPlusWaterMarkObject376" style="position:absolute;margin-left:487.404pt;margin-top:258.837pt;mso-position-vertical-relative:page;mso-position-horizontal-relative:page;width:22.75pt;height:11.8pt;z-index:-251467776;" o:allowincell="f" fillcolor="#000000" filled="true" stroked="false" type="#_x0000_t136">
          <v:textpath style="font-family:&quot;FangSong&quot;;font-size:11.5;v-text-kern:t;mso-text-shadow:auto" string="有资"/>
        </v:shape>
      </w:pict>
    </w:r>
    <w:r>
      <w:pict>
        <v:shape id="PowerPlusWaterMarkObject378" style="position:absolute;margin-left:401.629pt;margin-top:278.838pt;mso-position-vertical-relative:page;mso-position-horizontal-relative:page;width:129.65pt;height:11.8pt;z-index:-251466752;" o:allowincell="f" fillcolor="#000000" filled="true" stroked="false" type="#_x0000_t136">
          <v:textpath style="font-family:&quot;FangSong&quot;;font-size:11.5;v-text-kern:t;mso-text-shadow:auto" string="；       金0万元      ；"/>
        </v:shape>
      </w:pict>
    </w:r>
    <w:r>
      <w:pict>
        <v:shape id="PowerPlusWaterMarkObject380" style="position:absolute;margin-left:391.92pt;margin-top:288.105pt;mso-position-vertical-relative:page;mso-position-horizontal-relative:page;width:119.4pt;height:18.85pt;z-index:-251468800;rotation:330;" o:allowincell="f" fillcolor="#404040" filled="true" stroked="false" type="#_x0000_t136">
          <v:fill opacity="0.400000"/>
          <v:textpath style="font-family:&quot;SimSun&quot;;font-size:20;v-text-kern:t;mso-text-shadow:auto" string="仅供内部审核"/>
        </v:shape>
      </w:pict>
    </w:r>
    <w:r>
      <w:pict>
        <v:shape id="PowerPlusWaterMarkObject382" style="position:absolute;margin-left:134.625pt;margin-top:533.99pt;mso-position-vertical-relative:page;mso-position-horizontal-relative:page;width:34.9pt;height:11.8pt;z-index:-251464704;" o:allowincell="f" fillcolor="#000000" filled="true" stroked="false" type="#_x0000_t136">
          <v:textpath style="font-family:&quot;FangSong&quot;;font-size:11.5;v-text-kern:t;mso-text-shadow:auto" string="兴县瓦"/>
        </v:shape>
      </w:pict>
    </w:r>
    <w:r>
      <w:pict>
        <v:shape id="PowerPlusWaterMarkObject384" style="position:absolute;margin-left:92.1113pt;margin-top:554.532pt;mso-position-vertical-relative:page;mso-position-horizontal-relative:page;width:45.3pt;height:11.8pt;z-index:-251463680;" o:allowincell="f" fillcolor="#000000" filled="true" stroked="false" type="#_x0000_t136">
          <v:textpath style="font-family:&quot;FangSong&quot;;font-size:11.5;v-text-kern:t;mso-text-shadow:auto" string="万元  占"/>
        </v:shape>
      </w:pict>
    </w:r>
    <w:r>
      <w:pict>
        <v:shape id="PowerPlusWaterMarkObject386" style="position:absolute;margin-left:86.92pt;margin-top:532.106pt;mso-position-vertical-relative:page;mso-position-horizontal-relative:page;width:119.4pt;height:18.85pt;z-index:-251465728;rotation:330;" o:allowincell="f" fillcolor="#404040" filled="true" stroked="false" type="#_x0000_t136">
          <v:fill opacity="0.400000"/>
          <v:textpath style="font-family:&quot;SimSun&quot;;font-size:20;v-text-kern:t;mso-text-shadow:auto" string="仅供内部审核"/>
        </v:shape>
      </w:pict>
    </w:r>
    <w:r>
      <w:pict>
        <v:shape id="PowerPlusWaterMarkObject388" style="position:absolute;margin-left:491.92pt;margin-top:532.106pt;mso-position-vertical-relative:page;mso-position-horizontal-relative:page;width:119.4pt;height:18.85pt;z-index:-251462656;rotation:330;" o:allowincell="f" fillcolor="#404040" filled="true" stroked="false" type="#_x0000_t136">
          <v:fill opacity="0.400000"/>
          <v:textpath style="font-family:&quot;SimSun&quot;;font-size:20;v-text-kern:t;mso-text-shadow:auto" string="仅供内部审核"/>
        </v:shape>
      </w:pict>
    </w:r>
    <w:r>
      <w:pict>
        <v:shape id="PowerPlusWaterMarkObject390" style="position:absolute;margin-left:86.2696pt;margin-top:756.166pt;mso-position-vertical-relative:page;mso-position-horizontal-relative:page;width:22.3pt;height:11.8pt;z-index:-251457536;" o:allowincell="f" fillcolor="#000000" filled="true" stroked="false" type="#_x0000_t136">
          <v:textpath style="font-family:&quot;FangSong&quot;;font-size:11.5;v-text-kern:t;mso-text-shadow:auto" string="（二"/>
        </v:shape>
      </w:pict>
    </w:r>
    <w:r>
      <w:pict>
        <v:shape id="PowerPlusWaterMarkObject392" style="position:absolute;margin-left:436.308pt;margin-top:776.167pt;mso-position-vertical-relative:page;mso-position-horizontal-relative:page;width:45pt;height:11.8pt;z-index:-251459584;" o:allowincell="f" fillcolor="#000000" filled="true" stroked="false" type="#_x0000_t136">
          <v:textpath style="font-family:&quot;FangSong&quot;;font-size:11.5;v-text-kern:t;mso-text-shadow:auto" string="100 71万"/>
        </v:shape>
      </w:pict>
    </w:r>
    <w:r>
      <w:pict>
        <v:shape id="PowerPlusWaterMarkObject394" style="position:absolute;margin-left:363.864pt;margin-top:796.709pt;mso-position-vertical-relative:page;mso-position-horizontal-relative:page;width:74.85pt;height:11.8pt;z-index:-251460608;" o:allowincell="f" fillcolor="#000000" filled="true" stroked="false" type="#_x0000_t136">
          <v:textpath style="font-family:&quot;FangSong&quot;;font-size:11.5;v-text-kern:t;mso-text-shadow:auto" string="；      健康支"/>
        </v:shape>
      </w:pict>
    </w:r>
    <w:r>
      <w:pict>
        <v:shape id="PowerPlusWaterMarkObject396" style="position:absolute;margin-left:-13.08pt;margin-top:776.106pt;mso-position-vertical-relative:page;mso-position-horizontal-relative:page;width:119.4pt;height:18.85pt;z-index:-251458560;rotation:330;" o:allowincell="f" fillcolor="#404040" filled="true" stroked="false" type="#_x0000_t136">
          <v:fill opacity="0.400000"/>
          <v:textpath style="font-family:&quot;SimSun&quot;;font-size:20;v-text-kern:t;mso-text-shadow:auto" string="仅供内部审核"/>
        </v:shape>
      </w:pict>
    </w:r>
    <w:r>
      <w:pict>
        <v:shape id="PowerPlusWaterMarkObject398" style="position:absolute;margin-left:391.92pt;margin-top:776.106pt;mso-position-vertical-relative:page;mso-position-horizontal-relative:page;width:119.4pt;height:18.85pt;z-index:-251461632;rotation:330;" o:allowincell="f" fillcolor="#404040" filled="true" stroked="false" type="#_x0000_t136">
          <v:fill opacity="0.400000"/>
          <v:textpath style="font-family:&quot;SimSun&quot;;font-size:20;v-text-kern:t;mso-text-shadow:auto" string="仅供内部审核"/>
        </v:shape>
      </w:pict>
    </w:r>
    <w:r>
      <w:pict>
        <v:shape id="_x0000_s400" style="position:absolute;margin-left:30pt;margin-top:29.5pt;mso-position-vertical-relative:page;mso-position-horizontal-relative:page;width:535pt;height:1pt;z-index:-251456512;"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兴县瓦塘镇中心卫生院裴家川口分院2025年单位预</w:t>
    </w:r>
    <w:r>
      <w:rPr>
        <w:rFonts w:ascii="SimSun" w:hAnsi="SimSun" w:eastAsia="SimSun" w:cs="SimSun"/>
        <w:sz w:val="16"/>
        <w:szCs w:val="16"/>
        <w:spacing w:val="-2"/>
        <w:position w:val="1"/>
      </w:rPr>
      <w:t>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02" style="position:absolute;margin-left:91.3503pt;margin-top:64.2303pt;mso-position-vertical-relative:page;mso-position-horizontal-relative:page;width:51.8pt;height:11.8pt;z-index:-251440128;" o:allowincell="f" fillcolor="#000000" filled="true" stroked="false" type="#_x0000_t136">
          <v:textpath style="font-family:&quot;FangSong&quot;;font-size:11.5;v-text-kern:t;mso-text-shadow:auto" string="%； 住房保"/>
        </v:shape>
      </w:pict>
    </w:r>
    <w:r>
      <w:pict>
        <v:shape id="PowerPlusWaterMarkObject404" style="position:absolute;margin-left:86.92pt;margin-top:27.7633pt;mso-position-vertical-relative:text;mso-position-horizontal-relative:text;width:119.4pt;height:18.85pt;z-index:-251437056;rotation:330;" fillcolor="#404040" filled="true" stroked="false" type="#_x0000_t136">
          <v:fill opacity="0.400000"/>
          <v:textpath style="font-family:&quot;SimSun&quot;;font-size:20;v-text-kern:t;mso-text-shadow:auto" string="仅供内部审核"/>
        </v:shape>
      </w:pict>
    </w:r>
    <w:r>
      <w:pict>
        <v:shape id="PowerPlusWaterMarkObject406" style="position:absolute;margin-left:491.92pt;margin-top:44.1055pt;mso-position-vertical-relative:page;mso-position-horizontal-relative:page;width:119.4pt;height:18.85pt;z-index:-251438080;rotation:330;" o:allowincell="f" fillcolor="#404040" filled="true" stroked="false" type="#_x0000_t136">
          <v:fill opacity="0.400000"/>
          <v:textpath style="font-family:&quot;SimSun&quot;;font-size:20;v-text-kern:t;mso-text-shadow:auto" string="仅供内部审核"/>
        </v:shape>
      </w:pict>
    </w:r>
    <w:r>
      <w:pict>
        <v:shape id="PowerPlusWaterMarkObject408" style="position:absolute;margin-left:86.0353pt;margin-top:266.946pt;mso-position-vertical-relative:page;mso-position-horizontal-relative:page;width:424.5pt;height:11.8pt;z-index:-251450368;" o:allowincell="f" fillcolor="#000000" filled="true" stroked="false" type="#_x0000_t136">
          <v:textpath style="font-family:&quot;FangSong&quot;;font-size:11.5;v-text-kern:t;mso-text-shadow:auto" string="2025                                                               67万元"/>
        </v:shape>
      </w:pict>
    </w:r>
    <w:r>
      <w:pict>
        <v:shape id="PowerPlusWaterMarkObject410" style="position:absolute;margin-left:64.6829pt;margin-top:286.947pt;mso-position-vertical-relative:page;mso-position-horizontal-relative:page;width:9.3pt;height:11.8pt;z-index:-251449344;" o:allowincell="f" fillcolor="#000000" filled="true" stroked="false" type="#_x0000_t136">
          <v:textpath style="font-family:&quot;FangSong&quot;;font-size:11.5;v-text-kern:t;mso-text-shadow:auto" string="中"/>
        </v:shape>
      </w:pict>
    </w:r>
    <w:r>
      <w:pict>
        <v:shape id="PowerPlusWaterMarkObject412" style="position:absolute;margin-left:394.972pt;margin-top:306.948pt;mso-position-vertical-relative:page;mso-position-horizontal-relative:page;width:57.3pt;height:11.8pt;z-index:-251452416;" o:allowincell="f" fillcolor="#000000" filled="true" stroked="false" type="#_x0000_t136">
          <v:textpath style="font-family:&quot;FangSong&quot;;font-size:11.5;v-text-kern:t;mso-text-shadow:auto" string="其他工资福"/>
        </v:shape>
      </w:pict>
    </w:r>
    <w:r>
      <w:pict>
        <v:shape id="PowerPlusWaterMarkObject414" style="position:absolute;margin-left:-13.08pt;margin-top:288.105pt;mso-position-vertical-relative:page;mso-position-horizontal-relative:page;width:119.4pt;height:18.85pt;z-index:-251451392;rotation:330;" o:allowincell="f" fillcolor="#404040" filled="true" stroked="false" type="#_x0000_t136">
          <v:fill opacity="0.400000"/>
          <v:textpath style="font-family:&quot;SimSun&quot;;font-size:20;v-text-kern:t;mso-text-shadow:auto" string="仅供内部审核"/>
        </v:shape>
      </w:pict>
    </w:r>
    <w:r>
      <w:pict>
        <v:shape id="PowerPlusWaterMarkObject416" style="position:absolute;margin-left:391.92pt;margin-top:288.105pt;mso-position-vertical-relative:page;mso-position-horizontal-relative:page;width:119.4pt;height:18.85pt;z-index:-251453440;rotation:330;" o:allowincell="f" fillcolor="#404040" filled="true" stroked="false" type="#_x0000_t136">
          <v:fill opacity="0.400000"/>
          <v:textpath style="font-family:&quot;SimSun&quot;;font-size:20;v-text-kern:t;mso-text-shadow:auto" string="仅供内部审核"/>
        </v:shape>
      </w:pict>
    </w:r>
    <w:r>
      <w:pict>
        <v:shape id="PowerPlusWaterMarkObject418" style="position:absolute;margin-left:172.729pt;margin-top:509.123pt;mso-position-vertical-relative:page;mso-position-horizontal-relative:page;width:33.85pt;height:11.8pt;z-index:-251445248;" o:allowincell="f" fillcolor="#000000" filled="true" stroked="false" type="#_x0000_t136">
          <v:textpath style="font-family:&quot;FangSong&quot;;font-size:11.5;v-text-kern:t;mso-text-shadow:auto" string="购工程"/>
        </v:shape>
      </w:pict>
    </w:r>
    <w:r>
      <w:pict>
        <v:shape id="PowerPlusWaterMarkObject420" style="position:absolute;margin-left:103.549pt;margin-top:549.126pt;mso-position-vertical-relative:page;mso-position-horizontal-relative:page;width:45.4pt;height:11.8pt;z-index:-251447296;" o:allowincell="f" fillcolor="#000000" filled="true" stroked="false" type="#_x0000_t136">
          <v:textpath style="font-family:&quot;FangSong&quot;;font-size:11.5;v-text-kern:t;mso-text-shadow:auto" string="整体绩效"/>
        </v:shape>
      </w:pict>
    </w:r>
    <w:r>
      <w:pict>
        <v:shape id="PowerPlusWaterMarkObject422" style="position:absolute;margin-left:97.8761pt;margin-top:569.668pt;mso-position-vertical-relative:page;mso-position-horizontal-relative:page;width:10.7pt;height:11.8pt;z-index:-251446272;" o:allowincell="f" fillcolor="#000000" filled="true" stroked="false" type="#_x0000_t136">
          <v:textpath style="font-family:&quot;FangSong&quot;;font-size:11.5;v-text-kern:t;mso-text-shadow:auto" string="编"/>
        </v:shape>
      </w:pict>
    </w:r>
    <w:r>
      <w:pict>
        <v:shape id="PowerPlusWaterMarkObject424" style="position:absolute;margin-left:86.92pt;margin-top:532.106pt;mso-position-vertical-relative:page;mso-position-horizontal-relative:page;width:119.4pt;height:18.85pt;z-index:-251448320;rotation:330;" o:allowincell="f" fillcolor="#404040" filled="true" stroked="false" type="#_x0000_t136">
          <v:fill opacity="0.400000"/>
          <v:textpath style="font-family:&quot;SimSun&quot;;font-size:20;v-text-kern:t;mso-text-shadow:auto" string="仅供内部审核"/>
        </v:shape>
      </w:pict>
    </w:r>
    <w:r>
      <w:pict>
        <v:shape id="PowerPlusWaterMarkObject426" style="position:absolute;margin-left:491.92pt;margin-top:532.106pt;mso-position-vertical-relative:page;mso-position-horizontal-relative:page;width:119.4pt;height:18.85pt;z-index:-251443200;rotation:330;" o:allowincell="f" fillcolor="#404040" filled="true" stroked="false" type="#_x0000_t136">
          <v:fill opacity="0.400000"/>
          <v:textpath style="font-family:&quot;SimSun&quot;;font-size:20;v-text-kern:t;mso-text-shadow:auto" string="仅供内部审核"/>
        </v:shape>
      </w:pict>
    </w:r>
    <w:r>
      <w:pict>
        <v:shape id="PowerPlusWaterMarkObject428" style="position:absolute;margin-left:343.392pt;margin-top:675.784pt;mso-position-vertical-relative:page;mso-position-horizontal-relative:page;width:1.7pt;height:5.6pt;z-index:-251444224;" o:allowincell="f" fillcolor="#000000" filled="true" stroked="false" type="#_x0000_t136">
          <v:textpath style="font-family:&quot;FangSong&quot;;font-size:11.5;v-text-kern:t;mso-text-shadow:auto" string=";"/>
        </v:shape>
      </w:pict>
    </w:r>
    <w:r>
      <w:pict>
        <v:shape id="PowerPlusWaterMarkObject430" style="position:absolute;margin-left:-13.08pt;margin-top:776.106pt;mso-position-vertical-relative:page;mso-position-horizontal-relative:page;width:119.4pt;height:18.85pt;z-index:-251441152;rotation:330;" o:allowincell="f" fillcolor="#404040" filled="true" stroked="false" type="#_x0000_t136">
          <v:fill opacity="0.400000"/>
          <v:textpath style="font-family:&quot;SimSun&quot;;font-size:20;v-text-kern:t;mso-text-shadow:auto" string="仅供内部审核"/>
        </v:shape>
      </w:pict>
    </w:r>
    <w:r>
      <w:pict>
        <v:shape id="PowerPlusWaterMarkObject432" style="position:absolute;margin-left:391.92pt;margin-top:776.106pt;mso-position-vertical-relative:page;mso-position-horizontal-relative:page;width:119.4pt;height:18.85pt;z-index:-251442176;rotation:330;" o:allowincell="f" fillcolor="#404040" filled="true" stroked="false" type="#_x0000_t136">
          <v:fill opacity="0.400000"/>
          <v:textpath style="font-family:&quot;SimSun&quot;;font-size:20;v-text-kern:t;mso-text-shadow:auto" string="仅供内部审核"/>
        </v:shape>
      </w:pict>
    </w:r>
    <w:r>
      <w:pict>
        <v:shape id="_x0000_s434" style="position:absolute;margin-left:30pt;margin-top:29.5pt;mso-position-vertical-relative:page;mso-position-horizontal-relative:page;width:535pt;height:1pt;z-index:-25143910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兴县瓦塘镇中心卫生院裴家川口分院2025年单位预</w:t>
    </w:r>
    <w:r>
      <w:rPr>
        <w:rFonts w:ascii="SimSun" w:hAnsi="SimSun" w:eastAsia="SimSun" w:cs="SimSun"/>
        <w:sz w:val="16"/>
        <w:szCs w:val="16"/>
        <w:spacing w:val="-2"/>
        <w:position w:val="1"/>
      </w:rPr>
      <w:t>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36" style="position:absolute;margin-left:86.92pt;margin-top:27.7633pt;mso-position-vertical-relative:text;mso-position-horizontal-relative:text;width:119.4pt;height:18.85pt;z-index:-251432960;rotation:330;" fillcolor="#404040" filled="true" stroked="false" type="#_x0000_t136">
          <v:fill opacity="0.400000"/>
          <v:textpath style="font-family:&quot;SimSun&quot;;font-size:20;v-text-kern:t;mso-text-shadow:auto" string="仅供内部审核"/>
        </v:shape>
      </w:pict>
    </w:r>
    <w:r>
      <w:pict>
        <v:shape id="PowerPlusWaterMarkObject438" style="position:absolute;margin-left:-13.08pt;margin-top:776.106pt;mso-position-vertical-relative:page;mso-position-horizontal-relative:page;width:119.4pt;height:18.85pt;z-index:-251435008;rotation:330;" o:allowincell="f" fillcolor="#404040" filled="true" stroked="false" type="#_x0000_t136">
          <v:fill opacity="0.400000"/>
          <v:textpath style="font-family:&quot;SimSun&quot;;font-size:20;v-text-kern:t;mso-text-shadow:auto" string="仅供内部审核"/>
        </v:shape>
      </w:pict>
    </w:r>
    <w:r>
      <w:pict>
        <v:shape id="PowerPlusWaterMarkObject440" style="position:absolute;margin-left:391.92pt;margin-top:776.106pt;mso-position-vertical-relative:page;mso-position-horizontal-relative:page;width:119.4pt;height:18.85pt;z-index:-251436032;rotation:330;" o:allowincell="f" fillcolor="#404040" filled="true" stroked="false" type="#_x0000_t136">
          <v:fill opacity="0.400000"/>
          <v:textpath style="font-family:&quot;SimSun&quot;;font-size:20;v-text-kern:t;mso-text-shadow:auto" string="仅供内部审核"/>
        </v:shape>
      </w:pict>
    </w:r>
    <w:r>
      <w:pict>
        <v:shape id="_x0000_s442" style="position:absolute;margin-left:30pt;margin-top:29.5pt;mso-position-vertical-relative:page;mso-position-horizontal-relative:page;width:535pt;height:1pt;z-index:-25143398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兴县瓦塘镇中心卫生院裴家川口分院2025年单位预</w:t>
    </w:r>
    <w:r>
      <w:rPr>
        <w:rFonts w:ascii="SimSun" w:hAnsi="SimSun" w:eastAsia="SimSun" w:cs="SimSun"/>
        <w:sz w:val="16"/>
        <w:szCs w:val="16"/>
        <w:spacing w:val="-2"/>
        <w:position w:val="1"/>
      </w:rPr>
      <w:t>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14" style="position:absolute;margin-left:86.92pt;margin-top:27.7633pt;mso-position-vertical-relative:text;mso-position-horizontal-relative:text;width:119.4pt;height:18.85pt;z-index:-251424768;rotation:330;" fillcolor="#404040" filled="true" stroked="false" type="#_x0000_t136">
          <v:fill opacity="0.400000"/>
          <v:textpath style="font-family:&quot;SimSun&quot;;font-size:20;v-text-kern:t;mso-text-shadow:auto" string="仅供内部审核"/>
        </v:shape>
      </w:pict>
    </w:r>
    <w:r>
      <w:pict>
        <v:shape id="PowerPlusWaterMarkObject516" style="position:absolute;margin-left:-13.08pt;margin-top:288.105pt;mso-position-vertical-relative:page;mso-position-horizontal-relative:page;width:119.4pt;height:18.85pt;z-index:-251426816;rotation:330;" o:allowincell="f" fillcolor="#404040" filled="true" stroked="false" type="#_x0000_t136">
          <v:fill opacity="0.400000"/>
          <v:textpath style="font-family:&quot;SimSun&quot;;font-size:20;v-text-kern:t;mso-text-shadow:auto" string="仅供内部审核"/>
        </v:shape>
      </w:pict>
    </w:r>
    <w:r>
      <w:pict>
        <v:shape id="PowerPlusWaterMarkObject518" style="position:absolute;margin-left:391.92pt;margin-top:288.105pt;mso-position-vertical-relative:page;mso-position-horizontal-relative:page;width:119.4pt;height:18.85pt;z-index:-251427840;rotation:330;" o:allowincell="f" fillcolor="#404040" filled="true" stroked="false" type="#_x0000_t136">
          <v:fill opacity="0.400000"/>
          <v:textpath style="font-family:&quot;SimSun&quot;;font-size:20;v-text-kern:t;mso-text-shadow:auto" string="仅供内部审核"/>
        </v:shape>
      </w:pict>
    </w:r>
    <w:r>
      <w:pict>
        <v:shape id="PowerPlusWaterMarkObject520" style="position:absolute;margin-left:86.92pt;margin-top:532.106pt;mso-position-vertical-relative:page;mso-position-horizontal-relative:page;width:119.4pt;height:18.85pt;z-index:-251430912;rotation:330;" o:allowincell="f" fillcolor="#404040" filled="true" stroked="false" type="#_x0000_t136">
          <v:fill opacity="0.400000"/>
          <v:textpath style="font-family:&quot;SimSun&quot;;font-size:20;v-text-kern:t;mso-text-shadow:auto" string="仅供内部审核"/>
        </v:shape>
      </w:pict>
    </w:r>
    <w:r>
      <w:pict>
        <v:shape id="PowerPlusWaterMarkObject522" style="position:absolute;margin-left:-13.08pt;margin-top:776.106pt;mso-position-vertical-relative:page;mso-position-horizontal-relative:page;width:119.4pt;height:18.85pt;z-index:-251428864;rotation:330;" o:allowincell="f" fillcolor="#404040" filled="true" stroked="false" type="#_x0000_t136">
          <v:fill opacity="0.400000"/>
          <v:textpath style="font-family:&quot;SimSun&quot;;font-size:20;v-text-kern:t;mso-text-shadow:auto" string="仅供内部审核"/>
        </v:shape>
      </w:pict>
    </w:r>
    <w:r>
      <w:pict>
        <v:shape id="PowerPlusWaterMarkObject524" style="position:absolute;margin-left:491.92pt;margin-top:532.106pt;mso-position-vertical-relative:page;mso-position-horizontal-relative:page;width:119.4pt;height:18.85pt;z-index:-251431936;rotation:330;" o:allowincell="f" fillcolor="#404040" filled="true" stroked="false" type="#_x0000_t136">
          <v:fill opacity="0.400000"/>
          <v:textpath style="font-family:&quot;SimSun&quot;;font-size:20;v-text-kern:t;mso-text-shadow:auto" string="仅供内部审核"/>
        </v:shape>
      </w:pict>
    </w:r>
    <w:r>
      <w:pict>
        <v:shape id="PowerPlusWaterMarkObject526" style="position:absolute;margin-left:391.92pt;margin-top:776.106pt;mso-position-vertical-relative:page;mso-position-horizontal-relative:page;width:119.4pt;height:18.85pt;z-index:-251429888;rotation:330;" o:allowincell="f" fillcolor="#404040" filled="true" stroked="false" type="#_x0000_t136">
          <v:fill opacity="0.400000"/>
          <v:textpath style="font-family:&quot;SimSun&quot;;font-size:20;v-text-kern:t;mso-text-shadow:auto" string="仅供内部审核"/>
        </v:shape>
      </w:pict>
    </w:r>
    <w:r>
      <w:pict>
        <v:shape id="_x0000_s528" style="position:absolute;margin-left:30pt;margin-top:29.5pt;mso-position-vertical-relative:page;mso-position-horizontal-relative:page;width:535pt;height:1pt;z-index:-251425792;"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兴县瓦塘镇中心卫生院裴家川口分院2025年单位预</w:t>
    </w:r>
    <w:r>
      <w:rPr>
        <w:rFonts w:ascii="SimSun" w:hAnsi="SimSun" w:eastAsia="SimSun" w:cs="SimSun"/>
        <w:sz w:val="16"/>
        <w:szCs w:val="16"/>
        <w:spacing w:val="-2"/>
        <w:position w:val="1"/>
      </w:rPr>
      <w:t>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兴县瓦塘镇中心卫生院裴家川口分院2025年单位预</w:t>
    </w:r>
    <w:r>
      <w:rPr>
        <w:rFonts w:ascii="SimSun" w:hAnsi="SimSun" w:eastAsia="SimSun" w:cs="SimSun"/>
        <w:sz w:val="16"/>
        <w:szCs w:val="16"/>
        <w:spacing w:val="-2"/>
        <w:position w:val="1"/>
      </w:rPr>
      <w:t>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兴县瓦塘镇中心卫生院裴家川口分院2025年单位预</w:t>
    </w:r>
    <w:r>
      <w:rPr>
        <w:rFonts w:ascii="SimSun" w:hAnsi="SimSun" w:eastAsia="SimSun" w:cs="SimSun"/>
        <w:sz w:val="16"/>
        <w:szCs w:val="16"/>
        <w:spacing w:val="-2"/>
        <w:position w:val="1"/>
      </w:rPr>
      <w:t>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兴县瓦塘镇中心卫生院裴家川口分院2025年单位预</w:t>
    </w:r>
    <w:r>
      <w:rPr>
        <w:rFonts w:ascii="SimSun" w:hAnsi="SimSun" w:eastAsia="SimSun" w:cs="SimSun"/>
        <w:sz w:val="16"/>
        <w:szCs w:val="16"/>
        <w:spacing w:val="-2"/>
        <w:position w:val="1"/>
      </w:rPr>
      <w:t>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4"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rFonts w:ascii="SimSun" w:hAnsi="SimSun" w:eastAsia="SimSun" w:cs="SimSun"/>
        <w:sz w:val="16"/>
        <w:szCs w:val="16"/>
        <w:spacing w:val="-1"/>
        <w:position w:val="1"/>
      </w:rPr>
      <w:t>兴县瓦塘镇中心卫生院裴家川口分院2025年单位预</w:t>
    </w:r>
    <w:r>
      <w:rPr>
        <w:rFonts w:ascii="SimSun" w:hAnsi="SimSun" w:eastAsia="SimSun" w:cs="SimSun"/>
        <w:sz w:val="16"/>
        <w:szCs w:val="16"/>
        <w:spacing w:val="-2"/>
        <w:position w:val="1"/>
      </w:rPr>
      <w:t>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0" style="position:absolute;margin-left:86.92pt;margin-top:27.7633pt;mso-position-vertical-relative:text;mso-position-horizontal-relative:text;width:119.4pt;height:18.85pt;z-index:-251589632;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13.08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WordPictureWatermark126" style="position:absolute;margin-left:395.367pt;margin-top:259.52pt;mso-position-vertical-relative:page;mso-position-horizontal-relative:page;width:112.65pt;height:75.9pt;z-index:-251596800;" o:allowincell="f" filled="false" stroked="false" type="#_x0000_t75">
          <v:imagedata o:title="" r:id="rId1"/>
        </v:shape>
      </w:pict>
    </w:r>
    <w:r>
      <w:pict>
        <v:shape id="PowerPlusWaterMarkObject128"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兴县瓦塘镇中心卫生院裴家川口分院2025年单位预</w:t>
    </w:r>
    <w:r>
      <w:rPr>
        <w:rFonts w:ascii="SimSun" w:hAnsi="SimSun" w:eastAsia="SimSun" w:cs="SimSun"/>
        <w:sz w:val="16"/>
        <w:szCs w:val="16"/>
        <w:spacing w:val="-2"/>
        <w:position w:val="1"/>
      </w:rPr>
      <w:t>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38" style="position:absolute;margin-left:86.92pt;margin-top:27.7633pt;mso-position-vertical-relative:text;mso-position-horizontal-relative:text;width:119.4pt;height:18.85pt;z-index:-251578368;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493.62pt;margin-top:72.8103pt;mso-position-vertical-relative:page;mso-position-horizontal-relative:page;width:32.1pt;height:7.2pt;z-index:-251579392;" o:allowincell="f" fillcolor="#212529" filled="true" stroked="false" type="#_x0000_t136">
          <v:textpath style="font-family:&quot;SimSun&quot;;font-size:7;v-text-kern:t;mso-text-shadow:auto" string="算公开表4"/>
        </v:shape>
      </w:pict>
    </w:r>
    <w:r>
      <w:pict>
        <v:shape id="PowerPlusWaterMarkObject142"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409.442pt;margin-top:325.754pt;mso-position-vertical-relative:page;mso-position-horizontal-relative:page;width:3.6pt;height:7.9pt;z-index:-251586560;" o:allowincell="f" fillcolor="#212529" filled="true" stroked="false" type="#_x0000_t136">
          <v:textpath style="font-family:&quot;SimSun&quot;;font-size:7.5;v-text-kern:t;mso-text-shadow:auto" string="6"/>
        </v:shape>
      </w:pict>
    </w:r>
    <w:r>
      <w:pict>
        <v:shape id="PowerPlusWaterMarkObject146" style="position:absolute;margin-left:-13.08pt;margin-top:288.10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491.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_x0000_s158"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兴县瓦塘镇中心卫生院裴家川口分院2025年单位预</w:t>
    </w:r>
    <w:r>
      <w:rPr>
        <w:rFonts w:ascii="SimSun" w:hAnsi="SimSun" w:eastAsia="SimSun" w:cs="SimSun"/>
        <w:sz w:val="16"/>
        <w:szCs w:val="16"/>
        <w:spacing w:val="-2"/>
        <w:position w:val="1"/>
      </w:rPr>
      <w:t>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2.xml"/><Relationship Id="rId79" Type="http://schemas.openxmlformats.org/officeDocument/2006/relationships/fontTable" Target="fontTable.xml"/><Relationship Id="rId78" Type="http://schemas.openxmlformats.org/officeDocument/2006/relationships/styles" Target="styles.xml"/><Relationship Id="rId77" Type="http://schemas.openxmlformats.org/officeDocument/2006/relationships/settings" Target="settings.xml"/><Relationship Id="rId76" Type="http://schemas.openxmlformats.org/officeDocument/2006/relationships/footer" Target="footer35.xml"/><Relationship Id="rId75" Type="http://schemas.openxmlformats.org/officeDocument/2006/relationships/image" Target="media/image20.png"/><Relationship Id="rId74" Type="http://schemas.openxmlformats.org/officeDocument/2006/relationships/footer" Target="footer34.xml"/><Relationship Id="rId73" Type="http://schemas.openxmlformats.org/officeDocument/2006/relationships/image" Target="media/image19.png"/><Relationship Id="rId72" Type="http://schemas.openxmlformats.org/officeDocument/2006/relationships/footer" Target="footer33.xml"/><Relationship Id="rId71" Type="http://schemas.openxmlformats.org/officeDocument/2006/relationships/image" Target="media/image18.png"/><Relationship Id="rId70" Type="http://schemas.openxmlformats.org/officeDocument/2006/relationships/footer" Target="footer32.xml"/><Relationship Id="rId7" Type="http://schemas.openxmlformats.org/officeDocument/2006/relationships/header" Target="header5.xml"/><Relationship Id="rId69" Type="http://schemas.openxmlformats.org/officeDocument/2006/relationships/image" Target="media/image17.png"/><Relationship Id="rId68" Type="http://schemas.openxmlformats.org/officeDocument/2006/relationships/footer" Target="footer31.xml"/><Relationship Id="rId67" Type="http://schemas.openxmlformats.org/officeDocument/2006/relationships/image" Target="media/image16.png"/><Relationship Id="rId66" Type="http://schemas.openxmlformats.org/officeDocument/2006/relationships/footer" Target="footer30.xml"/><Relationship Id="rId65" Type="http://schemas.openxmlformats.org/officeDocument/2006/relationships/image" Target="media/image15.png"/><Relationship Id="rId64" Type="http://schemas.openxmlformats.org/officeDocument/2006/relationships/footer" Target="footer29.xml"/><Relationship Id="rId63" Type="http://schemas.openxmlformats.org/officeDocument/2006/relationships/image" Target="media/image14.png"/><Relationship Id="rId62" Type="http://schemas.openxmlformats.org/officeDocument/2006/relationships/footer" Target="footer28.xml"/><Relationship Id="rId61" Type="http://schemas.openxmlformats.org/officeDocument/2006/relationships/image" Target="media/image13.png"/><Relationship Id="rId60" Type="http://schemas.openxmlformats.org/officeDocument/2006/relationships/footer" Target="footer27.xml"/><Relationship Id="rId6" Type="http://schemas.openxmlformats.org/officeDocument/2006/relationships/footer" Target="footer1.xml"/><Relationship Id="rId59" Type="http://schemas.openxmlformats.org/officeDocument/2006/relationships/footer" Target="footer26.xml"/><Relationship Id="rId58" Type="http://schemas.openxmlformats.org/officeDocument/2006/relationships/image" Target="media/image12.png"/><Relationship Id="rId57" Type="http://schemas.openxmlformats.org/officeDocument/2006/relationships/footer" Target="footer25.xml"/><Relationship Id="rId56" Type="http://schemas.openxmlformats.org/officeDocument/2006/relationships/header" Target="header22.xml"/><Relationship Id="rId55" Type="http://schemas.openxmlformats.org/officeDocument/2006/relationships/image" Target="media/image11.png"/><Relationship Id="rId54" Type="http://schemas.openxmlformats.org/officeDocument/2006/relationships/footer" Target="footer24.xml"/><Relationship Id="rId53" Type="http://schemas.openxmlformats.org/officeDocument/2006/relationships/image" Target="media/image10.png"/><Relationship Id="rId52" Type="http://schemas.openxmlformats.org/officeDocument/2006/relationships/footer" Target="footer23.xml"/><Relationship Id="rId51" Type="http://schemas.openxmlformats.org/officeDocument/2006/relationships/image" Target="media/image9.png"/><Relationship Id="rId50" Type="http://schemas.openxmlformats.org/officeDocument/2006/relationships/footer" Target="footer22.xml"/><Relationship Id="rId5" Type="http://schemas.openxmlformats.org/officeDocument/2006/relationships/header" Target="header4.xml"/><Relationship Id="rId49" Type="http://schemas.openxmlformats.org/officeDocument/2006/relationships/image" Target="media/image8.png"/><Relationship Id="rId48" Type="http://schemas.openxmlformats.org/officeDocument/2006/relationships/footer" Target="footer21.xml"/><Relationship Id="rId47" Type="http://schemas.openxmlformats.org/officeDocument/2006/relationships/image" Target="media/image7.png"/><Relationship Id="rId46" Type="http://schemas.openxmlformats.org/officeDocument/2006/relationships/footer" Target="footer20.xml"/><Relationship Id="rId45" Type="http://schemas.openxmlformats.org/officeDocument/2006/relationships/image" Target="media/image6.png"/><Relationship Id="rId44" Type="http://schemas.openxmlformats.org/officeDocument/2006/relationships/footer" Target="footer19.xml"/><Relationship Id="rId43" Type="http://schemas.openxmlformats.org/officeDocument/2006/relationships/image" Target="media/image5.png"/><Relationship Id="rId42" Type="http://schemas.openxmlformats.org/officeDocument/2006/relationships/footer" Target="footer18.xml"/><Relationship Id="rId41" Type="http://schemas.openxmlformats.org/officeDocument/2006/relationships/header" Target="header21.xml"/><Relationship Id="rId40" Type="http://schemas.openxmlformats.org/officeDocument/2006/relationships/image" Target="media/image4.png"/><Relationship Id="rId4" Type="http://schemas.openxmlformats.org/officeDocument/2006/relationships/header" Target="header3.xml"/><Relationship Id="rId39" Type="http://schemas.openxmlformats.org/officeDocument/2006/relationships/footer" Target="footer17.xml"/><Relationship Id="rId38" Type="http://schemas.openxmlformats.org/officeDocument/2006/relationships/header" Target="header20.xml"/><Relationship Id="rId37" Type="http://schemas.openxmlformats.org/officeDocument/2006/relationships/image" Target="media/image3.png"/><Relationship Id="rId36" Type="http://schemas.openxmlformats.org/officeDocument/2006/relationships/footer" Target="footer16.xml"/><Relationship Id="rId35" Type="http://schemas.openxmlformats.org/officeDocument/2006/relationships/header" Target="header19.xml"/><Relationship Id="rId34" Type="http://schemas.openxmlformats.org/officeDocument/2006/relationships/footer" Target="footer15.xml"/><Relationship Id="rId33" Type="http://schemas.openxmlformats.org/officeDocument/2006/relationships/header" Target="header18.xml"/><Relationship Id="rId32" Type="http://schemas.openxmlformats.org/officeDocument/2006/relationships/footer" Target="footer14.xml"/><Relationship Id="rId31" Type="http://schemas.openxmlformats.org/officeDocument/2006/relationships/header" Target="header17.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header" Target="header16.xml"/><Relationship Id="rId28" Type="http://schemas.openxmlformats.org/officeDocument/2006/relationships/footer" Target="footer12.xml"/><Relationship Id="rId27" Type="http://schemas.openxmlformats.org/officeDocument/2006/relationships/header" Target="header15.xml"/><Relationship Id="rId26" Type="http://schemas.openxmlformats.org/officeDocument/2006/relationships/footer" Target="footer11.xml"/><Relationship Id="rId25" Type="http://schemas.openxmlformats.org/officeDocument/2006/relationships/header" Target="header14.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2025-09-25T16:16:20Z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2025-09-25T20:09:30</vt:filetime>
  </property>
</Properties>
</file>