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39" w:line="216" w:lineRule="auto"/>
        <w:rPr>
          <w:rFonts w:ascii="SimSun" w:hAnsi="SimSun" w:eastAsia="SimSun" w:cs="SimSun"/>
          <w:sz w:val="43"/>
          <w:szCs w:val="43"/>
        </w:rPr>
      </w:pPr>
      <w:r>
        <w:rPr>
          <w:rFonts w:ascii="SimSun" w:hAnsi="SimSun" w:eastAsia="SimSun" w:cs="SimSun"/>
          <w:sz w:val="43"/>
          <w:szCs w:val="43"/>
          <w:spacing w:val="102"/>
        </w:rPr>
        <w:t>兴县魏家滩镇中心卫生院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33</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88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76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人员构成:设院长1名,工作人员15名。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2"/>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单位名称：兴县魏家滩镇中心卫生院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233.12</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21.55</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21.55</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195.12</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194.01</w:t>
            </w:r>
          </w:p>
        </w:tc>
        <w:tc>
          <w:tcPr>
            <w:tcW w:w="921"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1.11</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2"/>
              <w:spacing w:before="186" w:line="184" w:lineRule="auto"/>
              <w:rPr>
                <w:sz w:val="15"/>
                <w:szCs w:val="15"/>
              </w:rPr>
            </w:pPr>
            <w:r>
              <w:rPr>
                <w:sz w:val="15"/>
                <w:szCs w:val="15"/>
                <w:color w:val="212529"/>
                <w:spacing w:val="1"/>
              </w:rPr>
              <w:t>233.</w:t>
            </w:r>
            <w:r>
              <w:rPr>
                <w:sz w:val="15"/>
                <w:szCs w:val="15"/>
                <w:color w:val="212529"/>
                <w:spacing w:val="20"/>
              </w:rPr>
              <w:t xml:space="preserve"> </w:t>
            </w:r>
            <w:r>
              <w:rPr>
                <w:sz w:val="15"/>
                <w:szCs w:val="15"/>
                <w:color w:val="212529"/>
                <w:spacing w:val="1"/>
              </w:rPr>
              <w:t>12</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6"/>
              <w:spacing w:before="186" w:line="183" w:lineRule="auto"/>
              <w:rPr>
                <w:sz w:val="15"/>
                <w:szCs w:val="15"/>
              </w:rPr>
            </w:pPr>
            <w:r>
              <w:rPr>
                <w:sz w:val="15"/>
                <w:szCs w:val="15"/>
                <w:color w:val="212529"/>
                <w:spacing w:val="2"/>
              </w:rPr>
              <w:t>234.</w:t>
            </w:r>
            <w:r>
              <w:rPr>
                <w:sz w:val="15"/>
                <w:szCs w:val="15"/>
                <w:color w:val="212529"/>
                <w:spacing w:val="13"/>
                <w:w w:val="101"/>
              </w:rPr>
              <w:t xml:space="preserve"> </w:t>
            </w:r>
            <w:r>
              <w:rPr>
                <w:sz w:val="15"/>
                <w:szCs w:val="15"/>
                <w:color w:val="212529"/>
                <w:spacing w:val="2"/>
              </w:rPr>
              <w:t>23</w:t>
            </w:r>
          </w:p>
        </w:tc>
        <w:tc>
          <w:tcPr>
            <w:tcW w:w="1138" w:type="dxa"/>
            <w:vAlign w:val="top"/>
          </w:tcPr>
          <w:p>
            <w:pPr>
              <w:pStyle w:val="TableText"/>
              <w:ind w:left="571"/>
              <w:spacing w:before="186" w:line="184" w:lineRule="auto"/>
              <w:rPr>
                <w:sz w:val="15"/>
                <w:szCs w:val="15"/>
              </w:rPr>
            </w:pPr>
            <w:r>
              <w:rPr>
                <w:sz w:val="15"/>
                <w:szCs w:val="15"/>
                <w:color w:val="212529"/>
                <w:spacing w:val="2"/>
              </w:rPr>
              <w:t>233.</w:t>
            </w:r>
            <w:r>
              <w:rPr>
                <w:sz w:val="15"/>
                <w:szCs w:val="15"/>
                <w:color w:val="212529"/>
                <w:spacing w:val="14"/>
              </w:rPr>
              <w:t xml:space="preserve"> </w:t>
            </w:r>
            <w:r>
              <w:rPr>
                <w:sz w:val="15"/>
                <w:szCs w:val="15"/>
                <w:color w:val="212529"/>
                <w:spacing w:val="2"/>
              </w:rPr>
              <w:t>12</w:t>
            </w:r>
          </w:p>
        </w:tc>
        <w:tc>
          <w:tcPr>
            <w:tcW w:w="921" w:type="dxa"/>
            <w:vAlign w:val="top"/>
          </w:tcPr>
          <w:p>
            <w:pPr>
              <w:pStyle w:val="TableText"/>
              <w:ind w:left="537"/>
              <w:spacing w:before="186" w:line="212" w:lineRule="auto"/>
              <w:rPr>
                <w:sz w:val="13"/>
                <w:szCs w:val="13"/>
              </w:rPr>
            </w:pPr>
            <w:r>
              <w:rPr>
                <w:sz w:val="13"/>
                <w:szCs w:val="13"/>
                <w:color w:val="212529"/>
                <w:spacing w:val="6"/>
              </w:rPr>
              <w:t>1.</w:t>
            </w:r>
            <w:r>
              <w:rPr>
                <w:sz w:val="13"/>
                <w:szCs w:val="13"/>
                <w:color w:val="212529"/>
                <w:spacing w:val="15"/>
                <w:w w:val="101"/>
              </w:rPr>
              <w:t xml:space="preserve"> </w:t>
            </w:r>
            <w:r>
              <w:rPr>
                <w:sz w:val="13"/>
                <w:szCs w:val="13"/>
                <w:color w:val="212529"/>
                <w:spacing w:val="6"/>
              </w:rPr>
              <w:t>11</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17"/>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6"/>
              </w:rPr>
              <w:t>1.11</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2"/>
              <w:spacing w:before="188" w:line="183" w:lineRule="auto"/>
              <w:rPr>
                <w:sz w:val="15"/>
                <w:szCs w:val="15"/>
              </w:rPr>
            </w:pPr>
            <w:r>
              <w:rPr>
                <w:sz w:val="15"/>
                <w:szCs w:val="15"/>
                <w:color w:val="212529"/>
                <w:spacing w:val="2"/>
              </w:rPr>
              <w:t>234.</w:t>
            </w:r>
            <w:r>
              <w:rPr>
                <w:sz w:val="15"/>
                <w:szCs w:val="15"/>
                <w:color w:val="212529"/>
                <w:spacing w:val="13"/>
                <w:w w:val="101"/>
              </w:rPr>
              <w:t xml:space="preserve"> </w:t>
            </w:r>
            <w:r>
              <w:rPr>
                <w:sz w:val="15"/>
                <w:szCs w:val="15"/>
                <w:color w:val="212529"/>
                <w:spacing w:val="2"/>
              </w:rPr>
              <w:t>23</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6"/>
              <w:spacing w:before="188" w:line="183" w:lineRule="auto"/>
              <w:rPr>
                <w:sz w:val="15"/>
                <w:szCs w:val="15"/>
              </w:rPr>
            </w:pPr>
            <w:r>
              <w:rPr>
                <w:sz w:val="15"/>
                <w:szCs w:val="15"/>
                <w:color w:val="212529"/>
                <w:spacing w:val="2"/>
              </w:rPr>
              <w:t>234.</w:t>
            </w:r>
            <w:r>
              <w:rPr>
                <w:sz w:val="15"/>
                <w:szCs w:val="15"/>
                <w:color w:val="212529"/>
                <w:spacing w:val="13"/>
                <w:w w:val="101"/>
              </w:rPr>
              <w:t xml:space="preserve"> </w:t>
            </w:r>
            <w:r>
              <w:rPr>
                <w:sz w:val="15"/>
                <w:szCs w:val="15"/>
                <w:color w:val="212529"/>
                <w:spacing w:val="2"/>
              </w:rPr>
              <w:t>23</w:t>
            </w:r>
          </w:p>
        </w:tc>
        <w:tc>
          <w:tcPr>
            <w:tcW w:w="1138" w:type="dxa"/>
            <w:vAlign w:val="top"/>
          </w:tcPr>
          <w:p>
            <w:pPr>
              <w:pStyle w:val="TableText"/>
              <w:ind w:left="571"/>
              <w:spacing w:before="188" w:line="184" w:lineRule="auto"/>
              <w:rPr>
                <w:sz w:val="15"/>
                <w:szCs w:val="15"/>
              </w:rPr>
            </w:pPr>
            <w:r>
              <w:rPr>
                <w:sz w:val="15"/>
                <w:szCs w:val="15"/>
                <w:color w:val="212529"/>
                <w:spacing w:val="2"/>
              </w:rPr>
              <w:t>233.</w:t>
            </w:r>
            <w:r>
              <w:rPr>
                <w:sz w:val="15"/>
                <w:szCs w:val="15"/>
                <w:color w:val="212529"/>
                <w:spacing w:val="14"/>
              </w:rPr>
              <w:t xml:space="preserve"> </w:t>
            </w:r>
            <w:r>
              <w:rPr>
                <w:sz w:val="15"/>
                <w:szCs w:val="15"/>
                <w:color w:val="212529"/>
                <w:spacing w:val="2"/>
              </w:rPr>
              <w:t>12</w:t>
            </w:r>
          </w:p>
        </w:tc>
        <w:tc>
          <w:tcPr>
            <w:tcW w:w="921" w:type="dxa"/>
            <w:vAlign w:val="top"/>
          </w:tcPr>
          <w:p>
            <w:pPr>
              <w:pStyle w:val="TableText"/>
              <w:ind w:left="537"/>
              <w:spacing w:before="188" w:line="212" w:lineRule="auto"/>
              <w:rPr>
                <w:sz w:val="13"/>
                <w:szCs w:val="13"/>
              </w:rPr>
            </w:pPr>
            <w:r>
              <w:rPr>
                <w:sz w:val="13"/>
                <w:szCs w:val="13"/>
                <w:color w:val="212529"/>
                <w:spacing w:val="6"/>
              </w:rPr>
              <w:t>1.</w:t>
            </w:r>
            <w:r>
              <w:rPr>
                <w:sz w:val="13"/>
                <w:szCs w:val="13"/>
                <w:color w:val="212529"/>
                <w:spacing w:val="15"/>
                <w:w w:val="101"/>
              </w:rPr>
              <w:t xml:space="preserve"> </w:t>
            </w:r>
            <w:r>
              <w:rPr>
                <w:sz w:val="13"/>
                <w:szCs w:val="13"/>
                <w:color w:val="212529"/>
                <w:spacing w:val="6"/>
              </w:rPr>
              <w:t>11</w:t>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单位名称：兴县魏家滩镇中心卫生院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53"/>
              <w:spacing w:before="149" w:line="184" w:lineRule="auto"/>
              <w:rPr>
                <w:sz w:val="15"/>
                <w:szCs w:val="15"/>
              </w:rPr>
            </w:pPr>
            <w:r>
              <w:rPr>
                <w:sz w:val="15"/>
                <w:szCs w:val="15"/>
                <w:color w:val="212529"/>
                <w:spacing w:val="1"/>
              </w:rPr>
              <w:t>233.</w:t>
            </w:r>
            <w:r>
              <w:rPr>
                <w:sz w:val="15"/>
                <w:szCs w:val="15"/>
                <w:color w:val="212529"/>
                <w:spacing w:val="20"/>
              </w:rPr>
              <w:t xml:space="preserve"> </w:t>
            </w:r>
            <w:r>
              <w:rPr>
                <w:sz w:val="15"/>
                <w:szCs w:val="15"/>
                <w:color w:val="212529"/>
                <w:spacing w:val="1"/>
              </w:rPr>
              <w:t>12</w:t>
            </w:r>
          </w:p>
        </w:tc>
        <w:tc>
          <w:tcPr>
            <w:tcW w:w="1259" w:type="dxa"/>
            <w:vAlign w:val="top"/>
          </w:tcPr>
          <w:p>
            <w:pPr>
              <w:pStyle w:val="TableText"/>
              <w:ind w:left="684"/>
              <w:spacing w:before="149" w:line="184" w:lineRule="auto"/>
              <w:rPr>
                <w:sz w:val="15"/>
                <w:szCs w:val="15"/>
              </w:rPr>
            </w:pPr>
            <w:r>
              <w:rPr>
                <w:sz w:val="15"/>
                <w:szCs w:val="15"/>
                <w:color w:val="212529"/>
                <w:spacing w:val="1"/>
              </w:rPr>
              <w:t>233.</w:t>
            </w:r>
            <w:r>
              <w:rPr>
                <w:sz w:val="15"/>
                <w:szCs w:val="15"/>
                <w:color w:val="212529"/>
                <w:spacing w:val="20"/>
              </w:rPr>
              <w:t xml:space="preserve"> </w:t>
            </w:r>
            <w:r>
              <w:rPr>
                <w:sz w:val="15"/>
                <w:szCs w:val="15"/>
                <w:color w:val="212529"/>
                <w:spacing w:val="1"/>
              </w:rPr>
              <w:t>12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17"/>
              <w:spacing w:before="149" w:line="212" w:lineRule="auto"/>
              <w:rPr>
                <w:sz w:val="13"/>
                <w:szCs w:val="13"/>
              </w:rPr>
            </w:pPr>
            <w:r>
              <w:rPr>
                <w:sz w:val="13"/>
                <w:szCs w:val="13"/>
                <w:color w:val="212529"/>
                <w:spacing w:val="6"/>
              </w:rPr>
              <w:t>1.</w:t>
            </w:r>
            <w:r>
              <w:rPr>
                <w:sz w:val="13"/>
                <w:szCs w:val="13"/>
                <w:color w:val="212529"/>
                <w:spacing w:val="15"/>
                <w:w w:val="101"/>
              </w:rPr>
              <w:t xml:space="preserve"> </w:t>
            </w:r>
            <w:r>
              <w:rPr>
                <w:sz w:val="13"/>
                <w:szCs w:val="13"/>
                <w:color w:val="212529"/>
                <w:spacing w:val="6"/>
              </w:rPr>
              <w:t>11</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943"/>
              <w:spacing w:before="129" w:line="238" w:lineRule="auto"/>
              <w:rPr>
                <w:rFonts w:ascii="SimSun" w:hAnsi="SimSun" w:eastAsia="SimSun" w:cs="SimSun"/>
                <w:sz w:val="18"/>
                <w:szCs w:val="18"/>
              </w:rPr>
            </w:pPr>
            <w:r>
              <w:rPr>
                <w:rFonts w:ascii="SimSun" w:hAnsi="SimSun" w:eastAsia="SimSun" w:cs="SimSun"/>
                <w:sz w:val="18"/>
                <w:szCs w:val="18"/>
                <w:color w:val="212529"/>
                <w:spacing w:val="-2"/>
              </w:rPr>
              <w:t>21.55</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21.55</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943"/>
              <w:spacing w:before="130" w:line="238" w:lineRule="auto"/>
              <w:rPr>
                <w:rFonts w:ascii="SimSun" w:hAnsi="SimSun" w:eastAsia="SimSun" w:cs="SimSun"/>
                <w:sz w:val="18"/>
                <w:szCs w:val="18"/>
              </w:rPr>
            </w:pPr>
            <w:r>
              <w:rPr>
                <w:rFonts w:ascii="SimSun" w:hAnsi="SimSun" w:eastAsia="SimSun" w:cs="SimSun"/>
                <w:sz w:val="18"/>
                <w:szCs w:val="18"/>
                <w:color w:val="212529"/>
                <w:spacing w:val="-2"/>
              </w:rPr>
              <w:t>21.55</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21.55</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67"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left="1033"/>
              <w:spacing w:before="131" w:line="238" w:lineRule="auto"/>
              <w:rPr>
                <w:rFonts w:ascii="SimSun" w:hAnsi="SimSun" w:eastAsia="SimSun" w:cs="SimSun"/>
                <w:sz w:val="18"/>
                <w:szCs w:val="18"/>
              </w:rPr>
            </w:pPr>
            <w:r>
              <w:rPr>
                <w:rFonts w:ascii="SimSun" w:hAnsi="SimSun" w:eastAsia="SimSun" w:cs="SimSun"/>
                <w:sz w:val="18"/>
                <w:szCs w:val="18"/>
                <w:color w:val="212529"/>
                <w:spacing w:val="-2"/>
              </w:rPr>
              <w:t>2.18</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2.18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3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19.36</w:t>
            </w:r>
          </w:p>
        </w:tc>
        <w:tc>
          <w:tcPr>
            <w:tcW w:w="1259"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19.36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65"/>
              <w:spacing w:before="133" w:line="238" w:lineRule="auto"/>
              <w:rPr>
                <w:rFonts w:ascii="SimSun" w:hAnsi="SimSun" w:eastAsia="SimSun" w:cs="SimSun"/>
                <w:sz w:val="18"/>
                <w:szCs w:val="18"/>
              </w:rPr>
            </w:pPr>
            <w:r>
              <w:rPr>
                <w:rFonts w:ascii="SimSun" w:hAnsi="SimSun" w:eastAsia="SimSun" w:cs="SimSun"/>
                <w:sz w:val="18"/>
                <w:szCs w:val="18"/>
                <w:color w:val="212529"/>
                <w:spacing w:val="-3"/>
              </w:rPr>
              <w:t>194.01</w:t>
            </w:r>
          </w:p>
        </w:tc>
        <w:tc>
          <w:tcPr>
            <w:tcW w:w="1259"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194.01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1.11</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65"/>
              <w:spacing w:before="134" w:line="238" w:lineRule="auto"/>
              <w:rPr>
                <w:rFonts w:ascii="SimSun" w:hAnsi="SimSun" w:eastAsia="SimSun" w:cs="SimSun"/>
                <w:sz w:val="18"/>
                <w:szCs w:val="18"/>
              </w:rPr>
            </w:pPr>
            <w:r>
              <w:rPr>
                <w:rFonts w:ascii="SimSun" w:hAnsi="SimSun" w:eastAsia="SimSun" w:cs="SimSun"/>
                <w:sz w:val="18"/>
                <w:szCs w:val="18"/>
                <w:color w:val="212529"/>
                <w:spacing w:val="-3"/>
              </w:rPr>
              <w:t>186.07</w:t>
            </w:r>
          </w:p>
        </w:tc>
        <w:tc>
          <w:tcPr>
            <w:tcW w:w="1259" w:type="dxa"/>
            <w:vAlign w:val="top"/>
          </w:tcPr>
          <w:p>
            <w:pPr>
              <w:ind w:right="25"/>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186.07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1.11</w:t>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865"/>
              <w:spacing w:before="135" w:line="238" w:lineRule="auto"/>
              <w:rPr>
                <w:rFonts w:ascii="SimSun" w:hAnsi="SimSun" w:eastAsia="SimSun" w:cs="SimSun"/>
                <w:sz w:val="18"/>
                <w:szCs w:val="18"/>
              </w:rPr>
            </w:pPr>
            <w:r>
              <w:rPr>
                <w:rFonts w:ascii="SimSun" w:hAnsi="SimSun" w:eastAsia="SimSun" w:cs="SimSun"/>
                <w:sz w:val="18"/>
                <w:szCs w:val="18"/>
                <w:color w:val="212529"/>
                <w:spacing w:val="-3"/>
              </w:rPr>
              <w:t>159.99</w:t>
            </w:r>
          </w:p>
        </w:tc>
        <w:tc>
          <w:tcPr>
            <w:tcW w:w="1259" w:type="dxa"/>
            <w:vAlign w:val="top"/>
          </w:tcPr>
          <w:p>
            <w:pPr>
              <w:ind w:right="25"/>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159.99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left="943"/>
              <w:spacing w:before="136" w:line="238" w:lineRule="auto"/>
              <w:rPr>
                <w:rFonts w:ascii="SimSun" w:hAnsi="SimSun" w:eastAsia="SimSun" w:cs="SimSun"/>
                <w:sz w:val="18"/>
                <w:szCs w:val="18"/>
              </w:rPr>
            </w:pPr>
            <w:r>
              <w:rPr>
                <w:rFonts w:ascii="SimSun" w:hAnsi="SimSun" w:eastAsia="SimSun" w:cs="SimSun"/>
                <w:sz w:val="18"/>
                <w:szCs w:val="18"/>
                <w:color w:val="212529"/>
                <w:spacing w:val="-2"/>
              </w:rPr>
              <w:t>26.08</w:t>
            </w:r>
          </w:p>
        </w:tc>
        <w:tc>
          <w:tcPr>
            <w:tcW w:w="1259"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26.08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1.11</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6"/>
              <w:spacing w:before="137" w:line="238" w:lineRule="auto"/>
              <w:rPr>
                <w:rFonts w:ascii="SimSun" w:hAnsi="SimSun" w:eastAsia="SimSun" w:cs="SimSun"/>
                <w:sz w:val="18"/>
                <w:szCs w:val="18"/>
              </w:rPr>
            </w:pPr>
            <w:r>
              <w:rPr>
                <w:rFonts w:ascii="SimSun" w:hAnsi="SimSun" w:eastAsia="SimSun" w:cs="SimSun"/>
                <w:sz w:val="18"/>
                <w:szCs w:val="18"/>
                <w:color w:val="212529"/>
                <w:spacing w:val="-3"/>
              </w:rPr>
              <w:t>7.94</w:t>
            </w:r>
          </w:p>
        </w:tc>
        <w:tc>
          <w:tcPr>
            <w:tcW w:w="1259" w:type="dxa"/>
            <w:vAlign w:val="top"/>
          </w:tcPr>
          <w:p>
            <w:pPr>
              <w:ind w:right="25"/>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7.94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6"/>
              <w:spacing w:before="138" w:line="238" w:lineRule="auto"/>
              <w:rPr>
                <w:rFonts w:ascii="SimSun" w:hAnsi="SimSun" w:eastAsia="SimSun" w:cs="SimSun"/>
                <w:sz w:val="18"/>
                <w:szCs w:val="18"/>
              </w:rPr>
            </w:pPr>
            <w:r>
              <w:rPr>
                <w:rFonts w:ascii="SimSun" w:hAnsi="SimSun" w:eastAsia="SimSun" w:cs="SimSun"/>
                <w:sz w:val="18"/>
                <w:szCs w:val="18"/>
                <w:color w:val="212529"/>
                <w:spacing w:val="-3"/>
              </w:rPr>
              <w:t>7.94</w:t>
            </w:r>
          </w:p>
        </w:tc>
        <w:tc>
          <w:tcPr>
            <w:tcW w:w="1259" w:type="dxa"/>
            <w:vAlign w:val="top"/>
          </w:tcPr>
          <w:p>
            <w:pPr>
              <w:ind w:right="25"/>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7.94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17.56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7"/>
              <w:spacing w:before="99" w:line="186" w:lineRule="auto"/>
              <w:rPr>
                <w:sz w:val="13"/>
                <w:szCs w:val="13"/>
              </w:rPr>
            </w:pPr>
            <w:r>
              <w:rPr>
                <w:sz w:val="13"/>
                <w:szCs w:val="13"/>
                <w:color w:val="212529"/>
                <w:spacing w:val="5"/>
              </w:rPr>
              <w:t>234.</w:t>
            </w:r>
            <w:r>
              <w:rPr>
                <w:sz w:val="13"/>
                <w:szCs w:val="13"/>
                <w:color w:val="212529"/>
                <w:spacing w:val="9"/>
              </w:rPr>
              <w:t xml:space="preserve"> </w:t>
            </w:r>
            <w:r>
              <w:rPr>
                <w:sz w:val="13"/>
                <w:szCs w:val="13"/>
                <w:color w:val="212529"/>
                <w:spacing w:val="5"/>
              </w:rPr>
              <w:t>23</w:t>
            </w:r>
          </w:p>
        </w:tc>
        <w:tc>
          <w:tcPr>
            <w:tcW w:w="1361" w:type="dxa"/>
            <w:vAlign w:val="top"/>
          </w:tcPr>
          <w:p>
            <w:pPr>
              <w:pStyle w:val="TableText"/>
              <w:ind w:left="851"/>
              <w:spacing w:before="99" w:line="172" w:lineRule="auto"/>
              <w:rPr>
                <w:sz w:val="14"/>
                <w:szCs w:val="14"/>
              </w:rPr>
            </w:pPr>
            <w:r>
              <w:rPr>
                <w:sz w:val="14"/>
                <w:szCs w:val="14"/>
                <w:color w:val="212529"/>
              </w:rPr>
              <w:t>207.</w:t>
            </w:r>
            <w:r>
              <w:rPr>
                <w:sz w:val="14"/>
                <w:szCs w:val="14"/>
                <w:color w:val="212529"/>
                <w:spacing w:val="9"/>
              </w:rPr>
              <w:t xml:space="preserve"> </w:t>
            </w:r>
            <w:r>
              <w:rPr>
                <w:sz w:val="14"/>
                <w:szCs w:val="14"/>
                <w:color w:val="212529"/>
              </w:rPr>
              <w:t>04</w:t>
            </w:r>
          </w:p>
        </w:tc>
        <w:tc>
          <w:tcPr>
            <w:tcW w:w="1280" w:type="dxa"/>
            <w:vAlign w:val="top"/>
          </w:tcPr>
          <w:p>
            <w:pPr>
              <w:pStyle w:val="TableText"/>
              <w:ind w:left="850"/>
              <w:spacing w:before="99" w:line="186" w:lineRule="auto"/>
              <w:rPr>
                <w:sz w:val="13"/>
                <w:szCs w:val="13"/>
              </w:rPr>
            </w:pPr>
            <w:r>
              <w:rPr>
                <w:sz w:val="13"/>
                <w:szCs w:val="13"/>
                <w:color w:val="212529"/>
                <w:spacing w:val="1"/>
              </w:rPr>
              <w:t>27.</w:t>
            </w:r>
            <w:r>
              <w:rPr>
                <w:sz w:val="13"/>
                <w:szCs w:val="13"/>
                <w:color w:val="212529"/>
                <w:spacing w:val="26"/>
              </w:rPr>
              <w:t xml:space="preserve"> </w:t>
            </w:r>
            <w:r>
              <w:rPr>
                <w:sz w:val="13"/>
                <w:szCs w:val="13"/>
                <w:color w:val="212529"/>
                <w:spacing w:val="1"/>
              </w:rPr>
              <w:t>19</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361" w:type="dxa"/>
            <w:vAlign w:val="top"/>
          </w:tcPr>
          <w:p>
            <w:pPr>
              <w:pStyle w:val="TableText"/>
              <w:ind w:left="932"/>
              <w:spacing w:before="99" w:line="187" w:lineRule="auto"/>
              <w:rPr>
                <w:sz w:val="13"/>
                <w:szCs w:val="13"/>
              </w:rPr>
            </w:pPr>
            <w:r>
              <w:rPr>
                <w:sz w:val="13"/>
                <w:szCs w:val="13"/>
                <w:color w:val="212529"/>
                <w:spacing w:val="4"/>
              </w:rPr>
              <w:t>21.</w:t>
            </w:r>
            <w:r>
              <w:rPr>
                <w:sz w:val="13"/>
                <w:szCs w:val="13"/>
                <w:color w:val="212529"/>
                <w:spacing w:val="9"/>
                <w:w w:val="102"/>
              </w:rPr>
              <w:t xml:space="preserve"> </w:t>
            </w:r>
            <w:r>
              <w:rPr>
                <w:sz w:val="13"/>
                <w:szCs w:val="13"/>
                <w:color w:val="212529"/>
                <w:spacing w:val="4"/>
              </w:rPr>
              <w:t>55</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361" w:type="dxa"/>
            <w:vAlign w:val="top"/>
          </w:tcPr>
          <w:p>
            <w:pPr>
              <w:pStyle w:val="TableText"/>
              <w:ind w:left="932"/>
              <w:spacing w:before="99" w:line="186" w:lineRule="auto"/>
              <w:rPr>
                <w:sz w:val="13"/>
                <w:szCs w:val="13"/>
              </w:rPr>
            </w:pPr>
            <w:r>
              <w:rPr>
                <w:sz w:val="13"/>
                <w:szCs w:val="13"/>
                <w:color w:val="212529"/>
                <w:spacing w:val="4"/>
              </w:rPr>
              <w:t>21.</w:t>
            </w:r>
            <w:r>
              <w:rPr>
                <w:sz w:val="13"/>
                <w:szCs w:val="13"/>
                <w:color w:val="212529"/>
                <w:spacing w:val="9"/>
                <w:w w:val="102"/>
              </w:rPr>
              <w:t xml:space="preserve"> </w:t>
            </w:r>
            <w:r>
              <w:rPr>
                <w:sz w:val="13"/>
                <w:szCs w:val="13"/>
                <w:color w:val="212529"/>
                <w:spacing w:val="4"/>
              </w:rPr>
              <w:t>55</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2.18</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2.18</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195.12</w:t>
            </w:r>
          </w:p>
        </w:tc>
        <w:tc>
          <w:tcPr>
            <w:tcW w:w="1361" w:type="dxa"/>
            <w:vAlign w:val="top"/>
          </w:tcPr>
          <w:p>
            <w:pPr>
              <w:pStyle w:val="TableText"/>
              <w:ind w:left="861"/>
              <w:spacing w:before="101" w:line="162" w:lineRule="auto"/>
              <w:rPr>
                <w:sz w:val="15"/>
                <w:szCs w:val="15"/>
              </w:rPr>
            </w:pPr>
            <w:r>
              <w:rPr>
                <w:sz w:val="15"/>
                <w:szCs w:val="15"/>
                <w:color w:val="212529"/>
              </w:rPr>
              <w:t>167.93</w:t>
            </w:r>
          </w:p>
        </w:tc>
        <w:tc>
          <w:tcPr>
            <w:tcW w:w="1280" w:type="dxa"/>
            <w:vAlign w:val="top"/>
          </w:tcPr>
          <w:p>
            <w:pPr>
              <w:pStyle w:val="TableText"/>
              <w:ind w:left="850"/>
              <w:spacing w:before="101" w:line="187" w:lineRule="auto"/>
              <w:rPr>
                <w:sz w:val="13"/>
                <w:szCs w:val="13"/>
              </w:rPr>
            </w:pPr>
            <w:r>
              <w:rPr>
                <w:sz w:val="13"/>
                <w:szCs w:val="13"/>
                <w:color w:val="212529"/>
                <w:spacing w:val="1"/>
              </w:rPr>
              <w:t>27.</w:t>
            </w:r>
            <w:r>
              <w:rPr>
                <w:sz w:val="13"/>
                <w:szCs w:val="13"/>
                <w:color w:val="212529"/>
                <w:spacing w:val="26"/>
              </w:rPr>
              <w:t xml:space="preserve"> </w:t>
            </w:r>
            <w:r>
              <w:rPr>
                <w:sz w:val="13"/>
                <w:szCs w:val="13"/>
                <w:color w:val="212529"/>
                <w:spacing w:val="1"/>
              </w:rPr>
              <w:t>19</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187.18</w:t>
            </w:r>
          </w:p>
        </w:tc>
        <w:tc>
          <w:tcPr>
            <w:tcW w:w="1361" w:type="dxa"/>
            <w:vAlign w:val="top"/>
          </w:tcPr>
          <w:p>
            <w:pPr>
              <w:pStyle w:val="TableText"/>
              <w:ind w:left="861"/>
              <w:spacing w:before="101" w:line="162" w:lineRule="auto"/>
              <w:rPr>
                <w:sz w:val="15"/>
                <w:szCs w:val="15"/>
              </w:rPr>
            </w:pPr>
            <w:r>
              <w:rPr>
                <w:sz w:val="15"/>
                <w:szCs w:val="15"/>
                <w:color w:val="212529"/>
              </w:rPr>
              <w:t>159.99</w:t>
            </w:r>
          </w:p>
        </w:tc>
        <w:tc>
          <w:tcPr>
            <w:tcW w:w="1280" w:type="dxa"/>
            <w:vAlign w:val="top"/>
          </w:tcPr>
          <w:p>
            <w:pPr>
              <w:pStyle w:val="TableText"/>
              <w:ind w:left="850"/>
              <w:spacing w:before="102" w:line="186" w:lineRule="auto"/>
              <w:rPr>
                <w:sz w:val="13"/>
                <w:szCs w:val="13"/>
              </w:rPr>
            </w:pPr>
            <w:r>
              <w:rPr>
                <w:sz w:val="13"/>
                <w:szCs w:val="13"/>
                <w:color w:val="212529"/>
                <w:spacing w:val="1"/>
              </w:rPr>
              <w:t>27.</w:t>
            </w:r>
            <w:r>
              <w:rPr>
                <w:sz w:val="13"/>
                <w:szCs w:val="13"/>
                <w:color w:val="212529"/>
                <w:spacing w:val="26"/>
              </w:rPr>
              <w:t xml:space="preserve"> </w:t>
            </w:r>
            <w:r>
              <w:rPr>
                <w:sz w:val="13"/>
                <w:szCs w:val="13"/>
                <w:color w:val="212529"/>
                <w:spacing w:val="1"/>
              </w:rPr>
              <w:t>19</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159.99</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159.99</w:t>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27.19</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27.19</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361" w:type="dxa"/>
            <w:vAlign w:val="top"/>
          </w:tcPr>
          <w:p>
            <w:pPr>
              <w:pStyle w:val="TableText"/>
              <w:ind w:left="942"/>
              <w:spacing w:before="104" w:line="186" w:lineRule="auto"/>
              <w:rPr>
                <w:sz w:val="13"/>
                <w:szCs w:val="13"/>
              </w:rPr>
            </w:pPr>
            <w:r>
              <w:rPr>
                <w:sz w:val="13"/>
                <w:szCs w:val="13"/>
                <w:color w:val="212529"/>
                <w:spacing w:val="1"/>
              </w:rPr>
              <w:t>17.</w:t>
            </w:r>
            <w:r>
              <w:rPr>
                <w:sz w:val="13"/>
                <w:szCs w:val="13"/>
                <w:color w:val="212529"/>
                <w:spacing w:val="16"/>
                <w:w w:val="102"/>
              </w:rPr>
              <w:t xml:space="preserve"> </w:t>
            </w:r>
            <w:r>
              <w:rPr>
                <w:sz w:val="13"/>
                <w:szCs w:val="13"/>
                <w:color w:val="212529"/>
                <w:spacing w:val="1"/>
              </w:rPr>
              <w:t>56</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361" w:type="dxa"/>
            <w:vAlign w:val="top"/>
          </w:tcPr>
          <w:p>
            <w:pPr>
              <w:pStyle w:val="TableText"/>
              <w:ind w:left="942"/>
              <w:spacing w:before="104" w:line="186" w:lineRule="auto"/>
              <w:rPr>
                <w:sz w:val="13"/>
                <w:szCs w:val="13"/>
              </w:rPr>
            </w:pPr>
            <w:r>
              <w:rPr>
                <w:sz w:val="13"/>
                <w:szCs w:val="13"/>
                <w:color w:val="212529"/>
                <w:spacing w:val="1"/>
              </w:rPr>
              <w:t>17.</w:t>
            </w:r>
            <w:r>
              <w:rPr>
                <w:sz w:val="13"/>
                <w:szCs w:val="13"/>
                <w:color w:val="212529"/>
                <w:spacing w:val="16"/>
                <w:w w:val="102"/>
              </w:rPr>
              <w:t xml:space="preserve"> </w:t>
            </w:r>
            <w:r>
              <w:rPr>
                <w:sz w:val="13"/>
                <w:szCs w:val="13"/>
                <w:color w:val="212529"/>
                <w:spacing w:val="1"/>
              </w:rPr>
              <w:t>56</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280"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233.12</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195.12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195.12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7" w:line="187" w:lineRule="auto"/>
              <w:rPr>
                <w:sz w:val="13"/>
                <w:szCs w:val="13"/>
              </w:rPr>
            </w:pPr>
            <w:r>
              <w:rPr>
                <w:sz w:val="13"/>
                <w:szCs w:val="13"/>
                <w:color w:val="212529"/>
                <w:spacing w:val="2"/>
              </w:rPr>
              <w:t>233.</w:t>
            </w:r>
            <w:r>
              <w:rPr>
                <w:sz w:val="13"/>
                <w:szCs w:val="13"/>
                <w:color w:val="212529"/>
                <w:spacing w:val="27"/>
              </w:rPr>
              <w:t xml:space="preserve"> </w:t>
            </w:r>
            <w:r>
              <w:rPr>
                <w:sz w:val="13"/>
                <w:szCs w:val="13"/>
                <w:color w:val="212529"/>
                <w:spacing w:val="2"/>
              </w:rPr>
              <w:t>12</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7" w:line="186" w:lineRule="auto"/>
              <w:rPr>
                <w:sz w:val="13"/>
                <w:szCs w:val="13"/>
              </w:rPr>
            </w:pPr>
            <w:r>
              <w:rPr>
                <w:sz w:val="13"/>
                <w:szCs w:val="13"/>
                <w:color w:val="212529"/>
                <w:spacing w:val="5"/>
              </w:rPr>
              <w:t>234.</w:t>
            </w:r>
            <w:r>
              <w:rPr>
                <w:sz w:val="13"/>
                <w:szCs w:val="13"/>
                <w:color w:val="212529"/>
                <w:spacing w:val="9"/>
              </w:rPr>
              <w:t xml:space="preserve"> </w:t>
            </w:r>
            <w:r>
              <w:rPr>
                <w:sz w:val="13"/>
                <w:szCs w:val="13"/>
                <w:color w:val="212529"/>
                <w:spacing w:val="5"/>
              </w:rPr>
              <w:t>23</w:t>
            </w:r>
          </w:p>
        </w:tc>
        <w:tc>
          <w:tcPr>
            <w:tcW w:w="1069" w:type="dxa"/>
            <w:vAlign w:val="top"/>
          </w:tcPr>
          <w:p>
            <w:pPr>
              <w:pStyle w:val="TableText"/>
              <w:ind w:left="286"/>
              <w:spacing w:before="137" w:line="186" w:lineRule="auto"/>
              <w:rPr>
                <w:sz w:val="13"/>
                <w:szCs w:val="13"/>
              </w:rPr>
            </w:pPr>
            <w:r>
              <w:rPr>
                <w:sz w:val="13"/>
                <w:szCs w:val="13"/>
                <w:color w:val="212529"/>
                <w:spacing w:val="5"/>
              </w:rPr>
              <w:t>234.</w:t>
            </w:r>
            <w:r>
              <w:rPr>
                <w:sz w:val="13"/>
                <w:szCs w:val="13"/>
                <w:color w:val="212529"/>
                <w:spacing w:val="9"/>
              </w:rPr>
              <w:t xml:space="preserve"> </w:t>
            </w:r>
            <w:r>
              <w:rPr>
                <w:sz w:val="13"/>
                <w:szCs w:val="13"/>
                <w:color w:val="212529"/>
                <w:spacing w:val="5"/>
              </w:rPr>
              <w:t>23</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6" w:line="186" w:lineRule="auto"/>
              <w:rPr>
                <w:sz w:val="13"/>
                <w:szCs w:val="13"/>
              </w:rPr>
            </w:pPr>
            <w:r>
              <w:rPr>
                <w:sz w:val="13"/>
                <w:szCs w:val="13"/>
                <w:color w:val="212529"/>
                <w:spacing w:val="5"/>
              </w:rPr>
              <w:t>234.</w:t>
            </w:r>
            <w:r>
              <w:rPr>
                <w:sz w:val="13"/>
                <w:szCs w:val="13"/>
                <w:color w:val="212529"/>
                <w:spacing w:val="9"/>
              </w:rPr>
              <w:t xml:space="preserve"> </w:t>
            </w:r>
            <w:r>
              <w:rPr>
                <w:sz w:val="13"/>
                <w:szCs w:val="13"/>
                <w:color w:val="212529"/>
                <w:spacing w:val="5"/>
              </w:rPr>
              <w:t>23</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6" w:line="186" w:lineRule="auto"/>
              <w:rPr>
                <w:sz w:val="13"/>
                <w:szCs w:val="13"/>
              </w:rPr>
            </w:pPr>
            <w:r>
              <w:rPr>
                <w:sz w:val="13"/>
                <w:szCs w:val="13"/>
                <w:color w:val="212529"/>
                <w:spacing w:val="4"/>
              </w:rPr>
              <w:t>234.</w:t>
            </w:r>
            <w:r>
              <w:rPr>
                <w:sz w:val="13"/>
                <w:szCs w:val="13"/>
                <w:color w:val="212529"/>
                <w:spacing w:val="14"/>
                <w:w w:val="101"/>
              </w:rPr>
              <w:t xml:space="preserve"> </w:t>
            </w:r>
            <w:r>
              <w:rPr>
                <w:sz w:val="13"/>
                <w:szCs w:val="13"/>
                <w:color w:val="212529"/>
                <w:spacing w:val="4"/>
              </w:rPr>
              <w:t>23</w:t>
            </w:r>
          </w:p>
        </w:tc>
        <w:tc>
          <w:tcPr>
            <w:tcW w:w="1069" w:type="dxa"/>
            <w:vAlign w:val="top"/>
          </w:tcPr>
          <w:p>
            <w:pPr>
              <w:pStyle w:val="TableText"/>
              <w:ind w:left="286"/>
              <w:spacing w:before="136" w:line="186" w:lineRule="auto"/>
              <w:rPr>
                <w:sz w:val="13"/>
                <w:szCs w:val="13"/>
              </w:rPr>
            </w:pPr>
            <w:r>
              <w:rPr>
                <w:sz w:val="13"/>
                <w:szCs w:val="13"/>
                <w:color w:val="212529"/>
                <w:spacing w:val="5"/>
              </w:rPr>
              <w:t>234.</w:t>
            </w:r>
            <w:r>
              <w:rPr>
                <w:sz w:val="13"/>
                <w:szCs w:val="13"/>
                <w:color w:val="212529"/>
                <w:spacing w:val="9"/>
              </w:rPr>
              <w:t xml:space="preserve"> </w:t>
            </w:r>
            <w:r>
              <w:rPr>
                <w:sz w:val="13"/>
                <w:szCs w:val="13"/>
                <w:color w:val="212529"/>
                <w:spacing w:val="5"/>
              </w:rPr>
              <w:t>23</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5"/>
              <w:spacing w:before="87" w:line="173" w:lineRule="auto"/>
              <w:rPr>
                <w:sz w:val="14"/>
                <w:szCs w:val="14"/>
              </w:rPr>
            </w:pPr>
            <w:r>
              <w:rPr>
                <w:sz w:val="14"/>
                <w:szCs w:val="14"/>
                <w:color w:val="212529"/>
              </w:rPr>
              <w:t>233.</w:t>
            </w:r>
            <w:r>
              <w:rPr>
                <w:sz w:val="14"/>
                <w:szCs w:val="14"/>
                <w:color w:val="212529"/>
                <w:spacing w:val="6"/>
              </w:rPr>
              <w:t xml:space="preserve"> </w:t>
            </w:r>
            <w:r>
              <w:rPr>
                <w:sz w:val="14"/>
                <w:szCs w:val="14"/>
                <w:color w:val="212529"/>
              </w:rPr>
              <w:t>12</w:t>
            </w:r>
          </w:p>
        </w:tc>
        <w:tc>
          <w:tcPr>
            <w:tcW w:w="1415" w:type="dxa"/>
            <w:vAlign w:val="top"/>
          </w:tcPr>
          <w:p>
            <w:pPr>
              <w:pStyle w:val="TableText"/>
              <w:ind w:left="904"/>
              <w:spacing w:before="87" w:line="172" w:lineRule="auto"/>
              <w:rPr>
                <w:sz w:val="14"/>
                <w:szCs w:val="14"/>
              </w:rPr>
            </w:pPr>
            <w:r>
              <w:rPr>
                <w:sz w:val="14"/>
                <w:szCs w:val="14"/>
                <w:color w:val="212529"/>
              </w:rPr>
              <w:t>207.</w:t>
            </w:r>
            <w:r>
              <w:rPr>
                <w:sz w:val="14"/>
                <w:szCs w:val="14"/>
                <w:color w:val="212529"/>
                <w:spacing w:val="9"/>
              </w:rPr>
              <w:t xml:space="preserve"> </w:t>
            </w:r>
            <w:r>
              <w:rPr>
                <w:sz w:val="14"/>
                <w:szCs w:val="14"/>
                <w:color w:val="212529"/>
              </w:rPr>
              <w:t>04</w:t>
            </w:r>
          </w:p>
        </w:tc>
        <w:tc>
          <w:tcPr>
            <w:tcW w:w="1377" w:type="dxa"/>
            <w:vAlign w:val="top"/>
          </w:tcPr>
          <w:p>
            <w:pPr>
              <w:pStyle w:val="TableText"/>
              <w:ind w:left="947"/>
              <w:spacing w:before="87" w:line="186" w:lineRule="auto"/>
              <w:rPr>
                <w:sz w:val="13"/>
                <w:szCs w:val="13"/>
              </w:rPr>
            </w:pPr>
            <w:r>
              <w:rPr>
                <w:sz w:val="13"/>
                <w:szCs w:val="13"/>
                <w:color w:val="212529"/>
                <w:spacing w:val="4"/>
              </w:rPr>
              <w:t>26.</w:t>
            </w:r>
            <w:r>
              <w:rPr>
                <w:sz w:val="13"/>
                <w:szCs w:val="13"/>
                <w:color w:val="212529"/>
                <w:spacing w:val="10"/>
                <w:w w:val="101"/>
              </w:rPr>
              <w:t xml:space="preserve"> </w:t>
            </w:r>
            <w:r>
              <w:rPr>
                <w:sz w:val="13"/>
                <w:szCs w:val="13"/>
                <w:color w:val="212529"/>
                <w:spacing w:val="4"/>
              </w:rPr>
              <w:t>08</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21.55</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2.18</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2.18</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194.01</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167.93</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26.08</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186.07</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159.99</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26.08</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159.99</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159.99</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26.08</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6.08</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w:t>
            </w:r>
          </w:p>
        </w:tc>
        <w:tc>
          <w:tcPr>
            <w:tcW w:w="1415" w:type="dxa"/>
            <w:vAlign w:val="top"/>
          </w:tcPr>
          <w:p>
            <w:pPr>
              <w:ind w:left="1068"/>
              <w:spacing w:before="74"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.56</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377"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72" w:lineRule="auto"/>
              <w:rPr>
                <w:sz w:val="14"/>
                <w:szCs w:val="14"/>
              </w:rPr>
            </w:pPr>
            <w:r>
              <w:rPr>
                <w:sz w:val="14"/>
                <w:szCs w:val="14"/>
                <w:color w:val="212529"/>
              </w:rPr>
              <w:t>207.</w:t>
            </w:r>
            <w:r>
              <w:rPr>
                <w:sz w:val="14"/>
                <w:szCs w:val="14"/>
                <w:color w:val="212529"/>
                <w:spacing w:val="9"/>
              </w:rPr>
              <w:t xml:space="preserve"> </w:t>
            </w:r>
            <w:r>
              <w:rPr>
                <w:sz w:val="14"/>
                <w:szCs w:val="14"/>
                <w:color w:val="212529"/>
              </w:rPr>
              <w:t>04</w:t>
            </w:r>
          </w:p>
        </w:tc>
        <w:tc>
          <w:tcPr>
            <w:tcW w:w="1188" w:type="dxa"/>
            <w:vAlign w:val="top"/>
          </w:tcPr>
          <w:p>
            <w:pPr>
              <w:pStyle w:val="TableText"/>
              <w:ind w:left="694"/>
              <w:spacing w:before="87" w:line="186" w:lineRule="auto"/>
              <w:rPr>
                <w:sz w:val="13"/>
                <w:szCs w:val="13"/>
              </w:rPr>
            </w:pPr>
            <w:r>
              <w:rPr>
                <w:sz w:val="13"/>
                <w:szCs w:val="13"/>
                <w:color w:val="212529"/>
                <w:spacing w:val="2"/>
              </w:rPr>
              <w:t>191.</w:t>
            </w:r>
            <w:r>
              <w:rPr>
                <w:sz w:val="13"/>
                <w:szCs w:val="13"/>
                <w:color w:val="212529"/>
                <w:spacing w:val="17"/>
              </w:rPr>
              <w:t xml:space="preserve"> </w:t>
            </w:r>
            <w:r>
              <w:rPr>
                <w:sz w:val="13"/>
                <w:szCs w:val="13"/>
                <w:color w:val="212529"/>
                <w:spacing w:val="2"/>
              </w:rPr>
              <w:t>28</w:t>
            </w:r>
          </w:p>
        </w:tc>
        <w:tc>
          <w:tcPr>
            <w:tcW w:w="1118" w:type="dxa"/>
            <w:vAlign w:val="top"/>
          </w:tcPr>
          <w:p>
            <w:pPr>
              <w:pStyle w:val="TableText"/>
              <w:ind w:left="699"/>
              <w:spacing w:before="86" w:line="162" w:lineRule="auto"/>
              <w:rPr>
                <w:sz w:val="15"/>
                <w:szCs w:val="15"/>
              </w:rPr>
            </w:pPr>
            <w:r>
              <w:rPr>
                <w:sz w:val="15"/>
                <w:szCs w:val="15"/>
                <w:color w:val="212529"/>
                <w:spacing w:val="1"/>
              </w:rPr>
              <w:t>15.76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189.11</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69.82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69.82</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48.42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48.42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19.36</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7.87</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15.76</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2"/>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9.</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4.24</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4.24</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c>
          <w:tcPr>
            <w:tcW w:w="1118"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兴县魏家滩镇中心卫生院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26.08</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6" w:right="91" w:firstLine="164"/>
              <w:spacing w:before="30"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6.73</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 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5.11</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58" w:right="172" w:firstLine="19"/>
              <w:spacing w:before="31" w:line="208" w:lineRule="auto"/>
              <w:rPr>
                <w:rFonts w:ascii="SimSun" w:hAnsi="SimSun" w:eastAsia="SimSun" w:cs="SimSun"/>
                <w:sz w:val="15"/>
                <w:szCs w:val="15"/>
              </w:rPr>
            </w:pPr>
            <w:r>
              <w:rPr>
                <w:rFonts w:ascii="SimSun" w:hAnsi="SimSun" w:eastAsia="SimSun" w:cs="SimSun"/>
                <w:sz w:val="15"/>
                <w:szCs w:val="15"/>
                <w:color w:val="212529"/>
                <w:spacing w:val="7"/>
              </w:rPr>
              <w:t>〔2025〕6号预拨2025年驻村医</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贴市级补助资金</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1.60</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7" w:right="172" w:firstLine="324"/>
              <w:spacing w:before="31" w:line="211" w:lineRule="auto"/>
              <w:rPr>
                <w:rFonts w:ascii="SimSun" w:hAnsi="SimSun" w:eastAsia="SimSun" w:cs="SimSun"/>
                <w:sz w:val="15"/>
                <w:szCs w:val="15"/>
              </w:rPr>
            </w:pPr>
            <w:r>
              <w:rPr>
                <w:rFonts w:ascii="SimSun" w:hAnsi="SimSun" w:eastAsia="SimSun" w:cs="SimSun"/>
                <w:sz w:val="15"/>
                <w:szCs w:val="15"/>
                <w:color w:val="212529"/>
                <w:spacing w:val="8"/>
              </w:rPr>
              <w:t>财社〔2025〕8号关于预拨2025年行</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3"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单位名称：兴县魏家滩镇中心卫生院</w:t>
            </w:r>
          </w:p>
        </w:tc>
        <w:tc>
          <w:tcPr>
            <w:tcW w:w="1204" w:type="dxa"/>
            <w:vAlign w:val="top"/>
            <w:tcBorders>
              <w:top w:val="single" w:color="FFFFFF" w:sz="4" w:space="0"/>
              <w:left w:val="single" w:color="FFFFFF" w:sz="2" w:space="0"/>
              <w:right w:val="single" w:color="FFFFFF" w:sz="2" w:space="0"/>
            </w:tcBorders>
          </w:tcPr>
          <w:p>
            <w:pPr>
              <w:ind w:left="53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兴县魏家滩镇中心卫生院</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6" w:right="171" w:firstLine="165"/>
              <w:spacing w:before="32" w:line="210" w:lineRule="auto"/>
              <w:rPr>
                <w:rFonts w:ascii="SimSun" w:hAnsi="SimSun" w:eastAsia="SimSun" w:cs="SimSun"/>
                <w:sz w:val="15"/>
                <w:szCs w:val="15"/>
              </w:rPr>
            </w:pPr>
            <w:r>
              <w:rPr>
                <w:rFonts w:ascii="SimSun" w:hAnsi="SimSun" w:eastAsia="SimSun" w:cs="SimSun"/>
                <w:sz w:val="15"/>
                <w:szCs w:val="15"/>
                <w:color w:val="212529"/>
                <w:spacing w:val="9"/>
              </w:rPr>
              <w:t>兴财社〔2024〕458号2024年驻村医生岗位津贴市级</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8"/>
              </w:rPr>
              <w:t>配套资金吕财社   24]13号</w:t>
            </w:r>
          </w:p>
        </w:tc>
        <w:tc>
          <w:tcPr>
            <w:tcW w:w="126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72"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5" w:right="1223" w:firstLine="454"/>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2025年度兴县魏家滩镇中心卫生院预算收入总计234.23万</w:t>
      </w:r>
      <w:r>
        <w:rPr>
          <w:rFonts w:ascii="FangSong" w:hAnsi="FangSong" w:eastAsia="FangSong" w:cs="FangSong"/>
          <w:sz w:val="23"/>
          <w:szCs w:val="23"/>
          <w:spacing w:val="4"/>
        </w:rPr>
        <w:t>元，其中：本年收入233.12万</w:t>
      </w:r>
      <w:r>
        <w:rPr>
          <w:rFonts w:ascii="FangSong" w:hAnsi="FangSong" w:eastAsia="FangSong" w:cs="FangSong"/>
          <w:sz w:val="23"/>
          <w:szCs w:val="23"/>
        </w:rPr>
        <w:t xml:space="preserve"> </w:t>
      </w:r>
      <w:r>
        <w:rPr>
          <w:rFonts w:ascii="FangSong" w:hAnsi="FangSong" w:eastAsia="FangSong" w:cs="FangSong"/>
          <w:sz w:val="23"/>
          <w:szCs w:val="23"/>
          <w:spacing w:val="3"/>
        </w:rPr>
        <w:t>元，上年结转1.11万元，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比上年减少107.62万元，下降31.48%，主要原因是公卫减少，基药</w:t>
      </w:r>
      <w:r>
        <w:rPr>
          <w:rFonts w:ascii="FangSong" w:hAnsi="FangSong" w:eastAsia="FangSong" w:cs="FangSong"/>
          <w:sz w:val="23"/>
          <w:szCs w:val="23"/>
        </w:rPr>
        <w:t xml:space="preserve"> </w:t>
      </w:r>
      <w:r>
        <w:rPr>
          <w:rFonts w:ascii="FangSong" w:hAnsi="FangSong" w:eastAsia="FangSong" w:cs="FangSong"/>
          <w:sz w:val="23"/>
          <w:szCs w:val="23"/>
          <w:spacing w:val="4"/>
        </w:rPr>
        <w:t>减少；本年单位预算支出总计234.23万元，其中：本年预算安排233.12万元，上年结转1.11</w:t>
      </w:r>
      <w:r>
        <w:rPr>
          <w:rFonts w:ascii="FangSong" w:hAnsi="FangSong" w:eastAsia="FangSong" w:cs="FangSong"/>
          <w:sz w:val="23"/>
          <w:szCs w:val="23"/>
          <w:spacing w:val="17"/>
        </w:rPr>
        <w:t xml:space="preserve"> </w:t>
      </w:r>
      <w:r>
        <w:rPr>
          <w:rFonts w:ascii="FangSong" w:hAnsi="FangSong" w:eastAsia="FangSong" w:cs="FangSong"/>
          <w:sz w:val="23"/>
          <w:szCs w:val="23"/>
        </w:rPr>
        <w:t>万元，比上年减少107.62万元，下降31.48%，主要原因是公卫减少，基药减少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2025年度兴县魏家滩镇中心卫生院预算收入234.23万元，主要包括一般公共预算拨款收</w:t>
      </w:r>
      <w:r>
        <w:rPr>
          <w:rFonts w:ascii="FangSong" w:hAnsi="FangSong" w:eastAsia="FangSong" w:cs="FangSong"/>
          <w:sz w:val="23"/>
          <w:szCs w:val="23"/>
        </w:rPr>
        <w:t xml:space="preserve"> </w:t>
      </w:r>
      <w:r>
        <w:rPr>
          <w:rFonts w:ascii="FangSong" w:hAnsi="FangSong" w:eastAsia="FangSong" w:cs="FangSong"/>
          <w:sz w:val="23"/>
          <w:szCs w:val="23"/>
        </w:rPr>
        <w:t>入233.12万元，</w:t>
      </w:r>
      <w:r>
        <w:rPr>
          <w:rFonts w:ascii="FangSong" w:hAnsi="FangSong" w:eastAsia="FangSong" w:cs="FangSong"/>
          <w:sz w:val="23"/>
          <w:szCs w:val="23"/>
          <w:spacing w:val="-57"/>
        </w:rPr>
        <w:t xml:space="preserve"> </w:t>
      </w:r>
      <w:r>
        <w:rPr>
          <w:rFonts w:ascii="FangSong" w:hAnsi="FangSong" w:eastAsia="FangSong" w:cs="FangSong"/>
          <w:sz w:val="23"/>
          <w:szCs w:val="23"/>
        </w:rPr>
        <w:t>占99.53%；政府性基金预算拨款收</w:t>
      </w:r>
      <w:r>
        <w:rPr>
          <w:rFonts w:ascii="FangSong" w:hAnsi="FangSong" w:eastAsia="FangSong" w:cs="FangSong"/>
          <w:sz w:val="23"/>
          <w:szCs w:val="23"/>
          <w:spacing w:val="-1"/>
        </w:rPr>
        <w:t>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占0%；国有资本经营预算拨款收</w:t>
      </w:r>
      <w:r>
        <w:rPr>
          <w:rFonts w:ascii="FangSong" w:hAnsi="FangSong" w:eastAsia="FangSong" w:cs="FangSong"/>
          <w:sz w:val="23"/>
          <w:szCs w:val="23"/>
        </w:rPr>
        <w:t xml:space="preserve"> </w:t>
      </w:r>
      <w:r>
        <w:rPr>
          <w:rFonts w:ascii="FangSong" w:hAnsi="FangSong" w:eastAsia="FangSong" w:cs="FangSong"/>
          <w:sz w:val="23"/>
          <w:szCs w:val="23"/>
          <w:spacing w:val="-2"/>
        </w:rPr>
        <w:t>入0</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58"/>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w:t>
      </w:r>
      <w:r>
        <w:rPr>
          <w:rFonts w:ascii="FangSong" w:hAnsi="FangSong" w:eastAsia="FangSong" w:cs="FangSong"/>
          <w:sz w:val="23"/>
          <w:szCs w:val="23"/>
          <w:spacing w:val="-3"/>
        </w:rPr>
        <w:t>资金0万元，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占0%；上年</w:t>
      </w:r>
      <w:r>
        <w:rPr>
          <w:rFonts w:ascii="FangSong" w:hAnsi="FangSong" w:eastAsia="FangSong" w:cs="FangSong"/>
          <w:sz w:val="23"/>
          <w:szCs w:val="23"/>
          <w:spacing w:val="8"/>
        </w:rPr>
        <w:t xml:space="preserve">    </w:t>
      </w:r>
      <w:r>
        <w:rPr>
          <w:rFonts w:ascii="FangSong" w:hAnsi="FangSong" w:eastAsia="FangSong" w:cs="FangSong"/>
          <w:sz w:val="23"/>
          <w:szCs w:val="23"/>
          <w:spacing w:val="-3"/>
        </w:rPr>
        <w:t>1.11</w:t>
      </w:r>
    </w:p>
    <w:p>
      <w:pPr>
        <w:ind w:left="1741"/>
        <w:spacing w:before="1" w:line="223" w:lineRule="auto"/>
        <w:rPr>
          <w:rFonts w:ascii="FangSong" w:hAnsi="FangSong" w:eastAsia="FangSong" w:cs="FangSong"/>
          <w:sz w:val="23"/>
          <w:szCs w:val="23"/>
        </w:rPr>
      </w:pPr>
      <w:r>
        <w:rPr>
          <w:rFonts w:ascii="FangSong" w:hAnsi="FangSong" w:eastAsia="FangSong" w:cs="FangSong"/>
          <w:sz w:val="23"/>
          <w:szCs w:val="23"/>
          <w:spacing w:val="-17"/>
        </w:rPr>
        <w:t>,</w:t>
      </w:r>
      <w:r>
        <w:rPr>
          <w:rFonts w:ascii="FangSong" w:hAnsi="FangSong" w:eastAsia="FangSong" w:cs="FangSong"/>
          <w:sz w:val="23"/>
          <w:szCs w:val="23"/>
          <w:spacing w:val="106"/>
        </w:rPr>
        <w:t xml:space="preserve"> </w:t>
      </w:r>
      <w:r>
        <w:rPr>
          <w:rFonts w:ascii="FangSong" w:hAnsi="FangSong" w:eastAsia="FangSong" w:cs="FangSong"/>
          <w:sz w:val="23"/>
          <w:szCs w:val="23"/>
          <w:spacing w:val="-17"/>
        </w:rPr>
        <w:t>占0.47%。</w:t>
      </w:r>
    </w:p>
    <w:p>
      <w:pPr>
        <w:pStyle w:val="BodyText"/>
        <w:spacing w:line="247" w:lineRule="auto"/>
        <w:rPr/>
      </w:pPr>
      <w:r/>
    </w:p>
    <w:p>
      <w:pPr>
        <w:pStyle w:val="BodyText"/>
        <w:spacing w:line="248" w:lineRule="auto"/>
        <w:rPr/>
      </w:pPr>
      <w:r/>
    </w:p>
    <w:p>
      <w:pPr>
        <w:ind w:firstLine="3485"/>
        <w:spacing w:line="2856" w:lineRule="exact"/>
        <w:rPr/>
      </w:pPr>
      <w:r>
        <w:rPr>
          <w:position w:val="-57"/>
        </w:rPr>
        <w:drawing>
          <wp:inline distT="0" distB="0" distL="0" distR="0">
            <wp:extent cx="2485936" cy="1813292"/>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485936"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4"/>
        </w:rPr>
        <w:t>2025年度兴县</w:t>
      </w:r>
      <w:r>
        <w:rPr>
          <w:rFonts w:ascii="FangSong" w:hAnsi="FangSong" w:eastAsia="FangSong" w:cs="FangSong"/>
          <w:sz w:val="23"/>
          <w:szCs w:val="23"/>
          <w:spacing w:val="4"/>
        </w:rPr>
        <w:t xml:space="preserve">        </w:t>
      </w:r>
      <w:r>
        <w:rPr>
          <w:rFonts w:ascii="FangSong" w:hAnsi="FangSong" w:eastAsia="FangSong" w:cs="FangSong"/>
          <w:sz w:val="23"/>
          <w:szCs w:val="23"/>
          <w:spacing w:val="4"/>
        </w:rPr>
        <w:t>中心卫生院支出预算234.23万元，其中：基本支出207.04万元，</w:t>
      </w:r>
    </w:p>
    <w:p>
      <w:pPr>
        <w:ind w:left="1303"/>
        <w:spacing w:before="123" w:line="223" w:lineRule="auto"/>
        <w:rPr>
          <w:rFonts w:ascii="FangSong" w:hAnsi="FangSong" w:eastAsia="FangSong" w:cs="FangSong"/>
          <w:sz w:val="23"/>
          <w:szCs w:val="23"/>
        </w:rPr>
      </w:pPr>
      <w:r>
        <w:rPr>
          <w:rFonts w:ascii="FangSong" w:hAnsi="FangSong" w:eastAsia="FangSong" w:cs="FangSong"/>
          <w:sz w:val="23"/>
          <w:szCs w:val="23"/>
          <w:spacing w:val="-5"/>
        </w:rPr>
        <w:t>占88.39%；项</w:t>
      </w:r>
      <w:r>
        <w:rPr>
          <w:rFonts w:ascii="FangSong" w:hAnsi="FangSong" w:eastAsia="FangSong" w:cs="FangSong"/>
          <w:sz w:val="23"/>
          <w:szCs w:val="23"/>
          <w:spacing w:val="2"/>
        </w:rPr>
        <w:t xml:space="preserve">        </w:t>
      </w:r>
      <w:r>
        <w:rPr>
          <w:rFonts w:ascii="FangSong" w:hAnsi="FangSong" w:eastAsia="FangSong" w:cs="FangSong"/>
          <w:sz w:val="23"/>
          <w:szCs w:val="23"/>
          <w:spacing w:val="-5"/>
        </w:rPr>
        <w:t>.19万元，</w:t>
      </w:r>
      <w:r>
        <w:rPr>
          <w:rFonts w:ascii="FangSong" w:hAnsi="FangSong" w:eastAsia="FangSong" w:cs="FangSong"/>
          <w:sz w:val="23"/>
          <w:szCs w:val="23"/>
          <w:spacing w:val="-58"/>
        </w:rPr>
        <w:t xml:space="preserve"> </w:t>
      </w:r>
      <w:r>
        <w:rPr>
          <w:rFonts w:ascii="FangSong" w:hAnsi="FangSong" w:eastAsia="FangSong" w:cs="FangSong"/>
          <w:sz w:val="23"/>
          <w:szCs w:val="23"/>
          <w:spacing w:val="-5"/>
        </w:rPr>
        <w:t>占11.6</w:t>
      </w:r>
      <w:r>
        <w:rPr>
          <w:rFonts w:ascii="FangSong" w:hAnsi="FangSong" w:eastAsia="FangSong" w:cs="FangSong"/>
          <w:sz w:val="23"/>
          <w:szCs w:val="23"/>
          <w:spacing w:val="-6"/>
        </w:rPr>
        <w:t>1%。</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2025年度兴县魏家滩镇中心卫生院财政拨款收支总预算234.23万元。其中：一般公共预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算拨款234.23万元，政府性基金预算拨款0万元，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2"/>
        </w:rPr>
        <w:t>拨款收入233.12万元，上年结转收入1.11万元。支出包括：社会保障和就业支出21.55万元、</w:t>
      </w:r>
      <w:r>
        <w:rPr>
          <w:rFonts w:ascii="FangSong" w:hAnsi="FangSong" w:eastAsia="FangSong" w:cs="FangSong"/>
          <w:sz w:val="23"/>
          <w:szCs w:val="23"/>
        </w:rPr>
        <w:t xml:space="preserve"> </w:t>
      </w:r>
      <w:r>
        <w:rPr>
          <w:rFonts w:ascii="FangSong" w:hAnsi="FangSong" w:eastAsia="FangSong" w:cs="FangSong"/>
          <w:sz w:val="23"/>
          <w:szCs w:val="23"/>
        </w:rPr>
        <w:t>卫生健康支出195.12万元、住房保障支出17.56万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23" w:line="322" w:lineRule="auto"/>
        <w:rPr>
          <w:rFonts w:ascii="FangSong" w:hAnsi="FangSong" w:eastAsia="FangSong" w:cs="FangSong"/>
          <w:sz w:val="23"/>
          <w:szCs w:val="23"/>
        </w:rPr>
      </w:pPr>
      <w:r>
        <w:rPr>
          <w:rFonts w:ascii="FangSong" w:hAnsi="FangSong" w:eastAsia="FangSong" w:cs="FangSong"/>
          <w:sz w:val="23"/>
          <w:szCs w:val="23"/>
          <w:spacing w:val="2"/>
        </w:rPr>
        <w:t>2025年度兴县魏家滩镇中心卫生院一般公共预算当年支出233.12万元,比上年减少108.73</w:t>
      </w:r>
      <w:r>
        <w:rPr>
          <w:rFonts w:ascii="FangSong" w:hAnsi="FangSong" w:eastAsia="FangSong" w:cs="FangSong"/>
          <w:sz w:val="23"/>
          <w:szCs w:val="23"/>
          <w:spacing w:val="5"/>
        </w:rPr>
        <w:t xml:space="preserve"> </w:t>
      </w:r>
      <w:r>
        <w:rPr>
          <w:rFonts w:ascii="FangSong" w:hAnsi="FangSong" w:eastAsia="FangSong" w:cs="FangSong"/>
          <w:sz w:val="23"/>
          <w:szCs w:val="23"/>
          <w:spacing w:val="-2"/>
        </w:rPr>
        <w:t>万元，下降31.81%。</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200"/>
        <w:spacing w:before="123" w:line="222" w:lineRule="auto"/>
        <w:rPr>
          <w:rFonts w:ascii="FangSong" w:hAnsi="FangSong" w:eastAsia="FangSong" w:cs="FangSong"/>
          <w:sz w:val="23"/>
          <w:szCs w:val="23"/>
        </w:rPr>
      </w:pPr>
      <w:r>
        <w:rPr>
          <w:rFonts w:ascii="FangSong" w:hAnsi="FangSong" w:eastAsia="FangSong" w:cs="FangSong"/>
          <w:sz w:val="23"/>
          <w:szCs w:val="23"/>
          <w:spacing w:val="7"/>
        </w:rPr>
        <w:t>年度兴县魏家滩镇中心卫生院一般公共预算当年支出233.12万元,主要</w:t>
      </w:r>
      <w:r>
        <w:rPr>
          <w:rFonts w:ascii="FangSong" w:hAnsi="FangSong" w:eastAsia="FangSong" w:cs="FangSong"/>
          <w:sz w:val="23"/>
          <w:szCs w:val="23"/>
          <w:spacing w:val="7"/>
        </w:rPr>
        <w:t xml:space="preserve">      </w:t>
      </w:r>
      <w:r>
        <w:rPr>
          <w:rFonts w:ascii="FangSong" w:hAnsi="FangSong" w:eastAsia="FangSong" w:cs="FangSong"/>
          <w:sz w:val="23"/>
          <w:szCs w:val="23"/>
          <w:spacing w:val="7"/>
        </w:rPr>
        <w:t>下方</w:t>
      </w:r>
    </w:p>
    <w:p>
      <w:pPr>
        <w:ind w:left="1518"/>
        <w:spacing w:before="124" w:line="221" w:lineRule="auto"/>
        <w:rPr>
          <w:rFonts w:ascii="FangSong" w:hAnsi="FangSong" w:eastAsia="FangSong" w:cs="FangSong"/>
          <w:sz w:val="23"/>
          <w:szCs w:val="23"/>
        </w:rPr>
      </w:pPr>
      <w:r>
        <w:rPr>
          <w:rFonts w:ascii="FangSong" w:hAnsi="FangSong" w:eastAsia="FangSong" w:cs="FangSong"/>
          <w:sz w:val="23"/>
          <w:szCs w:val="23"/>
          <w:spacing w:val="3"/>
        </w:rPr>
        <w:t>：社会保障和就业支出21.55万元，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占9</w:t>
      </w:r>
      <w:r>
        <w:rPr>
          <w:rFonts w:ascii="FangSong" w:hAnsi="FangSong" w:eastAsia="FangSong" w:cs="FangSong"/>
          <w:sz w:val="23"/>
          <w:szCs w:val="23"/>
          <w:spacing w:val="2"/>
        </w:rPr>
        <w:t>.24%；卫生健康支出194.01万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.22%；住房</w:t>
      </w:r>
    </w:p>
    <w:p>
      <w:pPr>
        <w:ind w:left="1264"/>
        <w:spacing w:before="135" w:line="221" w:lineRule="auto"/>
        <w:rPr>
          <w:rFonts w:ascii="FangSong" w:hAnsi="FangSong" w:eastAsia="FangSong" w:cs="FangSong"/>
          <w:sz w:val="23"/>
          <w:szCs w:val="23"/>
        </w:rPr>
      </w:pPr>
      <w:r>
        <w:rPr>
          <w:rFonts w:ascii="FangSong" w:hAnsi="FangSong" w:eastAsia="FangSong" w:cs="FangSong"/>
          <w:sz w:val="23"/>
          <w:szCs w:val="23"/>
          <w:spacing w:val="-4"/>
        </w:rPr>
        <w:t>保障支出17.56万元，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占7.53%等。</w:t>
      </w:r>
    </w:p>
    <w:p>
      <w:pPr>
        <w:spacing w:line="221"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4644"/>
        <w:spacing w:line="2463" w:lineRule="exact"/>
        <w:rPr/>
      </w:pPr>
      <w:r>
        <w:rPr>
          <w:position w:val="-49"/>
        </w:rPr>
        <w:drawing>
          <wp:inline distT="0" distB="0" distL="0" distR="0">
            <wp:extent cx="1953235" cy="1564258"/>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1953235"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2025年度兴县魏家滩镇中心卫生院一般公共预算安排基本支出207.04万元，其中：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员经费191.28万元，主要包括：其他工资福利支出、其他社会保障缴费、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53"/>
        <w:spacing w:before="124" w:line="221" w:lineRule="auto"/>
        <w:rPr>
          <w:rFonts w:ascii="FangSong" w:hAnsi="FangSong" w:eastAsia="FangSong" w:cs="FangSong"/>
          <w:sz w:val="23"/>
          <w:szCs w:val="23"/>
        </w:rPr>
      </w:pPr>
      <w:r>
        <w:rPr>
          <w:rFonts w:ascii="FangSong" w:hAnsi="FangSong" w:eastAsia="FangSong" w:cs="FangSong"/>
          <w:sz w:val="23"/>
          <w:szCs w:val="23"/>
          <w:spacing w:val="10"/>
        </w:rPr>
        <w:t>工资、住房公积金、机关事业单位基本养老保险缴费、退休费、职</w:t>
      </w:r>
      <w:r>
        <w:rPr>
          <w:rFonts w:ascii="FangSong" w:hAnsi="FangSong" w:eastAsia="FangSong" w:cs="FangSong"/>
          <w:sz w:val="23"/>
          <w:szCs w:val="23"/>
          <w:spacing w:val="10"/>
        </w:rPr>
        <w:t xml:space="preserve">        </w:t>
      </w:r>
      <w:r>
        <w:rPr>
          <w:rFonts w:ascii="FangSong" w:hAnsi="FangSong" w:eastAsia="FangSong" w:cs="FangSong"/>
          <w:sz w:val="23"/>
          <w:szCs w:val="23"/>
          <w:spacing w:val="10"/>
        </w:rPr>
        <w:t>疗保险缴</w:t>
      </w:r>
    </w:p>
    <w:p>
      <w:pPr>
        <w:ind w:left="1271"/>
        <w:spacing w:before="125"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rPr>
        <w:t>公用经费15.76万元，主要包括：福利费、工会经费、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89" w:line="319" w:lineRule="auto"/>
        <w:rPr>
          <w:rFonts w:ascii="FangSong" w:hAnsi="FangSong" w:eastAsia="FangSong" w:cs="FangSong"/>
          <w:sz w:val="23"/>
          <w:szCs w:val="23"/>
        </w:rPr>
      </w:pPr>
      <w:r>
        <w:rPr>
          <w:rFonts w:ascii="FangSong" w:hAnsi="FangSong" w:eastAsia="FangSong" w:cs="FangSong"/>
          <w:sz w:val="23"/>
          <w:szCs w:val="23"/>
          <w:spacing w:val="5"/>
        </w:rPr>
        <w:t>2025年兴县魏家滩镇中心卫生院政府采购预算总额0万元。其中：政府采购货物预算0万</w:t>
      </w:r>
      <w:r>
        <w:rPr>
          <w:rFonts w:ascii="FangSong" w:hAnsi="FangSong" w:eastAsia="FangSong" w:cs="FangSong"/>
          <w:sz w:val="23"/>
          <w:szCs w:val="23"/>
          <w:spacing w:val="9"/>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效目标,涉及资金27.19万元。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3" w:right="1223" w:firstLine="456"/>
        <w:spacing w:before="135" w:line="323" w:lineRule="auto"/>
        <w:rPr>
          <w:rFonts w:ascii="FangSong" w:hAnsi="FangSong" w:eastAsia="FangSong" w:cs="FangSong"/>
          <w:sz w:val="23"/>
          <w:szCs w:val="23"/>
        </w:rPr>
      </w:pPr>
      <w:r>
        <w:rPr>
          <w:rFonts w:ascii="FangSong" w:hAnsi="FangSong" w:eastAsia="FangSong" w:cs="FangSong"/>
          <w:sz w:val="23"/>
          <w:szCs w:val="23"/>
          <w:spacing w:val="11"/>
        </w:rPr>
        <w:t>20</w:t>
      </w:r>
      <w:r>
        <w:rPr>
          <w:rFonts w:ascii="FangSong" w:hAnsi="FangSong" w:eastAsia="FangSong" w:cs="FangSong"/>
          <w:sz w:val="23"/>
          <w:szCs w:val="23"/>
          <w:spacing w:val="11"/>
        </w:rPr>
        <w:t xml:space="preserve">  </w:t>
      </w:r>
      <w:r>
        <w:rPr>
          <w:rFonts w:ascii="FangSong" w:hAnsi="FangSong" w:eastAsia="FangSong" w:cs="FangSong"/>
          <w:sz w:val="23"/>
          <w:szCs w:val="23"/>
          <w:spacing w:val="11"/>
        </w:rPr>
        <w:t>年兴县魏家滩镇中心卫生院纳入绩效目标管理</w:t>
      </w:r>
      <w:r>
        <w:rPr>
          <w:rFonts w:ascii="FangSong" w:hAnsi="FangSong" w:eastAsia="FangSong" w:cs="FangSong"/>
          <w:sz w:val="23"/>
          <w:szCs w:val="23"/>
          <w:spacing w:val="10"/>
        </w:rPr>
        <w:t>的二级项目5个，共计金额27.19万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4"/>
        </w:rPr>
        <w:t>开项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目绩效目标5个，涉及项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目金额27.19万元，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占部门（单位）项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目支出总额的</w:t>
      </w:r>
      <w:r>
        <w:rPr>
          <w:rFonts w:ascii="FangSong" w:hAnsi="FangSong" w:eastAsia="FangSong" w:cs="FangSong"/>
          <w:sz w:val="23"/>
          <w:szCs w:val="23"/>
          <w:spacing w:val="3"/>
        </w:rPr>
        <w:t>100%。其</w:t>
      </w:r>
      <w:r>
        <w:rPr>
          <w:rFonts w:ascii="FangSong" w:hAnsi="FangSong" w:eastAsia="FangSong" w:cs="FangSong"/>
          <w:sz w:val="23"/>
          <w:szCs w:val="23"/>
        </w:rPr>
        <w:t xml:space="preserve"> </w:t>
      </w:r>
      <w:r>
        <w:rPr>
          <w:rFonts w:ascii="FangSong" w:hAnsi="FangSong" w:eastAsia="FangSong" w:cs="FangSong"/>
          <w:sz w:val="23"/>
          <w:szCs w:val="23"/>
        </w:rPr>
        <w:t>中：其他运转类项目0个，涉及项目金额0万元；特定目标类项目0个，涉及项目金额0万元。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081"/>
        <w:spacing w:line="12282" w:lineRule="exact"/>
        <w:rPr/>
      </w:pPr>
      <w:r>
        <w:pict>
          <v:shape id="_x0000_s432"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29283" cy="7798977"/>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929283" cy="7798977"/>
                    </a:xfrm>
                    <a:prstGeom prst="rect">
                      <a:avLst/>
                    </a:prstGeom>
                  </pic:spPr>
                </pic:pic>
              </a:graphicData>
            </a:graphic>
          </wp:inline>
        </w:drawing>
      </w:r>
    </w:p>
    <w:p>
      <w:pPr>
        <w:spacing w:line="12282" w:lineRule="exact"/>
        <w:sectPr>
          <w:headerReference w:type="default" r:id="rId40"/>
          <w:footerReference w:type="default" r:id="rId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56"/>
        <w:spacing w:line="12217" w:lineRule="exact"/>
        <w:rPr/>
      </w:pPr>
      <w:r>
        <w:pict>
          <v:shape id="_x0000_s436"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833168" cy="7757785"/>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833168" cy="7757785"/>
                    </a:xfrm>
                    <a:prstGeom prst="rect">
                      <a:avLst/>
                    </a:prstGeom>
                  </pic:spPr>
                </pic:pic>
              </a:graphicData>
            </a:graphic>
          </wp:inline>
        </w:drawing>
      </w:r>
    </w:p>
    <w:p>
      <w:pPr>
        <w:spacing w:line="12217" w:lineRule="exact"/>
        <w:sectPr>
          <w:footerReference w:type="default" r:id="rId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001" w:lineRule="exact"/>
        <w:rPr/>
      </w:pPr>
      <w:r>
        <w:pict>
          <v:shape id="_x0000_s440"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42"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929283" cy="762048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929283" cy="7620480"/>
                    </a:xfrm>
                    <a:prstGeom prst="rect">
                      <a:avLst/>
                    </a:prstGeom>
                  </pic:spPr>
                </pic:pic>
              </a:graphicData>
            </a:graphic>
          </wp:inline>
        </w:drawing>
      </w:r>
    </w:p>
    <w:p>
      <w:pPr>
        <w:spacing w:line="12001" w:lineRule="exact"/>
        <w:sectPr>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56"/>
        <w:spacing w:line="12282" w:lineRule="exact"/>
        <w:rPr/>
      </w:pPr>
      <w:r>
        <w:pict>
          <v:shape id="_x0000_s444"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46"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33168" cy="7798977"/>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4833168" cy="7798977"/>
                    </a:xfrm>
                    <a:prstGeom prst="rect">
                      <a:avLst/>
                    </a:prstGeom>
                  </pic:spPr>
                </pic:pic>
              </a:graphicData>
            </a:graphic>
          </wp:inline>
        </w:drawing>
      </w:r>
    </w:p>
    <w:p>
      <w:pPr>
        <w:spacing w:line="12282" w:lineRule="exact"/>
        <w:sectPr>
          <w:footerReference w:type="default" r:id="rId4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56"/>
        <w:spacing w:line="12261" w:lineRule="exact"/>
        <w:rPr/>
      </w:pPr>
      <w:r>
        <w:pict>
          <v:shape id="_x0000_s448"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50"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33168" cy="7785246"/>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4833168" cy="7785246"/>
                    </a:xfrm>
                    <a:prstGeom prst="rect">
                      <a:avLst/>
                    </a:prstGeom>
                  </pic:spPr>
                </pic:pic>
              </a:graphicData>
            </a:graphic>
          </wp:inline>
        </w:drawing>
      </w:r>
    </w:p>
    <w:p>
      <w:pPr>
        <w:spacing w:line="12261" w:lineRule="exact"/>
        <w:sectPr>
          <w:footerReference w:type="default" r:id="rId4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81"/>
        <w:spacing w:line="11969" w:lineRule="exact"/>
        <w:rPr/>
      </w:pPr>
      <w:r>
        <w:pict>
          <v:shape id="_x0000_s452"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4929283" cy="7599884"/>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4929283" cy="7599884"/>
                    </a:xfrm>
                    <a:prstGeom prst="rect">
                      <a:avLst/>
                    </a:prstGeom>
                  </pic:spPr>
                </pic:pic>
              </a:graphicData>
            </a:graphic>
          </wp:inline>
        </w:drawing>
      </w:r>
    </w:p>
    <w:p>
      <w:pPr>
        <w:spacing w:line="11969" w:lineRule="exact"/>
        <w:sectPr>
          <w:footerReference w:type="default" r:id="rId51"/>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7"/>
        </w:rPr>
        <w:t xml:space="preserve"> </w:t>
      </w:r>
      <w:r>
        <w:rPr>
          <w:rFonts w:ascii="FangSong" w:hAnsi="FangSong" w:eastAsia="FangSong" w:cs="FangSong"/>
          <w:sz w:val="23"/>
          <w:szCs w:val="23"/>
          <w:spacing w:val="3"/>
        </w:rPr>
        <w:t>日，兴县魏家滩镇中心卫生院共有公务用车编制0辆，实有0辆，其中：</w:t>
      </w:r>
      <w:r>
        <w:rPr>
          <w:rFonts w:ascii="FangSong" w:hAnsi="FangSong" w:eastAsia="FangSong" w:cs="FangSong"/>
          <w:sz w:val="23"/>
          <w:szCs w:val="23"/>
        </w:rPr>
        <w:t xml:space="preserve"> </w:t>
      </w:r>
      <w:r>
        <w:rPr>
          <w:rFonts w:ascii="FangSong" w:hAnsi="FangSong" w:eastAsia="FangSong" w:cs="FangSong"/>
          <w:sz w:val="23"/>
          <w:szCs w:val="23"/>
          <w:spacing w:val="2"/>
        </w:rPr>
        <w:t>领导用车0辆，机要通信用车0辆，应急保障用车0辆，执法执勤用车0辆，特种专业技术用车0</w:t>
      </w:r>
      <w:r>
        <w:rPr>
          <w:rFonts w:ascii="FangSong" w:hAnsi="FangSong" w:eastAsia="FangSong" w:cs="FangSong"/>
          <w:sz w:val="23"/>
          <w:szCs w:val="23"/>
          <w:spacing w:val="11"/>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日，兴县魏家滩镇中心卫生院使用的办</w:t>
      </w:r>
      <w:r>
        <w:rPr>
          <w:rFonts w:ascii="FangSong" w:hAnsi="FangSong" w:eastAsia="FangSong" w:cs="FangSong"/>
          <w:sz w:val="23"/>
          <w:szCs w:val="23"/>
          <w:spacing w:val="-2"/>
        </w:rPr>
        <w:t>公用房建筑总面积1608平方米。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日，兴县魏家滩镇中心卫生院占有使用价值50万元（原值）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rPr>
        <w:t xml:space="preserve"> </w:t>
      </w:r>
      <w:r>
        <w:rPr>
          <w:rFonts w:ascii="FangSong" w:hAnsi="FangSong" w:eastAsia="FangSong" w:cs="FangSong"/>
          <w:sz w:val="23"/>
          <w:szCs w:val="23"/>
          <w:spacing w:val="2"/>
        </w:rPr>
        <w:t>设备0台（套</w:t>
      </w:r>
      <w:r>
        <w:rPr>
          <w:rFonts w:ascii="FangSong" w:hAnsi="FangSong" w:eastAsia="FangSong" w:cs="FangSong"/>
          <w:sz w:val="23"/>
          <w:szCs w:val="23"/>
          <w:spacing w:val="14"/>
        </w:rPr>
        <w:t>）；</w:t>
      </w:r>
      <w:r>
        <w:rPr>
          <w:rFonts w:ascii="FangSong" w:hAnsi="FangSong" w:eastAsia="FangSong" w:cs="FangSong"/>
          <w:sz w:val="23"/>
          <w:szCs w:val="23"/>
          <w:spacing w:val="2"/>
        </w:rPr>
        <w:t>兴县魏家滩镇中心卫生院占有使用价值100万</w:t>
      </w:r>
      <w:r>
        <w:rPr>
          <w:rFonts w:ascii="FangSong" w:hAnsi="FangSong" w:eastAsia="FangSong" w:cs="FangSong"/>
          <w:sz w:val="23"/>
          <w:szCs w:val="23"/>
          <w:spacing w:val="1"/>
        </w:rPr>
        <w:t>元（原值）以上的通用设备0台</w:t>
      </w:r>
      <w:r>
        <w:rPr>
          <w:rFonts w:ascii="FangSong" w:hAnsi="FangSong" w:eastAsia="FangSong" w:cs="FangSong"/>
          <w:sz w:val="23"/>
          <w:szCs w:val="23"/>
          <w:spacing w:val="1"/>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3"/>
          <w:footerReference w:type="default" r:id="rId54"/>
          <w:pgSz w:w="11900" w:h="16840"/>
          <w:pgMar w:top="642" w:right="0" w:bottom="340" w:left="0" w:header="326" w:footer="110" w:gutter="0"/>
        </w:sectPr>
        <w:rPr>
          <w:rFonts w:ascii="FangSong" w:hAnsi="FangSong" w:eastAsia="FangSong" w:cs="FangSong"/>
          <w:sz w:val="23"/>
          <w:szCs w:val="23"/>
        </w:rPr>
      </w:pPr>
    </w:p>
    <w:p>
      <w:pPr>
        <w:pStyle w:val="BodyText"/>
        <w:spacing w:line="277" w:lineRule="auto"/>
        <w:rPr/>
      </w:pPr>
      <w:r>
        <w:pict>
          <v:shape id="_x0000_s482"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484"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86"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88"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90"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0" name="IM 20"/>
            <wp:cNvGraphicFramePr/>
            <a:graphic>
              <a:graphicData uri="http://schemas.openxmlformats.org/drawingml/2006/picture">
                <pic:pic>
                  <pic:nvPicPr>
                    <pic:cNvPr id="20" name="IM 20"/>
                    <pic:cNvPicPr/>
                  </pic:nvPicPr>
                  <pic:blipFill>
                    <a:blip r:embed="rId57"/>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55"/>
          <w:footerReference w:type="default" r:id="rId56"/>
          <w:pgSz w:w="11900" w:h="16840"/>
          <w:pgMar w:top="642" w:right="0" w:bottom="340" w:left="0" w:header="326" w:footer="111" w:gutter="0"/>
        </w:sectPr>
        <w:rPr/>
      </w:pPr>
    </w:p>
    <w:p>
      <w:pPr>
        <w:pStyle w:val="BodyText"/>
        <w:spacing w:line="277" w:lineRule="auto"/>
        <w:rPr/>
      </w:pPr>
      <w:r>
        <w:pict>
          <v:shape id="_x0000_s492"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494"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496"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98"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500" style="position:absolute;margin-left:-13.08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2" name="IM 22"/>
            <wp:cNvGraphicFramePr/>
            <a:graphic>
              <a:graphicData uri="http://schemas.openxmlformats.org/drawingml/2006/picture">
                <pic:pic>
                  <pic:nvPicPr>
                    <pic:cNvPr id="22" name="IM 22"/>
                    <pic:cNvPicPr/>
                  </pic:nvPicPr>
                  <pic:blipFill>
                    <a:blip r:embed="rId59"/>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8"/>
          <w:pgSz w:w="11900" w:h="16840"/>
          <w:pgMar w:top="642" w:right="0" w:bottom="340" w:left="0" w:header="326" w:footer="111" w:gutter="0"/>
        </w:sectPr>
        <w:rPr/>
      </w:pPr>
    </w:p>
    <w:p>
      <w:pPr>
        <w:pStyle w:val="BodyText"/>
        <w:spacing w:line="277" w:lineRule="auto"/>
        <w:rPr/>
      </w:pPr>
      <w:r>
        <w:pict>
          <v:shape id="_x0000_s502"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04" style="position:absolute;margin-left:491.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06"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08"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pStyle w:val="BodyText"/>
        <w:spacing w:line="277" w:lineRule="auto"/>
        <w:rPr/>
      </w:pPr>
      <w:r>
        <w:pict>
          <v:shape id="_x0000_s512"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14"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20"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pStyle w:val="BodyText"/>
        <w:spacing w:line="277" w:lineRule="auto"/>
        <w:rPr/>
      </w:pPr>
      <w:r>
        <w:pict>
          <v:shape id="_x0000_s522"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24"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26" style="position:absolute;margin-left:-13.08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28" style="position:absolute;margin-left:491.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pStyle w:val="BodyText"/>
        <w:spacing w:line="277" w:lineRule="auto"/>
        <w:rPr/>
      </w:pPr>
      <w:r>
        <w:pict>
          <v:shape id="_x0000_s532"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34"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36" style="position:absolute;margin-left:-13.08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38"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40"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pStyle w:val="BodyText"/>
        <w:spacing w:line="277" w:lineRule="auto"/>
        <w:rPr/>
      </w:pPr>
      <w:r>
        <w:pict>
          <v:shape id="_x0000_s542"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44"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46"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50"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pStyle w:val="BodyText"/>
        <w:spacing w:line="277" w:lineRule="auto"/>
        <w:rPr/>
      </w:pPr>
      <w:r>
        <w:pict>
          <v:shape id="_x0000_s552"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54"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56"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58"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60"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0"/>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2"/>
      <w:footerReference w:type="default" r:id="rId7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2"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0.282pt;margin-top:71.2915pt;mso-position-vertical-relative:page;mso-position-horizontal-relative:page;width:35.45pt;height:6.5pt;z-index:-251561984;" o:allowincell="f" fillcolor="#212529" filled="true" stroked="false" type="#_x0000_t136">
          <v:textpath style="font-family:&quot;SimSun&quot;;font-size:6;v-text-kern:t;mso-text-shadow:auto" string="预算公开表5"/>
        </v:shape>
      </w:pict>
    </w:r>
    <w:r>
      <w:pict>
        <v:shape id="PowerPlusWaterMarkObject16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74.4118pt;margin-top:267.372pt;mso-position-vertical-relative:page;mso-position-horizontal-relative:page;width:23.35pt;height:7.9pt;z-index:-251575296;" o:allowincell="f" fillcolor="#212529" filled="true" stroked="false" type="#_x0000_t136">
          <v:textpath style="font-family:&quot;SimSun&quot;;font-size:7.5;v-text-kern:t;mso-text-shadow:auto" string="100399"/>
        </v:shape>
      </w:pict>
    </w:r>
    <w:r>
      <w:pict>
        <v:shape id="PowerPlusWaterMarkObject170" style="position:absolute;margin-left:69.8661pt;margin-top:282.508pt;mso-position-vertical-relative:page;mso-position-horizontal-relative:page;width:11.7pt;height:7.9pt;z-index:-251574272;" o:allowincell="f" fillcolor="#212529" filled="true" stroked="false" type="#_x0000_t136">
          <v:textpath style="font-family:&quot;SimSun&quot;;font-size:7.5;v-text-kern:t;mso-text-shadow:auto" string="210"/>
        </v:shape>
      </w:pict>
    </w:r>
    <w:r>
      <w:pict>
        <v:shape id="PowerPlusWaterMarkObject17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505.84pt;margin-top:267.372pt;mso-position-vertical-relative:page;mso-position-horizontal-relative:page;width:3.6pt;height:7.9pt;z-index:-251572224;" o:allowincell="f" fillcolor="#212529" filled="true" stroked="false" type="#_x0000_t136">
          <v:textpath style="font-family:&quot;SimSun&quot;;font-size:7.5;v-text-kern:t;mso-text-shadow:auto" string="2"/>
        </v:shape>
      </w:pict>
    </w:r>
    <w:r>
      <w:pict>
        <v:shape id="PowerPlusWaterMarkObject176" style="position:absolute;margin-left:449.083pt;margin-top:282.508pt;mso-position-vertical-relative:page;mso-position-horizontal-relative:page;width:7.7pt;height:7.9pt;z-index:-251571200;" o:allowincell="f" fillcolor="#212529" filled="true" stroked="false" type="#_x0000_t136">
          <v:textpath style="font-family:&quot;SimSun&quot;;font-size:7.5;v-text-kern:t;mso-text-shadow:auto" string="94"/>
        </v:shape>
      </w:pict>
    </w:r>
    <w:r>
      <w:pict>
        <v:shape id="PowerPlusWaterMarkObject178" style="position:absolute;margin-left:441.133pt;margin-top:297.644pt;mso-position-vertical-relative:page;mso-position-horizontal-relative:page;width:15.65pt;height:7.9pt;z-index:-251570176;" o:allowincell="f" fillcolor="#212529" filled="true" stroked="false" type="#_x0000_t136">
          <v:textpath style="font-family:&quot;SimSun&quot;;font-size:7.5;v-text-kern:t;mso-text-shadow:auto" string="7 94"/>
        </v:shape>
      </w:pict>
    </w:r>
    <w:r>
      <w:pict>
        <v:shape id="PowerPlusWaterMarkObject180" style="position:absolute;margin-left:437.475pt;margin-top:312.78pt;mso-position-vertical-relative:page;mso-position-horizontal-relative:page;width:7.15pt;height:7.9pt;z-index:-251569152;" o:allowincell="f" fillcolor="#212529" filled="true" stroked="false" type="#_x0000_t136">
          <v:textpath style="font-family:&quot;SimSun&quot;;font-size:7.5;v-text-kern:t;mso-text-shadow:auto" string="17"/>
        </v:shape>
      </w:pict>
    </w:r>
    <w:r>
      <w:pict>
        <v:shape id="PowerPlusWaterMarkObject182"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02pt;margin-top:267.372pt;mso-position-vertical-relative:page;mso-position-horizontal-relative:page;width:15.7pt;height:7.9pt;z-index:-251558912;" o:allowincell="f" fillcolor="#212529" filled="true" stroked="false" type="#_x0000_t136">
          <v:textpath style="font-family:&quot;SimSun&quot;;font-size:7.5;v-text-kern:t;mso-text-shadow:auto" string="住房"/>
        </v:shape>
      </w:pict>
    </w:r>
    <w:r>
      <w:pict>
        <v:shape id="PowerPlusWaterMarkObject196"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86.557pt;margin-top:71.2915pt;mso-position-vertical-relative:page;mso-position-horizontal-relative:page;width:35.45pt;height:6.5pt;z-index:-251547648;" o:allowincell="f" fillcolor="#212529" filled="true" stroked="false" type="#_x0000_t136">
          <v:textpath style="font-family:&quot;SimSun&quot;;font-size:6;v-text-kern:t;mso-text-shadow:auto" string="预算公开表6"/>
        </v:shape>
      </w:pict>
    </w:r>
    <w:r>
      <w:pict>
        <v:shape id="PowerPlusWaterMarkObject206" style="position:absolute;margin-left:447.011pt;margin-top:282.508pt;mso-position-vertical-relative:page;mso-position-horizontal-relative:page;width:19.3pt;height:7.9pt;z-index:-251556864;" o:allowincell="f" fillcolor="#212529" filled="true" stroked="false" type="#_x0000_t136">
          <v:textpath style="font-family:&quot;SimSun&quot;;font-size:7.5;v-text-kern:t;mso-text-shadow:auto" string="12 81"/>
        </v:shape>
      </w:pict>
    </w:r>
    <w:r>
      <w:pict>
        <v:shape id="PowerPlusWaterMarkObject208" style="position:absolute;margin-left:399.618pt;margin-top:312.78pt;mso-position-vertical-relative:page;mso-position-horizontal-relative:page;width:7.15pt;height:7.9pt;z-index:-251555840;" o:allowincell="f" fillcolor="#212529" filled="true" stroked="false" type="#_x0000_t136">
          <v:textpath style="font-family:&quot;SimSun&quot;;font-size:7.5;v-text-kern:t;mso-text-shadow:auto" string="11"/>
        </v:shape>
      </w:pict>
    </w:r>
    <w:r>
      <w:pict>
        <v:shape id="PowerPlusWaterMarkObject210" style="position:absolute;margin-left:399pt;margin-top:327.916pt;mso-position-vertical-relative:page;mso-position-horizontal-relative:page;width:7.75pt;height:7.9pt;z-index:-251554816;" o:allowincell="f" fillcolor="#212529" filled="true" stroked="false" type="#_x0000_t136">
          <v:textpath style="font-family:&quot;SimSun&quot;;font-size:7.5;v-text-kern:t;mso-text-shadow:auto" string="42"/>
        </v:shape>
      </w:pict>
    </w:r>
    <w:r>
      <w:pict>
        <v:shape id="PowerPlusWaterMarkObject212" style="position:absolute;margin-left:491.92pt;margin-top:44.105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535pt;height:1pt;z-index:-2515496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2"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24" style="position:absolute;margin-left:490.334pt;margin-top:73.4279pt;mso-position-vertical-relative:page;mso-position-horizontal-relative:page;width:35.4pt;height:6.5pt;z-index:-251537408;" o:allowincell="f" fillcolor="#212529" filled="true" stroked="false" type="#_x0000_t136">
          <v:textpath style="font-family:&quot;SimSun&quot;;font-size:6;v-text-kern:t;mso-text-shadow:auto" string="预算公开表7"/>
        </v:shape>
      </w:pict>
    </w:r>
    <w:r>
      <w:pict>
        <v:shape id="PowerPlusWaterMarkObject226"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2"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490.282pt;margin-top:73.4538pt;mso-position-vertical-relative:page;mso-position-horizontal-relative:page;width:35.45pt;height:6.5pt;z-index:-251527168;" o:allowincell="f" fillcolor="#212529" filled="true" stroked="false" type="#_x0000_t136">
          <v:textpath style="font-family:&quot;SimSun&quot;;font-size:6;v-text-kern:t;mso-text-shadow:auto" string="预算公开表8"/>
        </v:shape>
      </w:pict>
    </w:r>
    <w:r>
      <w:pict>
        <v:shape id="PowerPlusWaterMarkObject246"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5904;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490.36pt;margin-top:78.8596pt;mso-position-vertical-relative:page;mso-position-horizontal-relative:page;width:35.35pt;height:6.5pt;z-index:-251516928;" o:allowincell="f" fillcolor="#212529" filled="true" stroked="false" type="#_x0000_t136">
          <v:textpath style="font-family:&quot;SimSun&quot;;font-size:6;v-text-kern:t;mso-text-shadow:auto" string="部门公开表9"/>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2" style="position:absolute;margin-left:86.92pt;margin-top:27.7633pt;mso-position-vertical-relative:text;mso-position-horizontal-relative:text;width:119.4pt;height:18.85pt;z-index:-251505664;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87.09pt;margin-top:67.4816pt;mso-position-vertical-relative:page;mso-position-horizontal-relative:page;width:38.65pt;height:6.5pt;z-index:-251506688;" o:allowincell="f" fillcolor="#212529" filled="true" stroked="false" type="#_x0000_t136">
          <v:textpath style="font-family:&quot;SimSun&quot;;font-size:6;v-text-kern:t;mso-text-shadow:auto" string="预算公开表11"/>
        </v:shape>
      </w:pict>
    </w:r>
    <w:r>
      <w:pict>
        <v:shape id="PowerPlusWaterMarkObject292"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2" style="position:absolute;margin-left:86.92pt;margin-top:27.7633pt;mso-position-vertical-relative:text;mso-position-horizontal-relative:text;width:119.4pt;height:18.85pt;z-index:-251491328;rotation:330;"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233.316pt;mso-position-vertical-relative:page;mso-position-horizontal-relative:page;width:3.45pt;height:7.9pt;z-index:-251499520;" o:allowincell="f" fillcolor="#212529" filled="true" stroked="false" type="#_x0000_t136">
          <v:textpath style="font-family:&quot;SimSun&quot;;font-size:7.5;v-text-kern:t;mso-text-shadow:auto" string="]"/>
        </v:shape>
      </w:pict>
    </w:r>
    <w:r>
      <w:pict>
        <v:shape id="PowerPlusWaterMarkObject306" style="position:absolute;margin-left:79.0842pt;margin-top:263.047pt;mso-position-vertical-relative:page;mso-position-horizontal-relative:page;width:22.65pt;height:7.9pt;z-index:-251503616;" o:allowincell="f" fillcolor="#212529" filled="true" stroked="false" type="#_x0000_t136">
          <v:textpath style="font-family:&quot;SimSun&quot;;font-size:7.5;v-text-kern:t;mso-text-shadow:auto" string="吕财社"/>
        </v:shape>
      </w:pict>
    </w:r>
    <w:r>
      <w:pict>
        <v:shape id="PowerPlusWaterMarkObject308" style="position:absolute;margin-left:70.0167pt;margin-top:272.237pt;mso-position-vertical-relative:page;mso-position-horizontal-relative:page;width:31.7pt;height:7.9pt;z-index:-251502592;" o:allowincell="f" fillcolor="#212529" filled="true" stroked="false" type="#_x0000_t136">
          <v:textpath style="font-family:&quot;SimSun&quot;;font-size:7.5;v-text-kern:t;mso-text-shadow:auto" string="生岗位津"/>
        </v:shape>
      </w:pict>
    </w:r>
    <w:r>
      <w:pict>
        <v:shape id="PowerPlusWaterMarkObject310" style="position:absolute;margin-left:79.0842pt;margin-top:282.508pt;mso-position-vertical-relative:page;mso-position-horizontal-relative:page;width:6.45pt;height:7.9pt;z-index:-251501568;" o:allowincell="f" fillcolor="#212529" filled="true" stroked="false" type="#_x0000_t136">
          <v:textpath style="font-family:&quot;SimSun&quot;;font-size:7.5;v-text-kern:t;mso-text-shadow:auto" string="吕"/>
        </v:shape>
      </w:pict>
    </w:r>
    <w:r>
      <w:pict>
        <v:shape id="PowerPlusWaterMarkObject312" style="position:absolute;margin-left:-13.08pt;margin-top:288.10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86.92pt;margin-top:532.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487.09pt;margin-top:73.4279pt;mso-position-vertical-relative:page;mso-position-horizontal-relative:page;width:38.65pt;height:6.5pt;z-index:-251492352;" o:allowincell="f" fillcolor="#212529" filled="true" stroked="false" type="#_x0000_t136">
          <v:textpath style="font-family:&quot;SimSun&quot;;font-size:6;v-text-kern:t;mso-text-shadow:auto" string="预算公开表12"/>
        </v:shape>
      </w:pict>
    </w:r>
    <w:r>
      <w:pict>
        <v:shape id="PowerPlusWaterMarkObject320" style="position:absolute;margin-left:491.92pt;margin-top:44.105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91.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0pt;margin-top:29.5pt;mso-position-vertical-relative:page;mso-position-horizontal-relative:page;width:535pt;height:1pt;z-index:-2514944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0" style="position:absolute;margin-left:86.92pt;margin-top:27.7633pt;mso-position-vertical-relative:text;mso-position-horizontal-relative:text;width:119.4pt;height:18.85pt;z-index:-251480064;rotation:330;" fillcolor="#404040" filled="true" stroked="false" type="#_x0000_t136">
          <v:fill opacity="0.400000"/>
          <v:textpath style="font-family:&quot;SimSun&quot;;font-size:20;v-text-kern:t;mso-text-shadow:auto" string="仅供内部审核"/>
        </v:shape>
      </w:pict>
    </w:r>
    <w:r>
      <w:pict>
        <v:shape id="PowerPlusWaterMarkObject332" style="position:absolute;margin-left:127.768pt;margin-top:233.316pt;mso-position-vertical-relative:page;mso-position-horizontal-relative:page;width:10.55pt;height:7.9pt;z-index:-251490304;" o:allowincell="f" fillcolor="#212529" filled="true" stroked="false" type="#_x0000_t136">
          <v:textpath style="font-family:&quot;SimSun&quot;;font-size:7.5;v-text-kern:t;mso-text-shadow:auto" string="[20"/>
        </v:shape>
      </w:pict>
    </w:r>
    <w:r>
      <w:pict>
        <v:shape id="PowerPlusWaterMarkObject334" style="position:absolute;margin-left:-13.08pt;margin-top:288.10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86.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87.09pt;margin-top:73.4279pt;mso-position-vertical-relative:page;mso-position-horizontal-relative:page;width:38.65pt;height:6.5pt;z-index:-251481088;" o:allowincell="f" fillcolor="#212529" filled="true" stroked="false" type="#_x0000_t136">
          <v:textpath style="font-family:&quot;SimSun&quot;;font-size:6;v-text-kern:t;mso-text-shadow:auto" string="预算公开表13"/>
        </v:shape>
      </w:pict>
    </w:r>
    <w:r>
      <w:pict>
        <v:shape id="PowerPlusWaterMarkObject342" style="position:absolute;margin-left:491.92pt;margin-top:44.105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288.10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50" style="position:absolute;margin-left:30pt;margin-top:29.5pt;mso-position-vertical-relative:page;mso-position-horizontal-relative:page;width:535pt;height:1pt;z-index:-2514831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2" style="position:absolute;margin-left:86.92pt;margin-top:27.7633pt;mso-position-vertical-relative:text;mso-position-horizontal-relative:text;width:119.4pt;height:18.85pt;z-index:-251463680;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491.92pt;margin-top:44.1055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80.8211pt;margin-top:258.837pt;mso-position-vertical-relative:page;mso-position-horizontal-relative:page;width:22.35pt;height:11.8pt;z-index:-251478016;" o:allowincell="f" fillcolor="#000000" filled="true" stroked="false" type="#_x0000_t136">
          <v:textpath style="font-family:&quot;FangSong&quot;;font-size:11.5;v-text-kern:t;mso-text-shadow:auto" string="万元"/>
        </v:shape>
      </w:pict>
    </w:r>
    <w:r>
      <w:pict>
        <v:shape id="PowerPlusWaterMarkObject358" style="position:absolute;margin-left:63.2877pt;margin-top:278.838pt;mso-position-vertical-relative:page;mso-position-horizontal-relative:page;width:22.25pt;height:11.8pt;z-index:-251476992;" o:allowincell="f" fillcolor="#000000" filled="true" stroked="false" type="#_x0000_t136">
          <v:textpath style="font-family:&quot;FangSong&quot;;font-size:11.5;v-text-kern:t;mso-text-shadow:auto" string="万元"/>
        </v:shape>
      </w:pict>
    </w:r>
    <w:r>
      <w:pict>
        <v:shape id="PowerPlusWaterMarkObject360" style="position:absolute;margin-left:-13.08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488.457pt;margin-top:258.837pt;mso-position-vertical-relative:page;mso-position-horizontal-relative:page;width:22.2pt;height:11.8pt;z-index:-251474944;" o:allowincell="f" fillcolor="#000000" filled="true" stroked="false" type="#_x0000_t136">
          <v:textpath style="font-family:&quot;FangSong&quot;;font-size:11.5;v-text-kern:t;mso-text-shadow:auto" string="结转"/>
        </v:shape>
      </w:pict>
    </w:r>
    <w:r>
      <w:pict>
        <v:shape id="PowerPlusWaterMarkObject364" style="position:absolute;margin-left:391.92pt;margin-top:288.10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157.025pt;margin-top:513.988pt;mso-position-vertical-relative:page;mso-position-horizontal-relative:page;width:46.35pt;height:11.8pt;z-index:-251472896;" o:allowincell="f" fillcolor="#000000" filled="true" stroked="false" type="#_x0000_t136">
          <v:textpath style="font-family:&quot;FangSong&quot;;font-size:11.5;v-text-kern:t;mso-text-shadow:auto" string="魏家滩镇"/>
        </v:shape>
      </w:pict>
    </w:r>
    <w:r>
      <w:pict>
        <v:shape id="PowerPlusWaterMarkObject368" style="position:absolute;margin-left:134.402pt;margin-top:533.99pt;mso-position-vertical-relative:page;mso-position-horizontal-relative:page;width:43.35pt;height:11.8pt;z-index:-251471872;" o:allowincell="f" fillcolor="#000000" filled="true" stroked="false" type="#_x0000_t136">
          <v:textpath style="font-family:&quot;FangSong&quot;;font-size:11.5;v-text-kern:t;mso-text-shadow:auto" string="目支出27"/>
        </v:shape>
      </w:pict>
    </w:r>
    <w:r>
      <w:pict>
        <v:shape id="PowerPlusWaterMarkObject370" style="position:absolute;margin-left:86.92pt;margin-top:532.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491.92pt;margin-top:532.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86.0353pt;margin-top:756.166pt;mso-position-vertical-relative:page;mso-position-horizontal-relative:page;width:423.8pt;height:11.8pt;z-index:-251467776;" o:allowincell="f" fillcolor="#000000" filled="true" stroked="false" type="#_x0000_t136">
          <v:textpath style="font-family:&quot;FangSong&quot;;font-size:11.5;v-text-kern:t;mso-text-shadow:auto" string="2025                                                               用于以"/>
        </v:shape>
      </w:pict>
    </w:r>
    <w:r>
      <w:pict>
        <v:shape id="PowerPlusWaterMarkObject376" style="position:absolute;margin-left:63.4261pt;margin-top:776.167pt;mso-position-vertical-relative:page;mso-position-horizontal-relative:page;width:412.1pt;height:11.8pt;z-index:-251466752;" o:allowincell="f" fillcolor="#000000" filled="true" stroked="false" type="#_x0000_t136">
          <v:textpath style="font-family:&quot;FangSong&quot;;font-size:11.5;v-text-kern:t;mso-text-shadow:auto" string="面                                                             元  占83"/>
        </v:shape>
      </w:pict>
    </w:r>
    <w:r>
      <w:pict>
        <v:shape id="PowerPlusWaterMarkObject378" style="position:absolute;margin-left:-13.08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391.92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_x0000_s382" style="position:absolute;margin-left:30pt;margin-top:29.5pt;mso-position-vertical-relative:page;mso-position-horizontal-relative:page;width:535pt;height:1pt;z-index:-2514657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84" style="position:absolute;margin-left:86.92pt;margin-top:27.7633pt;mso-position-vertical-relative:text;mso-position-horizontal-relative:text;width:119.4pt;height:18.85pt;z-index:-251446272;rotation:330;" fillcolor="#404040" filled="true" stroked="false" type="#_x0000_t136">
          <v:fill opacity="0.400000"/>
          <v:textpath style="font-family:&quot;SimSun&quot;;font-size:20;v-text-kern:t;mso-text-shadow:auto" string="仅供内部审核"/>
        </v:shape>
      </w:pict>
    </w:r>
    <w:r>
      <w:pict>
        <v:shape id="PowerPlusWaterMarkObject386" style="position:absolute;margin-left:491.92pt;margin-top:44.1055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86.4389pt;margin-top:266.946pt;mso-position-vertical-relative:page;mso-position-horizontal-relative:page;width:10.6pt;height:11.8pt;z-index:-251458560;" o:allowincell="f" fillcolor="#000000" filled="true" stroked="false" type="#_x0000_t136">
          <v:textpath style="font-family:&quot;FangSong&quot;;font-size:11.5;v-text-kern:t;mso-text-shadow:auto" string="人"/>
        </v:shape>
      </w:pict>
    </w:r>
    <w:r>
      <w:pict>
        <v:shape id="PowerPlusWaterMarkObject390" style="position:absolute;margin-left:63.1955pt;margin-top:286.947pt;mso-position-vertical-relative:page;mso-position-horizontal-relative:page;width:22.9pt;height:11.8pt;z-index:-251457536;" o:allowincell="f" fillcolor="#000000" filled="true" stroked="false" type="#_x0000_t136">
          <v:textpath style="font-family:&quot;FangSong&quot;;font-size:11.5;v-text-kern:t;mso-text-shadow:auto" string="基本"/>
        </v:shape>
      </w:pict>
    </w:r>
    <w:r>
      <w:pict>
        <v:shape id="PowerPlusWaterMarkObject392" style="position:absolute;margin-left:-13.08pt;margin-top:288.105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475.974pt;margin-top:266.946pt;mso-position-vertical-relative:page;mso-position-horizontal-relative:page;width:34.25pt;height:11.8pt;z-index:-251461632;" o:allowincell="f" fillcolor="#000000" filled="true" stroked="false" type="#_x0000_t136">
          <v:textpath style="font-family:&quot;FangSong&quot;;font-size:11.5;v-text-kern:t;mso-text-shadow:auto" string="绩效工"/>
        </v:shape>
      </w:pict>
    </w:r>
    <w:r>
      <w:pict>
        <v:shape id="PowerPlusWaterMarkObject396" style="position:absolute;margin-left:438.637pt;margin-top:286.947pt;mso-position-vertical-relative:page;mso-position-horizontal-relative:page;width:46.8pt;height:11.8pt;z-index:-251460608;" o:allowincell="f" fillcolor="#000000" filled="true" stroked="false" type="#_x0000_t136">
          <v:textpath style="font-family:&quot;FangSong&quot;;font-size:11.5;v-text-kern:t;mso-text-shadow:auto" string="工基本医"/>
        </v:shape>
      </w:pict>
    </w:r>
    <w:r>
      <w:pict>
        <v:shape id="PowerPlusWaterMarkObject398" style="position:absolute;margin-left:391.92pt;margin-top:288.105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151.696pt;margin-top:509.123pt;mso-position-vertical-relative:page;mso-position-horizontal-relative:page;width:20.3pt;height:11.8pt;z-index:-251455488;" o:allowincell="f" fillcolor="#000000" filled="true" stroked="false" type="#_x0000_t136">
          <v:textpath style="font-family:&quot;FangSong&quot;;font-size:11.5;v-text-kern:t;mso-text-shadow:auto" string="目标"/>
        </v:shape>
      </w:pict>
    </w:r>
    <w:r>
      <w:pict>
        <v:shape id="PowerPlusWaterMarkObject402" style="position:absolute;margin-left:132.418pt;margin-top:529.125pt;mso-position-vertical-relative:page;mso-position-horizontal-relative:page;width:45.35pt;height:11.8pt;z-index:-251452416;" o:allowincell="f" fillcolor="#000000" filled="true" stroked="false" type="#_x0000_t136">
          <v:textpath style="font-family:&quot;FangSong&quot;;font-size:11.5;v-text-kern:t;mso-text-shadow:auto" string="位整体绩"/>
        </v:shape>
      </w:pict>
    </w:r>
    <w:r>
      <w:pict>
        <v:shape id="PowerPlusWaterMarkObject404" style="position:absolute;margin-left:103.595pt;margin-top:549.126pt;mso-position-vertical-relative:page;mso-position-horizontal-relative:page;width:45.35pt;height:11.8pt;z-index:-251454464;" o:allowincell="f" fillcolor="#000000" filled="true" stroked="false" type="#_x0000_t136">
          <v:textpath style="font-family:&quot;FangSong&quot;;font-size:11.5;v-text-kern:t;mso-text-shadow:auto" string="项目绩效"/>
        </v:shape>
      </w:pict>
    </w:r>
    <w:r>
      <w:pict>
        <v:shape id="PowerPlusWaterMarkObject406" style="position:absolute;margin-left:97.5647pt;margin-top:569.668pt;mso-position-vertical-relative:page;mso-position-horizontal-relative:page;width:11pt;height:11.8pt;z-index:-251453440;" o:allowincell="f" fillcolor="#000000" filled="true" stroked="false" type="#_x0000_t136">
          <v:textpath style="font-family:&quot;FangSong&quot;;font-size:11.5;v-text-kern:t;mso-text-shadow:auto" string="25"/>
        </v:shape>
      </w:pict>
    </w:r>
    <w:r>
      <w:pict>
        <v:shape id="PowerPlusWaterMarkObject408" style="position:absolute;margin-left:86.92pt;margin-top:532.106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491.92pt;margin-top:532.106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13.08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391.92pt;margin-top:776.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_x0000_s416" style="position:absolute;margin-left:30pt;margin-top:29.5pt;mso-position-vertical-relative:page;mso-position-horizontal-relative:page;width:535pt;height:1pt;z-index:-2514483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18" style="position:absolute;margin-left:86.92pt;margin-top:27.7633pt;mso-position-vertical-relative:text;mso-position-horizontal-relative:text;width:119.4pt;height:18.85pt;z-index:-251439104;rotation:330;" fillcolor="#404040" filled="true" stroked="false" type="#_x0000_t136">
          <v:fill opacity="0.400000"/>
          <v:textpath style="font-family:&quot;SimSun&quot;;font-size:20;v-text-kern:t;mso-text-shadow:auto" string="仅供内部审核"/>
        </v:shape>
      </w:pict>
    </w:r>
    <w:r>
      <w:pict>
        <v:shape id="PowerPlusWaterMarkObject420" style="position:absolute;margin-left:-13.08pt;margin-top:288.105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PowerPlusWaterMarkObject422" style="position:absolute;margin-left:491.92pt;margin-top:44.1055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13.08pt;margin-top:776.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491.92pt;margin-top:532.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91.92pt;margin-top:776.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_x0000_s430" style="position:absolute;margin-left:30pt;margin-top:29.5pt;mso-position-vertical-relative:page;mso-position-horizontal-relative:page;width:535pt;height:1pt;z-index:-2514411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56" style="position:absolute;margin-left:86.92pt;margin-top:27.7633pt;mso-position-vertical-relative:text;mso-position-horizontal-relative:text;width:119.4pt;height:18.85pt;z-index:-251429888;rotation:330;" fillcolor="#404040" filled="true" stroked="false" type="#_x0000_t136">
          <v:fill opacity="0.400000"/>
          <v:textpath style="font-family:&quot;SimSun&quot;;font-size:20;v-text-kern:t;mso-text-shadow:auto" string="仅供内部审核"/>
        </v:shape>
      </w:pict>
    </w:r>
    <w:r>
      <w:pict>
        <v:shape id="PowerPlusWaterMarkObject458" style="position:absolute;margin-left:-13.08pt;margin-top:288.10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60" style="position:absolute;margin-left:491.92pt;margin-top:44.1055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62" style="position:absolute;margin-left:391.92pt;margin-top:288.10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64" style="position:absolute;margin-left:86.92pt;margin-top:532.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13.08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_x0000_s472" style="position:absolute;margin-left:30pt;margin-top:29.5pt;mso-position-vertical-relative:page;mso-position-horizontal-relative:page;width:535pt;height:1pt;z-index:-2514319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74" style="position:absolute;margin-left:86.92pt;margin-top:27.7633pt;mso-position-vertical-relative:text;mso-position-horizontal-relative:text;width:119.4pt;height:18.85pt;z-index:-251425792;rotation:330;" fillcolor="#404040" filled="true" stroked="false" type="#_x0000_t136">
          <v:fill opacity="0.400000"/>
          <v:textpath style="font-family:&quot;SimSun&quot;;font-size:20;v-text-kern:t;mso-text-shadow:auto" string="仅供内部审核"/>
        </v:shape>
      </w:pict>
    </w:r>
    <w:r>
      <w:pict>
        <v:shape id="PowerPlusWaterMarkObject476" style="position:absolute;margin-left:-13.08pt;margin-top:776.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391.92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_x0000_s480" style="position:absolute;margin-left:30pt;margin-top:29.5pt;mso-position-vertical-relative:page;mso-position-horizontal-relative:page;width:535pt;height:1pt;z-index:-251426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62" style="position:absolute;margin-left:86.92pt;margin-top:27.7633pt;mso-position-vertical-relative:text;mso-position-horizontal-relative:text;width:119.4pt;height:18.85pt;z-index:-251416576;rotation:330;" fillcolor="#404040" filled="true" stroked="false" type="#_x0000_t136">
          <v:fill opacity="0.400000"/>
          <v:textpath style="font-family:&quot;SimSun&quot;;font-size:20;v-text-kern:t;mso-text-shadow:auto" string="仅供内部审核"/>
        </v:shape>
      </w:pict>
    </w:r>
    <w:r>
      <w:pict>
        <v:shape id="PowerPlusWaterMarkObject564" style="position:absolute;margin-left:-13.08pt;margin-top:288.10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566" style="position:absolute;margin-left:491.92pt;margin-top:44.1055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68" style="position:absolute;margin-left:391.92pt;margin-top:288.105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570" style="position:absolute;margin-left:86.92pt;margin-top:532.106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72" style="position:absolute;margin-left:-13.08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574" style="position:absolute;margin-left:491.92pt;margin-top:532.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576" style="position:absolute;margin-left:391.92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_x0000_s578" style="position:absolute;margin-left:30pt;margin-top:29.5pt;mso-position-vertical-relative:page;mso-position-horizontal-relative:page;width:535pt;height:1pt;z-index:-251418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2" style="position:absolute;margin-left:86.92pt;margin-top:27.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WordPictureWatermark108" style="position:absolute;margin-left:395.367pt;margin-top:259.52pt;mso-position-vertical-relative:page;mso-position-horizontal-relative:page;width:112.65pt;height:75.9pt;z-index:-251606016;" o:allowincell="f" filled="false" stroked="false" type="#_x0000_t75">
          <v:imagedata o:title="" r:id="rId1"/>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62pt;margin-top:72.8103pt;mso-position-vertical-relative:page;mso-position-horizontal-relative:page;width:32.1pt;height:7.2pt;z-index:-251588608;" o:allowincell="f" fillcolor="#212529" filled="true" stroked="false" type="#_x0000_t136">
          <v:textpath style="font-family:&quot;SimSun&quot;;font-size:7;v-text-kern:t;mso-text-shadow:auto" string="算公开表4"/>
        </v:shape>
      </w:pict>
    </w:r>
    <w:r>
      <w:pict>
        <v:shape id="PowerPlusWaterMarkObject124"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05.419pt;margin-top:325.754pt;mso-position-vertical-relative:page;mso-position-horizontal-relative:page;width:7.65pt;height:7.9pt;z-index:-251595776;" o:allowincell="f" fillcolor="#212529" filled="true" stroked="false" type="#_x0000_t136">
          <v:textpath style="font-family:&quot;SimSun&quot;;font-size:7.5;v-text-kern:t;mso-text-shadow:auto" string="21"/>
        </v:shape>
      </w:pict>
    </w:r>
    <w:r>
      <w:pict>
        <v:shape id="PowerPlusWaterMarkObject128"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94.1286pt;margin-top:66.2782pt;mso-position-vertical-relative:page;mso-position-horizontal-relative:page;width:40.05pt;height:7.9pt;z-index:-251580416;" o:allowincell="f" fillcolor="#212529" filled="true" stroked="false" type="#_x0000_t136">
          <v:textpath style="font-family:&quot;SimSun&quot;;font-size:7.5;v-text-kern:t;mso-text-shadow:auto" string="政拨款结转"/>
        </v:shape>
      </w:pict>
    </w:r>
    <w:r>
      <w:pict>
        <v:shape id="PowerPlusWaterMarkObject144"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44.105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6" Type="http://schemas.openxmlformats.org/officeDocument/2006/relationships/fontTable" Target="fontTable.xml"/><Relationship Id="rId75" Type="http://schemas.openxmlformats.org/officeDocument/2006/relationships/styles" Target="styles.xml"/><Relationship Id="rId74" Type="http://schemas.openxmlformats.org/officeDocument/2006/relationships/settings" Target="settings.xml"/><Relationship Id="rId73" Type="http://schemas.openxmlformats.org/officeDocument/2006/relationships/footer" Target="footer33.xml"/><Relationship Id="rId72" Type="http://schemas.openxmlformats.org/officeDocument/2006/relationships/header" Target="header2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2.png"/><Relationship Id="rId58" Type="http://schemas.openxmlformats.org/officeDocument/2006/relationships/footer" Target="footer26.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header" Target="header22.xml"/><Relationship Id="rId54" Type="http://schemas.openxmlformats.org/officeDocument/2006/relationships/footer" Target="footer24.xml"/><Relationship Id="rId53" Type="http://schemas.openxmlformats.org/officeDocument/2006/relationships/header" Target="header21.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image" Target="media/image5.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4.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3.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2025-10-09T15:41:00Z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2025-10-09T16:04:39</vt:filetime>
  </property>
</Properties>
</file>