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r>
        <w:t>附件7</w:t>
      </w:r>
    </w:p>
    <w:p>
      <w:pPr>
        <w:pStyle w:val="19"/>
        <w:jc w:val="center"/>
        <w:rPr>
          <w:rFonts w:ascii="SimSun" w:hAnsi="SimSun" w:eastAsia="SimSun" w:cs="SimSun"/>
          <w:b/>
          <w:bCs/>
          <w:sz w:val="44"/>
          <w:szCs w:val="44"/>
        </w:rPr>
      </w:pPr>
      <w:r>
        <w:rPr>
          <w:rFonts w:hint="eastAsia" w:ascii="SimSun" w:hAnsi="SimSun" w:eastAsia="SimSun" w:cs="SimSun"/>
          <w:b/>
          <w:bCs/>
          <w:sz w:val="44"/>
          <w:szCs w:val="44"/>
        </w:rPr>
        <w:t>单位整体支出绩效自评报告</w:t>
      </w:r>
    </w:p>
    <w:p>
      <w:pPr>
        <w:pStyle w:val="19"/>
        <w:jc w:val="center"/>
      </w:pPr>
      <w:r>
        <w:t>（</w:t>
      </w:r>
      <w:r>
        <w:rPr>
          <w:rFonts w:hint="eastAsia"/>
          <w:lang w:eastAsia="zh-CN"/>
        </w:rPr>
        <w:t>2021</w:t>
      </w:r>
      <w:r>
        <w:t>年）</w:t>
      </w:r>
    </w:p>
    <w:p>
      <w:pPr>
        <w:pStyle w:val="19"/>
        <w:ind w:firstLine="440" w:firstLineChars="200"/>
      </w:pPr>
      <w:r>
        <w:t>一、单位概况</w:t>
      </w:r>
    </w:p>
    <w:p>
      <w:pPr>
        <w:pStyle w:val="19"/>
        <w:ind w:firstLine="440" w:firstLineChars="200"/>
      </w:pPr>
      <w:r>
        <w:rPr>
          <w:rFonts w:hint="eastAsia"/>
        </w:rPr>
        <w:t>（一）单位概况</w:t>
      </w:r>
    </w:p>
    <w:p>
      <w:pPr>
        <w:pStyle w:val="19"/>
        <w:ind w:firstLine="440" w:firstLineChars="200"/>
      </w:pPr>
      <w:r>
        <w:rPr>
          <w:rFonts w:hint="eastAsia"/>
        </w:rPr>
        <w:t>1.单位及人员基本情况</w:t>
      </w:r>
    </w:p>
    <w:p>
      <w:pPr>
        <w:pStyle w:val="19"/>
        <w:ind w:firstLine="440" w:firstLineChars="200"/>
      </w:pPr>
      <w:r>
        <w:rPr>
          <w:rFonts w:hint="eastAsia"/>
        </w:rPr>
        <w:t>兴县</w:t>
      </w:r>
      <w:r>
        <w:rPr>
          <w:rFonts w:hint="eastAsia"/>
          <w:lang w:eastAsia="zh-CN"/>
        </w:rPr>
        <w:t>康宁镇人民政府</w:t>
      </w:r>
      <w:r>
        <w:rPr>
          <w:rFonts w:hint="eastAsia"/>
        </w:rPr>
        <w:t>为一级预算部门，单位性质为</w:t>
      </w:r>
      <w:r>
        <w:rPr>
          <w:rFonts w:hint="eastAsia"/>
          <w:lang w:eastAsia="zh-CN"/>
        </w:rPr>
        <w:t>行政</w:t>
      </w:r>
      <w:r>
        <w:rPr>
          <w:rFonts w:hint="eastAsia"/>
        </w:rPr>
        <w:t>单位，人员编制</w:t>
      </w:r>
      <w:r>
        <w:rPr>
          <w:rFonts w:hint="eastAsia"/>
          <w:lang w:val="en-US" w:eastAsia="zh-CN"/>
        </w:rPr>
        <w:t>52</w:t>
      </w:r>
      <w:r>
        <w:rPr>
          <w:rFonts w:hint="eastAsia"/>
        </w:rPr>
        <w:t>人，2021年末实有人数</w:t>
      </w:r>
      <w:r>
        <w:rPr>
          <w:rFonts w:hint="eastAsia"/>
          <w:lang w:val="en-US" w:eastAsia="zh-CN"/>
        </w:rPr>
        <w:t>52</w:t>
      </w:r>
      <w:r>
        <w:rPr>
          <w:rFonts w:hint="eastAsia"/>
        </w:rPr>
        <w:t>人。</w:t>
      </w:r>
    </w:p>
    <w:p>
      <w:pPr>
        <w:pStyle w:val="19"/>
        <w:ind w:firstLine="440" w:firstLineChars="200"/>
        <w:rPr>
          <w:rFonts w:hint="eastAsia"/>
        </w:rPr>
      </w:pPr>
      <w:r>
        <w:rPr>
          <w:rFonts w:hint="eastAsia"/>
        </w:rPr>
        <w:t>2.职能：执行国家行政机关的决定、命令和国家制定的法令、法规，执行本级人民代表大会的各项决议，并报告执行决议、决定和命令的情况</w:t>
      </w:r>
      <w:r>
        <w:rPr>
          <w:rFonts w:hint="eastAsia"/>
          <w:lang w:val="en-US" w:eastAsia="zh-CN"/>
        </w:rPr>
        <w:t xml:space="preserve">; </w:t>
      </w:r>
      <w:r>
        <w:rPr>
          <w:rFonts w:hint="eastAsia"/>
        </w:rPr>
        <w:t>制定并落实本行政区域的经济计划和措施，全面提高人民群众的生活水平和生活质量</w:t>
      </w:r>
      <w:r>
        <w:rPr>
          <w:rFonts w:hint="eastAsia"/>
          <w:lang w:val="en-US" w:eastAsia="zh-CN"/>
        </w:rPr>
        <w:t xml:space="preserve">;  </w:t>
      </w:r>
      <w:r>
        <w:rPr>
          <w:rFonts w:hint="eastAsia"/>
        </w:rPr>
        <w:t>承担国有资产、集体资产管理、监督及增值保值责任</w:t>
      </w:r>
      <w:r>
        <w:rPr>
          <w:rFonts w:hint="eastAsia"/>
          <w:lang w:val="en-US" w:eastAsia="zh-CN"/>
        </w:rPr>
        <w:t xml:space="preserve">; </w:t>
      </w:r>
      <w:r>
        <w:rPr>
          <w:rFonts w:hint="eastAsia"/>
        </w:rPr>
        <w:t>开展社会主义民主和法制的宣传教育，保障公民的权利，打击违法犯罪，维护社会稳定</w:t>
      </w:r>
      <w:r>
        <w:rPr>
          <w:rFonts w:hint="eastAsia"/>
          <w:lang w:val="en-US" w:eastAsia="zh-CN"/>
        </w:rPr>
        <w:t xml:space="preserve">; </w:t>
      </w:r>
      <w:r>
        <w:rPr>
          <w:rFonts w:hint="eastAsia"/>
        </w:rPr>
        <w:t>制定社会各项事业发展计划，发展教育、卫生、科技、民政、广播电视、文化、体育事业；加强计划生育工作；推进社会保障、社会福利事业和养老保险等工作</w:t>
      </w:r>
      <w:r>
        <w:rPr>
          <w:rFonts w:hint="eastAsia"/>
          <w:lang w:val="en-US" w:eastAsia="zh-CN"/>
        </w:rPr>
        <w:t xml:space="preserve">; </w:t>
      </w:r>
      <w:r>
        <w:rPr>
          <w:rFonts w:hint="eastAsia"/>
        </w:rPr>
        <w:t>加强镇级财政的监督和管理</w:t>
      </w:r>
      <w:r>
        <w:rPr>
          <w:rFonts w:hint="eastAsia"/>
          <w:lang w:val="en-US" w:eastAsia="zh-CN"/>
        </w:rPr>
        <w:t xml:space="preserve">;  </w:t>
      </w:r>
      <w:r>
        <w:rPr>
          <w:rFonts w:hint="eastAsia"/>
        </w:rPr>
        <w:t>指导村（居）民委员会的组织制度建设和业务建设，促进村（居）民委员会民主自治</w:t>
      </w:r>
      <w:r>
        <w:rPr>
          <w:rFonts w:hint="eastAsia"/>
          <w:lang w:val="en-US" w:eastAsia="zh-CN"/>
        </w:rPr>
        <w:t xml:space="preserve">; </w:t>
      </w:r>
      <w:r>
        <w:rPr>
          <w:rFonts w:hint="eastAsia"/>
        </w:rPr>
        <w:t>制定和组织实施镇村建设规划，保护和改善生活环境和生态环境</w:t>
      </w:r>
      <w:r>
        <w:rPr>
          <w:rFonts w:hint="eastAsia"/>
          <w:lang w:val="en-US" w:eastAsia="zh-CN"/>
        </w:rPr>
        <w:t xml:space="preserve">; </w:t>
      </w:r>
      <w:r>
        <w:rPr>
          <w:rFonts w:hint="eastAsia"/>
        </w:rPr>
        <w:t>协助和支持设置在本行政区域内不隶属于镇的国家机关和企事业单位工作，监督其遵守和执行国家的法律、法规和政策</w:t>
      </w:r>
      <w:r>
        <w:rPr>
          <w:rFonts w:hint="eastAsia"/>
          <w:lang w:val="en-US" w:eastAsia="zh-CN"/>
        </w:rPr>
        <w:t xml:space="preserve">; </w:t>
      </w:r>
      <w:r>
        <w:rPr>
          <w:rFonts w:hint="eastAsia"/>
        </w:rPr>
        <w:t>承办本级党委、人大和上级交办的其它事项。</w:t>
      </w:r>
    </w:p>
    <w:p>
      <w:pPr>
        <w:pStyle w:val="19"/>
        <w:ind w:firstLine="440" w:firstLineChars="200"/>
        <w:rPr>
          <w:rFonts w:hint="eastAsia"/>
          <w:lang w:val="en-US" w:eastAsia="zh-CN"/>
        </w:rPr>
      </w:pPr>
      <w:r>
        <w:rPr>
          <w:rFonts w:hint="eastAsia"/>
        </w:rPr>
        <w:t>3.年度工作目标计划及执行情况</w:t>
      </w:r>
      <w:r>
        <w:rPr>
          <w:rFonts w:hint="eastAsia"/>
          <w:lang w:val="en-US" w:eastAsia="zh-CN"/>
        </w:rPr>
        <w:t>:</w:t>
      </w:r>
    </w:p>
    <w:p>
      <w:pPr>
        <w:pStyle w:val="19"/>
        <w:ind w:firstLine="440" w:firstLineChars="200"/>
        <w:rPr>
          <w:rFonts w:hint="eastAsia"/>
        </w:rPr>
      </w:pPr>
      <w:r>
        <w:rPr>
          <w:rFonts w:hint="eastAsia"/>
          <w:lang w:val="en-US" w:eastAsia="zh-CN"/>
        </w:rPr>
        <w:t>(1)</w:t>
      </w:r>
      <w:r>
        <w:rPr>
          <w:rFonts w:hint="eastAsia"/>
        </w:rPr>
        <w:t>坚持抓党建。继续坚持党建工作学习，进一步完善制度，充实组织生活，三会一课制度，借助现代化教育平台，让党员干部经常受教育，加强政策学习，扎实开展党史学习教育专题活动，做好农经、信访维稳、民政等工作，充分发挥党员的先锋模范作用，促进社会和谐发展。</w:t>
      </w:r>
    </w:p>
    <w:p>
      <w:pPr>
        <w:pStyle w:val="19"/>
        <w:ind w:firstLine="440" w:firstLineChars="200"/>
        <w:rPr>
          <w:rFonts w:hint="eastAsia"/>
        </w:rPr>
      </w:pPr>
      <w:r>
        <w:rPr>
          <w:rFonts w:hint="eastAsia"/>
          <w:lang w:val="en-US" w:eastAsia="zh-CN"/>
        </w:rPr>
        <w:t>(2)</w:t>
      </w:r>
      <w:r>
        <w:rPr>
          <w:rFonts w:hint="eastAsia"/>
        </w:rPr>
        <w:t>着力构建两个支撑。一是产业支撑。通过发展短、中、长相结合的产业带动贫困户持续增收。二是就业支撑。积极完成吕梁山护工培训、致富带头人培训、建档立卡贫困户驾驶员培训、易地搬迁培训。同时，全镇各村成立了务工协会，发布各级各部门招工招聘信息，为各类人员提供就业信息、就业人员。除自主择业，统筹协调交通局、水利局、人社局等职能部门和扶贫车间提供扶贫公益岗位对未脱贫人、边缘户及易地扶贫搬迁户有劳动能力且有务工意愿的人员共安排公益岗位。</w:t>
      </w:r>
    </w:p>
    <w:p>
      <w:pPr>
        <w:pStyle w:val="19"/>
        <w:ind w:firstLine="440" w:firstLineChars="200"/>
        <w:rPr>
          <w:rFonts w:hint="eastAsia"/>
        </w:rPr>
      </w:pPr>
      <w:r>
        <w:rPr>
          <w:rFonts w:hint="eastAsia"/>
          <w:lang w:val="en-US" w:eastAsia="zh-CN"/>
        </w:rPr>
        <w:t>(3)</w:t>
      </w:r>
      <w:r>
        <w:rPr>
          <w:rFonts w:hint="eastAsia"/>
        </w:rPr>
        <w:t>持续提升三个保障。一是医疗保障。积极落实“三保险、三救助”政策，构筑起了基本医保、大病医保、补充医保、民政救助、政府兜底6道保障防线。完善全乡“健康双签约”，办理慢性病证，每年为贫困户缴纳基本医保参保费；通过大病医保报销、补充医保、贫困户住院基本医疗报销，因病致贫、返贫得到彻底解决。二是教育保障。全面落实“雨露计划”等13项教育扶贫政策红利，发放各类补助资金。三是住房安全保障。继续完善危房改造，保障群众安全住房全覆盖。</w:t>
      </w:r>
    </w:p>
    <w:p>
      <w:pPr>
        <w:pStyle w:val="19"/>
        <w:ind w:firstLine="440" w:firstLineChars="200"/>
        <w:rPr>
          <w:rFonts w:hint="eastAsia"/>
        </w:rPr>
      </w:pPr>
      <w:r>
        <w:rPr>
          <w:rFonts w:hint="eastAsia"/>
          <w:lang w:val="en-US" w:eastAsia="zh-CN"/>
        </w:rPr>
        <w:t>(4)</w:t>
      </w:r>
      <w:r>
        <w:rPr>
          <w:rFonts w:hint="eastAsia"/>
        </w:rPr>
        <w:t>完善六项工作机制。不断创新和完善党建引领、责任帮扶、工作推进、资金投入、内生动力激发、作风建设六项工作机制。大力培训村干部，农村基础设施、基础工作、干部基本能力得到普遍提升，凝聚了强大的攻坚合力；特别是通过开展环境卫生联帮联治、孝亲敬老、“文明户”评选、</w:t>
      </w:r>
    </w:p>
    <w:p>
      <w:pPr>
        <w:pStyle w:val="19"/>
        <w:ind w:firstLine="440" w:firstLineChars="200"/>
        <w:rPr>
          <w:rFonts w:hint="eastAsia"/>
        </w:rPr>
      </w:pPr>
      <w:r>
        <w:rPr>
          <w:rFonts w:hint="eastAsia"/>
        </w:rPr>
        <w:t>“群众讲政策”四项扶德扶志扶智活动，工作作风发生极大转变，群众对政策的知晓度得到极大提升，在全镇形成了良好的脱贫氛围，为各项工作的顺利推进奠定了坚实基础。</w:t>
      </w:r>
    </w:p>
    <w:p>
      <w:pPr>
        <w:pStyle w:val="19"/>
        <w:ind w:firstLine="440" w:firstLineChars="200"/>
      </w:pPr>
      <w:r>
        <w:rPr>
          <w:rFonts w:hint="eastAsia"/>
        </w:rPr>
        <w:t>4.绩效目标及完成情况：强化落实绩效管理，转变观念，树立绩效管理新理念，明确考核标准，引进科学考核办法、降低行政成本，精细政府工作做到财政有效控制；加强沟通交流，确保考核的反馈有效。圆满完成绩效目标。</w:t>
      </w:r>
    </w:p>
    <w:p>
      <w:pPr>
        <w:pStyle w:val="19"/>
        <w:ind w:firstLine="440" w:firstLineChars="200"/>
      </w:pPr>
      <w:r>
        <w:t>二、单位整体支出绩效实现情况</w:t>
      </w:r>
    </w:p>
    <w:p>
      <w:pPr>
        <w:pStyle w:val="19"/>
        <w:ind w:firstLine="440" w:firstLineChars="200"/>
        <w:rPr>
          <w:rFonts w:hint="eastAsia"/>
          <w:lang w:eastAsia="zh-CN"/>
        </w:rPr>
      </w:pPr>
      <w:r>
        <w:t>（一）</w:t>
      </w:r>
      <w:r>
        <w:rPr>
          <w:rFonts w:hint="eastAsia"/>
          <w:lang w:eastAsia="zh-CN"/>
        </w:rPr>
        <w:t>项目资金使用</w:t>
      </w:r>
    </w:p>
    <w:p>
      <w:pPr>
        <w:pStyle w:val="19"/>
        <w:ind w:firstLine="440" w:firstLineChars="200"/>
        <w:rPr>
          <w:rFonts w:hint="eastAsia"/>
          <w:lang w:eastAsia="zh-CN"/>
        </w:rPr>
      </w:pPr>
      <w:r>
        <w:rPr>
          <w:rFonts w:hint="eastAsia"/>
          <w:lang w:eastAsia="zh-CN"/>
        </w:rPr>
        <w:t>1.项目资金到位情况分析</w:t>
      </w:r>
    </w:p>
    <w:p>
      <w:pPr>
        <w:pStyle w:val="19"/>
        <w:ind w:firstLine="440" w:firstLineChars="200"/>
        <w:rPr>
          <w:rFonts w:hint="eastAsia"/>
          <w:lang w:eastAsia="zh-CN"/>
        </w:rPr>
      </w:pPr>
      <w:r>
        <w:rPr>
          <w:rFonts w:hint="eastAsia"/>
          <w:lang w:eastAsia="zh-CN"/>
        </w:rPr>
        <w:t>2021年财政安排康宁镇李家湾便民桥建设项目11万元、李家湾田间道路项目40</w:t>
      </w:r>
      <w:r>
        <w:rPr>
          <w:rFonts w:hint="eastAsia"/>
          <w:lang w:val="en-US" w:eastAsia="zh-CN"/>
        </w:rPr>
        <w:t>万元</w:t>
      </w:r>
      <w:r>
        <w:rPr>
          <w:rFonts w:hint="eastAsia"/>
          <w:lang w:eastAsia="zh-CN"/>
        </w:rPr>
        <w:t>。</w:t>
      </w:r>
      <w:bookmarkStart w:id="0" w:name="_GoBack"/>
      <w:bookmarkEnd w:id="0"/>
    </w:p>
    <w:p>
      <w:pPr>
        <w:pStyle w:val="19"/>
        <w:ind w:firstLine="440" w:firstLineChars="200"/>
        <w:rPr>
          <w:rFonts w:hint="eastAsia"/>
          <w:lang w:eastAsia="zh-CN"/>
        </w:rPr>
      </w:pPr>
      <w:r>
        <w:rPr>
          <w:rFonts w:hint="eastAsia"/>
          <w:lang w:eastAsia="zh-CN"/>
        </w:rPr>
        <w:t>2.项目资金执行情况</w:t>
      </w:r>
    </w:p>
    <w:p>
      <w:pPr>
        <w:pStyle w:val="19"/>
        <w:ind w:firstLine="440" w:firstLineChars="200"/>
        <w:rPr>
          <w:rFonts w:hint="eastAsia"/>
          <w:lang w:eastAsia="zh-CN"/>
        </w:rPr>
      </w:pPr>
      <w:r>
        <w:rPr>
          <w:rFonts w:hint="eastAsia"/>
          <w:lang w:eastAsia="zh-CN"/>
        </w:rPr>
        <w:t>2021年末实际使用康宁镇李家湾便民桥建设项目11万元、李家湾田间道路项目40</w:t>
      </w:r>
      <w:r>
        <w:rPr>
          <w:rFonts w:hint="eastAsia"/>
          <w:lang w:val="en-US" w:eastAsia="zh-CN"/>
        </w:rPr>
        <w:t>万元</w:t>
      </w:r>
      <w:r>
        <w:rPr>
          <w:rFonts w:hint="eastAsia"/>
          <w:lang w:eastAsia="zh-CN"/>
        </w:rPr>
        <w:t>。</w:t>
      </w:r>
    </w:p>
    <w:p>
      <w:pPr>
        <w:pStyle w:val="19"/>
        <w:ind w:firstLine="330" w:firstLineChars="150"/>
        <w:rPr>
          <w:rFonts w:hint="eastAsia"/>
          <w:lang w:eastAsia="zh-CN"/>
        </w:rPr>
      </w:pPr>
      <w:r>
        <w:rPr>
          <w:rFonts w:hint="eastAsia"/>
          <w:lang w:eastAsia="zh-CN"/>
        </w:rPr>
        <w:t>（二）总体绩效目标完成情况</w:t>
      </w:r>
    </w:p>
    <w:p>
      <w:pPr>
        <w:pStyle w:val="19"/>
        <w:ind w:firstLine="440" w:firstLineChars="200"/>
      </w:pPr>
      <w:r>
        <w:rPr>
          <w:rFonts w:hint="eastAsia"/>
          <w:lang w:eastAsia="zh-CN"/>
        </w:rPr>
        <w:t>在县委县政府的正确领导下，我单位紧紧围绕年度工作目标任务，</w:t>
      </w:r>
      <w:r>
        <w:rPr>
          <w:rFonts w:hint="eastAsia"/>
        </w:rPr>
        <w:t>强化落实绩效管理，转变观念，树立绩效管理新理念，明确考核标准，引进科学考核办法、降低行政成本，精细政府工作做到财政有效控制；加强沟通交流，确保考核的反馈有效。圆满完成绩效目标。</w:t>
      </w:r>
    </w:p>
    <w:p>
      <w:pPr>
        <w:pStyle w:val="19"/>
        <w:ind w:firstLine="440" w:firstLineChars="200"/>
      </w:pPr>
      <w:r>
        <w:t>三、单位整体支出绩效中存在问题及改进措施</w:t>
      </w:r>
    </w:p>
    <w:p>
      <w:pPr>
        <w:pStyle w:val="19"/>
        <w:ind w:firstLine="550" w:firstLineChars="250"/>
        <w:rPr>
          <w:rFonts w:hint="eastAsia"/>
          <w:lang w:eastAsia="zh-CN"/>
        </w:rPr>
      </w:pPr>
      <w:r>
        <w:t>（一）主要问题及原因分析</w:t>
      </w:r>
    </w:p>
    <w:p>
      <w:pPr>
        <w:pStyle w:val="19"/>
        <w:ind w:firstLine="440" w:firstLineChars="200"/>
        <w:rPr>
          <w:rFonts w:hint="eastAsia"/>
          <w:lang w:eastAsia="zh-CN"/>
        </w:rPr>
      </w:pPr>
      <w:r>
        <w:rPr>
          <w:rFonts w:hint="eastAsia"/>
          <w:lang w:eastAsia="zh-CN"/>
        </w:rPr>
        <w:t>存在的主要问题：预算过程绩效管理制度体系不健全，需进一步完善；全面推进预算绩效管理工作贯彻不到位，需进一步加强；对自身预算绩效管理不到位，需进一步落实；个业务股室填报预算数字存在不及时不准确不全面，需进一步提高业务预算水平与能力。</w:t>
      </w:r>
    </w:p>
    <w:p>
      <w:pPr>
        <w:pStyle w:val="19"/>
        <w:ind w:firstLine="440" w:firstLineChars="200"/>
        <w:rPr>
          <w:rFonts w:hint="eastAsia"/>
          <w:lang w:eastAsia="zh-CN"/>
        </w:rPr>
      </w:pPr>
      <w:r>
        <w:rPr>
          <w:rFonts w:hint="eastAsia"/>
          <w:lang w:eastAsia="zh-CN"/>
        </w:rPr>
        <w:t>原因：一是经办人员的业务能力有待提高；二是预算执行和绩效管理的监督不到位。</w:t>
      </w:r>
    </w:p>
    <w:p>
      <w:pPr>
        <w:pStyle w:val="19"/>
        <w:ind w:firstLine="220" w:firstLineChars="100"/>
        <w:rPr>
          <w:rFonts w:hint="eastAsia"/>
          <w:lang w:eastAsia="zh-CN"/>
        </w:rPr>
      </w:pPr>
      <w:r>
        <w:t>（二）改进的方向和具体措施</w:t>
      </w:r>
    </w:p>
    <w:p>
      <w:pPr>
        <w:pStyle w:val="19"/>
        <w:ind w:firstLine="440" w:firstLineChars="200"/>
        <w:rPr>
          <w:rFonts w:hint="eastAsia"/>
          <w:lang w:eastAsia="zh-CN"/>
        </w:rPr>
      </w:pPr>
      <w:r>
        <w:rPr>
          <w:rFonts w:hint="eastAsia"/>
          <w:lang w:eastAsia="zh-CN"/>
        </w:rPr>
        <w:t>整改措施和建议：一是加强领导，精心组织，逐步推开，实现编制预算绩效目标全覆盖。二是完善相关制度，推进制度落实。三是加强监督。对日常工作加强规范和监督，防止在项目执行过程中出现偏差。四是不断加强学习与交流。</w:t>
      </w:r>
    </w:p>
    <w:p>
      <w:pPr>
        <w:pStyle w:val="19"/>
        <w:ind w:firstLine="440" w:firstLineChars="200"/>
        <w:rPr>
          <w:rFonts w:hint="eastAsia"/>
          <w:lang w:eastAsia="zh-CN"/>
        </w:rPr>
      </w:pPr>
      <w:r>
        <w:t>四、绩效自评结果应用和公开情况</w:t>
      </w:r>
    </w:p>
    <w:p>
      <w:pPr>
        <w:pStyle w:val="19"/>
        <w:ind w:firstLine="440" w:firstLineChars="200"/>
        <w:rPr>
          <w:rFonts w:hint="eastAsia"/>
          <w:lang w:eastAsia="zh-CN"/>
        </w:rPr>
      </w:pPr>
      <w:r>
        <w:rPr>
          <w:rFonts w:hint="eastAsia"/>
          <w:lang w:eastAsia="zh-CN"/>
        </w:rPr>
        <w:t>一是通过绩效自评结果，对指标完成好的工作要在下一年度继续巩固和加强，对未完成的指标要深入剖析原因，找出症结，在以后工作中完善和改进；二是利用绩效自评结果，促进单位增强责任和效益观念，提高财政资金支出决策水平和管理水平。</w:t>
      </w:r>
    </w:p>
    <w:p>
      <w:pPr>
        <w:pStyle w:val="19"/>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w:panose1 w:val="020B0503020204020204"/>
    <w:charset w:val="86"/>
    <w:family w:val="swiss"/>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FangSong"/>
    <w:panose1 w:val="00000000000000000000"/>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WI5NmQwYzM1NDNhYWQxMzYwYTFhMTU2MjNiZDAifQ=="/>
  </w:docVars>
  <w:rsids>
    <w:rsidRoot w:val="00B47730"/>
    <w:rsid w:val="00034616"/>
    <w:rsid w:val="0006063C"/>
    <w:rsid w:val="0015074B"/>
    <w:rsid w:val="0029639D"/>
    <w:rsid w:val="00326F90"/>
    <w:rsid w:val="004156D4"/>
    <w:rsid w:val="00552316"/>
    <w:rsid w:val="005829E5"/>
    <w:rsid w:val="00696151"/>
    <w:rsid w:val="007E0D99"/>
    <w:rsid w:val="008C0BD7"/>
    <w:rsid w:val="0091022B"/>
    <w:rsid w:val="00AA1D8D"/>
    <w:rsid w:val="00AE1187"/>
    <w:rsid w:val="00B47730"/>
    <w:rsid w:val="00CB0664"/>
    <w:rsid w:val="00DD648B"/>
    <w:rsid w:val="00EC4D02"/>
    <w:rsid w:val="00ED1972"/>
    <w:rsid w:val="00FC693F"/>
    <w:rsid w:val="0D5623E4"/>
    <w:rsid w:val="1391701B"/>
    <w:rsid w:val="17D176C5"/>
    <w:rsid w:val="24D762BB"/>
    <w:rsid w:val="2A570C14"/>
    <w:rsid w:val="35A425BD"/>
    <w:rsid w:val="466E5B7F"/>
    <w:rsid w:val="476B5F3B"/>
    <w:rsid w:val="4BCE3A9C"/>
    <w:rsid w:val="6CA64AEE"/>
    <w:rsid w:val="6FED6137"/>
    <w:rsid w:val="72B50B7E"/>
    <w:rsid w:val="7D4840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Microsoft YaHei" w:hAnsi="Microsoft YaHei" w:eastAsia="Microsoft YaHei"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Char"/>
    <w:basedOn w:val="132"/>
    <w:link w:val="25"/>
    <w:qFormat/>
    <w:uiPriority w:val="99"/>
  </w:style>
  <w:style w:type="character" w:customStyle="1" w:styleId="136">
    <w:name w:val="页脚 Char"/>
    <w:basedOn w:val="132"/>
    <w:link w:val="24"/>
    <w:qFormat/>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Char"/>
    <w:basedOn w:val="132"/>
    <w:link w:val="19"/>
    <w:qFormat/>
    <w:uiPriority w:val="99"/>
  </w:style>
  <w:style w:type="character" w:customStyle="1" w:styleId="145">
    <w:name w:val="正文文本 2 Char"/>
    <w:basedOn w:val="132"/>
    <w:link w:val="28"/>
    <w:qFormat/>
    <w:uiPriority w:val="99"/>
  </w:style>
  <w:style w:type="character" w:customStyle="1" w:styleId="146">
    <w:name w:val="正文文本 3 Char"/>
    <w:basedOn w:val="132"/>
    <w:link w:val="17"/>
    <w:qFormat/>
    <w:uiPriority w:val="99"/>
    <w:rPr>
      <w:sz w:val="16"/>
      <w:szCs w:val="16"/>
    </w:rPr>
  </w:style>
  <w:style w:type="character" w:customStyle="1" w:styleId="147">
    <w:name w:val="宏文本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Char"/>
    <w:basedOn w:val="132"/>
    <w:link w:val="148"/>
    <w:qFormat/>
    <w:uiPriority w:val="29"/>
    <w:rPr>
      <w:i/>
      <w:iCs/>
      <w:color w:val="000000" w:themeColor="text1"/>
      <w14:textFill>
        <w14:solidFill>
          <w14:schemeClr w14:val="tx1"/>
        </w14:solidFill>
      </w14:textFill>
    </w:rPr>
  </w:style>
  <w:style w:type="character" w:customStyle="1" w:styleId="150">
    <w:name w:val="标题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标题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Char"/>
    <w:basedOn w:val="132"/>
    <w:link w:val="156"/>
    <w:qFormat/>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 w:type="paragraph" w:customStyle="1" w:styleId="164">
    <w:name w:val="无间隔1"/>
    <w:link w:val="165"/>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65">
    <w:name w:val="无间隔 字符"/>
    <w:link w:val="164"/>
    <w:qFormat/>
    <w:locked/>
    <w:uiPriority w:val="99"/>
    <w:rPr>
      <w:rFonts w:ascii="Times New Roman" w:hAnsi="Times New Roman" w:eastAsia="仿宋_GB2312" w:cs="Times New Roman"/>
      <w:sz w:val="30"/>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F8A2-62CE-472F-860A-49AEF3A312F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1258</Words>
  <Characters>1282</Characters>
  <Lines>9</Lines>
  <Paragraphs>2</Paragraphs>
  <TotalTime>9</TotalTime>
  <ScaleCrop>false</ScaleCrop>
  <LinksUpToDate>false</LinksUpToDate>
  <CharactersWithSpaces>1293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兴县田小军</cp:lastModifiedBy>
  <dcterms:modified xsi:type="dcterms:W3CDTF">2022-08-17T11:19:14Z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41F4C2C2AE2446FFB331BC07DD71B80F</vt:lpwstr>
  </property>
</Properties>
</file>