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E2214">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兴县县委政法委整体支出绩效自评报告</w:t>
      </w:r>
    </w:p>
    <w:p w14:paraId="4F92A197">
      <w:pPr>
        <w:spacing w:line="600" w:lineRule="exact"/>
        <w:jc w:val="center"/>
        <w:rPr>
          <w:rFonts w:ascii="仿宋" w:hAnsi="仿宋" w:eastAsia="仿宋"/>
          <w:sz w:val="32"/>
          <w:szCs w:val="32"/>
        </w:rPr>
      </w:pPr>
      <w:r>
        <w:rPr>
          <w:rFonts w:hint="eastAsia" w:ascii="仿宋" w:hAnsi="仿宋" w:eastAsia="仿宋"/>
          <w:sz w:val="32"/>
          <w:szCs w:val="32"/>
        </w:rPr>
        <w:t>(202</w:t>
      </w:r>
      <w:r>
        <w:rPr>
          <w:rFonts w:ascii="仿宋" w:hAnsi="仿宋" w:eastAsia="仿宋"/>
          <w:sz w:val="32"/>
          <w:szCs w:val="32"/>
        </w:rPr>
        <w:t>1</w:t>
      </w:r>
      <w:r>
        <w:rPr>
          <w:rFonts w:hint="eastAsia" w:ascii="仿宋" w:hAnsi="仿宋" w:eastAsia="仿宋"/>
          <w:sz w:val="32"/>
          <w:szCs w:val="32"/>
        </w:rPr>
        <w:t>年度)</w:t>
      </w:r>
    </w:p>
    <w:p w14:paraId="506C66A3">
      <w:pPr>
        <w:keepNext/>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根据兴县财政局《关于开展2021年度预算项目支出绩效评价和部门整体支出绩效评价工作的通知》（兴财绩〔2021〕1122号）要求，结合兴县财政局实际情况，我单位认真开展了2021年部门整体支出绩效管理自检自查工作，现将本项目绩效自评情况说明如下：</w:t>
      </w:r>
    </w:p>
    <w:p w14:paraId="2B4B8DEF">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一、部门概述</w:t>
      </w:r>
    </w:p>
    <w:p w14:paraId="6ED50686">
      <w:pPr>
        <w:rPr>
          <w:rFonts w:hint="eastAsia" w:ascii="仿宋" w:hAnsi="仿宋" w:eastAsia="仿宋" w:cs="仿宋"/>
          <w:sz w:val="32"/>
          <w:szCs w:val="32"/>
        </w:rPr>
      </w:pPr>
      <w:r>
        <w:rPr>
          <w:rFonts w:hint="eastAsia" w:ascii="仿宋" w:hAnsi="仿宋" w:eastAsia="仿宋" w:cs="仿宋"/>
          <w:b/>
          <w:sz w:val="32"/>
          <w:szCs w:val="32"/>
        </w:rPr>
        <w:t xml:space="preserve">   </w:t>
      </w:r>
      <w:r>
        <w:rPr>
          <w:rFonts w:hint="eastAsia" w:ascii="仿宋" w:hAnsi="仿宋" w:eastAsia="仿宋" w:cs="仿宋"/>
          <w:sz w:val="32"/>
          <w:szCs w:val="32"/>
        </w:rPr>
        <w:t xml:space="preserve"> (一）部门职能</w:t>
      </w:r>
    </w:p>
    <w:p w14:paraId="0C8CFD8F">
      <w:pPr>
        <w:spacing w:line="7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1、深入贯彻习近平新时代中国特色社会主义思想，坚决维护党中央权威和集中统一领导,坚持党对政法工作的绝对领导，保证党的路线方针政策和党中央重大决策部署贯彻落实，保证宪法法律正确统一实施。</w:t>
      </w:r>
    </w:p>
    <w:p w14:paraId="3F79F23D">
      <w:pPr>
        <w:spacing w:line="7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2、贯彻落实县委及市委政法委的决定，研究协调政法单位之间、政法单位和有关部门、地方之间有关重大事项，统一政法单位思想和行动。</w:t>
      </w:r>
    </w:p>
    <w:p w14:paraId="259464E2">
      <w:pPr>
        <w:spacing w:line="7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加强对全县政法工作实践和理论问题调查研究，拟订落实市委、县委对政法工作决策部署的具体措施，及时向县委和市委政法委提出意见和建议；深化政法领域改革，研究解决全县政法领域改革中的新情况、新问题；积极参与地方性法规的起草修改工作，及时提出立法建议。</w:t>
      </w:r>
    </w:p>
    <w:p w14:paraId="1F43AA67">
      <w:pPr>
        <w:spacing w:line="7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了解掌握和分析研判社会稳定形势、全县政法工作情况动态，创新完善多部门参与的平安建设工作协调机制，指导协调政法单位加强科技成果的应用，推动智能化建设；协调推动预防、化解影响稳定的社会矛盾和风险，协调应对和处置重大突发事件，指导协调政法单位和相关部门做好反邪教、反暴恐工作。</w:t>
      </w:r>
    </w:p>
    <w:p w14:paraId="452D6494">
      <w:pPr>
        <w:spacing w:line="7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5、加强对全县政法工作的督查，统筹协调社会治安综合治理、维护社会稳定、反邪教、反暴恐等有关法律法规政策的实施工作。</w:t>
      </w:r>
    </w:p>
    <w:p w14:paraId="49ADA6B5">
      <w:pPr>
        <w:spacing w:line="7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6、支持和监督政法单位依法行使职权，检查政法单位执行党的路线方针政策和中央、省委、市委、县委重大决策部署及法律法规的情况，指导和协调政法单位密切配合，完善与纪检监察机关工作衔接和协作配合机制，积极推动重大、疑难案件依法公正处理，推进严格执法、公正司法。</w:t>
      </w:r>
    </w:p>
    <w:p w14:paraId="6F4367A8">
      <w:pPr>
        <w:spacing w:line="7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7、指导和推动全县政法单位党的建设和政法队伍建设，组织开展政治督察和政治轮训。协助县委及县委组织部管理政法干部，协助县委和纪检监察机关做好监督检查、审查调查工作，派员列席县级政法单位党组（党委）民主生活会。管理兴县法学会。 </w:t>
      </w:r>
    </w:p>
    <w:p w14:paraId="6BA00880">
      <w:pPr>
        <w:spacing w:line="7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8、落实中央、省、市、县国家安全领导机构和全面依法治国领导机构的方针政策和决策部署，负责县国家安全委员会日常工作，支持配合县依法治县领导组办公室工作；指导协调政法单位加强国家政治安全、法治建设和执法司法相关工作，提出建议和工作意见。</w:t>
      </w:r>
    </w:p>
    <w:p w14:paraId="2F6BB5CE">
      <w:pPr>
        <w:spacing w:line="7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9、掌握分析全县政法舆情动态，指导和协调政法单位和有关部门做好依法办理、宣传报道和舆论引导等相关工作。</w:t>
      </w:r>
    </w:p>
    <w:p w14:paraId="5832DDF2">
      <w:pPr>
        <w:spacing w:line="7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10、完成县委和市委政法委交办的其他任务。</w:t>
      </w:r>
    </w:p>
    <w:p w14:paraId="6543B4B2">
      <w:pPr>
        <w:keepNext/>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rPr>
        <w:t>二</w:t>
      </w:r>
      <w:r>
        <w:rPr>
          <w:rFonts w:hint="eastAsia" w:ascii="仿宋" w:hAnsi="仿宋" w:eastAsia="仿宋" w:cs="仿宋"/>
          <w:b/>
          <w:bCs/>
          <w:sz w:val="32"/>
          <w:szCs w:val="32"/>
          <w:lang w:eastAsia="zh-CN"/>
        </w:rPr>
        <w:t>、</w:t>
      </w:r>
      <w:r>
        <w:rPr>
          <w:rFonts w:hint="eastAsia" w:ascii="仿宋" w:hAnsi="仿宋" w:eastAsia="仿宋" w:cs="仿宋"/>
          <w:b/>
          <w:bCs/>
          <w:sz w:val="32"/>
          <w:szCs w:val="32"/>
        </w:rPr>
        <w:t>机构设置</w:t>
      </w:r>
      <w:r>
        <w:rPr>
          <w:rFonts w:hint="eastAsia" w:ascii="仿宋" w:hAnsi="仿宋" w:eastAsia="仿宋" w:cs="仿宋"/>
          <w:b/>
          <w:bCs/>
          <w:sz w:val="32"/>
          <w:szCs w:val="32"/>
          <w:lang w:val="en-US" w:eastAsia="zh-CN"/>
        </w:rPr>
        <w:t>及人员情况</w:t>
      </w:r>
      <w:r>
        <w:rPr>
          <w:rFonts w:hint="eastAsia" w:ascii="仿宋" w:hAnsi="仿宋" w:eastAsia="仿宋" w:cs="仿宋"/>
          <w:sz w:val="32"/>
          <w:szCs w:val="32"/>
          <w:lang w:val="en-US" w:eastAsia="zh-CN"/>
        </w:rPr>
        <w:t>：</w:t>
      </w:r>
    </w:p>
    <w:p w14:paraId="2965A392">
      <w:pPr>
        <w:keepNext/>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default" w:ascii="仿宋" w:hAnsi="仿宋" w:eastAsia="仿宋" w:cs="仿宋"/>
          <w:b w:val="0"/>
          <w:bCs w:val="0"/>
          <w:sz w:val="32"/>
          <w:szCs w:val="24"/>
          <w:lang w:val="en-US" w:eastAsia="zh-CN"/>
        </w:rPr>
      </w:pPr>
      <w:r>
        <w:rPr>
          <w:rFonts w:hint="eastAsia" w:ascii="仿宋" w:hAnsi="仿宋" w:eastAsia="仿宋" w:cs="仿宋"/>
          <w:sz w:val="32"/>
          <w:szCs w:val="32"/>
          <w:lang w:val="en-US" w:eastAsia="zh-CN"/>
        </w:rPr>
        <w:t>单位有</w:t>
      </w:r>
      <w:r>
        <w:rPr>
          <w:rFonts w:hint="eastAsia" w:ascii="仿宋" w:hAnsi="仿宋" w:eastAsia="仿宋" w:cs="仿宋"/>
          <w:sz w:val="32"/>
          <w:szCs w:val="32"/>
        </w:rPr>
        <w:t>10个行政编制，10个事业编制</w:t>
      </w:r>
      <w:r>
        <w:rPr>
          <w:rFonts w:hint="eastAsia" w:ascii="仿宋" w:hAnsi="仿宋" w:eastAsia="仿宋" w:cs="仿宋"/>
          <w:sz w:val="32"/>
          <w:szCs w:val="32"/>
          <w:lang w:eastAsia="zh-CN"/>
        </w:rPr>
        <w:t>。</w:t>
      </w:r>
      <w:r>
        <w:rPr>
          <w:rFonts w:hint="eastAsia" w:ascii="仿宋" w:hAnsi="仿宋" w:eastAsia="仿宋" w:cs="仿宋"/>
          <w:b w:val="0"/>
          <w:bCs w:val="0"/>
          <w:sz w:val="32"/>
          <w:szCs w:val="24"/>
          <w:lang w:val="en-US" w:eastAsia="zh-CN"/>
        </w:rPr>
        <w:t>领导班子成员4名：政法书记1名，副书记3名；机关现有干部职工19人，其中8名公务员、4名机关工人、6名事业人员、1名行政人员。</w:t>
      </w:r>
    </w:p>
    <w:p w14:paraId="4BA8C068">
      <w:pPr>
        <w:spacing w:line="7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 xml:space="preserve">1、办公室  </w:t>
      </w:r>
      <w:r>
        <w:rPr>
          <w:rFonts w:hint="eastAsia" w:ascii="仿宋" w:hAnsi="仿宋" w:eastAsia="仿宋" w:cs="仿宋"/>
          <w:sz w:val="32"/>
          <w:szCs w:val="32"/>
        </w:rPr>
        <w:t>协助领导了解掌握全县政法工作全面情况，处理日常工作，提供决策参考；负责内外联系与综合协调工作；督促办理领导批办、会议议定事项的落实；负责起草领导讲话和重要文件；负责机关文电、会务、机要、保密、档案、财务、固定资产管理及后勤保障工作；负责机关管理、各项规章制度的修订完善及执行情况的考核；组织开展对全县政法工作的调查研究，提出意见和建议；统筹推进政法领域全面深化改革；调查掌握全县政法工作动态和社会治安、社会稳定、反邪教、反暴恐情况，提出对策建议；督促指导政法机关充分发挥职能，支持服务保障经济发展；承担委领导调研文稿服务工作；指导协调有关调研工作。</w:t>
      </w:r>
    </w:p>
    <w:p w14:paraId="05A66897">
      <w:pPr>
        <w:spacing w:line="700" w:lineRule="exact"/>
        <w:ind w:firstLine="630" w:firstLineChars="196"/>
        <w:rPr>
          <w:rFonts w:hint="eastAsia" w:ascii="仿宋" w:hAnsi="仿宋" w:eastAsia="仿宋" w:cs="仿宋"/>
          <w:b/>
          <w:bCs/>
          <w:sz w:val="32"/>
          <w:szCs w:val="32"/>
          <w:u w:val="single"/>
        </w:rPr>
      </w:pPr>
      <w:r>
        <w:rPr>
          <w:rFonts w:hint="eastAsia" w:ascii="仿宋" w:hAnsi="仿宋" w:eastAsia="仿宋" w:cs="仿宋"/>
          <w:b/>
          <w:bCs/>
          <w:sz w:val="32"/>
          <w:szCs w:val="32"/>
        </w:rPr>
        <w:t xml:space="preserve">2、政工室  </w:t>
      </w:r>
      <w:r>
        <w:rPr>
          <w:rFonts w:hint="eastAsia" w:ascii="仿宋" w:hAnsi="仿宋" w:eastAsia="仿宋" w:cs="仿宋"/>
          <w:sz w:val="32"/>
          <w:szCs w:val="32"/>
        </w:rPr>
        <w:t>研究贯彻县委和市委政法委关于加强政法队伍建设的具体措施，指导全县政法队伍建设；牵头负责政治督察工作；指导政法系统人才队伍建设；贯彻执行协管政法干部有关规定，配合有关部门，研究提出政法系统领导班子建设和干部调配的意见；承办有关任免意见征求、集中调整干部方案审批等工作；负责指导组织开展机关、直属单位及政法队伍教育培训工作；配合有关部门办理政法系统功勋荣誉表彰和政法干警牺牲伤残救助等有关工作；负责机关人事、劳资、奖惩工作；配合系统党委做好政法系统党建工作；根据授权，管理县法学会的干部；负责机关党建和老干部工作，指导做好宣传教育工作。</w:t>
      </w:r>
    </w:p>
    <w:p w14:paraId="1841008C">
      <w:pPr>
        <w:ind w:firstLine="643" w:firstLineChars="200"/>
        <w:rPr>
          <w:rFonts w:hint="eastAsia" w:ascii="仿宋" w:hAnsi="仿宋" w:eastAsia="仿宋" w:cs="仿宋"/>
          <w:sz w:val="32"/>
          <w:szCs w:val="32"/>
        </w:rPr>
      </w:pPr>
      <w:r>
        <w:rPr>
          <w:rFonts w:hint="eastAsia" w:ascii="仿宋" w:hAnsi="仿宋" w:eastAsia="仿宋" w:cs="仿宋"/>
          <w:b/>
          <w:sz w:val="32"/>
          <w:szCs w:val="32"/>
        </w:rPr>
        <w:t>3、执法检查室</w:t>
      </w:r>
      <w:r>
        <w:rPr>
          <w:rFonts w:hint="eastAsia" w:ascii="仿宋" w:hAnsi="仿宋" w:eastAsia="仿宋" w:cs="仿宋"/>
          <w:sz w:val="32"/>
          <w:szCs w:val="32"/>
        </w:rPr>
        <w:t xml:space="preserve">  负责承办政法部门执行党的路线方针政策和国家法律法规情况的监督检查；针对突出违法问题，承办专项检查和专项治理，及时纠正存在的问题，研究制定相关工作措施；承办政法部门和政法干警在中央防止干预司法“三个规定”方面贯彻落实情况的监督检查，监督和支持政法各部门依法履行职责、行使职权；承办重大执法司法活动的协调推动和重大事项的报告备案；协调推进司法体制改革工作；完成法治建设的相关工作任务；承办执法监督综合性事宜；负责对政法部门依法履行职责、行使职权和纪律作风等方面情况进行督察，发现、掌握政法干警违纪违法线索；协助纪检监察机关或者协调县纪委监委派驻县直政法各单位纪检监察组查处政法单位领导干部和干警在执法中的违纪违法问题；开展专项执法巡查工作；承办县委政法委牵头的党风廉政建设事宜；督促推动政法部门依法公正处理重大、疑难和群众反映强烈的案件；指导协调县委和市委政法委交办案（事）件、需要县委政法委统筹研究把握原则政策的重大敏感案（事）件的依法处理工作；指导政法部门完善地区之间的办案协调工作机制，政法部门之间相互配合、相互制约和办案协调工作机制，政法部门与有关部门之间案件沟通工作机制；开展案件督办、案件协调、案件评查等工作；督促指导涉法涉诉信访工作，协调解决跨地区、跨部门的涉法涉诉信访案件；协同做好政治督察工作。</w:t>
      </w:r>
    </w:p>
    <w:p w14:paraId="1005B5E0">
      <w:pPr>
        <w:rPr>
          <w:rFonts w:hint="eastAsia" w:ascii="仿宋" w:hAnsi="仿宋" w:eastAsia="仿宋" w:cs="仿宋"/>
          <w:b/>
          <w:sz w:val="32"/>
          <w:szCs w:val="32"/>
        </w:rPr>
      </w:pPr>
      <w:r>
        <w:rPr>
          <w:rFonts w:hint="eastAsia" w:ascii="仿宋" w:hAnsi="仿宋" w:eastAsia="仿宋" w:cs="仿宋"/>
          <w:sz w:val="32"/>
          <w:szCs w:val="32"/>
        </w:rPr>
        <w:t xml:space="preserve">  </w:t>
      </w:r>
      <w:r>
        <w:rPr>
          <w:rFonts w:hint="eastAsia" w:ascii="仿宋" w:hAnsi="仿宋" w:eastAsia="仿宋" w:cs="仿宋"/>
          <w:b/>
          <w:sz w:val="32"/>
          <w:szCs w:val="32"/>
        </w:rPr>
        <w:t xml:space="preserve"> 4、综治维稳室  </w:t>
      </w:r>
      <w:r>
        <w:rPr>
          <w:rFonts w:hint="eastAsia" w:ascii="仿宋" w:hAnsi="仿宋" w:eastAsia="仿宋" w:cs="仿宋"/>
          <w:sz w:val="32"/>
          <w:szCs w:val="32"/>
        </w:rPr>
        <w:t>负责推动落实平安建设领导责任制；调查分析全县社会治安形势并提出对策建议；承办社会治安综合治理工作的组织协调、督导检查和综合考评；指导协调各乡镇各部门推进社会治安重点地区和突出治安问题排查整治、社会治安防控体系建设；积极推动扫黑除恶专项斗争；协调推动重点领域、行业、物品安全管理；调查研究流动人口、特殊人群和重点青少年群体等服务管理工作有关问题并提出政策建议；协调推动建立覆盖全部实有人口的动态管理体系、特殊人群社会关怀帮扶体系；指导协调预防和减少青少年违法犯罪工作；指导推动全县健全完善社会心理服务体系和疏导机制、危机干预机制；负责组织开展调查研究，了解掌握邪教组织和有害气功等影响社会稳定的情况动态，分析研判社会稳定形势，及时提出对策建议，指导协调政法等部门处理影响社会稳定的重大事项，推动防范、化解影响稳定的社会矛盾和风险；指导协调各相关部门做好反邪教工作，统筹部署开展重大斗争活动。</w:t>
      </w:r>
    </w:p>
    <w:p w14:paraId="74A2E70F">
      <w:pPr>
        <w:spacing w:line="700" w:lineRule="exact"/>
        <w:rPr>
          <w:rFonts w:hint="eastAsia" w:ascii="仿宋" w:hAnsi="仿宋" w:eastAsia="仿宋" w:cs="仿宋"/>
          <w:b/>
          <w:bCs/>
          <w:sz w:val="32"/>
          <w:szCs w:val="32"/>
        </w:rPr>
      </w:pPr>
      <w:r>
        <w:rPr>
          <w:rFonts w:hint="eastAsia" w:ascii="仿宋" w:hAnsi="仿宋" w:eastAsia="仿宋" w:cs="仿宋"/>
          <w:b/>
          <w:bCs/>
          <w:sz w:val="32"/>
          <w:szCs w:val="32"/>
        </w:rPr>
        <w:t xml:space="preserve">   5、基层社会治理室  </w:t>
      </w:r>
      <w:r>
        <w:rPr>
          <w:rFonts w:hint="eastAsia" w:ascii="仿宋" w:hAnsi="仿宋" w:eastAsia="仿宋" w:cs="仿宋"/>
          <w:sz w:val="32"/>
          <w:szCs w:val="32"/>
        </w:rPr>
        <w:t>协调推进基层社会治安综合治理体系建设，推动开展基层平安创建活动；指导协调推动各级综治中心建设、深化拓展网格化服务管理，完善乡镇、村（社区）综治维稳机制，推动人、财、物保障落实；指导协调公用设施和重要基础设施安全防护、护路护线联防、校园和医院及周边社会治安综合治理工作；指导协调推动“雪亮工程”等社会治安综合治理信息化建设和综治中心工作；调查研究非公有制经济组织、社会组织服务管理工作有关问题并提出政策建议；研究完善群众利益协调机制，组织协调矛盾纠纷多元化解工作。落实市委和县委关于政法工作智能化建设的部署和要求，统筹推进全县政法机关信息化、智能化建设工作；协调推进政法机关网络设施共建和信息资源共享；规划推动党委政法委信息化、智能化建设；负责机关计算机及信息网络维护管理。</w:t>
      </w:r>
    </w:p>
    <w:p w14:paraId="38F92DF4">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年度绩效目标</w:t>
      </w:r>
    </w:p>
    <w:p w14:paraId="36E92405">
      <w:pPr>
        <w:autoSpaceDE w:val="0"/>
        <w:autoSpaceDN w:val="0"/>
        <w:adjustRightInd w:val="0"/>
        <w:spacing w:before="100" w:after="100"/>
        <w:ind w:firstLine="704" w:firstLineChars="220"/>
        <w:rPr>
          <w:rFonts w:hint="eastAsia" w:ascii="仿宋" w:hAnsi="仿宋" w:eastAsia="仿宋" w:cs="仿宋"/>
          <w:color w:val="000000"/>
          <w:kern w:val="0"/>
          <w:sz w:val="32"/>
          <w:szCs w:val="32"/>
          <w:highlight w:val="white"/>
          <w:lang w:val="zh-CN"/>
        </w:rPr>
      </w:pPr>
      <w:r>
        <w:rPr>
          <w:rFonts w:hint="eastAsia" w:ascii="仿宋" w:hAnsi="仿宋" w:eastAsia="仿宋" w:cs="仿宋"/>
          <w:color w:val="000000"/>
          <w:kern w:val="0"/>
          <w:sz w:val="32"/>
          <w:szCs w:val="32"/>
          <w:highlight w:val="white"/>
          <w:lang w:val="zh-CN"/>
        </w:rPr>
        <w:t>贯彻落实上级指示精神，统一思想和行动，对全县政法工作做出全局性部署；指导、协调和督导各级各部门排查、化解影响社会稳定的重大不稳定隐患、群体性事件和突发事件。贯彻实施国家安全战略，推进国家安全法制建设，贯彻落实国家安全工作方针，研究解决涉及国家安全工作的重大问题；加强三级综治中心实体化、标准化、规范化建设，充分利用好政法网络，做好运行维护保障工作；全国“两会”等敏感时期铁路护路、进京赴省到市信访、安全保卫工作；加强首都护城河工程建设，扎实推进平安建设各项工作；发动广大人民群众积极参与平安建设，促进社会和谐稳定；推动涉法涉诉类案件的息诉罢访工作，加大对符合救助条件的人员进行司法救助；落实国家从优待警政策，提升政法队伍整体战斗力水平；加强队伍建设，提高干警</w:t>
      </w:r>
      <w:r>
        <w:rPr>
          <w:rFonts w:hint="eastAsia" w:ascii="仿宋" w:hAnsi="仿宋" w:eastAsia="仿宋" w:cs="仿宋"/>
          <w:color w:val="000000"/>
          <w:kern w:val="0"/>
          <w:sz w:val="32"/>
          <w:szCs w:val="32"/>
          <w:highlight w:val="white"/>
          <w:lang w:val="en-US" w:eastAsia="zh-CN"/>
        </w:rPr>
        <w:t>政治</w:t>
      </w:r>
      <w:bookmarkStart w:id="1" w:name="_GoBack"/>
      <w:bookmarkEnd w:id="1"/>
      <w:r>
        <w:rPr>
          <w:rFonts w:hint="eastAsia" w:ascii="仿宋" w:hAnsi="仿宋" w:eastAsia="仿宋" w:cs="仿宋"/>
          <w:color w:val="000000"/>
          <w:kern w:val="0"/>
          <w:sz w:val="32"/>
          <w:szCs w:val="32"/>
          <w:highlight w:val="white"/>
          <w:lang w:val="zh-CN"/>
        </w:rPr>
        <w:t>素质。</w:t>
      </w:r>
    </w:p>
    <w:p w14:paraId="6AE8AD4E">
      <w:pPr>
        <w:autoSpaceDE w:val="0"/>
        <w:autoSpaceDN w:val="0"/>
        <w:adjustRightInd w:val="0"/>
        <w:spacing w:before="100" w:after="100"/>
        <w:ind w:firstLine="482" w:firstLineChars="150"/>
        <w:rPr>
          <w:rFonts w:hint="eastAsia" w:ascii="仿宋" w:hAnsi="仿宋" w:eastAsia="仿宋" w:cs="仿宋"/>
          <w:b/>
          <w:bCs/>
          <w:color w:val="000000"/>
          <w:kern w:val="0"/>
          <w:sz w:val="32"/>
          <w:szCs w:val="32"/>
          <w:highlight w:val="white"/>
          <w:lang w:val="zh-CN"/>
        </w:rPr>
      </w:pPr>
      <w:r>
        <w:rPr>
          <w:rFonts w:hint="eastAsia" w:ascii="仿宋" w:hAnsi="仿宋" w:eastAsia="仿宋" w:cs="仿宋"/>
          <w:b/>
          <w:bCs/>
          <w:color w:val="000000"/>
          <w:kern w:val="0"/>
          <w:sz w:val="32"/>
          <w:szCs w:val="32"/>
          <w:highlight w:val="white"/>
          <w:lang w:val="en-US" w:eastAsia="zh-CN"/>
        </w:rPr>
        <w:t>四、</w:t>
      </w:r>
      <w:r>
        <w:rPr>
          <w:rFonts w:hint="eastAsia" w:ascii="仿宋" w:hAnsi="仿宋" w:eastAsia="仿宋" w:cs="仿宋"/>
          <w:b/>
          <w:bCs/>
          <w:color w:val="000000"/>
          <w:kern w:val="0"/>
          <w:sz w:val="32"/>
          <w:szCs w:val="32"/>
          <w:highlight w:val="white"/>
          <w:lang w:val="zh-CN"/>
        </w:rPr>
        <w:t>部门预算绩效管理开展情况</w:t>
      </w:r>
    </w:p>
    <w:p w14:paraId="4E4581C8">
      <w:pPr>
        <w:widowControl/>
        <w:ind w:firstLine="643" w:firstLineChars="200"/>
        <w:jc w:val="left"/>
        <w:rPr>
          <w:rFonts w:hint="eastAsia" w:ascii="仿宋" w:hAnsi="仿宋" w:eastAsia="仿宋" w:cs="仿宋"/>
          <w:b/>
          <w:sz w:val="32"/>
          <w:szCs w:val="32"/>
        </w:rPr>
      </w:pPr>
      <w:r>
        <w:rPr>
          <w:rFonts w:hint="eastAsia" w:ascii="仿宋" w:hAnsi="仿宋" w:eastAsia="仿宋" w:cs="仿宋"/>
          <w:b/>
          <w:sz w:val="32"/>
          <w:szCs w:val="32"/>
        </w:rPr>
        <w:t>1、前期准备</w:t>
      </w:r>
    </w:p>
    <w:p w14:paraId="06FB6329">
      <w:pPr>
        <w:widowControl/>
        <w:ind w:firstLine="640" w:firstLineChars="200"/>
        <w:jc w:val="left"/>
        <w:rPr>
          <w:rFonts w:hint="eastAsia" w:ascii="仿宋" w:hAnsi="仿宋" w:eastAsia="仿宋" w:cs="仿宋"/>
          <w:b/>
          <w:sz w:val="32"/>
          <w:szCs w:val="32"/>
        </w:rPr>
      </w:pPr>
      <w:r>
        <w:rPr>
          <w:rFonts w:hint="eastAsia" w:ascii="仿宋" w:hAnsi="仿宋" w:eastAsia="仿宋" w:cs="仿宋"/>
          <w:sz w:val="32"/>
          <w:szCs w:val="32"/>
        </w:rPr>
        <w:t>(1)确定绩效评价组成员。</w:t>
      </w:r>
    </w:p>
    <w:p w14:paraId="2E58BA23">
      <w:pPr>
        <w:widowControl/>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(2)培训绩效评价组成员。</w:t>
      </w:r>
    </w:p>
    <w:p w14:paraId="191EB1BF">
      <w:pPr>
        <w:widowControl/>
        <w:ind w:firstLine="643" w:firstLineChars="200"/>
        <w:jc w:val="left"/>
        <w:rPr>
          <w:rFonts w:hint="eastAsia" w:ascii="仿宋" w:hAnsi="仿宋" w:eastAsia="仿宋" w:cs="仿宋"/>
          <w:b/>
          <w:sz w:val="32"/>
          <w:szCs w:val="32"/>
        </w:rPr>
      </w:pPr>
      <w:r>
        <w:rPr>
          <w:rFonts w:hint="eastAsia" w:ascii="仿宋" w:hAnsi="仿宋" w:eastAsia="仿宋" w:cs="仿宋"/>
          <w:b/>
          <w:sz w:val="32"/>
          <w:szCs w:val="32"/>
        </w:rPr>
        <w:t>2、组织实施</w:t>
      </w:r>
    </w:p>
    <w:p w14:paraId="2F1D53CB">
      <w:pPr>
        <w:widowControl/>
        <w:ind w:firstLine="480" w:firstLineChars="150"/>
        <w:jc w:val="left"/>
        <w:rPr>
          <w:rFonts w:hint="eastAsia" w:ascii="仿宋" w:hAnsi="仿宋" w:eastAsia="仿宋" w:cs="仿宋"/>
          <w:sz w:val="32"/>
          <w:szCs w:val="32"/>
        </w:rPr>
      </w:pPr>
      <w:r>
        <w:rPr>
          <w:rFonts w:hint="eastAsia" w:ascii="仿宋" w:hAnsi="仿宋" w:eastAsia="仿宋" w:cs="仿宋"/>
          <w:sz w:val="32"/>
          <w:szCs w:val="32"/>
        </w:rPr>
        <w:t>(1)实施前期调研工作，听取相关人员情况介绍，充分了解评价项目有关情况。</w:t>
      </w:r>
    </w:p>
    <w:p w14:paraId="5C040E86">
      <w:pPr>
        <w:widowControl/>
        <w:ind w:firstLine="480" w:firstLineChars="150"/>
        <w:jc w:val="left"/>
        <w:rPr>
          <w:rFonts w:hint="eastAsia" w:ascii="仿宋" w:hAnsi="仿宋" w:eastAsia="仿宋" w:cs="仿宋"/>
          <w:sz w:val="32"/>
          <w:szCs w:val="32"/>
        </w:rPr>
      </w:pPr>
      <w:r>
        <w:rPr>
          <w:rFonts w:hint="eastAsia" w:ascii="仿宋" w:hAnsi="仿宋" w:eastAsia="仿宋" w:cs="仿宋"/>
          <w:sz w:val="32"/>
          <w:szCs w:val="32"/>
        </w:rPr>
        <w:t>(2)收集查阅与评价项目有关的政策及相关资料。</w:t>
      </w:r>
    </w:p>
    <w:p w14:paraId="4C4E2D38">
      <w:pPr>
        <w:widowControl/>
        <w:ind w:firstLine="480" w:firstLineChars="150"/>
        <w:jc w:val="left"/>
        <w:rPr>
          <w:rFonts w:hint="eastAsia" w:ascii="仿宋" w:hAnsi="仿宋" w:eastAsia="仿宋" w:cs="仿宋"/>
          <w:sz w:val="32"/>
          <w:szCs w:val="32"/>
        </w:rPr>
      </w:pPr>
      <w:r>
        <w:rPr>
          <w:rFonts w:hint="eastAsia" w:ascii="仿宋" w:hAnsi="仿宋" w:eastAsia="仿宋" w:cs="仿宋"/>
          <w:sz w:val="32"/>
          <w:szCs w:val="32"/>
        </w:rPr>
        <w:t>(3)根据项目预期绩效目标设定情况，审查有关对应的业务资料。</w:t>
      </w:r>
    </w:p>
    <w:p w14:paraId="246C7C50">
      <w:pPr>
        <w:widowControl/>
        <w:ind w:firstLine="480" w:firstLineChars="150"/>
        <w:jc w:val="left"/>
        <w:rPr>
          <w:rFonts w:hint="eastAsia" w:ascii="仿宋" w:hAnsi="仿宋" w:eastAsia="仿宋" w:cs="仿宋"/>
          <w:sz w:val="32"/>
          <w:szCs w:val="32"/>
        </w:rPr>
      </w:pPr>
      <w:r>
        <w:rPr>
          <w:rFonts w:hint="eastAsia" w:ascii="仿宋" w:hAnsi="仿宋" w:eastAsia="仿宋" w:cs="仿宋"/>
          <w:sz w:val="32"/>
          <w:szCs w:val="32"/>
        </w:rPr>
        <w:t>(4)根据项目预算安排情况，审查有关对应的收支财务资料。</w:t>
      </w:r>
    </w:p>
    <w:p w14:paraId="44BEA7EA">
      <w:pPr>
        <w:widowControl/>
        <w:ind w:firstLine="480" w:firstLineChars="150"/>
        <w:jc w:val="left"/>
        <w:rPr>
          <w:rFonts w:hint="eastAsia" w:ascii="仿宋" w:hAnsi="仿宋" w:eastAsia="仿宋" w:cs="仿宋"/>
          <w:sz w:val="32"/>
          <w:szCs w:val="32"/>
        </w:rPr>
      </w:pPr>
      <w:r>
        <w:rPr>
          <w:rFonts w:hint="eastAsia" w:ascii="仿宋" w:hAnsi="仿宋" w:eastAsia="仿宋" w:cs="仿宋"/>
          <w:sz w:val="32"/>
          <w:szCs w:val="32"/>
        </w:rPr>
        <w:t>(5)根据业务资料、财务资料、项目具体实施情况，对项目的完成程度、执行效益或质量做出评判。</w:t>
      </w:r>
    </w:p>
    <w:p w14:paraId="50FCAAC8">
      <w:pPr>
        <w:widowControl/>
        <w:ind w:firstLine="480" w:firstLineChars="150"/>
        <w:jc w:val="left"/>
        <w:rPr>
          <w:rFonts w:hint="eastAsia" w:ascii="仿宋" w:hAnsi="仿宋" w:eastAsia="仿宋" w:cs="仿宋"/>
          <w:sz w:val="32"/>
          <w:szCs w:val="32"/>
        </w:rPr>
      </w:pPr>
      <w:r>
        <w:rPr>
          <w:rFonts w:hint="eastAsia" w:ascii="仿宋" w:hAnsi="仿宋" w:eastAsia="仿宋" w:cs="仿宋"/>
          <w:sz w:val="32"/>
          <w:szCs w:val="32"/>
        </w:rPr>
        <w:t>(6)在现场评价的基础上，对照评价指标体系与标准，通过分析相关评价资料，对项目绩效情况进行综合性评判并利用算术平均法计算打分。</w:t>
      </w:r>
    </w:p>
    <w:p w14:paraId="24FDADDE">
      <w:pPr>
        <w:widowControl/>
        <w:ind w:firstLine="480" w:firstLineChars="150"/>
        <w:jc w:val="left"/>
        <w:rPr>
          <w:rFonts w:hint="eastAsia" w:ascii="仿宋" w:hAnsi="仿宋" w:eastAsia="仿宋" w:cs="仿宋"/>
          <w:sz w:val="32"/>
          <w:szCs w:val="32"/>
        </w:rPr>
      </w:pPr>
      <w:r>
        <w:rPr>
          <w:rFonts w:hint="eastAsia" w:ascii="仿宋" w:hAnsi="仿宋" w:eastAsia="仿宋" w:cs="仿宋"/>
          <w:sz w:val="32"/>
          <w:szCs w:val="32"/>
        </w:rPr>
        <w:t>(7)形成绩效评价工作底稿。</w:t>
      </w:r>
    </w:p>
    <w:p w14:paraId="60A53CD1">
      <w:pPr>
        <w:widowControl/>
        <w:ind w:firstLine="480" w:firstLineChars="150"/>
        <w:jc w:val="left"/>
        <w:rPr>
          <w:rFonts w:hint="eastAsia" w:ascii="仿宋" w:hAnsi="仿宋" w:eastAsia="仿宋" w:cs="仿宋"/>
          <w:sz w:val="32"/>
          <w:szCs w:val="32"/>
        </w:rPr>
      </w:pPr>
      <w:r>
        <w:rPr>
          <w:rFonts w:hint="eastAsia" w:ascii="仿宋" w:hAnsi="仿宋" w:eastAsia="仿宋" w:cs="仿宋"/>
          <w:sz w:val="32"/>
          <w:szCs w:val="32"/>
        </w:rPr>
        <w:t>(8)形成评价结论并撰写评价报告。</w:t>
      </w:r>
    </w:p>
    <w:p w14:paraId="059929E5">
      <w:pPr>
        <w:ind w:left="480"/>
        <w:rPr>
          <w:rFonts w:hint="eastAsia" w:ascii="仿宋" w:hAnsi="仿宋" w:eastAsia="仿宋" w:cs="仿宋"/>
          <w:b/>
          <w:bCs/>
          <w:sz w:val="32"/>
          <w:szCs w:val="32"/>
        </w:rPr>
      </w:pP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部门预算资金及执行情况</w:t>
      </w:r>
    </w:p>
    <w:p w14:paraId="3BD1796E">
      <w:pPr>
        <w:ind w:firstLine="643" w:firstLineChars="200"/>
        <w:rPr>
          <w:rFonts w:hint="eastAsia" w:ascii="仿宋" w:hAnsi="仿宋" w:eastAsia="仿宋" w:cs="仿宋"/>
          <w:sz w:val="32"/>
          <w:szCs w:val="32"/>
        </w:rPr>
      </w:pPr>
      <w:r>
        <w:rPr>
          <w:rFonts w:hint="eastAsia" w:ascii="仿宋" w:hAnsi="仿宋" w:eastAsia="仿宋" w:cs="仿宋"/>
          <w:b/>
          <w:sz w:val="32"/>
          <w:szCs w:val="32"/>
        </w:rPr>
        <w:t>1、年初预算情况</w:t>
      </w:r>
      <w:r>
        <w:rPr>
          <w:rFonts w:hint="eastAsia" w:ascii="仿宋" w:hAnsi="仿宋" w:eastAsia="仿宋" w:cs="仿宋"/>
          <w:sz w:val="32"/>
          <w:szCs w:val="32"/>
        </w:rPr>
        <w:t>：2021年财政预算拨款   395万元，其中基本</w:t>
      </w:r>
      <w:bookmarkStart w:id="0" w:name="_Hlk104827727"/>
      <w:r>
        <w:rPr>
          <w:rFonts w:hint="eastAsia" w:ascii="仿宋" w:hAnsi="仿宋" w:eastAsia="仿宋" w:cs="仿宋"/>
          <w:sz w:val="32"/>
          <w:szCs w:val="32"/>
        </w:rPr>
        <w:t>支出</w:t>
      </w:r>
      <w:bookmarkEnd w:id="0"/>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297</w:t>
      </w:r>
      <w:r>
        <w:rPr>
          <w:rFonts w:hint="eastAsia" w:ascii="仿宋" w:hAnsi="仿宋" w:eastAsia="仿宋" w:cs="仿宋"/>
          <w:sz w:val="32"/>
          <w:szCs w:val="32"/>
        </w:rPr>
        <w:t>万元,业务性专项支出</w:t>
      </w:r>
      <w:r>
        <w:rPr>
          <w:rFonts w:hint="eastAsia" w:ascii="仿宋" w:hAnsi="仿宋" w:eastAsia="仿宋" w:cs="仿宋"/>
          <w:sz w:val="32"/>
          <w:szCs w:val="32"/>
          <w:lang w:val="en-US" w:eastAsia="zh-CN"/>
        </w:rPr>
        <w:t>98</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（工资福利支出</w:t>
      </w:r>
      <w:r>
        <w:rPr>
          <w:rFonts w:hint="eastAsia" w:ascii="仿宋" w:hAnsi="仿宋" w:eastAsia="仿宋" w:cs="仿宋"/>
          <w:sz w:val="32"/>
          <w:szCs w:val="32"/>
          <w:lang w:val="en-US" w:eastAsia="zh-CN"/>
        </w:rPr>
        <w:t>242</w:t>
      </w:r>
      <w:r>
        <w:rPr>
          <w:rFonts w:hint="eastAsia" w:ascii="仿宋" w:hAnsi="仿宋" w:eastAsia="仿宋" w:cs="仿宋"/>
          <w:sz w:val="32"/>
          <w:szCs w:val="32"/>
        </w:rPr>
        <w:t>万元、商品和服务支</w:t>
      </w:r>
      <w:r>
        <w:rPr>
          <w:rFonts w:hint="eastAsia" w:ascii="仿宋" w:hAnsi="仿宋" w:eastAsia="仿宋" w:cs="仿宋"/>
          <w:sz w:val="32"/>
          <w:szCs w:val="32"/>
          <w:lang w:val="en-US" w:eastAsia="zh-CN"/>
        </w:rPr>
        <w:t>105</w:t>
      </w:r>
      <w:r>
        <w:rPr>
          <w:rFonts w:hint="eastAsia" w:ascii="仿宋" w:hAnsi="仿宋" w:eastAsia="仿宋" w:cs="仿宋"/>
          <w:sz w:val="32"/>
          <w:szCs w:val="32"/>
        </w:rPr>
        <w:t>万元、对个人和家庭的补助支出4</w:t>
      </w:r>
      <w:r>
        <w:rPr>
          <w:rFonts w:hint="eastAsia" w:ascii="仿宋" w:hAnsi="仿宋" w:eastAsia="仿宋" w:cs="仿宋"/>
          <w:sz w:val="32"/>
          <w:szCs w:val="32"/>
          <w:lang w:val="en-US" w:eastAsia="zh-CN"/>
        </w:rPr>
        <w:t>8</w:t>
      </w:r>
      <w:r>
        <w:rPr>
          <w:rFonts w:hint="eastAsia" w:ascii="仿宋" w:hAnsi="仿宋" w:eastAsia="仿宋" w:cs="仿宋"/>
          <w:sz w:val="32"/>
          <w:szCs w:val="32"/>
        </w:rPr>
        <w:t>万元）。2021年度核定我委“三公”经费支</w:t>
      </w:r>
      <w:r>
        <w:rPr>
          <w:rFonts w:hint="eastAsia" w:ascii="仿宋" w:hAnsi="仿宋" w:eastAsia="仿宋" w:cs="仿宋"/>
          <w:sz w:val="32"/>
          <w:szCs w:val="32"/>
          <w:lang w:val="en-US" w:eastAsia="zh-CN"/>
        </w:rPr>
        <w:t>出</w:t>
      </w:r>
      <w:r>
        <w:rPr>
          <w:rFonts w:hint="eastAsia" w:ascii="仿宋" w:hAnsi="仿宋" w:eastAsia="仿宋" w:cs="仿宋"/>
          <w:sz w:val="32"/>
          <w:szCs w:val="32"/>
        </w:rPr>
        <w:t>4万元。其中公务接待费   0 万元，公务用车运行维护费 4   万元，因公出国（境）费用0元。</w:t>
      </w:r>
    </w:p>
    <w:p w14:paraId="230A5742">
      <w:pPr>
        <w:ind w:firstLine="643" w:firstLineChars="200"/>
        <w:rPr>
          <w:rFonts w:hint="eastAsia" w:ascii="仿宋" w:hAnsi="仿宋" w:eastAsia="仿宋" w:cs="仿宋"/>
          <w:sz w:val="32"/>
          <w:szCs w:val="32"/>
        </w:rPr>
      </w:pPr>
      <w:r>
        <w:rPr>
          <w:rFonts w:hint="eastAsia" w:ascii="仿宋" w:hAnsi="仿宋" w:eastAsia="仿宋" w:cs="仿宋"/>
          <w:b/>
          <w:sz w:val="32"/>
          <w:szCs w:val="32"/>
        </w:rPr>
        <w:t>2、预算执行完成情况</w:t>
      </w:r>
      <w:r>
        <w:rPr>
          <w:rFonts w:hint="eastAsia" w:ascii="仿宋" w:hAnsi="仿宋" w:eastAsia="仿宋" w:cs="仿宋"/>
          <w:sz w:val="32"/>
          <w:szCs w:val="32"/>
        </w:rPr>
        <w:t>：2021年度决算支出  395  万元，其中基本支出</w:t>
      </w:r>
      <w:r>
        <w:rPr>
          <w:rFonts w:hint="eastAsia" w:ascii="仿宋" w:hAnsi="仿宋" w:eastAsia="仿宋" w:cs="仿宋"/>
          <w:sz w:val="32"/>
          <w:szCs w:val="32"/>
          <w:lang w:val="en-US" w:eastAsia="zh-CN"/>
        </w:rPr>
        <w:t>297</w:t>
      </w:r>
      <w:r>
        <w:rPr>
          <w:rFonts w:hint="eastAsia" w:ascii="仿宋" w:hAnsi="仿宋" w:eastAsia="仿宋" w:cs="仿宋"/>
          <w:sz w:val="32"/>
          <w:szCs w:val="32"/>
        </w:rPr>
        <w:t xml:space="preserve">万元，业务性专项支出 </w:t>
      </w:r>
      <w:r>
        <w:rPr>
          <w:rFonts w:hint="eastAsia" w:ascii="仿宋" w:hAnsi="仿宋" w:eastAsia="仿宋" w:cs="仿宋"/>
          <w:sz w:val="32"/>
          <w:szCs w:val="32"/>
          <w:lang w:val="en-US" w:eastAsia="zh-CN"/>
        </w:rPr>
        <w:t>98</w:t>
      </w:r>
      <w:r>
        <w:rPr>
          <w:rFonts w:hint="eastAsia" w:ascii="仿宋" w:hAnsi="仿宋" w:eastAsia="仿宋" w:cs="仿宋"/>
          <w:sz w:val="32"/>
          <w:szCs w:val="32"/>
        </w:rPr>
        <w:t xml:space="preserve">万元。支出按经济分类情况是：工资福利支出 </w:t>
      </w:r>
      <w:r>
        <w:rPr>
          <w:rFonts w:hint="eastAsia" w:ascii="仿宋" w:hAnsi="仿宋" w:eastAsia="仿宋" w:cs="仿宋"/>
          <w:sz w:val="32"/>
          <w:szCs w:val="32"/>
          <w:lang w:val="en-US" w:eastAsia="zh-CN"/>
        </w:rPr>
        <w:t>242</w:t>
      </w:r>
      <w:r>
        <w:rPr>
          <w:rFonts w:hint="eastAsia" w:ascii="仿宋" w:hAnsi="仿宋" w:eastAsia="仿宋" w:cs="仿宋"/>
          <w:sz w:val="32"/>
          <w:szCs w:val="32"/>
        </w:rPr>
        <w:t>万元：商品和服务支出</w:t>
      </w:r>
      <w:r>
        <w:rPr>
          <w:rFonts w:hint="eastAsia" w:ascii="仿宋" w:hAnsi="仿宋" w:eastAsia="仿宋" w:cs="仿宋"/>
          <w:sz w:val="32"/>
          <w:szCs w:val="32"/>
          <w:lang w:val="en-US" w:eastAsia="zh-CN"/>
        </w:rPr>
        <w:t>105</w:t>
      </w:r>
      <w:r>
        <w:rPr>
          <w:rFonts w:hint="eastAsia" w:ascii="仿宋" w:hAnsi="仿宋" w:eastAsia="仿宋" w:cs="仿宋"/>
          <w:sz w:val="32"/>
          <w:szCs w:val="32"/>
        </w:rPr>
        <w:t>万元，对个人和家庭的补助支出</w:t>
      </w:r>
      <w:r>
        <w:rPr>
          <w:rFonts w:hint="eastAsia" w:ascii="仿宋" w:hAnsi="仿宋" w:eastAsia="仿宋" w:cs="仿宋"/>
          <w:sz w:val="32"/>
          <w:szCs w:val="32"/>
          <w:lang w:val="en-US" w:eastAsia="zh-CN"/>
        </w:rPr>
        <w:t>48</w:t>
      </w:r>
      <w:r>
        <w:rPr>
          <w:rFonts w:hint="eastAsia" w:ascii="仿宋" w:hAnsi="仿宋" w:eastAsia="仿宋" w:cs="仿宋"/>
          <w:sz w:val="32"/>
          <w:szCs w:val="32"/>
        </w:rPr>
        <w:t>万元</w:t>
      </w:r>
      <w:r>
        <w:rPr>
          <w:rFonts w:hint="eastAsia" w:ascii="仿宋" w:hAnsi="仿宋" w:eastAsia="仿宋" w:cs="仿宋"/>
          <w:sz w:val="32"/>
          <w:szCs w:val="32"/>
          <w:lang w:eastAsia="zh-CN"/>
        </w:rPr>
        <w:t>。</w:t>
      </w:r>
    </w:p>
    <w:p w14:paraId="700B121A">
      <w:pPr>
        <w:ind w:left="480"/>
        <w:rPr>
          <w:rFonts w:hint="eastAsia" w:ascii="仿宋" w:hAnsi="仿宋" w:eastAsia="仿宋" w:cs="仿宋"/>
          <w:b/>
          <w:sz w:val="32"/>
          <w:szCs w:val="32"/>
        </w:rPr>
      </w:pPr>
      <w:r>
        <w:rPr>
          <w:rFonts w:hint="eastAsia" w:ascii="仿宋" w:hAnsi="仿宋" w:eastAsia="仿宋" w:cs="仿宋"/>
          <w:b/>
          <w:sz w:val="32"/>
          <w:szCs w:val="32"/>
        </w:rPr>
        <w:t>3、部门资产情况</w:t>
      </w:r>
    </w:p>
    <w:p w14:paraId="094836B5">
      <w:pPr>
        <w:spacing w:line="560" w:lineRule="exact"/>
        <w:ind w:left="638" w:leftChars="304"/>
        <w:rPr>
          <w:rFonts w:hint="eastAsia" w:ascii="仿宋" w:hAnsi="仿宋" w:eastAsia="仿宋" w:cs="仿宋"/>
          <w:sz w:val="32"/>
          <w:szCs w:val="32"/>
        </w:rPr>
      </w:pPr>
      <w:r>
        <w:rPr>
          <w:rFonts w:hint="eastAsia" w:ascii="仿宋" w:hAnsi="仿宋" w:eastAsia="仿宋" w:cs="仿宋"/>
          <w:sz w:val="32"/>
          <w:szCs w:val="32"/>
        </w:rPr>
        <w:t>我单位2021年末部门资产合计    886421元，其中通764981用设备元，家具、用具、装具及动植物  121440  元。</w:t>
      </w:r>
    </w:p>
    <w:p w14:paraId="60E7C843">
      <w:pPr>
        <w:ind w:firstLine="482"/>
        <w:rPr>
          <w:rFonts w:hint="eastAsia" w:ascii="仿宋" w:hAnsi="仿宋" w:eastAsia="仿宋" w:cs="仿宋"/>
          <w:b/>
          <w:bCs/>
          <w:i w:val="0"/>
          <w:iCs w:val="0"/>
          <w:sz w:val="32"/>
          <w:szCs w:val="32"/>
        </w:rPr>
      </w:pPr>
      <w:r>
        <w:rPr>
          <w:rFonts w:hint="eastAsia" w:ascii="仿宋" w:hAnsi="仿宋" w:eastAsia="仿宋" w:cs="仿宋"/>
          <w:b/>
          <w:bCs/>
          <w:i w:val="0"/>
          <w:iCs w:val="0"/>
          <w:sz w:val="32"/>
          <w:szCs w:val="32"/>
          <w:lang w:val="en-US" w:eastAsia="zh-CN"/>
        </w:rPr>
        <w:t>六</w:t>
      </w:r>
      <w:r>
        <w:rPr>
          <w:rFonts w:hint="eastAsia" w:ascii="仿宋" w:hAnsi="仿宋" w:eastAsia="仿宋" w:cs="仿宋"/>
          <w:b/>
          <w:bCs/>
          <w:i w:val="0"/>
          <w:iCs w:val="0"/>
          <w:sz w:val="32"/>
          <w:szCs w:val="32"/>
        </w:rPr>
        <w:t>、部门整体支出绩效实现情况</w:t>
      </w:r>
    </w:p>
    <w:p w14:paraId="301C5C33">
      <w:pPr>
        <w:ind w:firstLine="480"/>
        <w:rPr>
          <w:rFonts w:hint="eastAsia" w:ascii="仿宋" w:hAnsi="仿宋" w:eastAsia="仿宋" w:cs="仿宋"/>
          <w:sz w:val="32"/>
          <w:szCs w:val="32"/>
        </w:rPr>
      </w:pPr>
      <w:r>
        <w:rPr>
          <w:rFonts w:hint="eastAsia" w:ascii="仿宋" w:hAnsi="仿宋" w:eastAsia="仿宋" w:cs="仿宋"/>
          <w:sz w:val="32"/>
          <w:szCs w:val="32"/>
        </w:rPr>
        <w:t>（一）履职完成情况</w:t>
      </w:r>
    </w:p>
    <w:p w14:paraId="265ADAD5">
      <w:pPr>
        <w:spacing w:line="600" w:lineRule="exact"/>
        <w:ind w:firstLine="630"/>
        <w:rPr>
          <w:rFonts w:hint="eastAsia" w:ascii="仿宋" w:hAnsi="仿宋" w:eastAsia="仿宋" w:cs="仿宋"/>
          <w:sz w:val="32"/>
          <w:szCs w:val="32"/>
        </w:rPr>
      </w:pPr>
      <w:r>
        <w:rPr>
          <w:rFonts w:hint="eastAsia" w:ascii="仿宋" w:hAnsi="仿宋" w:eastAsia="仿宋" w:cs="仿宋"/>
          <w:sz w:val="32"/>
          <w:szCs w:val="32"/>
        </w:rPr>
        <w:t>本年度，我单位按照财政全年下达的预算指标来安排各项工作，预算执行情况良好。在单位的日常经费管理中首先保障单位基本运转，保障人员经费支出及日常公用经费支出，项目资金用于单位专项业务方面。同时在保障基本运转的前提下，项目完成质量较好。我单位严格按照程序召开由各科室参加的预算工作会，全面细致的要求各科室提供年度所需公用经费和项目支出明细，各科室将细化的项目数上报财务。编制坚持量力而行、出重点、讲求实效等原则，科学准确地编制收入预算，各项拨款及上年结余均纳入部门预算，规范支出预算编制。</w:t>
      </w:r>
    </w:p>
    <w:p w14:paraId="0EFA3284">
      <w:pPr>
        <w:ind w:firstLine="480"/>
        <w:rPr>
          <w:rFonts w:hint="eastAsia" w:ascii="仿宋" w:hAnsi="仿宋" w:eastAsia="仿宋" w:cs="仿宋"/>
          <w:sz w:val="32"/>
          <w:szCs w:val="32"/>
        </w:rPr>
      </w:pPr>
      <w:r>
        <w:rPr>
          <w:rFonts w:hint="eastAsia" w:ascii="仿宋" w:hAnsi="仿宋" w:eastAsia="仿宋" w:cs="仿宋"/>
          <w:sz w:val="32"/>
          <w:szCs w:val="32"/>
        </w:rPr>
        <w:t>（二）履职效果情况</w:t>
      </w:r>
    </w:p>
    <w:p w14:paraId="20010B87">
      <w:pPr>
        <w:spacing w:line="600" w:lineRule="exact"/>
        <w:ind w:firstLine="630"/>
        <w:rPr>
          <w:rFonts w:hint="eastAsia" w:ascii="仿宋" w:hAnsi="仿宋" w:eastAsia="仿宋" w:cs="仿宋"/>
          <w:sz w:val="32"/>
          <w:szCs w:val="32"/>
        </w:rPr>
      </w:pPr>
      <w:r>
        <w:rPr>
          <w:rFonts w:hint="eastAsia" w:ascii="仿宋" w:hAnsi="仿宋" w:eastAsia="仿宋" w:cs="仿宋"/>
          <w:sz w:val="32"/>
          <w:szCs w:val="32"/>
        </w:rPr>
        <w:t>我单位支出绩效总体良好，大部分项目达到了相应时期执行进度，各项目经费按照预算实施，县财政收支预算执行都得到了良好的制度保障和实施效果。我单位按照财政全年下达的预算指标来安排各项工作，预算执行情况良好。在单位的日常经费管理中首先保障单位基本运转，保障人员经费支出及日常公用经费支出，项目资金用于单位专项业务支出。同时在保障基本运转的前提下，大力倡导即行节约。</w:t>
      </w:r>
    </w:p>
    <w:p w14:paraId="60915AD3">
      <w:pPr>
        <w:spacing w:line="600" w:lineRule="exact"/>
        <w:ind w:firstLine="630"/>
        <w:rPr>
          <w:rFonts w:hint="eastAsia" w:ascii="仿宋" w:hAnsi="仿宋" w:eastAsia="仿宋" w:cs="仿宋"/>
          <w:sz w:val="32"/>
          <w:szCs w:val="32"/>
        </w:rPr>
      </w:pPr>
      <w:r>
        <w:rPr>
          <w:rFonts w:hint="eastAsia" w:ascii="仿宋" w:hAnsi="仿宋" w:eastAsia="仿宋" w:cs="仿宋"/>
          <w:sz w:val="32"/>
          <w:szCs w:val="32"/>
        </w:rPr>
        <w:t>（三）社会满意度及可持续性影响</w:t>
      </w:r>
    </w:p>
    <w:p w14:paraId="47C26F1C">
      <w:pPr>
        <w:spacing w:line="600" w:lineRule="exact"/>
        <w:ind w:firstLine="630"/>
        <w:rPr>
          <w:rFonts w:hint="eastAsia" w:ascii="仿宋" w:hAnsi="仿宋" w:eastAsia="仿宋" w:cs="仿宋"/>
          <w:sz w:val="32"/>
          <w:szCs w:val="32"/>
        </w:rPr>
      </w:pPr>
      <w:r>
        <w:rPr>
          <w:rFonts w:hint="eastAsia" w:ascii="仿宋" w:hAnsi="仿宋" w:eastAsia="仿宋" w:cs="仿宋"/>
          <w:sz w:val="32"/>
          <w:szCs w:val="32"/>
        </w:rPr>
        <w:t>县委政法委维护社会稳定、开展综合治理、创建平安兴县、助推脱贫攻坚、促进全县经济社会发展等工作举措成效显著，服务发展大局能力和水平进一步提高，社会满意度明显增强。</w:t>
      </w:r>
    </w:p>
    <w:p w14:paraId="0D568822">
      <w:pPr>
        <w:ind w:firstLine="482"/>
        <w:rPr>
          <w:rFonts w:hint="eastAsia" w:ascii="仿宋" w:hAnsi="仿宋" w:eastAsia="仿宋" w:cs="仿宋"/>
          <w:b/>
          <w:bCs/>
          <w:sz w:val="32"/>
          <w:szCs w:val="32"/>
        </w:rPr>
      </w:pPr>
      <w:r>
        <w:rPr>
          <w:rFonts w:hint="eastAsia" w:ascii="仿宋" w:hAnsi="仿宋" w:eastAsia="仿宋" w:cs="仿宋"/>
          <w:b/>
          <w:bCs/>
          <w:sz w:val="32"/>
          <w:szCs w:val="32"/>
          <w:lang w:val="en-US" w:eastAsia="zh-CN"/>
        </w:rPr>
        <w:t>七</w:t>
      </w:r>
      <w:r>
        <w:rPr>
          <w:rFonts w:hint="eastAsia" w:ascii="仿宋" w:hAnsi="仿宋" w:eastAsia="仿宋" w:cs="仿宋"/>
          <w:b/>
          <w:bCs/>
          <w:sz w:val="32"/>
          <w:szCs w:val="32"/>
        </w:rPr>
        <w:t>、存在的主要问题及改进措施</w:t>
      </w:r>
    </w:p>
    <w:p w14:paraId="1E2F4CB5">
      <w:pPr>
        <w:ind w:firstLine="480"/>
        <w:rPr>
          <w:rFonts w:hint="eastAsia" w:ascii="仿宋" w:hAnsi="仿宋" w:eastAsia="仿宋" w:cs="仿宋"/>
          <w:sz w:val="32"/>
          <w:szCs w:val="32"/>
        </w:rPr>
      </w:pPr>
      <w:r>
        <w:rPr>
          <w:rFonts w:hint="eastAsia" w:ascii="仿宋" w:hAnsi="仿宋" w:eastAsia="仿宋" w:cs="仿宋"/>
          <w:sz w:val="32"/>
          <w:szCs w:val="32"/>
        </w:rPr>
        <w:t>（一）存在的主要问题</w:t>
      </w:r>
    </w:p>
    <w:p w14:paraId="0CB026A1">
      <w:pPr>
        <w:ind w:firstLine="480"/>
        <w:rPr>
          <w:rFonts w:hint="eastAsia" w:ascii="仿宋" w:hAnsi="仿宋" w:eastAsia="仿宋" w:cs="仿宋"/>
          <w:sz w:val="32"/>
          <w:szCs w:val="32"/>
        </w:rPr>
      </w:pPr>
      <w:r>
        <w:rPr>
          <w:rFonts w:hint="eastAsia" w:ascii="仿宋" w:hAnsi="仿宋" w:eastAsia="仿宋" w:cs="仿宋"/>
          <w:sz w:val="32"/>
          <w:szCs w:val="32"/>
        </w:rPr>
        <w:t>1、绩效管理工作还比较粗放。</w:t>
      </w:r>
    </w:p>
    <w:p w14:paraId="1DEB4A1D">
      <w:pPr>
        <w:ind w:firstLine="480"/>
        <w:rPr>
          <w:rFonts w:hint="eastAsia" w:ascii="仿宋" w:hAnsi="仿宋" w:eastAsia="仿宋" w:cs="仿宋"/>
          <w:sz w:val="32"/>
          <w:szCs w:val="32"/>
        </w:rPr>
      </w:pPr>
      <w:r>
        <w:rPr>
          <w:rFonts w:hint="eastAsia" w:ascii="仿宋" w:hAnsi="仿宋" w:eastAsia="仿宋" w:cs="仿宋"/>
          <w:sz w:val="32"/>
          <w:szCs w:val="32"/>
        </w:rPr>
        <w:t>2、财务制度执行力有待加强，资金使用计划有待细化。</w:t>
      </w:r>
    </w:p>
    <w:p w14:paraId="764221E2">
      <w:pPr>
        <w:ind w:firstLine="480"/>
        <w:rPr>
          <w:rFonts w:hint="eastAsia" w:ascii="仿宋" w:hAnsi="仿宋" w:eastAsia="仿宋" w:cs="仿宋"/>
          <w:sz w:val="32"/>
          <w:szCs w:val="32"/>
        </w:rPr>
      </w:pPr>
      <w:r>
        <w:rPr>
          <w:rFonts w:hint="eastAsia" w:ascii="仿宋" w:hAnsi="仿宋" w:eastAsia="仿宋" w:cs="仿宋"/>
          <w:sz w:val="32"/>
          <w:szCs w:val="32"/>
        </w:rPr>
        <w:t>3、财政预算资金到位比较迟缓，各项目经费支付不能及时到位。</w:t>
      </w:r>
    </w:p>
    <w:p w14:paraId="24F87520">
      <w:pPr>
        <w:ind w:firstLine="480" w:firstLineChars="150"/>
        <w:rPr>
          <w:rFonts w:hint="eastAsia" w:ascii="仿宋" w:hAnsi="仿宋" w:eastAsia="仿宋" w:cs="仿宋"/>
          <w:sz w:val="32"/>
          <w:szCs w:val="32"/>
        </w:rPr>
      </w:pPr>
      <w:r>
        <w:rPr>
          <w:rFonts w:hint="eastAsia" w:ascii="仿宋" w:hAnsi="仿宋" w:eastAsia="仿宋" w:cs="仿宋"/>
          <w:sz w:val="32"/>
          <w:szCs w:val="32"/>
        </w:rPr>
        <w:t>（二）改进措施</w:t>
      </w:r>
    </w:p>
    <w:p w14:paraId="2F56EE98">
      <w:pPr>
        <w:ind w:firstLine="480"/>
        <w:rPr>
          <w:rFonts w:hint="eastAsia" w:ascii="仿宋" w:hAnsi="仿宋" w:eastAsia="仿宋" w:cs="仿宋"/>
          <w:sz w:val="32"/>
          <w:szCs w:val="32"/>
        </w:rPr>
      </w:pPr>
      <w:r>
        <w:rPr>
          <w:rFonts w:hint="eastAsia" w:ascii="仿宋" w:hAnsi="仿宋" w:eastAsia="仿宋" w:cs="仿宋"/>
          <w:sz w:val="32"/>
          <w:szCs w:val="32"/>
        </w:rPr>
        <w:t>1、继续从严控制车辆运行及维护费、公务接待费等一般性支出。</w:t>
      </w:r>
    </w:p>
    <w:p w14:paraId="3A7A7695">
      <w:pPr>
        <w:ind w:firstLine="480"/>
        <w:rPr>
          <w:rFonts w:hint="eastAsia" w:ascii="仿宋" w:hAnsi="仿宋" w:eastAsia="仿宋" w:cs="仿宋"/>
          <w:sz w:val="32"/>
          <w:szCs w:val="32"/>
        </w:rPr>
      </w:pPr>
      <w:r>
        <w:rPr>
          <w:rFonts w:hint="eastAsia" w:ascii="仿宋" w:hAnsi="仿宋" w:eastAsia="仿宋" w:cs="仿宋"/>
          <w:sz w:val="32"/>
          <w:szCs w:val="32"/>
        </w:rPr>
        <w:t>2、加强财务管理，严格财务审核。在费用报账支付时，按照预算规定的费用项目和用途进行资金使用审核、列报支付、财务核算，杜绝超支现象的发生。</w:t>
      </w:r>
    </w:p>
    <w:p w14:paraId="7BF48FB9">
      <w:pPr>
        <w:ind w:firstLine="480" w:firstLineChars="150"/>
        <w:rPr>
          <w:rFonts w:hint="eastAsia" w:ascii="仿宋" w:hAnsi="仿宋" w:eastAsia="仿宋" w:cs="仿宋"/>
          <w:sz w:val="32"/>
          <w:szCs w:val="32"/>
        </w:rPr>
      </w:pPr>
      <w:r>
        <w:rPr>
          <w:rFonts w:hint="eastAsia" w:ascii="仿宋" w:hAnsi="仿宋" w:eastAsia="仿宋" w:cs="仿宋"/>
          <w:sz w:val="32"/>
          <w:szCs w:val="32"/>
        </w:rPr>
        <w:t>3、加强项目开展进度的跟踪，开展项目绩效评价，确保项目绩效目标的完成。</w:t>
      </w:r>
    </w:p>
    <w:p w14:paraId="0E164678">
      <w:pPr>
        <w:ind w:firstLine="482" w:firstLineChars="15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、绩效自评结果应用和公开情况</w:t>
      </w:r>
    </w:p>
    <w:p w14:paraId="395A5C59">
      <w:pPr>
        <w:ind w:firstLine="480" w:firstLineChars="150"/>
        <w:rPr>
          <w:rFonts w:hint="eastAsia" w:ascii="仿宋" w:hAnsi="仿宋" w:eastAsia="仿宋" w:cs="仿宋"/>
          <w:sz w:val="32"/>
          <w:szCs w:val="32"/>
        </w:rPr>
      </w:pPr>
      <w:r>
        <w:rPr>
          <w:rFonts w:hint="eastAsia" w:ascii="仿宋" w:hAnsi="仿宋" w:eastAsia="仿宋" w:cs="仿宋"/>
          <w:sz w:val="32"/>
          <w:szCs w:val="32"/>
        </w:rPr>
        <w:t>1、我单位逐步建立绩效评价与部门预算相结合的结果应用机制，采取项目预期绩效目标申报制度，强化评价结果在部门预算编制和执行中的应用，实现绩效评价结果在部门预算编制和执行中的应用，促进财政资金的合理分配与有效使用。</w:t>
      </w:r>
    </w:p>
    <w:p w14:paraId="12A82EC5">
      <w:pPr>
        <w:ind w:firstLine="482" w:firstLineChars="150"/>
        <w:rPr>
          <w:rFonts w:hint="eastAsia" w:ascii="仿宋_GB2312" w:hAnsi="仿宋_GB2312" w:cs="仿宋_GB2312"/>
          <w:b w:val="0"/>
          <w:bCs w:val="0"/>
          <w:sz w:val="32"/>
          <w:szCs w:val="24"/>
          <w:lang w:val="en-US" w:eastAsia="zh-CN"/>
        </w:rPr>
      </w:pPr>
      <w:r>
        <w:rPr>
          <w:rFonts w:hint="eastAsia" w:ascii="仿宋" w:hAnsi="仿宋" w:eastAsia="仿宋" w:cs="仿宋"/>
          <w:b/>
          <w:bCs/>
          <w:sz w:val="32"/>
          <w:szCs w:val="32"/>
          <w:lang w:val="en-US" w:eastAsia="zh-CN"/>
        </w:rPr>
        <w:t>九</w:t>
      </w:r>
      <w:r>
        <w:rPr>
          <w:rFonts w:hint="eastAsia" w:ascii="仿宋" w:hAnsi="仿宋" w:eastAsia="仿宋" w:cs="仿宋"/>
          <w:sz w:val="32"/>
          <w:szCs w:val="32"/>
        </w:rPr>
        <w:t>、</w:t>
      </w:r>
      <w:r>
        <w:rPr>
          <w:rFonts w:hint="eastAsia" w:ascii="楷体" w:hAnsi="楷体" w:eastAsia="楷体" w:cs="楷体"/>
          <w:b/>
          <w:bCs/>
          <w:sz w:val="32"/>
          <w:szCs w:val="24"/>
          <w:lang w:val="en-US" w:eastAsia="zh-CN"/>
        </w:rPr>
        <w:t>当年部门年度整体支出绩效目标</w:t>
      </w:r>
    </w:p>
    <w:p w14:paraId="110508A2">
      <w:pPr>
        <w:keepNext/>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据预算批复文件精神，2021年本单位涉及绩效管理的项目共8个，共涉及资金根98万元。涉及预算绩效的项目有：政法队伍教育整顿工作经费，法涉诉信访服务中心经费，扫黑除恶工作经费，“三零创建”专项经费，国家安全维稳和反邪教工作经费，平安建设经费，2020国家司法救助资金（中央）。实行绩效管理的项目都已设定绩效目标，并填写《项目绩效目标申报表》随同预算上报，待项目完成后再进行项目支出绩效评价。</w:t>
      </w:r>
    </w:p>
    <w:p w14:paraId="499781F8">
      <w:pPr>
        <w:keepNext/>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both"/>
        <w:textAlignment w:val="auto"/>
        <w:rPr>
          <w:rFonts w:hint="eastAsia" w:ascii="楷体" w:hAnsi="楷体" w:eastAsia="楷体" w:cs="楷体"/>
          <w:b/>
          <w:bCs/>
          <w:sz w:val="32"/>
          <w:szCs w:val="24"/>
          <w:lang w:val="en-US" w:eastAsia="zh-CN"/>
        </w:rPr>
      </w:pPr>
    </w:p>
    <w:p w14:paraId="65141C16">
      <w:pPr>
        <w:keepNext/>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黑体" w:hAnsi="黑体" w:eastAsia="黑体" w:cs="黑体"/>
          <w:b w:val="0"/>
          <w:bCs w:val="0"/>
          <w:sz w:val="32"/>
          <w:szCs w:val="24"/>
          <w:lang w:val="en-US" w:eastAsia="zh-CN"/>
        </w:rPr>
        <w:t>十、绩效自评结果应用和公开情况</w:t>
      </w:r>
    </w:p>
    <w:p w14:paraId="5C0EFB60">
      <w:pPr>
        <w:keepNext/>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我</w:t>
      </w:r>
      <w:r>
        <w:rPr>
          <w:rFonts w:hint="eastAsia" w:ascii="仿宋_GB2312" w:hAnsi="仿宋_GB2312" w:cs="仿宋_GB2312"/>
          <w:b w:val="0"/>
          <w:bCs w:val="0"/>
          <w:sz w:val="32"/>
          <w:szCs w:val="24"/>
          <w:lang w:val="en-US" w:eastAsia="zh-CN"/>
        </w:rPr>
        <w:t>单位将对整体支出绩效自评结果向社会公开，接受社会监督；加强绩效目标编制，实施全过程绩效管理。</w:t>
      </w:r>
    </w:p>
    <w:p w14:paraId="35DE8B5D">
      <w:pPr>
        <w:bidi w:val="0"/>
        <w:ind w:firstLine="576" w:firstLineChars="0"/>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M0ZjNhNDMxYmFmMzk4MDZmOTkwZWI0MDlkYmFlODcifQ=="/>
  </w:docVars>
  <w:rsids>
    <w:rsidRoot w:val="00CD249A"/>
    <w:rsid w:val="00005857"/>
    <w:rsid w:val="00011669"/>
    <w:rsid w:val="00026D46"/>
    <w:rsid w:val="00047CF4"/>
    <w:rsid w:val="000D1A4B"/>
    <w:rsid w:val="000D5E41"/>
    <w:rsid w:val="000F2DD5"/>
    <w:rsid w:val="0013707B"/>
    <w:rsid w:val="00147807"/>
    <w:rsid w:val="00210399"/>
    <w:rsid w:val="002478CA"/>
    <w:rsid w:val="0031404B"/>
    <w:rsid w:val="0032550C"/>
    <w:rsid w:val="003738BA"/>
    <w:rsid w:val="003C7307"/>
    <w:rsid w:val="003E106F"/>
    <w:rsid w:val="003E6E5D"/>
    <w:rsid w:val="00415C2C"/>
    <w:rsid w:val="004163C7"/>
    <w:rsid w:val="004458E9"/>
    <w:rsid w:val="00450841"/>
    <w:rsid w:val="00487331"/>
    <w:rsid w:val="004956F0"/>
    <w:rsid w:val="004C1593"/>
    <w:rsid w:val="00506CB4"/>
    <w:rsid w:val="00514B31"/>
    <w:rsid w:val="00533E02"/>
    <w:rsid w:val="00537148"/>
    <w:rsid w:val="005711B3"/>
    <w:rsid w:val="005B38E6"/>
    <w:rsid w:val="005F2384"/>
    <w:rsid w:val="006A4854"/>
    <w:rsid w:val="0070583F"/>
    <w:rsid w:val="0077555A"/>
    <w:rsid w:val="007878DA"/>
    <w:rsid w:val="007B1D84"/>
    <w:rsid w:val="007E57EC"/>
    <w:rsid w:val="007F1589"/>
    <w:rsid w:val="0080778F"/>
    <w:rsid w:val="009067E6"/>
    <w:rsid w:val="00912AA0"/>
    <w:rsid w:val="009E569E"/>
    <w:rsid w:val="009F7CAD"/>
    <w:rsid w:val="00A62841"/>
    <w:rsid w:val="00AA1073"/>
    <w:rsid w:val="00B02FB6"/>
    <w:rsid w:val="00B942AD"/>
    <w:rsid w:val="00C175BA"/>
    <w:rsid w:val="00C80DF5"/>
    <w:rsid w:val="00CC306B"/>
    <w:rsid w:val="00CD249A"/>
    <w:rsid w:val="00E06F16"/>
    <w:rsid w:val="00E57B34"/>
    <w:rsid w:val="00E778A5"/>
    <w:rsid w:val="00E82537"/>
    <w:rsid w:val="00E868D2"/>
    <w:rsid w:val="00EB66E7"/>
    <w:rsid w:val="00ED782D"/>
    <w:rsid w:val="00F60278"/>
    <w:rsid w:val="00F77373"/>
    <w:rsid w:val="00F834C9"/>
    <w:rsid w:val="00FB732E"/>
    <w:rsid w:val="00FC3A1F"/>
    <w:rsid w:val="064758D9"/>
    <w:rsid w:val="208657E3"/>
    <w:rsid w:val="27C05754"/>
    <w:rsid w:val="33207BAC"/>
    <w:rsid w:val="4AED4C4E"/>
    <w:rsid w:val="6D612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qFormat/>
    <w:uiPriority w:val="0"/>
    <w:pPr>
      <w:spacing w:after="120"/>
    </w:pPr>
    <w:rPr>
      <w:rFonts w:ascii="Times New Roman" w:hAnsi="Times New Roman" w:eastAsia="宋体" w:cs="Times New Roman"/>
      <w:szCs w:val="24"/>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7"/>
    <w:link w:val="4"/>
    <w:semiHidden/>
    <w:qFormat/>
    <w:uiPriority w:val="99"/>
    <w:rPr>
      <w:sz w:val="18"/>
      <w:szCs w:val="18"/>
    </w:rPr>
  </w:style>
  <w:style w:type="character" w:customStyle="1" w:styleId="9">
    <w:name w:val="页脚 字符"/>
    <w:basedOn w:val="7"/>
    <w:link w:val="3"/>
    <w:semiHidden/>
    <w:qFormat/>
    <w:uiPriority w:val="99"/>
    <w:rPr>
      <w:sz w:val="18"/>
      <w:szCs w:val="18"/>
    </w:rPr>
  </w:style>
  <w:style w:type="character" w:customStyle="1" w:styleId="10">
    <w:name w:val="正文文本 字符"/>
    <w:basedOn w:val="7"/>
    <w:link w:val="2"/>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5063</Words>
  <Characters>5158</Characters>
  <Lines>34</Lines>
  <Paragraphs>9</Paragraphs>
  <TotalTime>0</TotalTime>
  <ScaleCrop>false</ScaleCrop>
  <LinksUpToDate>false</LinksUpToDate>
  <CharactersWithSpaces>5206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2022-02-07T10:28:00Z</dcterms:created>
  <dc:creator>TOP</dc:creator>
  <cp:lastModifiedBy>成</cp:lastModifiedBy>
  <dcterms:modified xsi:type="dcterms:W3CDTF">2025-01-20T09:06:24Z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B00C1074532A41A29A8BE82F7205069C</vt:lpwstr>
  </property>
  <property fmtid="{D5CDD505-2E9C-101B-9397-08002B2CF9AE}" pid="4" name="KSOTemplateDocerSaveRecord">
    <vt:lpwstr>eyJoZGlkIjoiYzhiZDY4YjQ3MTExMWUwZTQzNDEyNzQxZDIxMzNjZTQiLCJ1c2VySWQiOiIxMTQ5OTg3NTc2In0=</vt:lpwstr>
  </property>
</Properties>
</file>