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兴县林业局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兴县城区南北两山可视山体绿化工程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（园林景观）工程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财政支出绩效自评报告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0" w:name="_Toc27209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一、项目基本情况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" w:name="_Toc12000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（一）项目概况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党的十八大以来，党中央高瞻远瞩，创新发展理念，加强顶层设计，加快构建生态文明建设体系；把生态文明建设纳入社会主义现代化建设总体布局——把生态文明建设放在突出地位，融入经济建设、政治建设、文化建设、社会建设各方面和全过程，努力建设美丽中国，实现中华民族永续发展；努力形成人与自然和谐发展的现代化建设新格局——2015年，《关于加快推进生态文明建设的意见》印发，提出到2020年，资源节约型和环境友好型社会建设取得重大进展，主体功能区布局基本形成，经济发展质量和效益显著提高，生态文明主流价值观在全社会得到推行，生态文明建设水平与全面建成小康社会目标相适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2009年11月山西省委在全省林业工作会议上提出“大刀实施生态兴省战略建设山川秀美新山西”的奋斗目标</w:t>
      </w:r>
      <w:bookmarkStart w:id="15" w:name="_GoBack"/>
      <w:bookmarkEnd w:id="15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，随后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出台了系列意见、决定等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提出要加快“绿化山西”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。2011年制定了《山西省林业生态建设总体规划纲要（2011-2020年）》，纲要是“绿化山西”战略的实施纲领，是实施“绿化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山西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宏伟目标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的省域蓝图，要实现这一宏伟目标，须由各市、县通力合作，尤其是兴县这样生态脆弱的区域，必须按照纲要的要求，大力造林绿化，弥补历史欠账，在至2020年的较短时期，完成各级林业主管部门按照纲要和其他计划分配的造林绿化任务，努力使大地增绿、环境增色、林业增效、农民增收，以实际行动支撑“绿化山西”宏伟目标的实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项目立项依据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）兴县人民代表大会常务委员会关于对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城区可视范围山体绿化工程项目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的决议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（兴人发[2016]19号）；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（2）兴县发展和改革局关于对《兴县城区南北两山可视山体绿化工程项目可行性研究报告》的批复（兴发改发[2016]102号）；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（3）兴县发展和改革局关于对《兴县城区南北两山可视山体绿化工程（园林景观）初步设计》的批复（兴发改发[2017]33号）；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（4）其他相关政策性文件。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兴县城区南北两山可视山体绿化工程（园林景观）工程项目包括南山生态园林绿化1800亩；配套道路铺装97800平方米、景观建筑1800平方米；公厕、售票厅、座椅、给排水、电力照明等设施。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项目资金使用及财务管理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（1）资金拨付情况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年兴县财政局实际拨付兴县林业局“兴县城区南北两山可视山体绿化工程（园林景观）工程”资金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1,615.00万元，资金到位率100.00%。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资金使用情况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年兴县林业局“兴县城区南北两山可视山体绿化工程（园林景观）工程”资金实际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1,603.79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为规范和加强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管理，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提高资金使用效益，保证项目资金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使用的合法性、合理性，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根据国家、省、市有关规定和文件精神，同时严格按照资金使用要求做到专款专用。严禁挤占、挪用、截留、滞留项目资金。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项目组织和管理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为强化项目管理，使用好项目资金，保障政策切实落地。对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资金的使用范围、申报及审核流程进行了规范。通过开展绩效考评，建立激励机制和问责制度，把目标责任制落到实处，保证资金安全性、规范性、有效性。对事前、事中、事后全过程监督，建立资金、项目监督责任制和责任追究制，不定期开展专项检查，对弄虚作假、挤占、截留、挪用、套取和不作为、乱作为等行为要严肃追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2" w:name="_Toc1182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（二）项目绩效目标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过南北两山造林绿化等林业工程建设，将完成南山生态园林绿化1800亩；配套道路铺装97800平方米、景观建筑1800平方米；公厕、售票厅、座椅、给排水、电力照明等设施。同时南山生态园的扩大规模、景观园林绿化、道路系统及游憩设施完善，将县城周边的生态环境、景观质量得到大力改善，生物多样性得到很大丰富。为构筑“生态大县、经济林强县、生态旅游名县”奠定坚实的基础，最终实现“生活美、生态美、家园美、宜居宜业”的美丽兴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3" w:name="_Toc12000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二、绩效评价工作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开展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情况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4" w:name="_Toc24444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（一）绩效评价目的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通过实施预算绩效评价，了解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兴县城区南北两山可视山体绿化工程（园林景观）工程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项目的资金使用情况、项目实施情况以及取得的综合绩效，全面反映财政资金产出效益和结果的经济性、效率性、效益性和公平性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及时发现项目管理中存在的问题，总结项目实施经验，进一步加强和规范项目资金管理，完善项目和资金管理办法，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指导预算编制和申报绩效目标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优化财政支出结构提供决策参考和依据，以保证项目资金使用管理的规范性、安全性和有效性。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5" w:name="_Toc20324_WPSOffice_Level2"/>
      <w:bookmarkStart w:id="6" w:name="_Toc15002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（二）绩效评价原则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、依据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绩效评价原则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（1）科学规范原则。绩效评价应当严格执行规定的程序，按照科学可行的要求，采用定量分析与定性分析相结合的方法。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（2）公正公开原则。绩效评价应当符合真实、客观、公正的要求，依法公开并接受监督。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（3）分级分类原则。绩效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由财政部门、项目单位根据评价对象的特点分类组织实施。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（4）绩效相关原则。绩效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应当针对具体支出及其产出绩效进行，评价结果应当清晰反映支出和产出绩效之间的紧密对应关系。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绩效评价依据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（1）《中华人民共和国预算法》（2014修正）；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（2）《中共中央国务院关于全面实施预算绩效管理的意见》（财预〔2018〕167号）；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（3）《项目支出绩效评估管理办法》（财预〔2020〕10号）；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（4）国务院办公厅《关于转发财政部、国务院爱卫办、国家发展改革委〈扶贫项目资金绩效管理办法〉的通知》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国办发〔2018〕35号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（5）山西省财政厅 山西省扶贫开发办公室 山西省发展和改革委员会 山西省民族事务委员会 山西省农业厅 山西省林业厅关于印发《财政专项扶贫资金管理办法》的通知（晋财农〔2017〕124号）；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（6）中共山西省委 山西省人民政府《关于全面实施预算绩效管理的实施意见》（晋发〔2018〕39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（7）其他有关预算管理制度、资金及财务管理办法、财务会计资料、项目验收（评价、决算、稽查、检查）报告、相关行业政策、行业标准及专业技术规范、预算下达相关文件等。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 绩效评价方法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）比较分析法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通过对绩效目标与实施效果的比较、历史与当期情况、不同部门和地区同类支出的比较，综合分析绩效目标实现程度。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因素分析法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通过综合分析影响绩效目标实现、实施效果的内外因素，评价绩效目标的实现程度。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公众评判法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通过专家评估、访谈、公众问卷及抽样调查等对财政支出效果进行评判，评价绩效目标的实现程度。由于该项目是兴县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的重要民生工程，无法直接用指标计量其效益，为客观测定专项资金的使用效果，本次评价采取对利益相关方全覆盖的方式，随机走访受益群众了解项目情况及对项目的满意程度。同时对项目主管领导进行访谈，最后进行综合分析，以评价其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7" w:name="_Toc9745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（三）绩效评价指标体系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绩效评价指标体系是绩效评价工作的核心，主要包括评价指标的设计原则、评价指标及指标值的确定、权重设定、证据收集方法等。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1.绩效评价指标设计原则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指标是指衡量绩效目标实现程度的考核工具。绩效评价指标体系的构建是一项复杂的系统工程，也是绩效评价的重点和难点。要构建科学、合理的绩效评价指标体系，除了要遵循指标甄选的一般原则外，还要根据项目的目标和任务，从影响项目实现的效益情况把握绩效指标体系构建的思路，项目绩效评价指标体系的构建主要遵循的原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（1）科学性原则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科学性原则主要体现在可重复操作上，无论评价主体是谁，不管什么时候评价，对同一项目的评价结论应该是基本相同的，评价指标要能够表达项目的内涵。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（2）系统性原则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各评价指标之间要有一定的逻辑关系，一定层级的绩效评价指标必须与同一层级的绩效评价目的相一致，要从不同的侧面反映项目实施的主要特征和状态，并能体现出项目未来的发展趋势。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（3）可操作性原则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充分考虑数量及指标量化的难易程度，每个评价指标应该概念确切、含义清楚、信息集中、数据资料容易获得，计算范围明确，计算方法简明易懂，尽量利用现有的规范标准及统计资料。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（4）定量和定性相结合原则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根据指标的特殊性和复杂性，以定量指标为主，定性指标为辅，既有定量数据，又进行定性分析。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2.评价指标的确定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参考财政部财政项目支出绩效评价指标体系框架，结合项目的实际情况及项目绩效评价原则，构建兴县林业局2021年度兴县城区南北两山可视山体绿化工程（园林景观）工程的绩效自评指标体系。本指标体系共分为三级：一级指标包括投入、产出、效益和满意度指标。二级指标包括全年预算执行率、数量、质量、时效、成本指标、经济效益、社会效益、生态效益、可持续影响和服务对象满意度指标。三级指标根据不同二级指标及不同项目的实际情况增设指标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3.评价指标的权重或分值设定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综合考虑以上因素，评价设定的各类指标权重为：投入指标10分、产出指标50分、效益指标30分、服务对象满意度指标10分；二级指标分值由绩效评价工作组依据各指标的重要性集体研究确定，具体评分根据评分标准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4.评定等级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依据《财政支出项目绩效评价操作指南》，将评分结果类型分为优、良、中、差。60分以下为差，60分（含）-80分为中，80分（含）-90分为良，90分（含）以上为优。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绩效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自评工作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过程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收集、审核资料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项目的具体情况，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在全面收集资料的基础上，根据经审核后的评价工作方案，对已收集的资料进行分类整理、审查和分析。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）通过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查询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相关资料，熟悉有关方面的国家政策、法律、法规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及部门规章，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了解项目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相关的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政策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规定，检查项目相关的审批资料、财务资料、管理制度、会议记录和工作总结，抽查与项目相关的招投标资料、合同资料、验收资料，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财务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资料反映的预算资金收支活动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合规性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以及项目实施过程和组织管理的有效性进行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（2）根据评价对象的具体情况向预算部门和资金使用单位收集相关资料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，并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设计相关表格，对收集的资料进行整理、分类、分析，提出补充资料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现场勘察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根据评价对象的特点和提供的数据资料，进行实地考察验证。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收集整理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财政资金支出情况、财务管理状况、目标完成情况以及实施效果的介绍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，核实相关资料。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（2）从项目利益相关方中确定访谈对象，包括项目的管理人员、实施人员、项目受益者及参与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。根据调查的内容范围和主要问题，设计访谈提纲并开展访谈，获取绩效评价业务需要的基础资料。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）根据项目的具体情况设计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问卷调查表，并按照一定的问卷数量开展问卷调查，对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回收的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问卷数据进行整理与分析，将问卷汇总结果作为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确定社会公众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满意度的依据。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（4）调研结束后对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现场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调研记录进行整理与分析，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形成综合评价的基础数据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综合评价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现场评价工作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得的资料，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依据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评价工作方案确定的评价指标、评价权重、评价标准和评价方法，对评价对象进行全面的定量、定性分析和综合评价，形成评价结论。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撰写报告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单位的绩效评价情况，撰写绩效自评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报告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bookmarkEnd w:id="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</w:pPr>
      <w:bookmarkStart w:id="8" w:name="_Toc11821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三、项目绩效</w:t>
      </w:r>
      <w:bookmarkEnd w:id="8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体系指标分析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本次绩效评价指标体系按照逻辑分析法，从“投入”、“产出”、“效益”和“满意度指标”4 个维度进行构建。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投入指标从项目资金执行情况方面进行考察，投入指标分值共计10分，本项目实际得分9.93分：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A11全年预算执行率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兴县林业局2021年度兴县城区南北两山可视山体绿化工程（园林景观）工程项目全年预算金额16,150,000.00元，全年支出金额16,037,946.72元。执行率=全年支出金额/全年预算金额=16,037,946.72 /16,150,000.00*100.00%=99.31%。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依据项目支出绩效自评得分规则，项目资金全年预算执行率得9.93分。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 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产出指标从数量、质量、时效和成本四个方面进行考察，产出指标分值共计50分，本项目实际得分49.94分，详见下表：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表2-1产出指标评分情况表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671"/>
        <w:gridCol w:w="1454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B产出</w:t>
            </w: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生态园林绿化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B12配套道路铺装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B13景观建筑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2质量指标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验收合格率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3时效指标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完成及时性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4成本指标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41预算成本完成率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49.94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B11生态园林绿化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兴县林业局“兴县城区南北两山可视山体绿化工程（园林景观）工程”计划完成生态园林绿化1,800.00亩，实际项目内容均已完成。依据项目支出绩效自评得分规则，生态园林绿化得8分。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B12配套道路铺装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兴县林业局“兴县城区南北两山可视山体绿化工程（园林景观）工程”计划完成配套道路铺装97,800.00平方米，实际项目内容均已完成。依据项目支出绩效自评得分规则，配套道路铺装得8分。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B13景观建筑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兴县林业局“兴县城区南北两山可视山体绿化工程（园林景观）工程”计划完成景观建筑建设1,800.00平方米，实际项目内容均已完成。依据项目支出绩效自评得分规则，景观建筑得8分。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B21验收合格率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兴县林业局“兴县城区南北两山可视山体绿化工程（园林景观）工程”项目建设内容均已通过验收。依据项目支出绩效自评得分规则，项目验收合格率得8分。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B31完成及时性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兴县林业局“兴县城区南北两山可视山体绿化工程（园林景观）工程”项目已按照计划时间开工并完工。依据项目支出绩效自评得分规则，项目完成及时性得分9分。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B41预算成本完成率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兴县林业局“兴县城区南北两山可视山体绿化工程（园林景观）工程”项目预算资金1,615.00万元，实际支付资金1,603.79万元，预算成本完成率99.31%。预算成本完成率8.94分。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效果指标从经济效益、社会效益、生态效益和可持续影响四个方面进行考察，效果指标分值共计30分，本项目实际得分27分，详见下表：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表3-1 效果指标评分情况表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671"/>
        <w:gridCol w:w="1454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C效果</w:t>
            </w: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C1项目效果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经济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效益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C12社会效益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3生态效益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4可持续影响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center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1经济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工程”项目建设产生的经济效益主要有木材价值和经济林价值等，对经济发展和提升带来一定的影响。依据项目支出绩效自评得分规则，经济效益得4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C12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兴县林业局通过实施“兴县城区南北两山可视山体绿化工程（园林景观）工程”项目，改善区域生态环境、促进社会协调发展、提升城镇整体形象，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同时，工程建设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过程中需要大量劳动力，给当地的农牧民增加就业机会，产生的社会效益较好。依据项目支出绩效自评得分规则，社会效益得7分。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3生态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兴县林业局“兴县城区南北两山可视山体绿化工程（园林景观）工程”项目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的实施，工程区内森林面积大幅增加，城镇、乡村的生态基础设施进一步完善，居住环境、生产环境得到美化，民生得到改善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。依据项目支出绩效自评得分规则，生态效益得8分。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C14可持续影响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兴县林业局“兴县城区南北两山可视山体绿化工程（园林景观）工程”项目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的实施，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将明显改善生态环境，增强区域森林生态服务功能，必将产生较强的可持续影响。依据项目支出绩效自评得分规则，可持续影响得8分。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服务对象满意度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D1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服务对象对项目实施效果的满意程度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，该指标采取问卷调查的方式，问卷调查采取对利益相关方全覆盖的方式，通过随机抽查方式发放问卷50份，实际收回50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份调查问卷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。其中：48份非常满意、2份满意。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依据项目支出绩效自评得分规则，满意度等级从非常满意到不满意的权重分别为100%、80%、50%、0，项目满意度＝（非常满意数*100%+满意数*80%+一般数*50%+不满意数*0）/调查问卷回收总数*100%。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 *10为服务对象满意度最终得分。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项目满意度99.20%，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9.92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9" w:name="_Toc24444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四、评价结论及评价结果应用建议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0" w:name="_Toc2058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（一）评价结论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本次绩效评价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按照综合评分分级：综合评分采用百分制，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分为四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个等级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优（得分≧90），良（90＞得分≥80），中（80＞得分≥60），差（得分＜ 60 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兴县林业局“兴县城区南北两山可视山体绿化工程（园林景观）工程”项目绩效评价得分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为96.79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分，评价等级为“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优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1" w:name="_Toc8373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（二）评价结果应用建议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兴县林业局认真贯彻县委工作会议精神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在项目实施中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探索典型经验示范带动，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进一步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落实主体责任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做到责任明确，分工明确。对工作开展得好、资金使用效益高的项目，在分配财政资金时给予奖励和倾斜。对不作为、乱作为等行为，严肃追究相关人员责任，做到财政资金使用的精准、安全、高效，确保如期完成每一项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2" w:name="_Toc15002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五、主要经验及做法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兴县城区南北两山可视山体绿化工程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（园林景观）工程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是兴县南北两山生态建设的有机组成部分，但是由于工程投资有限，实施范围较小，不能够有效覆盖南北山的较大范围，不能更加有效改善区域生态环境和景观质量，为吕梁山区生态脆弱区的生态建设作出更大贡献，因此，建议沿蔚汾河东西向20公里、南北山6-8公里范围内实施造林绿化、生态景观打造，以更加有效改善区域生态环境和人居环境，努力践行“绿化山西”行动和中央关于生态文明建设的伟大号召。</w:t>
      </w:r>
      <w:bookmarkStart w:id="13" w:name="_Toc10677_WPSOffice_Level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附件：</w:t>
      </w:r>
      <w:bookmarkEnd w:id="13"/>
      <w:bookmarkStart w:id="14" w:name="_Toc13436_WPSOffice_Level2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项目支出绩效自评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表</w:t>
      </w:r>
      <w:bookmarkEnd w:id="1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righ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20" w:firstLineChars="16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2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2098" w:right="1531" w:bottom="1984" w:left="1531" w:header="1474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p>
      <w:pPr>
        <w:spacing w:line="360" w:lineRule="auto"/>
        <w:ind w:left="0" w:leftChars="0" w:firstLine="420" w:firstLineChars="175"/>
        <w:rPr>
          <w:rFonts w:hint="eastAsia" w:cs="Times New Roman"/>
          <w:sz w:val="24"/>
          <w:szCs w:val="32"/>
          <w:lang w:eastAsia="zh-CN"/>
        </w:rPr>
      </w:pPr>
    </w:p>
    <w:sectPr>
      <w:type w:val="continuous"/>
      <w:pgSz w:w="11906" w:h="16838"/>
      <w:pgMar w:top="2098" w:right="1531" w:bottom="1984" w:left="1531" w:header="1474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titlePg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兴县林业局“兴县城区南北两山可视山体绿化工程（园林景观）工程”财政支出绩效自评报告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兴县林业局兴县城区南北两山可视山体绿化工程（园林景观）工程财政支出绩效自评报告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EAD3AB"/>
    <w:multiLevelType w:val="singleLevel"/>
    <w:tmpl w:val="D3EAD3A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6F773AF"/>
    <w:multiLevelType w:val="singleLevel"/>
    <w:tmpl w:val="F6F773A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FC4B004"/>
    <w:multiLevelType w:val="singleLevel"/>
    <w:tmpl w:val="FFC4B004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E1909FA"/>
    <w:multiLevelType w:val="singleLevel"/>
    <w:tmpl w:val="5E1909FA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E39D4F7"/>
    <w:multiLevelType w:val="singleLevel"/>
    <w:tmpl w:val="5E39D4F7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6F43F36"/>
    <w:multiLevelType w:val="singleLevel"/>
    <w:tmpl w:val="66F43F36"/>
    <w:lvl w:ilvl="0" w:tentative="0">
      <w:start w:val="2"/>
      <w:numFmt w:val="decimal"/>
      <w:suff w:val="space"/>
      <w:lvlText w:val="%1."/>
      <w:lvlJc w:val="left"/>
    </w:lvl>
  </w:abstractNum>
  <w:abstractNum w:abstractNumId="6">
    <w:nsid w:val="6A24A71D"/>
    <w:multiLevelType w:val="singleLevel"/>
    <w:tmpl w:val="6A24A71D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7759E2FD"/>
    <w:multiLevelType w:val="singleLevel"/>
    <w:tmpl w:val="7759E2FD"/>
    <w:lvl w:ilvl="0" w:tentative="0">
      <w:start w:val="2"/>
      <w:numFmt w:val="decimal"/>
      <w:suff w:val="space"/>
      <w:lvlText w:val="%1.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NjBjZjMyNTY2NDcwMTBmMGY1NDhkOWRiMmMwZjIifQ=="/>
    <w:docVar w:name="KSO_WPS_MARK_KEY" w:val="455cc36c-d136-48bc-81a8-06d337f584d7"/>
  </w:docVars>
  <w:rsids>
    <w:rsidRoot w:val="775478D8"/>
    <w:rsid w:val="004825E7"/>
    <w:rsid w:val="00511FBA"/>
    <w:rsid w:val="00710DB9"/>
    <w:rsid w:val="007842AE"/>
    <w:rsid w:val="00A858D8"/>
    <w:rsid w:val="01034337"/>
    <w:rsid w:val="0123460F"/>
    <w:rsid w:val="0125392E"/>
    <w:rsid w:val="018A1742"/>
    <w:rsid w:val="01AE0598"/>
    <w:rsid w:val="020759A6"/>
    <w:rsid w:val="02276599"/>
    <w:rsid w:val="022B3E21"/>
    <w:rsid w:val="02B91735"/>
    <w:rsid w:val="04077088"/>
    <w:rsid w:val="04BA54F8"/>
    <w:rsid w:val="04CE4D00"/>
    <w:rsid w:val="04D61232"/>
    <w:rsid w:val="052E3C0D"/>
    <w:rsid w:val="054A1450"/>
    <w:rsid w:val="05EF7A74"/>
    <w:rsid w:val="063E617F"/>
    <w:rsid w:val="06417466"/>
    <w:rsid w:val="06E9012A"/>
    <w:rsid w:val="07194A37"/>
    <w:rsid w:val="071B76F7"/>
    <w:rsid w:val="071E1091"/>
    <w:rsid w:val="07DB4AB2"/>
    <w:rsid w:val="080D606D"/>
    <w:rsid w:val="087A7671"/>
    <w:rsid w:val="089542E7"/>
    <w:rsid w:val="098C23E7"/>
    <w:rsid w:val="0AB13AD9"/>
    <w:rsid w:val="0AD10CF0"/>
    <w:rsid w:val="0B0158C3"/>
    <w:rsid w:val="0B6B08EC"/>
    <w:rsid w:val="0C417E8A"/>
    <w:rsid w:val="0C6D40FA"/>
    <w:rsid w:val="0C744984"/>
    <w:rsid w:val="0CBE3B32"/>
    <w:rsid w:val="0D9930B3"/>
    <w:rsid w:val="0E4F7E8E"/>
    <w:rsid w:val="0F4C70E1"/>
    <w:rsid w:val="0FD63482"/>
    <w:rsid w:val="0FFF2D9F"/>
    <w:rsid w:val="100A0AFC"/>
    <w:rsid w:val="10474DB4"/>
    <w:rsid w:val="107964E6"/>
    <w:rsid w:val="10C6225A"/>
    <w:rsid w:val="10C65498"/>
    <w:rsid w:val="1126470E"/>
    <w:rsid w:val="114B16F0"/>
    <w:rsid w:val="128D3552"/>
    <w:rsid w:val="12DF066F"/>
    <w:rsid w:val="133B22E2"/>
    <w:rsid w:val="13700FB6"/>
    <w:rsid w:val="137A6F77"/>
    <w:rsid w:val="13D86E8A"/>
    <w:rsid w:val="145C3629"/>
    <w:rsid w:val="145F7A84"/>
    <w:rsid w:val="15334EAB"/>
    <w:rsid w:val="154523E2"/>
    <w:rsid w:val="15A23400"/>
    <w:rsid w:val="15DE7222"/>
    <w:rsid w:val="15E2221D"/>
    <w:rsid w:val="16122DC9"/>
    <w:rsid w:val="16E17D88"/>
    <w:rsid w:val="17323002"/>
    <w:rsid w:val="175E48A4"/>
    <w:rsid w:val="18004A29"/>
    <w:rsid w:val="18DD61B1"/>
    <w:rsid w:val="19E57170"/>
    <w:rsid w:val="19F00F7B"/>
    <w:rsid w:val="1A35050B"/>
    <w:rsid w:val="1A913737"/>
    <w:rsid w:val="1B395649"/>
    <w:rsid w:val="1B3E133B"/>
    <w:rsid w:val="1B6245E8"/>
    <w:rsid w:val="1B711537"/>
    <w:rsid w:val="1B983250"/>
    <w:rsid w:val="1BB407AA"/>
    <w:rsid w:val="1BFA13EB"/>
    <w:rsid w:val="1C0D7CF2"/>
    <w:rsid w:val="1C347393"/>
    <w:rsid w:val="1C3916BB"/>
    <w:rsid w:val="1DEB5BE0"/>
    <w:rsid w:val="1E207988"/>
    <w:rsid w:val="1E440DD2"/>
    <w:rsid w:val="1E532178"/>
    <w:rsid w:val="1E563442"/>
    <w:rsid w:val="1E86276E"/>
    <w:rsid w:val="1E8951DC"/>
    <w:rsid w:val="1F033371"/>
    <w:rsid w:val="1F746ABF"/>
    <w:rsid w:val="1F793487"/>
    <w:rsid w:val="207D5119"/>
    <w:rsid w:val="20803CC9"/>
    <w:rsid w:val="21362C88"/>
    <w:rsid w:val="214612B6"/>
    <w:rsid w:val="21850FB4"/>
    <w:rsid w:val="2197797B"/>
    <w:rsid w:val="220009FF"/>
    <w:rsid w:val="22204EEA"/>
    <w:rsid w:val="22CE130A"/>
    <w:rsid w:val="23371C91"/>
    <w:rsid w:val="235B6578"/>
    <w:rsid w:val="24574DE8"/>
    <w:rsid w:val="247E4716"/>
    <w:rsid w:val="24916FBB"/>
    <w:rsid w:val="25821DEE"/>
    <w:rsid w:val="25D34859"/>
    <w:rsid w:val="25EF2F74"/>
    <w:rsid w:val="25F8698C"/>
    <w:rsid w:val="269D05A3"/>
    <w:rsid w:val="26CF56C6"/>
    <w:rsid w:val="26F40EF4"/>
    <w:rsid w:val="2726083F"/>
    <w:rsid w:val="272C6987"/>
    <w:rsid w:val="27393C89"/>
    <w:rsid w:val="273C23C6"/>
    <w:rsid w:val="274A24D9"/>
    <w:rsid w:val="27B259DD"/>
    <w:rsid w:val="286767A5"/>
    <w:rsid w:val="28823A68"/>
    <w:rsid w:val="28B75C8C"/>
    <w:rsid w:val="28EB6073"/>
    <w:rsid w:val="295F2E2B"/>
    <w:rsid w:val="2965576D"/>
    <w:rsid w:val="29A171E3"/>
    <w:rsid w:val="2A14362B"/>
    <w:rsid w:val="2A4A7AF0"/>
    <w:rsid w:val="2A7A5999"/>
    <w:rsid w:val="2AB33E3C"/>
    <w:rsid w:val="2AF96231"/>
    <w:rsid w:val="2BB661FC"/>
    <w:rsid w:val="2BF42FA2"/>
    <w:rsid w:val="2CA80CAA"/>
    <w:rsid w:val="2F7260E4"/>
    <w:rsid w:val="2FFC48DD"/>
    <w:rsid w:val="303473CF"/>
    <w:rsid w:val="308F31FF"/>
    <w:rsid w:val="313E7EDE"/>
    <w:rsid w:val="315C6BD7"/>
    <w:rsid w:val="316C6453"/>
    <w:rsid w:val="31952513"/>
    <w:rsid w:val="31FE73BF"/>
    <w:rsid w:val="322E36AB"/>
    <w:rsid w:val="32555DAE"/>
    <w:rsid w:val="327D70C1"/>
    <w:rsid w:val="328D1666"/>
    <w:rsid w:val="32B63BE7"/>
    <w:rsid w:val="33380932"/>
    <w:rsid w:val="3502603F"/>
    <w:rsid w:val="352B0153"/>
    <w:rsid w:val="357251C3"/>
    <w:rsid w:val="36DA5039"/>
    <w:rsid w:val="374A6796"/>
    <w:rsid w:val="378473D3"/>
    <w:rsid w:val="387C133F"/>
    <w:rsid w:val="38AD350C"/>
    <w:rsid w:val="38C81578"/>
    <w:rsid w:val="39C0385F"/>
    <w:rsid w:val="3B267196"/>
    <w:rsid w:val="3B6C3ED7"/>
    <w:rsid w:val="3BB86365"/>
    <w:rsid w:val="3BD16BF1"/>
    <w:rsid w:val="3D685812"/>
    <w:rsid w:val="3D754856"/>
    <w:rsid w:val="3DA75B0A"/>
    <w:rsid w:val="3E1D4AE0"/>
    <w:rsid w:val="3E493C55"/>
    <w:rsid w:val="3F4C1E14"/>
    <w:rsid w:val="3FE8302B"/>
    <w:rsid w:val="41AA260C"/>
    <w:rsid w:val="42143DB4"/>
    <w:rsid w:val="42F064E9"/>
    <w:rsid w:val="43894CC0"/>
    <w:rsid w:val="43CD2ACE"/>
    <w:rsid w:val="43F919D7"/>
    <w:rsid w:val="442D736F"/>
    <w:rsid w:val="446C23AB"/>
    <w:rsid w:val="4500160B"/>
    <w:rsid w:val="45A740DF"/>
    <w:rsid w:val="461038DC"/>
    <w:rsid w:val="46C20F13"/>
    <w:rsid w:val="470B136A"/>
    <w:rsid w:val="475A27F6"/>
    <w:rsid w:val="47933C0C"/>
    <w:rsid w:val="47A03CF5"/>
    <w:rsid w:val="47D538BC"/>
    <w:rsid w:val="47F03757"/>
    <w:rsid w:val="48094185"/>
    <w:rsid w:val="485C56D4"/>
    <w:rsid w:val="49660C56"/>
    <w:rsid w:val="49DD022A"/>
    <w:rsid w:val="4A61537D"/>
    <w:rsid w:val="4A8A4A17"/>
    <w:rsid w:val="4ABF7583"/>
    <w:rsid w:val="4B6B5F82"/>
    <w:rsid w:val="4B716025"/>
    <w:rsid w:val="4C3D18A5"/>
    <w:rsid w:val="4C714515"/>
    <w:rsid w:val="4D4B536C"/>
    <w:rsid w:val="4D7639B5"/>
    <w:rsid w:val="4E3A5817"/>
    <w:rsid w:val="4E941E96"/>
    <w:rsid w:val="4ED928EF"/>
    <w:rsid w:val="4F34472F"/>
    <w:rsid w:val="4F352A4E"/>
    <w:rsid w:val="4F584960"/>
    <w:rsid w:val="4F97318C"/>
    <w:rsid w:val="4FAA243E"/>
    <w:rsid w:val="4FB87EE8"/>
    <w:rsid w:val="50221203"/>
    <w:rsid w:val="50290053"/>
    <w:rsid w:val="502A0C02"/>
    <w:rsid w:val="50E14D6A"/>
    <w:rsid w:val="50E90752"/>
    <w:rsid w:val="516D5598"/>
    <w:rsid w:val="51AD5B5C"/>
    <w:rsid w:val="52261143"/>
    <w:rsid w:val="523B4113"/>
    <w:rsid w:val="5295255D"/>
    <w:rsid w:val="52A24D78"/>
    <w:rsid w:val="52F668CE"/>
    <w:rsid w:val="52FE7451"/>
    <w:rsid w:val="53A80467"/>
    <w:rsid w:val="5562576D"/>
    <w:rsid w:val="55893A86"/>
    <w:rsid w:val="558D556F"/>
    <w:rsid w:val="55D1334E"/>
    <w:rsid w:val="56C50C41"/>
    <w:rsid w:val="573037C5"/>
    <w:rsid w:val="57924840"/>
    <w:rsid w:val="586A77C9"/>
    <w:rsid w:val="59984E35"/>
    <w:rsid w:val="59A064B3"/>
    <w:rsid w:val="59C86909"/>
    <w:rsid w:val="5A8E0E69"/>
    <w:rsid w:val="5B2C3469"/>
    <w:rsid w:val="5B382C96"/>
    <w:rsid w:val="5B5B4D72"/>
    <w:rsid w:val="5B754C40"/>
    <w:rsid w:val="5B853052"/>
    <w:rsid w:val="5C086021"/>
    <w:rsid w:val="5C38660C"/>
    <w:rsid w:val="5C594B26"/>
    <w:rsid w:val="5C801A9F"/>
    <w:rsid w:val="5D0643B6"/>
    <w:rsid w:val="5D512A0D"/>
    <w:rsid w:val="5D903B97"/>
    <w:rsid w:val="5E836886"/>
    <w:rsid w:val="5EB32CFF"/>
    <w:rsid w:val="5ECD587B"/>
    <w:rsid w:val="5EEE3AD3"/>
    <w:rsid w:val="5F235A98"/>
    <w:rsid w:val="5F334319"/>
    <w:rsid w:val="5F644ECF"/>
    <w:rsid w:val="604B29F7"/>
    <w:rsid w:val="608D20C3"/>
    <w:rsid w:val="60AE6EFF"/>
    <w:rsid w:val="60D95F74"/>
    <w:rsid w:val="60FA2C82"/>
    <w:rsid w:val="61A65E91"/>
    <w:rsid w:val="620263EA"/>
    <w:rsid w:val="62563C59"/>
    <w:rsid w:val="628F602D"/>
    <w:rsid w:val="629973FA"/>
    <w:rsid w:val="63487AF1"/>
    <w:rsid w:val="6356577D"/>
    <w:rsid w:val="63CB0048"/>
    <w:rsid w:val="64460120"/>
    <w:rsid w:val="64C57C6B"/>
    <w:rsid w:val="655F187A"/>
    <w:rsid w:val="65793114"/>
    <w:rsid w:val="65E04CC8"/>
    <w:rsid w:val="65F40890"/>
    <w:rsid w:val="66733FAD"/>
    <w:rsid w:val="66C13408"/>
    <w:rsid w:val="67342380"/>
    <w:rsid w:val="67750A01"/>
    <w:rsid w:val="67A05630"/>
    <w:rsid w:val="688D5A17"/>
    <w:rsid w:val="69362178"/>
    <w:rsid w:val="69445814"/>
    <w:rsid w:val="6A3037E7"/>
    <w:rsid w:val="6A5E70B2"/>
    <w:rsid w:val="6A6234B6"/>
    <w:rsid w:val="6AB60CE2"/>
    <w:rsid w:val="6AB619CF"/>
    <w:rsid w:val="6AD576A0"/>
    <w:rsid w:val="6B170D07"/>
    <w:rsid w:val="6B7E1A43"/>
    <w:rsid w:val="6BBB22B6"/>
    <w:rsid w:val="6C995851"/>
    <w:rsid w:val="6D181F80"/>
    <w:rsid w:val="6D1E41E7"/>
    <w:rsid w:val="6D3F73B1"/>
    <w:rsid w:val="6D8A37F7"/>
    <w:rsid w:val="6E362DF0"/>
    <w:rsid w:val="6EAD6DEA"/>
    <w:rsid w:val="6EF873C1"/>
    <w:rsid w:val="6F5C58A8"/>
    <w:rsid w:val="6F6843E8"/>
    <w:rsid w:val="6F8C21B9"/>
    <w:rsid w:val="706E3FAA"/>
    <w:rsid w:val="70853526"/>
    <w:rsid w:val="70E80A6C"/>
    <w:rsid w:val="72D7609D"/>
    <w:rsid w:val="73317106"/>
    <w:rsid w:val="73F55F24"/>
    <w:rsid w:val="74897F49"/>
    <w:rsid w:val="751B537A"/>
    <w:rsid w:val="75655534"/>
    <w:rsid w:val="75B306BD"/>
    <w:rsid w:val="75BC41B5"/>
    <w:rsid w:val="76686599"/>
    <w:rsid w:val="76D6493F"/>
    <w:rsid w:val="77460A8A"/>
    <w:rsid w:val="774F00CD"/>
    <w:rsid w:val="775478D8"/>
    <w:rsid w:val="77570494"/>
    <w:rsid w:val="788A29CA"/>
    <w:rsid w:val="79B566A9"/>
    <w:rsid w:val="7A10574B"/>
    <w:rsid w:val="7AD315B5"/>
    <w:rsid w:val="7BB97187"/>
    <w:rsid w:val="7C050874"/>
    <w:rsid w:val="7C1C3664"/>
    <w:rsid w:val="7C3E139D"/>
    <w:rsid w:val="7C574FCB"/>
    <w:rsid w:val="7CB63CAD"/>
    <w:rsid w:val="7DF22919"/>
    <w:rsid w:val="7DFA516C"/>
    <w:rsid w:val="7E1114DA"/>
    <w:rsid w:val="7E8B4EC4"/>
    <w:rsid w:val="7ED7411B"/>
    <w:rsid w:val="7EED339F"/>
    <w:rsid w:val="7F0C5E30"/>
    <w:rsid w:val="7F13058B"/>
    <w:rsid w:val="7F3C227C"/>
    <w:rsid w:val="7F4E444D"/>
    <w:rsid w:val="7F571007"/>
    <w:rsid w:val="7FD1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2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3D3D3D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default" w:ascii="Times New Roman" w:hAnsi="Times New Roman" w:cs="Times New Roman"/>
      <w:color w:val="3D3D3D"/>
      <w:sz w:val="21"/>
      <w:szCs w:val="21"/>
      <w:u w:val="none"/>
    </w:rPr>
  </w:style>
  <w:style w:type="character" w:customStyle="1" w:styleId="15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6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8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31"/>
    <w:basedOn w:val="7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20">
    <w:name w:val="font51"/>
    <w:basedOn w:val="7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6443</Words>
  <Characters>6831</Characters>
  <Lines>0</Lines>
  <Paragraphs>0</Paragraphs>
  <TotalTime>5</TotalTime>
  <ScaleCrop>false</ScaleCrop>
  <LinksUpToDate>false</LinksUpToDate>
  <CharactersWithSpaces>6862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2019-08-27T02:51:00Z</dcterms:created>
  <dc:creator>秦艳丽</dc:creator>
  <cp:lastModifiedBy>Administrator</cp:lastModifiedBy>
  <cp:lastPrinted>2019-12-03T05:31:00Z</cp:lastPrinted>
  <dcterms:modified xsi:type="dcterms:W3CDTF">2024-02-29T10:22:44Z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A38C7AA8EF1B4A3F9406716742067A39</vt:lpwstr>
  </property>
</Properties>
</file>