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兴县林业局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2018年吕梁山生态脆弱区</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吕梁山是著名的革命老区，是拱卫黄河生态安全的重要屏障，也是我省生态建设和脱贫攻坚的主战场。为加快吕梁山生态系统保护和修复步伐，改善生态环境，建设美丽山西。山西省委办公厅、省政府办公厅印发《太行山吕梁山生态系统保护和修复重大工程总体方案》，启动吕梁山生态系统保护和修复重大工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w:t>
      </w:r>
      <w:r>
        <w:rPr>
          <w:rFonts w:hint="eastAsia" w:ascii="Times New Roman" w:hAnsi="Times New Roman" w:eastAsia="仿宋_GB2312" w:cs="Times New Roman"/>
          <w:bCs/>
          <w:kern w:val="2"/>
          <w:sz w:val="32"/>
          <w:szCs w:val="32"/>
          <w:highlight w:val="none"/>
          <w:lang w:val="en-US" w:eastAsia="zh-CN"/>
        </w:rPr>
        <w:t>2018年到2020年完成人工造林，扩大自然保护区和湿地保护区，带动生态建设和脱贫攻坚互促双赢。2021年至2025年实现宜林荒山基本绿化，生态保护全面加强，森林质量得到精准提升，林业生态服务功能和价值得到有效发挥。林业的生态、经济和社会效益实现有机统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）《中华人民共和国国民经济和社会发展第十三个五年规划纲要》；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 xml:space="preserve">    （2）《中共中央 国务院关于打赢脱贫攻坚战三年行动的指导意见》；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）山西省人民政府《关于印发山西省“十三五”脱贫攻坚规划的通知》；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（4）中共山西省委 山西省人民政府 关于坚决打赢全省脱贫攻坚战三年行动的实施意见》；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（5）山西省委办公厅 山西省政府办公厅《太行山吕梁山生态系统保护和修复重大工程总体方案》；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（6）兴县人民政府《关于印发兴县打赢蓝天保卫战三年行动计划的通知》（兴政发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18</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35号）；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林业局通过议标将2018年度吕梁山生态脆弱区植树造林工程承包给扶贫攻坚造林合作社予以实施，林业局负责规划设计、技术指导。拟在蔚汾镇、康宁镇、固贤乡、瓦塘镇等11个乡镇建设3.5万亩防护林、栽植385万株苗木，以期达到恢复植被、修复生态、防止水土流失、改善生态环境、调节区域气候、增加农业收入的目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年兴县林业局2018年吕梁山生态脆弱区预算指标</w:t>
      </w:r>
      <w:r>
        <w:rPr>
          <w:rFonts w:hint="eastAsia" w:ascii="Times New Roman" w:hAnsi="Times New Roman" w:eastAsia="仿宋_GB2312" w:cs="Times New Roman"/>
          <w:bCs/>
          <w:kern w:val="2"/>
          <w:sz w:val="32"/>
          <w:szCs w:val="32"/>
          <w:highlight w:val="none"/>
          <w:lang w:val="en-US" w:eastAsia="zh-CN"/>
        </w:rPr>
        <w:t>950.00万元。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年兴县林业局实际支付吕梁山生态脆弱区项目各扶贫攻坚造林合作社</w:t>
      </w:r>
      <w:r>
        <w:rPr>
          <w:rFonts w:hint="eastAsia" w:ascii="Times New Roman" w:hAnsi="Times New Roman" w:eastAsia="仿宋_GB2312" w:cs="Times New Roman"/>
          <w:bCs/>
          <w:kern w:val="2"/>
          <w:sz w:val="32"/>
          <w:szCs w:val="32"/>
          <w:highlight w:val="none"/>
          <w:lang w:val="en-US" w:eastAsia="zh-CN"/>
        </w:rPr>
        <w:t>205.66</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依托扶贫攻坚造林专业合作社实施工程，尽可能地吸收具有劳动能力的贫困户参与劳务投入，在康宁镇、蔚汾镇、固贤乡、瓦塘镇等11个乡镇栽植385万株苗木，建设3.5万亩防护林。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梳理2018年吕梁山生态脆弱区项目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评价指标体系框架，结合项目的实际情况及项目绩效评价原则，构建2021年度兴县林业局2018年吕梁山生态脆弱区项目的绩效评价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2018年吕梁山生态脆弱区</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w:t>
      </w:r>
      <w:r>
        <w:rPr>
          <w:rFonts w:hint="eastAsia" w:ascii="Times New Roman" w:hAnsi="Times New Roman" w:eastAsia="仿宋_GB2312" w:cs="Times New Roman"/>
          <w:bCs/>
          <w:kern w:val="2"/>
          <w:sz w:val="32"/>
          <w:szCs w:val="32"/>
          <w:highlight w:val="none"/>
          <w:lang w:val="en-US" w:eastAsia="zh-CN"/>
        </w:rPr>
        <w:t>评价指标体系确定的评价指标、评价权重、评价标准和评价方法，对评价对象进行全面的定量、定性分析和综合评价，形成评价结论。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投入指标从项目资金执行情况方面进行考察，投入指标分值共计10分，本项目实际得分2.16分：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兴县林业局2018年吕梁山生态脆弱区项目全年预算金额950.00万元，全年支出金额205.66万元。执行率=全年支出金额/全年预算金额=205.66/950.00=21.65%。</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依据项目支出绩效自评得分规则，项目资金全年预算执行率得2.16分。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产出指标从数量、质量、时效和成本四个方面进行考察，产出指标分值共计50分，本项目实际得分30分：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表2-1产出指标评分情况表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B产出</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w:t>
            </w:r>
            <w:r>
              <w:rPr>
                <w:rFonts w:hint="default" w:ascii="Times New Roman" w:hAnsi="Times New Roman" w:cs="Times New Roman"/>
                <w:bCs/>
                <w:kern w:val="2"/>
                <w:sz w:val="20"/>
                <w:szCs w:val="20"/>
                <w:highlight w:val="none"/>
                <w:vertAlign w:val="baseline"/>
                <w:lang w:val="en-US" w:eastAsia="zh-CN"/>
              </w:rPr>
              <w:t>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11</w:t>
            </w:r>
            <w:r>
              <w:rPr>
                <w:rFonts w:hint="eastAsia" w:ascii="Times New Roman" w:hAnsi="Times New Roman" w:cs="Times New Roman"/>
                <w:bCs/>
                <w:kern w:val="2"/>
                <w:sz w:val="20"/>
                <w:szCs w:val="20"/>
                <w:highlight w:val="none"/>
                <w:vertAlign w:val="baseline"/>
                <w:lang w:val="en-US" w:eastAsia="zh-CN"/>
              </w:rPr>
              <w:t>林地完成面积</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B12苗木栽植数量</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交工验收成活保存率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31</w:t>
            </w:r>
            <w:r>
              <w:rPr>
                <w:rFonts w:hint="eastAsia" w:ascii="Times New Roman" w:hAnsi="Times New Roman" w:cs="Times New Roman"/>
                <w:bCs/>
                <w:kern w:val="2"/>
                <w:sz w:val="20"/>
                <w:szCs w:val="20"/>
                <w:highlight w:val="none"/>
                <w:vertAlign w:val="baseline"/>
                <w:lang w:val="en-US" w:eastAsia="zh-CN"/>
              </w:rPr>
              <w:t>投入运行率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41植树造林成本</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林地完成面积</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兴县林业局2021年度吕梁山生态脆弱区项目按计划完成3.5万亩林地的养护工作。</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宋体" w:hAnsi="宋体" w:eastAsia="宋体" w:cs="宋体"/>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苗木栽植数量</w:t>
      </w:r>
      <w:bookmarkStart w:id="13" w:name="_GoBack"/>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兴县林业局2021年度吕梁山生态脆弱区项目计划完成385万株苗木的栽植任务。依据项目支出绩效自评得分规则，项目完成率得20分。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质量指标-交工验收成活保存率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“2018年吕梁山生态脆弱区项目”建设养护期于2020年年末结束，但至今未全部验收完毕，验收成活保存率尚不确定。依据项目支出绩效自评得分规则，项目验收合格率得0分。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“2018年吕梁山生态脆弱区项目”因尚未验收完毕，因此未能投入运行。依据项目支出绩效自评得分规则，项目投入运行率得分0分。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成本指标-植树造林成本</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2018年吕梁山生态脆弱区”项目通过议标方式确定11家扶贫攻坚造林合作社进行造林，根据议标确定的金额及栽植亩数计算，植树造林成本低于850元/亩。依据项目支出绩效自评得分规则，植树造林成本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11</w:t>
            </w:r>
            <w:r>
              <w:rPr>
                <w:rFonts w:hint="eastAsia" w:ascii="Arial" w:hAnsi="Arial" w:cs="Arial"/>
                <w:bCs/>
                <w:kern w:val="2"/>
                <w:sz w:val="20"/>
                <w:szCs w:val="20"/>
                <w:highlight w:val="none"/>
                <w:vertAlign w:val="baseline"/>
                <w:lang w:val="en-US" w:eastAsia="zh-CN"/>
              </w:rPr>
              <w:t>经济</w:t>
            </w:r>
            <w:r>
              <w:rPr>
                <w:rFonts w:hint="default" w:ascii="Arial" w:hAnsi="Arial" w:cs="Arial"/>
                <w:bCs/>
                <w:kern w:val="2"/>
                <w:sz w:val="20"/>
                <w:szCs w:val="20"/>
                <w:highlight w:val="none"/>
                <w:vertAlign w:val="baseline"/>
                <w:lang w:val="en-US" w:eastAsia="zh-CN"/>
              </w:rPr>
              <w:t>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2生态效益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3可持续影响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r>
    </w:tbl>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2018年吕梁山生态脆弱区项目由脱贫攻坚造林专业合作社通过聘用贫困户进行种树，直接带动贫困户收入增长，有助于其脱贫发展。栽植树木植被可以待到成熟期，通过采伐对苗木进行销售产生直接经济效益。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2018年吕梁山生态脆弱区项目的实施可以有效增加区域森林面积，改善地表植被，遏制水土流失进程，有助于改善区域生态环境。同时可以逐步调整农牧产业结构，促进社会和谐发展。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2018年吕梁山生态脆弱区项目既能保持水土不被流失又能保持气候的稳定，还是“粉尘的过滤器”和“天然的蓄水库”。通过紧紧围绕加强生态系统的保护和修复，聚焦增绿增收互促双赢的目标，推进大规模国土绿化行动，取得了良好的生态效益。其可持续影响较长，项目发展的可持续性较强。根据绩效评价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，该指标采取问卷调查的方式，问卷调查采取对利益相关方全覆盖的方式，通过随机抽查方式发放问卷20份，实际收回20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。均为全部非常满意。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依据项目支出绩效自评得分规则，满意度等级从非常满意到不满意的权重分别为100%、80%、50%、0，项目满意度＝（非常满意数*100%+满意数*80%+一般数*50%+不满意数*0）/调查问卷回收总数*100%。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兴县县农业农村局2018年吕梁山生态脆弱区项目绩效评价得分</w:t>
      </w:r>
      <w:r>
        <w:rPr>
          <w:rFonts w:hint="eastAsia" w:ascii="Times New Roman" w:hAnsi="Times New Roman" w:eastAsia="仿宋_GB2312" w:cs="Times New Roman"/>
          <w:bCs/>
          <w:kern w:val="2"/>
          <w:sz w:val="32"/>
          <w:szCs w:val="32"/>
          <w:highlight w:val="none"/>
          <w:lang w:val="en-US" w:eastAsia="zh-CN"/>
        </w:rPr>
        <w:t>为72.16</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中</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积极探索和学习“购买式造林”新模式，由市场主体按照政府规划和标准资助造林，经验收合格后由政府购买所造林木。并由造林主体（脱贫攻坚造林合作社）聘用贫困户进行植树。在探索“一个战场打赢两场战役”的探索实践中，沟壑纵横、生态脆弱的吕梁山乘着国家政策的东风，打响了一场“绿色扶贫”攻坚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r>
        <w:rPr>
          <w:rFonts w:hint="eastAsia" w:ascii="黑体" w:hAnsi="黑体" w:eastAsia="黑体" w:cs="黑体"/>
          <w:bCs/>
          <w:kern w:val="2"/>
          <w:sz w:val="32"/>
          <w:szCs w:val="32"/>
          <w:highlight w:val="none"/>
          <w:lang w:val="en-US" w:eastAsia="zh-CN"/>
        </w:rPr>
        <w:t>六、问题及建议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default" w:ascii="黑体" w:hAnsi="黑体" w:eastAsia="黑体" w:cs="黑体"/>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2018年吕梁山生态脆弱区项目截至</w:t>
      </w:r>
      <w:r>
        <w:rPr>
          <w:rFonts w:hint="eastAsia" w:ascii="Times New Roman" w:hAnsi="Times New Roman" w:eastAsia="仿宋_GB2312" w:cs="Times New Roman"/>
          <w:bCs/>
          <w:kern w:val="2"/>
          <w:sz w:val="32"/>
          <w:szCs w:val="32"/>
          <w:highlight w:val="none"/>
          <w:lang w:val="en-US" w:eastAsia="zh-CN"/>
        </w:rPr>
        <w:t>2020年12月30日已交工但截至目前仍未完成验收工作，将在今后一段时间内积极验收，确保项目在规定时间内完成并正式运行。同时在今后工作中加强时间观念，积极完成各项工作任务。</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兴县林业局2018年吕梁山生态脆弱区项目支出绩效自评报告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兴县林业局2018年吕梁山生态脆弱区项目支出绩效自评报告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741A1D"/>
    <w:rsid w:val="098C23E7"/>
    <w:rsid w:val="0AB13AD9"/>
    <w:rsid w:val="0AD10CF0"/>
    <w:rsid w:val="0B0158C3"/>
    <w:rsid w:val="0B6B08EC"/>
    <w:rsid w:val="0C417E8A"/>
    <w:rsid w:val="0C6D40FA"/>
    <w:rsid w:val="0C744984"/>
    <w:rsid w:val="0CBE3B32"/>
    <w:rsid w:val="0D9930B3"/>
    <w:rsid w:val="0E4F7E8E"/>
    <w:rsid w:val="0F4C70E1"/>
    <w:rsid w:val="0FA934B7"/>
    <w:rsid w:val="0FD63482"/>
    <w:rsid w:val="0FFF2D9F"/>
    <w:rsid w:val="100A0AFC"/>
    <w:rsid w:val="10474DB4"/>
    <w:rsid w:val="107964E6"/>
    <w:rsid w:val="10C6225A"/>
    <w:rsid w:val="10C65498"/>
    <w:rsid w:val="1126470E"/>
    <w:rsid w:val="11606175"/>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4C02DD2"/>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9A71EB"/>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8C218B"/>
    <w:rsid w:val="49DD022A"/>
    <w:rsid w:val="4A61537D"/>
    <w:rsid w:val="4A8A4A17"/>
    <w:rsid w:val="4ABF7583"/>
    <w:rsid w:val="4B6B5F82"/>
    <w:rsid w:val="4B716025"/>
    <w:rsid w:val="4BB02FC3"/>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345B70"/>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4701</Words>
  <Characters>4919</Characters>
  <Lines>0</Lines>
  <Paragraphs>0</Paragraphs>
  <TotalTime>0</TotalTime>
  <ScaleCrop>false</ScaleCrop>
  <LinksUpToDate>false</LinksUpToDate>
  <CharactersWithSpaces>4946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2022-08-31T10:29:27Z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