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47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BPIOJP+STZhongsong" w:hAnsi="BPIOJP+STZhongsong" w:cs="BPIOJP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城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市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管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理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综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合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行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执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队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51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BPIOJP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/>
          <w:color w:val="000000"/>
          <w:spacing w:val="0"/>
          <w:sz w:val="35"/>
        </w:rPr>
        <w:t>4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部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门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预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BPIOJP+STZhongsong" w:hAnsi="BPIOJP+STZhongsong" w:cs="BPIOJP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806" w:right="100" w:bottom="0" w:left="274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82pt;margin-top:143pt;z-index:-1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53.5pt;margin-top:193pt;z-index:-19;width:27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34pt;margin-top:218pt;z-index:-23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34pt;margin-top:243pt;z-index:-27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34pt;margin-top:268pt;z-index:-3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60pt;margin-top:293pt;z-index:-35;width:263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403pt;margin-top:318pt;z-index:-39;width:12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94pt;margin-top:343pt;z-index:-43;width:2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90pt;margin-top:368pt;z-index:-47;width:12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90pt;margin-top:393pt;z-index:-51;width:12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29pt;margin-top:418pt;z-index:-55;width:8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7pt;margin-top:443pt;z-index:-59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64pt;margin-top:468pt;z-index:-63;width:1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338pt;margin-top:493pt;z-index:-67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38pt;margin-top:518pt;z-index:-7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86pt;margin-top:543pt;z-index:-75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12pt;margin-top:568pt;z-index:-79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21pt;margin-top:593pt;z-index:-83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21pt;margin-top:618pt;z-index:-87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9pt;margin-top:643pt;z-index:-91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3pt;margin-top:668pt;z-index:-95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9pt;margin-top:693pt;z-index:-9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9pt;margin-top:718pt;z-index:-103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9pt;margin-top:743pt;z-index:-107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95pt;margin-top:768pt;z-index:-111;width:3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95pt;margin-top:793pt;z-index:-115;width:3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705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一、本部门职责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2024年部门预算报表</w:t>
      </w:r>
      <w:r>
        <w:rPr>
          <w:rFonts w:ascii="FangSong"/>
          <w:color w:val="000000"/>
          <w:spacing w:val="52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表一2024年预算收支总表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表二2024年预算收入总表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表三2024年预算支出总表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表四2024年财政拨款收支总表</w:t>
      </w:r>
      <w:r>
        <w:rPr>
          <w:rFonts w:ascii="FangSong"/>
          <w:color w:val="000000"/>
          <w:spacing w:val="510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表五2024年一般公共预算支出预算表（不含上年结转）</w:t>
      </w:r>
      <w:r>
        <w:rPr>
          <w:rFonts w:ascii="FangSong"/>
          <w:color w:val="000000"/>
          <w:spacing w:val="224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8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表六2024年一般公共预算安排基本支出分经济科目表（不含上年结转）</w:t>
      </w:r>
      <w:r>
        <w:rPr>
          <w:rFonts w:ascii="FangSong"/>
          <w:color w:val="000000"/>
          <w:spacing w:val="4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9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表七2024年政府性基金预算收入表（不含上年结转）</w:t>
      </w:r>
      <w:r>
        <w:rPr>
          <w:rFonts w:ascii="FangSong"/>
          <w:color w:val="000000"/>
          <w:spacing w:val="23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表八2024年政府性基金预算支出表（不含上年结转）</w:t>
      </w:r>
      <w:r>
        <w:rPr>
          <w:rFonts w:ascii="FangSong"/>
          <w:color w:val="000000"/>
          <w:spacing w:val="23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表九2024年国有资本经营预算收支预算表（不含上年结转）</w:t>
      </w:r>
      <w:r>
        <w:rPr>
          <w:rFonts w:ascii="FangSong"/>
          <w:color w:val="000000"/>
          <w:spacing w:val="15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表十2024年财政拨款安排“三公”经费支出预算表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表十一2024年财政拨款安排机关运行经费预算表</w:t>
      </w:r>
      <w:r>
        <w:rPr>
          <w:rFonts w:ascii="FangSong"/>
          <w:color w:val="000000"/>
          <w:spacing w:val="28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13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表十二2024年项目支出预算表（本年预算）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表十三2024年项目支出预算表（上年结转）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2024年度部门预算情况说明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50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一、部门预算收支数据变动情况及原因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二、收入预算情况说明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三、支出预算情况说明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四、财政拨款收支预算总体情况说明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五、一般公共预算支出情况说明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六、一般公共预算基本支出情况说明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七、“三公”经费增减变动原因说明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八、机关运行经费增减变动原因说明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九、政府采购情况</w:t>
      </w:r>
      <w:r>
        <w:rPr>
          <w:rFonts w:ascii="FangSong"/>
          <w:color w:val="000000"/>
          <w:spacing w:val="627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十、绩效管理情况</w:t>
      </w:r>
      <w:r>
        <w:rPr>
          <w:rFonts w:ascii="FangSong"/>
          <w:color w:val="000000"/>
          <w:spacing w:val="62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18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9" style="position:absolute;margin-left:260pt;margin-top:60pt;z-index:-119;width:25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82pt;margin-top:85pt;z-index:-12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9pt;margin-top:110pt;z-index:-127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82pt;margin-top:135pt;z-index:-131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82pt;margin-top:160pt;z-index:-135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FangSong" w:hAnsi="FangSong" w:cs="FangSong"/>
          <w:color w:val="000000"/>
          <w:spacing w:val="0"/>
          <w:sz w:val="26"/>
        </w:rPr>
        <w:t>十一、国有资产占有使用情况</w:t>
      </w:r>
      <w:r>
        <w:rPr>
          <w:rFonts w:ascii="FangSong"/>
          <w:color w:val="000000"/>
          <w:spacing w:val="49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十二、其他说明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104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（一）政府购买服务指导性目录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104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（二）其他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第四部分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名词解释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33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997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4" style="position:absolute;margin-left:63.5pt;margin-top:47pt;z-index:-139;width:467.75pt;height:621.3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9pt;z-index:-1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31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63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一、本部门职责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兴县城市管理综合行政执法队的主要职责是：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1.贯彻落实城市市容市貌管理等方面的相关方针、政策和法律法规。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2.负责城区市容市貌、环境卫生、两违建筑等方面的行政执法工作，督促推进各项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管理措施落实。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3.依法对城区市容市貌、环境卫生、两违建筑等方面实施行政许可和行政处罚。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4.负责城市管理综合行政执法与刑事司法衔接，依法开展案件移送和大要案联合查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办工作。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5.完成县委、县政府及县住房和城乡建设管理局交办的其他任务。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兴县城市管理综合行政执法队设下列内设机构：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一、综合办公室。贯彻执行县委、县政府关于城区管理监督检查工作的相关政策，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承担上级交办的相关工作；负责机关日常运转工作，承担机关日常管理、人员考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核、会务接待、后勤保障等工作；协调处理上级有关部门交办、转办的事项；负责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协调相关部门的工作，督促各项措施的落实，及时向县委、县政府汇报相关情况；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负责信息报送，制定城市管理工作计划，督促协调各有关部门抓好工作。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二、案件管理和督查室。负责城市管理综合行政执法队案件的合法性审核、案卷评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查、信息公开、案卷归档管理等工作；负责对工作目标绩效完成情况督促检查和考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核评价；负责制定并落实执法人员行为规范，加强对执法人员依法行政、文明执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法、队风队纪等进行监督检查，抓好队伍日常教育管理工作；负责行政执法队伍执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法业务的培训；负责行政执法“三项制度”的全面落实；负责监督检查城市管理日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常工作，及时发现漏洞，反馈问题，督促整改。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三、执法中队。负责辖区市容市貌和环境卫生管理的监督检查，加大市容市貌和环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境卫生管理相关法律、法规的宣传力度；对辖区内违法市容市貌、环境卫生等法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律、法规、规章规定的行为实施处罚；负责辖区户外广告、人行道摊点和市场的日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常管理工作；加大排查力度和频次，从源头上管控违法违章建筑行为；对城区出现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的违法违章建筑依法治理。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2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6" style="position:absolute;margin-left:70.7pt;margin-top:94.4pt;z-index:-147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3.5pt;margin-top:47pt;z-index:-151;width:467.75pt;height:41.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29pt;z-index:-1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811" w:after="0" w:line="42" w:lineRule="exact"/>
        <w:ind w:left="359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2024年部门预算报表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0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QLGLOW+Nimbus Sans L"/>
          <w:color w:val="000000"/>
          <w:spacing w:val="1"/>
          <w:sz w:val="2"/>
        </w:rPr>
        <w:t>2024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HVUGJ+WenQuanYi Zen Hei Sharp" w:hAnsi="PHVUGJ+WenQuanYi Zen Hei Sharp" w:cs="PHVUG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9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4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2024年预算收支总表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37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3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90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1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</w:t>
      </w:r>
      <w:r>
        <w:rPr>
          <w:rFonts w:ascii="Times New Roman"/>
          <w:color w:val="212529"/>
          <w:spacing w:val="12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2024年合计</w:t>
      </w:r>
      <w:r>
        <w:rPr>
          <w:rFonts w:ascii="Times New Roman"/>
          <w:color w:val="212529"/>
          <w:spacing w:val="21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当年预算安排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9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125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1511.50一、一般公共服务支出</w:t>
      </w:r>
      <w:r>
        <w:rPr>
          <w:rFonts w:ascii="Times New Roman"/>
          <w:color w:val="212529"/>
          <w:spacing w:val="155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6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</w:t>
      </w:r>
      <w:r>
        <w:rPr>
          <w:rFonts w:ascii="Times New Roman"/>
          <w:color w:val="212529"/>
          <w:spacing w:val="14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四、财政专户管理资金</w:t>
      </w:r>
      <w:r>
        <w:rPr>
          <w:rFonts w:ascii="Times New Roman"/>
          <w:color w:val="212529"/>
          <w:spacing w:val="14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91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五、单位资金</w:t>
      </w:r>
      <w:r>
        <w:rPr>
          <w:rFonts w:ascii="Times New Roman"/>
          <w:color w:val="212529"/>
          <w:spacing w:val="215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91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6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九、社会保险基金支出</w:t>
      </w:r>
      <w:r>
        <w:rPr>
          <w:rFonts w:ascii="Times New Roman"/>
          <w:color w:val="212529"/>
          <w:spacing w:val="15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十、卫生健康支出</w:t>
      </w:r>
      <w:r>
        <w:rPr>
          <w:rFonts w:ascii="Times New Roman"/>
          <w:color w:val="212529"/>
          <w:spacing w:val="15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75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74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十一、节能环保支出</w:t>
      </w:r>
      <w:r>
        <w:rPr>
          <w:rFonts w:ascii="Times New Roman"/>
          <w:color w:val="212529"/>
          <w:spacing w:val="17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十二、城乡社区支出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6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十三、农林水支出</w:t>
      </w:r>
      <w:r>
        <w:rPr>
          <w:rFonts w:ascii="Times New Roman"/>
          <w:color w:val="212529"/>
          <w:spacing w:val="191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十四、交通运输支出</w:t>
      </w:r>
      <w:r>
        <w:rPr>
          <w:rFonts w:ascii="Times New Roman"/>
          <w:color w:val="212529"/>
          <w:spacing w:val="17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十六、商业服务业等支出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十七、金融支出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十八、援助其他地区支出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二十、住房保障支出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75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74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二十一、粮油物资储备支出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二十三、灾害防治及应急管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二十四、预备费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二十五、其他支出</w:t>
      </w:r>
      <w:r>
        <w:rPr>
          <w:rFonts w:ascii="Times New Roman"/>
          <w:color w:val="212529"/>
          <w:spacing w:val="191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二十六、转移性支出</w:t>
      </w:r>
      <w:r>
        <w:rPr>
          <w:rFonts w:ascii="Times New Roman"/>
          <w:color w:val="212529"/>
          <w:spacing w:val="17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二十七、债务还本支出</w:t>
      </w:r>
      <w:r>
        <w:rPr>
          <w:rFonts w:ascii="Times New Roman"/>
          <w:color w:val="212529"/>
          <w:spacing w:val="15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1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9" style="position:absolute;margin-left:70.7pt;margin-top:47pt;z-index:-159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9pt;z-index:-1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75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二十八、债务付息支出</w:t>
      </w:r>
      <w:r>
        <w:rPr>
          <w:rFonts w:ascii="Times New Roman"/>
          <w:color w:val="212529"/>
          <w:spacing w:val="15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二十九、债务发行费用支出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三十、抗疫特别国债安排的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1611"/>
          <w:sz w:val="18"/>
        </w:rPr>
        <w:t xml:space="preserve"> </w:t>
      </w:r>
      <w:r>
        <w:rPr>
          <w:rFonts w:ascii="SimSun" w:hAnsi="SimSun" w:cs="SimSun"/>
          <w:color w:val="212529"/>
          <w:spacing w:val="2"/>
          <w:sz w:val="18"/>
        </w:rPr>
        <w:t>1511.50本年支出合计</w:t>
      </w:r>
      <w:r>
        <w:rPr>
          <w:rFonts w:ascii="Times New Roman"/>
          <w:color w:val="212529"/>
          <w:spacing w:val="17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57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74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212529"/>
          <w:spacing w:val="251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年终结转</w:t>
      </w:r>
      <w:r>
        <w:rPr>
          <w:rFonts w:ascii="Times New Roman"/>
          <w:color w:val="212529"/>
          <w:spacing w:val="263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收入总计</w:t>
      </w:r>
      <w:r>
        <w:rPr>
          <w:rFonts w:ascii="Times New Roman"/>
          <w:color w:val="212529"/>
          <w:spacing w:val="1972"/>
          <w:sz w:val="18"/>
        </w:rPr>
        <w:t xml:space="preserve"> </w:t>
      </w:r>
      <w:r>
        <w:rPr>
          <w:rFonts w:ascii="SimSun" w:hAnsi="SimSun" w:cs="SimSun"/>
          <w:color w:val="212529"/>
          <w:spacing w:val="2"/>
          <w:sz w:val="18"/>
        </w:rPr>
        <w:t>1511.50支出总计</w:t>
      </w:r>
      <w:r>
        <w:rPr>
          <w:rFonts w:ascii="Times New Roman"/>
          <w:color w:val="212529"/>
          <w:spacing w:val="20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57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74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6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41" style="position:absolute;margin-left:70.7pt;margin-top:54.8pt;z-index:-167;width:700.8pt;height:393.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9pt;z-index:-171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QLGLOW+Nimbus Sans L"/>
          <w:color w:val="000000"/>
          <w:spacing w:val="1"/>
          <w:sz w:val="2"/>
        </w:rPr>
        <w:t>2024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KVQK+WenQuanYi Zen Hei Sharp" w:hAnsi="FPKVQK+WenQuanYi Zen Hei Sharp" w:cs="FPKVQK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98" w:after="0" w:line="31" w:lineRule="exact"/>
        <w:ind w:left="15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45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81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493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186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11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3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925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3" w:after="0" w:line="40" w:lineRule="exact"/>
        <w:ind w:left="6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2024年预算收入总表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68" w:after="0" w:line="31" w:lineRule="exact"/>
        <w:ind w:left="80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202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0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90"/>
          <w:sz w:val="16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98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40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621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30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583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138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" w:after="0" w:line="33" w:lineRule="exact"/>
        <w:ind w:left="995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</w:t>
      </w:r>
      <w:r>
        <w:rPr>
          <w:rFonts w:ascii="Times New Roman"/>
          <w:color w:val="212529"/>
          <w:spacing w:val="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财政专户管理资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12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67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88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81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2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</w:t>
      </w:r>
      <w:r>
        <w:rPr>
          <w:rFonts w:ascii="Times New Roman"/>
          <w:color w:val="212529"/>
          <w:spacing w:val="28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单位资金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04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212529"/>
          <w:spacing w:val="1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30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2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276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264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012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060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7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8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5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8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32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Times New Roman"/>
          <w:color w:val="212529"/>
          <w:spacing w:val="10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4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Times New Roman"/>
          <w:color w:val="212529"/>
          <w:spacing w:val="8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8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Times New Roman"/>
          <w:color w:val="212529"/>
          <w:spacing w:val="8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335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99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335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Times New Roman"/>
          <w:color w:val="212529"/>
          <w:spacing w:val="9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其他行政事业单位医疗支出</w:t>
      </w:r>
      <w:r>
        <w:rPr>
          <w:rFonts w:ascii="Times New Roman"/>
          <w:color w:val="212529"/>
          <w:spacing w:val="23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0.41</w:t>
      </w:r>
      <w:r>
        <w:rPr>
          <w:rFonts w:ascii="Times New Roman"/>
          <w:color w:val="212529"/>
          <w:spacing w:val="10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0.41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城乡社区支出</w:t>
      </w:r>
      <w:r>
        <w:rPr>
          <w:rFonts w:ascii="Times New Roman"/>
          <w:color w:val="212529"/>
          <w:spacing w:val="32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8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21201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城乡社区管理事务</w:t>
      </w:r>
      <w:r>
        <w:rPr>
          <w:rFonts w:ascii="Times New Roman"/>
          <w:color w:val="212529"/>
          <w:spacing w:val="29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8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2120104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城管执法</w:t>
      </w:r>
      <w:r>
        <w:rPr>
          <w:rFonts w:ascii="Times New Roman"/>
          <w:color w:val="212529"/>
          <w:spacing w:val="36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8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21205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城乡社区环境卫生</w:t>
      </w:r>
      <w:r>
        <w:rPr>
          <w:rFonts w:ascii="Times New Roman"/>
          <w:color w:val="212529"/>
          <w:spacing w:val="30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10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2120501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城乡社区环境卫生</w:t>
      </w:r>
      <w:r>
        <w:rPr>
          <w:rFonts w:ascii="Times New Roman"/>
          <w:color w:val="212529"/>
          <w:spacing w:val="30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10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9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335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335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5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734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43" style="position:absolute;margin-left:70.7pt;margin-top:54.8pt;z-index:-175;width:453.35pt;height:416.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9pt;z-index:-1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QLGLOW+Nimbus Sans L"/>
          <w:color w:val="000000"/>
          <w:spacing w:val="1"/>
          <w:sz w:val="2"/>
        </w:rPr>
        <w:t>2024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GNSTL+WenQuanYi Zen Hei Sharp" w:hAnsi="WGNSTL+WenQuanYi Zen Hei Sharp" w:cs="WGNST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0" w:after="0" w:line="31" w:lineRule="exact"/>
        <w:ind w:left="16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260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12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8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162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57" w:after="0" w:line="40" w:lineRule="exact"/>
        <w:ind w:left="4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2024年预算支出总表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92" w:after="0" w:line="31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3357"/>
          <w:sz w:val="16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924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8" w:after="0" w:line="33" w:lineRule="exact"/>
        <w:ind w:left="29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74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131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5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63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29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1363.75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147.75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4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2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8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2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0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8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7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4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122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2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4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122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Times New Roman"/>
          <w:color w:val="212529"/>
          <w:spacing w:val="9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Times New Roman"/>
          <w:color w:val="212529"/>
          <w:spacing w:val="12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其他行政事业单位医疗支出</w:t>
      </w:r>
      <w:r>
        <w:rPr>
          <w:rFonts w:ascii="Times New Roman"/>
          <w:color w:val="212529"/>
          <w:spacing w:val="18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0.41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0.41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</w:t>
      </w:r>
      <w:r>
        <w:rPr>
          <w:rFonts w:ascii="Times New Roman"/>
          <w:color w:val="212529"/>
          <w:spacing w:val="14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城乡社区支出</w:t>
      </w:r>
      <w:r>
        <w:rPr>
          <w:rFonts w:ascii="Times New Roman"/>
          <w:color w:val="212529"/>
          <w:spacing w:val="27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8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779.33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147.75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21201</w:t>
      </w:r>
      <w:r>
        <w:rPr>
          <w:rFonts w:ascii="Times New Roman"/>
          <w:color w:val="212529"/>
          <w:spacing w:val="12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城乡社区管理事务</w:t>
      </w:r>
      <w:r>
        <w:rPr>
          <w:rFonts w:ascii="Times New Roman"/>
          <w:color w:val="212529"/>
          <w:spacing w:val="240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8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779.33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138.00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2120104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城管执法</w:t>
      </w:r>
      <w:r>
        <w:rPr>
          <w:rFonts w:ascii="Times New Roman"/>
          <w:color w:val="212529"/>
          <w:spacing w:val="31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779.33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138.00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21205</w:t>
      </w:r>
      <w:r>
        <w:rPr>
          <w:rFonts w:ascii="Times New Roman"/>
          <w:color w:val="212529"/>
          <w:spacing w:val="12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城乡社区环境卫生</w:t>
      </w:r>
      <w:r>
        <w:rPr>
          <w:rFonts w:ascii="Times New Roman"/>
          <w:color w:val="212529"/>
          <w:spacing w:val="25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1305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0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2120501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城乡社区环境卫生</w:t>
      </w:r>
      <w:r>
        <w:rPr>
          <w:rFonts w:ascii="Times New Roman"/>
          <w:color w:val="212529"/>
          <w:spacing w:val="25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60" w:lineRule="exact"/>
        <w:ind w:left="806" w:right="1353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4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122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2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1221"/>
          <w:sz w:val="18"/>
        </w:rPr>
        <w:t xml:space="preserve"> </w:t>
      </w:r>
      <w:r>
        <w:rPr>
          <w:rFonts w:ascii="SimSun" w:hAnsi="SimSun" w:cs="SimSun"/>
          <w:color w:val="212529"/>
          <w:spacing w:val="-47"/>
          <w:sz w:val="18"/>
        </w:rPr>
        <w:t xml:space="preserve">  </w:t>
      </w:r>
      <w:r>
        <w:rPr>
          <w:rFonts w:ascii="SimSun" w:hAnsi="SimSun" w:cs="SimSun"/>
          <w:color w:val="212529"/>
          <w:spacing w:val="-47"/>
          <w:sz w:val="18"/>
        </w:rPr>
        <w:cr>""</w:cr>
      </w: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0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12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22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5" style="position:absolute;margin-left:70.7pt;margin-top:54.8pt;z-index:-183;width:453.35pt;height:737.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29pt;z-index:-1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QLGLOW+Nimbus Sans L"/>
          <w:color w:val="000000"/>
          <w:spacing w:val="1"/>
          <w:sz w:val="2"/>
        </w:rPr>
        <w:t>2024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NPKTB+WenQuanYi Zen Hei Sharp" w:hAnsi="WNPKTB+WenQuanYi Zen Hei Sharp" w:cs="WNPKTB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1646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72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41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41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072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504"/>
          <w:sz w:val="17"/>
        </w:rPr>
        <w:t xml:space="preserve"> </w:t>
      </w:r>
      <w:r>
        <w:rPr>
          <w:rFonts w:ascii="SimSun" w:hAnsi="SimSun" w:cs="SimSun"/>
          <w:color w:val="212529"/>
          <w:spacing w:val="-2"/>
          <w:sz w:val="17"/>
        </w:rPr>
        <w:t>预算公开表4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spacing w:before="429" w:after="0" w:line="40" w:lineRule="exact"/>
        <w:ind w:left="39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2024年财政拨款收支总表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37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751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150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1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9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</w:t>
      </w:r>
      <w:r>
        <w:rPr>
          <w:rFonts w:ascii="Times New Roman"/>
          <w:color w:val="212529"/>
          <w:spacing w:val="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59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39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5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金预算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795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1511.50一、一般公共服务支出</w:t>
      </w:r>
      <w:r>
        <w:rPr>
          <w:rFonts w:ascii="Times New Roman"/>
          <w:color w:val="212529"/>
          <w:spacing w:val="10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178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6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78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78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媒支出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八、社会保障和就业支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4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九、社会保险基金支出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十、卫生健康支出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十一、节能环保支出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十二、城乡社区支出</w:t>
      </w:r>
      <w:r>
        <w:rPr>
          <w:rFonts w:ascii="Times New Roman"/>
          <w:color w:val="212529"/>
          <w:spacing w:val="7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十三、农林水支出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十四、交通运输支出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十五、资源勘探工业信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息等支出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十六、商业服务业等支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十七、金融支出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十八、援助其他地区支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十九、自然资源海洋气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象等支出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二十、住房保障支出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二十一、粮油物资储备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二十三、灾害防治及应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急管理支出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二十四、预备费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二十五、其他支出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二十六、转移性支出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二十七、债务还本支出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二十八、债务付息支出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4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7" style="position:absolute;margin-left:70.7pt;margin-top:47pt;z-index:-191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29pt;z-index:-1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7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二十九、债务发行费用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三十、抗疫特别国债安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排的支出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8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1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60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上年财政拨款结转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年终结转</w:t>
      </w:r>
      <w:r>
        <w:rPr>
          <w:rFonts w:ascii="Times New Roman"/>
          <w:color w:val="212529"/>
          <w:spacing w:val="21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6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3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收入总计</w:t>
      </w:r>
      <w:r>
        <w:rPr>
          <w:rFonts w:ascii="Times New Roman"/>
          <w:color w:val="212529"/>
          <w:spacing w:val="7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支出总计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37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9" style="position:absolute;margin-left:70.7pt;margin-top:54.8pt;z-index:-199;width:453.35pt;height:389.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9pt;z-index:-2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QLGLOW+Nimbus Sans L"/>
          <w:color w:val="000000"/>
          <w:spacing w:val="1"/>
          <w:sz w:val="2"/>
        </w:rPr>
        <w:t>2024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GIUWV+WenQuanYi Zen Hei Sharp" w:hAnsi="VGIUWV+WenQuanYi Zen Hei Sharp" w:cs="VGIUWV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0" w:after="0" w:line="30" w:lineRule="exact"/>
        <w:ind w:left="89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0" w:lineRule="exact"/>
        <w:ind w:left="2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2024年一般公共预算支出预算表（不含上年结转）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69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37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28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74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2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6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99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1511.50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1363.75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147.75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30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2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1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10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451.78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8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0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30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1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5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42.11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其他行政事业单位医疗支出</w:t>
      </w:r>
      <w:r>
        <w:rPr>
          <w:rFonts w:ascii="Times New Roman"/>
          <w:color w:val="212529"/>
          <w:spacing w:val="19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0.41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0.41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</w:t>
      </w:r>
      <w:r>
        <w:rPr>
          <w:rFonts w:ascii="Times New Roman"/>
          <w:color w:val="212529"/>
          <w:spacing w:val="130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城乡社区支出</w:t>
      </w:r>
      <w:r>
        <w:rPr>
          <w:rFonts w:ascii="Times New Roman"/>
          <w:color w:val="212529"/>
          <w:spacing w:val="28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927.08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779.33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147.75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21201</w:t>
      </w:r>
      <w:r>
        <w:rPr>
          <w:rFonts w:ascii="Times New Roman"/>
          <w:color w:val="212529"/>
          <w:spacing w:val="11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城乡社区管理事务</w:t>
      </w:r>
      <w:r>
        <w:rPr>
          <w:rFonts w:ascii="Times New Roman"/>
          <w:color w:val="212529"/>
          <w:spacing w:val="24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779.33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138.00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2120104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城管执法</w:t>
      </w:r>
      <w:r>
        <w:rPr>
          <w:rFonts w:ascii="Times New Roman"/>
          <w:color w:val="212529"/>
          <w:spacing w:val="31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917.33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779.33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138.00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21205</w:t>
      </w:r>
      <w:r>
        <w:rPr>
          <w:rFonts w:ascii="Times New Roman"/>
          <w:color w:val="212529"/>
          <w:spacing w:val="11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城乡社区环境卫生</w:t>
      </w:r>
      <w:r>
        <w:rPr>
          <w:rFonts w:ascii="Times New Roman"/>
          <w:color w:val="212529"/>
          <w:spacing w:val="26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2120501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城乡社区环境卫生</w:t>
      </w:r>
      <w:r>
        <w:rPr>
          <w:rFonts w:ascii="Times New Roman"/>
          <w:color w:val="212529"/>
          <w:spacing w:val="26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30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1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0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76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51" style="position:absolute;margin-left:70.7pt;margin-top:54.8pt;z-index:-207;width:450.95pt;height:405.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29pt;z-index:-2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AGLAQ+Nimbus Sans L"/>
          <w:color w:val="000000"/>
          <w:spacing w:val="1"/>
          <w:sz w:val="2"/>
        </w:rPr>
        <w:t>2024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SPAIH+WenQuanYi Zen Hei Sharp" w:hAnsi="RSPAIH+WenQuanYi Zen Hei Sharp" w:cs="RSPAIH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0" w:after="0" w:line="30" w:lineRule="exact"/>
        <w:ind w:left="8897" w:right="0" w:firstLine="0"/>
        <w:jc w:val="left"/>
        <w:rPr>
          <w:rFonts w:ascii="SimSu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预算公开表6</w:t>
      </w:r>
      <w:r>
        <w:rPr>
          <w:rFonts w:ascii="SimSun"/>
          <w:color w:val="000000"/>
          <w:spacing w:val="0"/>
          <w:sz w:val="16"/>
        </w:rPr>
      </w:r>
    </w:p>
    <w:p>
      <w:pPr>
        <w:pStyle w:val="Normal"/>
        <w:spacing w:before="334" w:after="0" w:line="40" w:lineRule="exact"/>
        <w:ind w:left="1797" w:right="0" w:first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2024年一般公共预算安排基本支出分经济科目表（不含上年结转）</w:t>
      </w:r>
      <w:r>
        <w:rPr>
          <w:rFonts w:ascii="SimSun"/>
          <w:color w:val="000000"/>
          <w:spacing w:val="0"/>
          <w:sz w:val="24"/>
        </w:rPr>
      </w:r>
    </w:p>
    <w:p>
      <w:pPr>
        <w:pStyle w:val="Normal"/>
        <w:spacing w:before="269" w:after="0" w:line="30" w:lineRule="exact"/>
        <w:ind w:left="806" w:right="0" w:firstLine="0"/>
        <w:jc w:val="left"/>
        <w:rPr>
          <w:rFonts w:ascii="SimSu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SimSun"/>
          <w:color w:val="212529"/>
          <w:spacing w:val="5285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SimSun"/>
          <w:color w:val="000000"/>
          <w:spacing w:val="0"/>
          <w:sz w:val="16"/>
        </w:rPr>
      </w:r>
    </w:p>
    <w:p>
      <w:pPr>
        <w:pStyle w:val="Normal"/>
        <w:spacing w:before="271" w:after="0" w:line="60" w:lineRule="exact"/>
        <w:ind w:left="3753" w:right="2798" w:firstLine="3487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 xml:space="preserve">2024年预算数 </w:t>
      </w:r>
      <w:r>
        <w:rPr>
          <w:rFonts w:ascii="SimSun" w:hAnsi="SimSun" w:cs="SimSun"/>
          <w:color w:val="212529"/>
          <w:spacing w:val="0"/>
          <w:sz w:val="18"/>
        </w:rPr>
        <w:t>政府预算支出经济科目名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16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部门预算支出经济科目名称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653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称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40" w:after="0" w:line="33" w:lineRule="exact"/>
        <w:ind w:left="634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人员经费</w:t>
      </w:r>
      <w:r>
        <w:rPr>
          <w:rFonts w:ascii="SimSun"/>
          <w:color w:val="212529"/>
          <w:spacing w:val="45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公用经费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236" w:after="0" w:line="123" w:lineRule="exact"/>
        <w:ind w:left="31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SPAIH+WenQuanYi Zen Hei Sharp" w:hAnsi="RSPAIH+WenQuanYi Zen Hei Sharp" w:cs="RSPAIH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598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1363.75</w:t>
      </w:r>
      <w:r>
        <w:rPr>
          <w:rFonts w:ascii="SimSun"/>
          <w:color w:val="212529"/>
          <w:spacing w:val="66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1297.16</w:t>
      </w:r>
      <w:r>
        <w:rPr>
          <w:rFonts w:ascii="SimSun"/>
          <w:color w:val="212529"/>
          <w:spacing w:val="60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66.59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46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1295.02</w:t>
      </w:r>
      <w:r>
        <w:rPr>
          <w:rFonts w:ascii="SimSun"/>
          <w:color w:val="212529"/>
          <w:spacing w:val="66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1295.02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基本工资</w:t>
      </w:r>
      <w:r>
        <w:rPr>
          <w:rFonts w:ascii="SimSun"/>
          <w:color w:val="212529"/>
          <w:spacing w:val="208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388.34</w:t>
      </w:r>
      <w:r>
        <w:rPr>
          <w:rFonts w:ascii="SimSun"/>
          <w:color w:val="212529"/>
          <w:spacing w:val="7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388.34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津贴补贴</w:t>
      </w:r>
      <w:r>
        <w:rPr>
          <w:rFonts w:ascii="SimSun"/>
          <w:color w:val="212529"/>
          <w:spacing w:val="208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62.73</w:t>
      </w:r>
      <w:r>
        <w:rPr>
          <w:rFonts w:ascii="SimSun"/>
          <w:color w:val="212529"/>
          <w:spacing w:val="84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62.73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绩效工资</w:t>
      </w:r>
      <w:r>
        <w:rPr>
          <w:rFonts w:ascii="SimSun"/>
          <w:color w:val="212529"/>
          <w:spacing w:val="208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240.06</w:t>
      </w:r>
      <w:r>
        <w:rPr>
          <w:rFonts w:ascii="SimSun"/>
          <w:color w:val="212529"/>
          <w:spacing w:val="7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240.06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SimSun"/>
          <w:color w:val="212529"/>
          <w:spacing w:val="28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SimSun"/>
          <w:color w:val="212529"/>
          <w:spacing w:val="7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102.65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职业年金缴费</w:t>
      </w:r>
      <w:r>
        <w:rPr>
          <w:rFonts w:ascii="SimSun"/>
          <w:color w:val="212529"/>
          <w:spacing w:val="17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SimSun"/>
          <w:color w:val="212529"/>
          <w:spacing w:val="7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347.00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职工基本医疗保险缴费</w:t>
      </w:r>
      <w:r>
        <w:rPr>
          <w:rFonts w:ascii="SimSun"/>
          <w:color w:val="212529"/>
          <w:spacing w:val="10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SimSun"/>
          <w:color w:val="212529"/>
          <w:spacing w:val="84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41.70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其他社会保障缴费</w:t>
      </w:r>
      <w:r>
        <w:rPr>
          <w:rFonts w:ascii="SimSun"/>
          <w:color w:val="212529"/>
          <w:spacing w:val="136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20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2.33</w:t>
      </w:r>
      <w:r>
        <w:rPr>
          <w:rFonts w:ascii="SimSun"/>
          <w:color w:val="212529"/>
          <w:spacing w:val="9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2.33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SimSun"/>
          <w:color w:val="212529"/>
          <w:spacing w:val="190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SimSun"/>
          <w:color w:val="212529"/>
          <w:spacing w:val="84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90.53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其他工资福利支出</w:t>
      </w:r>
      <w:r>
        <w:rPr>
          <w:rFonts w:ascii="SimSun"/>
          <w:color w:val="212529"/>
          <w:spacing w:val="136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19.66</w:t>
      </w:r>
      <w:r>
        <w:rPr>
          <w:rFonts w:ascii="SimSun"/>
          <w:color w:val="212529"/>
          <w:spacing w:val="84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19.66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46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66.59</w:t>
      </w:r>
      <w:r>
        <w:rPr>
          <w:rFonts w:ascii="SimSun"/>
          <w:color w:val="212529"/>
          <w:spacing w:val="1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66.59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办公费</w:t>
      </w:r>
      <w:r>
        <w:rPr>
          <w:rFonts w:ascii="SimSun"/>
          <w:color w:val="212529"/>
          <w:spacing w:val="22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办公经费</w:t>
      </w:r>
      <w:r>
        <w:rPr>
          <w:rFonts w:ascii="SimSun"/>
          <w:color w:val="212529"/>
          <w:spacing w:val="227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21.91</w:t>
      </w:r>
      <w:r>
        <w:rPr>
          <w:rFonts w:ascii="SimSun"/>
          <w:color w:val="212529"/>
          <w:spacing w:val="1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21.91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取暖费</w:t>
      </w:r>
      <w:r>
        <w:rPr>
          <w:rFonts w:ascii="SimSun"/>
          <w:color w:val="212529"/>
          <w:spacing w:val="22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3.40</w:t>
      </w:r>
      <w:r>
        <w:rPr>
          <w:rFonts w:ascii="SimSun"/>
          <w:color w:val="212529"/>
          <w:spacing w:val="2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3.40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工会经费</w:t>
      </w:r>
      <w:r>
        <w:rPr>
          <w:rFonts w:ascii="SimSun"/>
          <w:color w:val="212529"/>
          <w:spacing w:val="208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7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12.83</w:t>
      </w:r>
      <w:r>
        <w:rPr>
          <w:rFonts w:ascii="SimSun"/>
          <w:color w:val="212529"/>
          <w:spacing w:val="1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12.83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福利费</w:t>
      </w:r>
      <w:r>
        <w:rPr>
          <w:rFonts w:ascii="SimSun"/>
          <w:color w:val="212529"/>
          <w:spacing w:val="22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7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22.45</w:t>
      </w:r>
      <w:r>
        <w:rPr>
          <w:rFonts w:ascii="SimSun"/>
          <w:color w:val="212529"/>
          <w:spacing w:val="1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22.45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公务用车运行维护费</w:t>
      </w:r>
      <w:r>
        <w:rPr>
          <w:rFonts w:ascii="SimSun"/>
          <w:color w:val="212529"/>
          <w:spacing w:val="118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公务用车运行维护费</w:t>
      </w:r>
      <w:r>
        <w:rPr>
          <w:rFonts w:ascii="SimSun"/>
          <w:color w:val="212529"/>
          <w:spacing w:val="14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SimSun"/>
          <w:color w:val="212529"/>
          <w:spacing w:val="2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对个人和家庭的补助</w:t>
      </w:r>
      <w:r>
        <w:rPr>
          <w:rFonts w:ascii="SimSun"/>
          <w:color w:val="212529"/>
          <w:spacing w:val="43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SimSun"/>
          <w:color w:val="212529"/>
          <w:spacing w:val="9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退休费</w:t>
      </w:r>
      <w:r>
        <w:rPr>
          <w:rFonts w:ascii="SimSun"/>
          <w:color w:val="212529"/>
          <w:spacing w:val="22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离退休费</w:t>
      </w:r>
      <w:r>
        <w:rPr>
          <w:rFonts w:ascii="SimSun"/>
          <w:color w:val="212529"/>
          <w:spacing w:val="23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SimSun"/>
          <w:color w:val="212529"/>
          <w:spacing w:val="9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2.14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742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53" style="position:absolute;margin-left:70.7pt;margin-top:54.8pt;z-index:-215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29pt;z-index:-2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QLGLOW+Nimbus Sans L"/>
          <w:color w:val="000000"/>
          <w:spacing w:val="1"/>
          <w:sz w:val="2"/>
        </w:rPr>
        <w:t>2024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KSONB+WenQuanYi Zen Hei Sharp" w:hAnsi="LKSONB+WenQuanYi Zen Hei Sharp" w:cs="LKSONB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191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3437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3413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29" w:after="0" w:line="40" w:lineRule="exact"/>
        <w:ind w:left="27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2024年政府性基金预算收入表（不含上年结转）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446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41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80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政府性基金收入预算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14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收入科目编码</w:t>
      </w:r>
      <w:r>
        <w:rPr>
          <w:rFonts w:ascii="Times New Roman"/>
          <w:color w:val="212529"/>
          <w:spacing w:val="258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41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158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2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0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8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5" style="position:absolute;margin-left:70.7pt;margin-top:54.8pt;z-index:-223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9pt;z-index:-2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AGLAQ+Nimbus Sans L"/>
          <w:color w:val="000000"/>
          <w:spacing w:val="1"/>
          <w:sz w:val="2"/>
        </w:rPr>
        <w:t>2024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EIAEN+WenQuanYi Zen Hei Sharp" w:hAnsi="VEIAEN+WenQuanYi Zen Hei Sharp" w:cs="VEIAEN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945" w:right="0" w:firstLine="0"/>
        <w:jc w:val="left"/>
        <w:rPr>
          <w:rFonts w:ascii="TSFHLH+SimSun"/>
          <w:color w:val="000000"/>
          <w:spacing w:val="0"/>
          <w:sz w:val="16"/>
        </w:rPr>
      </w:pPr>
      <w:r>
        <w:rPr>
          <w:rFonts w:ascii="TSFHLH+SimSun" w:hAnsi="TSFHLH+SimSun" w:cs="TSFHLH+SimSun"/>
          <w:color w:val="212529"/>
          <w:spacing w:val="-4"/>
          <w:sz w:val="16"/>
        </w:rPr>
        <w:t>预算公开表8</w:t>
      </w:r>
      <w:r>
        <w:rPr>
          <w:rFonts w:ascii="TSFHLH+SimSu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2781" w:right="0" w:firstLine="0"/>
        <w:jc w:val="left"/>
        <w:rPr>
          <w:rFonts w:ascii="TSFHLH+SimSun"/>
          <w:color w:val="000000"/>
          <w:spacing w:val="0"/>
          <w:sz w:val="24"/>
        </w:rPr>
      </w:pPr>
      <w:r>
        <w:rPr>
          <w:rFonts w:ascii="TSFHLH+SimSun"/>
          <w:color w:val="212529"/>
          <w:spacing w:val="0"/>
          <w:sz w:val="24"/>
        </w:rPr>
        <w:t>2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/>
          <w:color w:val="212529"/>
          <w:spacing w:val="0"/>
          <w:sz w:val="24"/>
        </w:rPr>
        <w:t>0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/>
          <w:color w:val="212529"/>
          <w:spacing w:val="0"/>
          <w:sz w:val="24"/>
        </w:rPr>
        <w:t>2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/>
          <w:color w:val="212529"/>
          <w:spacing w:val="0"/>
          <w:sz w:val="24"/>
        </w:rPr>
        <w:t>4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年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政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府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性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基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金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预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算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支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出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表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（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不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含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上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年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结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转</w:t>
      </w:r>
      <w:r>
        <w:rPr>
          <w:rFonts w:ascii="TSFHLH+SimSun"/>
          <w:color w:val="212529"/>
          <w:spacing w:val="-120"/>
          <w:sz w:val="24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24"/>
        </w:rPr>
        <w:t>）</w:t>
      </w:r>
      <w:r>
        <w:rPr>
          <w:rFonts w:ascii="TSFHLH+SimSu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SFHLH+SimSun"/>
          <w:color w:val="000000"/>
          <w:spacing w:val="0"/>
          <w:sz w:val="16"/>
        </w:rPr>
      </w:pPr>
      <w:r>
        <w:rPr>
          <w:rFonts w:ascii="TSFHLH+SimSun" w:hAnsi="TSFHLH+SimSun" w:cs="TSFHLH+SimSun"/>
          <w:color w:val="212529"/>
          <w:spacing w:val="-4"/>
          <w:sz w:val="16"/>
        </w:rPr>
        <w:t>部门名称：兴县城市管理综合行政执法队</w:t>
      </w:r>
      <w:r>
        <w:rPr>
          <w:rFonts w:ascii="TSFHLH+SimSun"/>
          <w:color w:val="212529"/>
          <w:spacing w:val="5406"/>
          <w:sz w:val="16"/>
        </w:rPr>
        <w:t xml:space="preserve"> </w:t>
      </w:r>
      <w:r>
        <w:rPr>
          <w:rFonts w:ascii="TSFHLH+SimSun" w:hAnsi="TSFHLH+SimSun" w:cs="TSFHLH+SimSun"/>
          <w:color w:val="212529"/>
          <w:spacing w:val="-3"/>
          <w:sz w:val="16"/>
        </w:rPr>
        <w:t>单位:万元</w:t>
      </w:r>
      <w:r>
        <w:rPr>
          <w:rFonts w:ascii="TSFHLH+SimSu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TSFHLH+SimSun"/>
          <w:color w:val="000000"/>
          <w:spacing w:val="0"/>
          <w:sz w:val="18"/>
        </w:rPr>
      </w:pPr>
      <w:r>
        <w:rPr>
          <w:rFonts w:ascii="TSFHLH+SimSun" w:hAnsi="TSFHLH+SimSun" w:cs="TSFHLH+SimSun"/>
          <w:color w:val="212529"/>
          <w:spacing w:val="0"/>
          <w:sz w:val="18"/>
        </w:rPr>
        <w:t>科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目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编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码</w:t>
      </w:r>
      <w:r>
        <w:rPr>
          <w:rFonts w:ascii="TSFHLH+SimSun"/>
          <w:color w:val="212529"/>
          <w:spacing w:val="1969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科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目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名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称</w:t>
      </w:r>
      <w:r>
        <w:rPr>
          <w:rFonts w:ascii="TSFHLH+SimSun"/>
          <w:color w:val="212529"/>
          <w:spacing w:val="1681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合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计</w:t>
      </w:r>
      <w:r>
        <w:rPr>
          <w:rFonts w:ascii="TSFHLH+SimSun"/>
          <w:color w:val="212529"/>
          <w:spacing w:val="504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基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本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支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出</w:t>
      </w:r>
      <w:r>
        <w:rPr>
          <w:rFonts w:ascii="TSFHLH+SimSun"/>
          <w:color w:val="212529"/>
          <w:spacing w:val="354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项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目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支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出</w:t>
      </w:r>
      <w:r>
        <w:rPr>
          <w:rFonts w:ascii="TSFHLH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93" w:right="0" w:firstLine="0"/>
        <w:jc w:val="left"/>
        <w:rPr>
          <w:rFonts w:ascii="TSFHLH+SimSun"/>
          <w:color w:val="000000"/>
          <w:spacing w:val="0"/>
          <w:sz w:val="18"/>
        </w:rPr>
      </w:pPr>
      <w:r>
        <w:rPr>
          <w:rFonts w:ascii="TSFHLH+SimSun" w:hAnsi="TSFHLH+SimSun" w:cs="TSFHLH+SimSun"/>
          <w:color w:val="212529"/>
          <w:spacing w:val="0"/>
          <w:sz w:val="18"/>
        </w:rPr>
        <w:t>合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计</w:t>
      </w:r>
      <w:r>
        <w:rPr>
          <w:rFonts w:ascii="TSFHLH+SimSun"/>
          <w:color w:val="000000"/>
          <w:spacing w:val="0"/>
          <w:sz w:val="18"/>
        </w:rPr>
      </w:r>
    </w:p>
    <w:p>
      <w:pPr>
        <w:pStyle w:val="Normal"/>
        <w:spacing w:before="832" w:after="0" w:line="33" w:lineRule="exact"/>
        <w:ind w:left="800" w:right="0" w:firstLine="0"/>
        <w:jc w:val="left"/>
        <w:rPr>
          <w:rFonts w:ascii="TSFHLH+SimSun"/>
          <w:color w:val="000000"/>
          <w:spacing w:val="0"/>
          <w:sz w:val="18"/>
        </w:rPr>
      </w:pPr>
      <w:r>
        <w:rPr>
          <w:rFonts w:ascii="TSFHLH+SimSun" w:hAnsi="TSFHLH+SimSun" w:cs="TSFHLH+SimSun"/>
          <w:color w:val="212529"/>
          <w:spacing w:val="0"/>
          <w:sz w:val="18"/>
        </w:rPr>
        <w:t>注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：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本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表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无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数</w:t>
      </w:r>
      <w:r>
        <w:rPr>
          <w:rFonts w:ascii="TSFHLH+SimSun"/>
          <w:color w:val="212529"/>
          <w:spacing w:val="-90"/>
          <w:sz w:val="18"/>
        </w:rPr>
        <w:t xml:space="preserve"> </w:t>
      </w:r>
      <w:r>
        <w:rPr>
          <w:rFonts w:ascii="TSFHLH+SimSun" w:hAnsi="TSFHLH+SimSun" w:cs="TSFHLH+SimSun"/>
          <w:color w:val="212529"/>
          <w:spacing w:val="0"/>
          <w:sz w:val="18"/>
        </w:rPr>
        <w:t>据</w:t>
      </w:r>
      <w:r>
        <w:rPr>
          <w:rFonts w:ascii="TSFHLH+SimSun"/>
          <w:color w:val="000000"/>
          <w:spacing w:val="0"/>
          <w:sz w:val="18"/>
        </w:rPr>
      </w:r>
    </w:p>
    <w:p>
      <w:pPr>
        <w:pStyle w:val="Normal"/>
        <w:spacing w:before="1251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7" style="position:absolute;margin-left:70.7pt;margin-top:54.8pt;z-index:-231;width:453.35pt;height:197.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70.7pt;margin-top:264.85pt;z-index:-235;width:453.35pt;height:240.2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29pt;z-index:-2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LCSAC+Nimbus Sans L"/>
          <w:color w:val="000000"/>
          <w:spacing w:val="1"/>
          <w:sz w:val="2"/>
        </w:rPr>
        <w:t>2024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36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0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4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3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8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969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部门公开表9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10" w:after="0" w:line="40" w:lineRule="exact"/>
        <w:ind w:left="24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2024年国有资本经营预算收支预算表（不含上年结转）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37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17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国有资本经营预算收入</w:t>
      </w:r>
      <w:r>
        <w:rPr>
          <w:rFonts w:ascii="Times New Roman"/>
          <w:color w:val="212529"/>
          <w:spacing w:val="266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6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2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营收入预算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收入科目编码</w:t>
      </w:r>
      <w:r>
        <w:rPr>
          <w:rFonts w:ascii="Times New Roman"/>
          <w:color w:val="212529"/>
          <w:spacing w:val="4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0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4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1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49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LCSAC+Nimbus Sans L"/>
          <w:color w:val="000000"/>
          <w:spacing w:val="1"/>
          <w:sz w:val="2"/>
        </w:rPr>
        <w:t>2024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LCSAC+Nimbus Sans L" w:hAnsi="GLCSAC+Nimbus Sans L" w:cs="GLCSAC+Nimbus Sans L"/>
          <w:color w:val="000000"/>
          <w:spacing w:val="1"/>
          <w:sz w:val="2"/>
        </w:rPr>
        <w:t>“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LCSAC+Nimbus Sans L" w:hAnsi="GLCSAC+Nimbus Sans L" w:cs="GLCSAC+Nimbus Sans L"/>
          <w:color w:val="000000"/>
          <w:spacing w:val="1"/>
          <w:sz w:val="2"/>
        </w:rPr>
        <w:t>”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QDJV+WenQuanYi Zen Hei Sharp" w:hAnsi="UHQDJV+WenQuanYi Zen Hei Sharp" w:cs="UHQDJ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249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6287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29" w:after="0" w:line="40" w:lineRule="exact"/>
        <w:ind w:left="2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2024年财政拨款安排“三公”经费支出预算表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446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64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3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4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82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1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902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8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因公出国（境）费</w:t>
      </w:r>
      <w:r>
        <w:rPr>
          <w:rFonts w:ascii="Times New Roman"/>
          <w:color w:val="212529"/>
          <w:spacing w:val="234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8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261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3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公务用车购置及运行费</w:t>
      </w:r>
      <w:r>
        <w:rPr>
          <w:rFonts w:ascii="Times New Roman"/>
          <w:color w:val="212529"/>
          <w:spacing w:val="190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Times New Roman"/>
          <w:color w:val="212529"/>
          <w:spacing w:val="9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8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①公务用车购置费</w:t>
      </w:r>
      <w:r>
        <w:rPr>
          <w:rFonts w:ascii="Times New Roman"/>
          <w:color w:val="212529"/>
          <w:spacing w:val="234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3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②公务用车运行维护费</w:t>
      </w:r>
      <w:r>
        <w:rPr>
          <w:rFonts w:ascii="Times New Roman"/>
          <w:color w:val="212529"/>
          <w:spacing w:val="190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Times New Roman"/>
          <w:color w:val="212529"/>
          <w:spacing w:val="9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3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62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Times New Roman"/>
          <w:color w:val="212529"/>
          <w:spacing w:val="9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6.00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58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60" style="position:absolute;margin-left:70.7pt;margin-top:54.8pt;z-index:-243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9pt;z-index:-2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AGLAQ+Nimbus Sans L"/>
          <w:color w:val="000000"/>
          <w:spacing w:val="1"/>
          <w:sz w:val="2"/>
        </w:rPr>
        <w:t>2024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运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KSHBF+WenQuanYi Zen Hei Sharp" w:hAnsi="JKSHBF+WenQuanYi Zen Hei Sharp" w:cs="JKSHB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27" w:after="0" w:line="30" w:lineRule="exact"/>
        <w:ind w:left="660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7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17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1" w:after="0" w:line="30" w:lineRule="exact"/>
        <w:ind w:left="39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1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2024年财政拨款安排机关运行经费预算表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446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64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单位名称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45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2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政府性基金预算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部门合计</w:t>
      </w:r>
      <w:r>
        <w:rPr>
          <w:rFonts w:ascii="Times New Roman"/>
          <w:color w:val="212529"/>
          <w:spacing w:val="239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5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3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5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KSHBF+WenQuanYi Zen Hei Sharp" w:hAnsi="JKSHBF+WenQuanYi Zen Hei Sharp" w:cs="JKSHBF+WenQuanYi Zen Hei Sharp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5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62" style="position:absolute;margin-left:70.7pt;margin-top:54.8pt;z-index:-251;width:453.35pt;height:336.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29pt;z-index:-2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QLGLOW+Nimbus Sans L"/>
          <w:color w:val="000000"/>
          <w:spacing w:val="1"/>
          <w:sz w:val="2"/>
        </w:rPr>
        <w:t>2024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VHKVJ+WenQuanYi Zen Hei Sharp" w:hAnsi="LVHKVJ+WenQuanYi Zen Hei Sharp" w:cs="LVHKVJ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BAJLR+SimSun"/>
          <w:color w:val="212529"/>
          <w:spacing w:val="0"/>
          <w:sz w:val="16"/>
        </w:rPr>
        <w:t xml:space="preserve"> </w:t>
      </w:r>
      <w:r>
        <w:rPr>
          <w:rFonts w:ascii="Times New Roman"/>
          <w:color w:val="212529"/>
          <w:spacing w:val="2746"/>
          <w:sz w:val="16"/>
        </w:rPr>
        <w:t xml:space="preserve"> </w:t>
      </w:r>
      <w:r>
        <w:rPr>
          <w:rFonts w:ascii="RBAJLR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73"/>
          <w:sz w:val="16"/>
        </w:rPr>
        <w:t xml:space="preserve"> </w:t>
      </w:r>
      <w:r>
        <w:rPr>
          <w:rFonts w:ascii="RBAJLR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73"/>
          <w:sz w:val="16"/>
        </w:rPr>
        <w:t xml:space="preserve"> </w:t>
      </w:r>
      <w:r>
        <w:rPr>
          <w:rFonts w:ascii="RBAJLR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61"/>
          <w:sz w:val="16"/>
        </w:rPr>
        <w:t xml:space="preserve"> </w:t>
      </w:r>
      <w:r>
        <w:rPr>
          <w:rFonts w:ascii="RBAJLR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978"/>
          <w:sz w:val="16"/>
        </w:rPr>
        <w:t xml:space="preserve"> </w:t>
      </w:r>
      <w:r>
        <w:rPr>
          <w:rFonts w:ascii="RBAJLR+SimSun" w:hAnsi="RBAJLR+SimSun" w:cs="RBAJLR+SimSun"/>
          <w:color w:val="212529"/>
          <w:spacing w:val="-4"/>
          <w:sz w:val="16"/>
        </w:rPr>
        <w:t>预算公开表12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BAJLR+SimSun" w:hAnsi="RBAJLR+SimSun" w:cs="RBAJLR+SimSun"/>
          <w:color w:val="212529"/>
          <w:spacing w:val="0"/>
          <w:sz w:val="24"/>
        </w:rPr>
        <w:t>2024年项目支出预算表（本年预算）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BAJLR+SimSun" w:hAnsi="RBAJLR+SimSun" w:cs="RBAJLR+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374"/>
          <w:sz w:val="16"/>
        </w:rPr>
        <w:t xml:space="preserve"> </w:t>
      </w:r>
      <w:r>
        <w:rPr>
          <w:rFonts w:ascii="RBAJLR+SimSun" w:hAnsi="RBAJLR+SimSun" w:cs="RBAJLR+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576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2024年财政拨款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79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财政专户管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8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项目名称</w:t>
      </w:r>
      <w:r>
        <w:rPr>
          <w:rFonts w:ascii="Times New Roman"/>
          <w:color w:val="212529"/>
          <w:spacing w:val="1461"/>
          <w:sz w:val="18"/>
        </w:rPr>
        <w:t xml:space="preserve"> </w:t>
      </w:r>
      <w:r>
        <w:rPr>
          <w:rFonts w:ascii="RBAJLR+SimSun" w:hAnsi="RBAJLR+SimSun" w:cs="RBAJLR+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4552"/>
          <w:sz w:val="18"/>
        </w:rPr>
        <w:t xml:space="preserve"> </w:t>
      </w:r>
      <w:r>
        <w:rPr>
          <w:rFonts w:ascii="RBAJLR+SimSun" w:hAnsi="RBAJLR+SimSun" w:cs="RBAJLR+SimSun"/>
          <w:color w:val="212529"/>
          <w:spacing w:val="0"/>
          <w:sz w:val="18"/>
        </w:rPr>
        <w:t>单位资金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20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政府性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68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81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理资金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4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99"/>
          <w:sz w:val="18"/>
        </w:rPr>
        <w:t xml:space="preserve"> </w:t>
      </w:r>
      <w:r>
        <w:rPr>
          <w:rFonts w:ascii="RBAJLR+SimSun" w:hAnsi="RBAJLR+SimSun" w:cs="RBAJLR+SimSun"/>
          <w:color w:val="212529"/>
          <w:spacing w:val="0"/>
          <w:sz w:val="18"/>
        </w:rPr>
        <w:t>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16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638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216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912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2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819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41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57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819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兴县城市管理综合行政执法队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147.75</w:t>
      </w:r>
      <w:r>
        <w:rPr>
          <w:rFonts w:ascii="Times New Roman"/>
          <w:color w:val="212529"/>
          <w:spacing w:val="67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147.75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ꢀ兴县城市管理综合行政执法队</w:t>
      </w:r>
      <w:r>
        <w:rPr>
          <w:rFonts w:ascii="Times New Roman"/>
          <w:color w:val="212529"/>
          <w:spacing w:val="97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147.75</w:t>
      </w:r>
      <w:r>
        <w:rPr>
          <w:rFonts w:ascii="Times New Roman"/>
          <w:color w:val="212529"/>
          <w:spacing w:val="67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147.75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ꢀꢀH拆除违建、卫生保洁、清理建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/>
          <w:color w:val="212529"/>
          <w:spacing w:val="0"/>
          <w:sz w:val="18"/>
        </w:rPr>
        <w:t>15.00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15.00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筑垃圾、清理户外小广告等经费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ꢀꢀH聘用东瑞鑫停车场、南沟门前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/>
          <w:color w:val="212529"/>
          <w:spacing w:val="0"/>
          <w:sz w:val="18"/>
        </w:rPr>
        <w:t>10.00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10.00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停车场管理人员工资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ꢀꢀ人居环境整治提升项目资金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9.75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ꢀꢀ东瑞鑫停车场、南沟门前停车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/>
          <w:color w:val="212529"/>
          <w:spacing w:val="0"/>
          <w:sz w:val="18"/>
        </w:rPr>
        <w:t>48.00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48.00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场租赁费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ꢀꢀ劳务用工协管员工资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32.00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32.00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ꢀꢀ2024年皮卡车租赁费项目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20.00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20.00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ꢀꢀ聘用东瑞鑫停车场、南沟门前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/>
          <w:color w:val="212529"/>
          <w:spacing w:val="0"/>
          <w:sz w:val="18"/>
        </w:rPr>
        <w:t>13.00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RBAJLR+SimSun"/>
          <w:color w:val="212529"/>
          <w:spacing w:val="0"/>
          <w:sz w:val="18"/>
        </w:rPr>
        <w:t>13.00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RBAJLR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BAJLR+SimSun" w:hAnsi="RBAJLR+SimSun" w:cs="RBAJLR+SimSun"/>
          <w:color w:val="212529"/>
          <w:spacing w:val="0"/>
          <w:sz w:val="18"/>
        </w:rPr>
        <w:t>停车场管理人员工资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76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4" style="position:absolute;margin-left:70.7pt;margin-top:54.8pt;z-index:-259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9pt;z-index:-2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AGLAQ+Nimbus Sans L"/>
          <w:color w:val="000000"/>
          <w:spacing w:val="1"/>
          <w:sz w:val="2"/>
        </w:rPr>
        <w:t>2024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INQDV+WenQuanYi Zen Hei Sharp" w:hAnsi="SINQDV+WenQuanYi Zen Hei Sharp" w:cs="SINQDV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97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5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7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2024年项目支出预算表（上年结转）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部门名称：兴县城市管理综合行政执法队</w:t>
      </w:r>
      <w:r>
        <w:rPr>
          <w:rFonts w:ascii="Times New Roman"/>
          <w:color w:val="212529"/>
          <w:spacing w:val="537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72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2024年财政拨款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4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项目名称</w:t>
      </w:r>
      <w:r>
        <w:rPr>
          <w:rFonts w:ascii="Times New Roman"/>
          <w:color w:val="212529"/>
          <w:spacing w:val="201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4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政府性基金</w:t>
      </w:r>
      <w:r>
        <w:rPr>
          <w:rFonts w:ascii="Times New Roman"/>
          <w:color w:val="212529"/>
          <w:spacing w:val="4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608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6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78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24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6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1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9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8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6" style="position:absolute;margin-left:63.5pt;margin-top:47pt;z-index:-267;width:467.75pt;height:740.2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9pt;z-index:-2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55" w:after="0" w:line="42" w:lineRule="exact"/>
        <w:ind w:left="321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2024年度部门预算情况说明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643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一、部门预算收支数据变动情况及原因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2024年度兴县城市管理综合行政执法队预算收入总计1,511.50万元，其中：本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年收入1,511.50万元，上年结转0万元，比上年减少81.46万元</w:t>
      </w:r>
      <w:r>
        <w:rPr>
          <w:rFonts w:ascii="FangSong"/>
          <w:color w:val="000000"/>
          <w:spacing w:val="13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，下降5.11%，主要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原因是机关事业单位基本养老保险缴费较上年减少；本年部门预算支出总计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1,511.50万元，其中：本年预算安排1,511.50万元，上年结转0万元，比上年减少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81.46万元，下降5.11%，主要原因是机关事业单位基本养老保险缴费支出较上年减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少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二、收入预算情况说明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2024年度兴县城市管理综合行政执法队预算收入1,511.50万元，主要包括一般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公共预算拨款收入1,511.50万元，占100.00%；政府性基金预算拨款收入0万元，占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0%；国有资本经营预算拨款收入0万元，占0%；财政专户管理资金收入0万元，占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0%；单位资金0万元，占0%；上年结转0万元，占0%。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4712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三、支出预算情况说明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2024年度兴县城市管理综合行政执法队支出预算1511.5万元，其中：基本支出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1363.75万元，占90.22%；项目支出147.75万元，占9.78%。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四、财政拨款收支预算总体情况说明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2024年度兴县城市管理综合行政执法队财政拨款收支总预算1,511.50万元。其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中：一般公共预算拨款1,511.50万元，政府性基金预算拨款0万元，国有资本经营预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算拨款0万元。</w:t>
      </w:r>
      <w:r>
        <w:rPr>
          <w:rFonts w:ascii="FangSong"/>
          <w:color w:val="000000"/>
          <w:spacing w:val="1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其中：当年拨款收入1,511.50万元，上年结转收入0万元。支出包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括：社会保障和就业支出451.78万元、卫生健康支出42.11万元、城乡社区支出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927.08万元、住房保障支出90.53万元等。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五、一般公共预算支出情况说明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89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8" style="position:absolute;margin-left:63.5pt;margin-top:47pt;z-index:-275;width:467.75pt;height:722.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29pt;z-index:-2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703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（一）一般公共预算当年支出规模变化情况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2024年度兴县城市管理综合行政执法队一般公共预算当年支出1,511.50万元,比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上年减少81.46万元</w:t>
      </w:r>
      <w:r>
        <w:rPr>
          <w:rFonts w:ascii="FangSong"/>
          <w:color w:val="000000"/>
          <w:spacing w:val="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，下降5.11%。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（二）一般公共预算当年支出结构情况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2024年度兴县城市管理综合行政执法队一般公共预算当年支出1,511.50万元,主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要用于以下方面：社会保障和就业支出451.78万元，占29.89%；卫生健康支出42.11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万元，占2.79%；城乡社区支出927.08万元，占61.34%；住房保障支出90.53万元，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占5.99%等。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92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六、一般公共预算基本支出情况说明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2024年度兴县城市管理综合行政执法队一般公共预算安排基本支出1,363.75万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元，其中：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人员经费1,297.16万元，主要包括：其他工资福利支出、其他社会保障缴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费、绩效工资、基本工资、退休费、机关事业单位基本养老保险缴费、住房公积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金、职业年金缴费、津贴补贴、职工基本医疗保险缴费等；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公用经费66.59万元，主要包括：办公费、公务用车运行维护费、福利费、工会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经费、取暖费等。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七、“三公”经费增减变动原因说明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2024年兴县城市管理综合行政执法队财政拨款安排的“三公”经费预算6.00万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元比2023年增加</w:t>
      </w:r>
      <w:r>
        <w:rPr>
          <w:rFonts w:ascii="FangSong"/>
          <w:color w:val="000000"/>
          <w:spacing w:val="8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1.50万元，主要原因是2024年公务用车车辆每年标准费用由上年的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1.5万元上调为2万元，本单位车辆编制数为3辆，因此同比上年增加1.5万元。。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其中：因公出国（境）费0万元，与上年预算数相同；公务接待费0万元，与上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年预算数相同；公务用车运行维护费6.00万元，与上年相比预算数增加1.50万元，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主要原因是2024年公务用车车辆每年标准费用由上年的1.5万元上调为2万元，本单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位车辆编制数为3辆，因此同比上年增加1.5万元。；公务用车购置费0万元，与上年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预算数相同。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12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70" style="position:absolute;margin-left:63.5pt;margin-top:47pt;z-index:-283;width:467.75pt;height:534.9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9pt;z-index:-2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448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八、机关运行经费增减变动原因说明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2024年本单位无机关运行经费，与上年保持一致。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九、政府采购情况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2024年兴县城市管理综合行政执法队政府采购预算总额0万元。其中：政府采购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货物预算0万元、政府采购工程预算0万元、政府采购服务预算0万元。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十、绩效管理情况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1、整体绩效目标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2024年编报单位整体绩效目标，涉及资金201.01万元。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（兴县城市管理综合行政执法队整体目标表公开情况见附件）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2、项目绩效目标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2024年兴县城市管理综合行政执法队纳入绩效目标管理的二级项目5个，共计金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额201.01万元。其中：其他运转类项目5个，涉及金额201.01万元；特定目标类项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目0个，涉及金额0万元。公开项目绩效目标5个，涉及项目金额201.01万元，占部门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（单位）项目支出总额的34.56%。其中：其他运转类项目5个，涉及项目金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额201.01万元；特定目标类项目0个，涉及项目金额0万元。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（项目绩效目标表公开情况见附件）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99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72" style="position:absolute;margin-left:57.5pt;margin-top:53pt;z-index:-29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9pt;z-index:-2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44" w:after="0" w:line="40" w:lineRule="exact"/>
        <w:ind w:left="18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6"/>
          <w:sz w:val="24"/>
        </w:rPr>
        <w:t>县(区)级预算部门（单位）整体支出绩效目标申报表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82" w:after="0" w:line="28" w:lineRule="exact"/>
        <w:ind w:left="427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6"/>
          <w:sz w:val="14"/>
        </w:rPr>
        <w:t>（2023）年度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7" w:after="0" w:line="27" w:lineRule="exact"/>
        <w:ind w:left="228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部门名称</w:t>
      </w:r>
      <w:r>
        <w:rPr>
          <w:rFonts w:ascii="Times New Roman"/>
          <w:color w:val="000000"/>
          <w:spacing w:val="2328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063-兴县城市管理综合行政执法队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20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内设职能部门数</w:t>
      </w:r>
      <w:r>
        <w:rPr>
          <w:rFonts w:ascii="Times New Roman"/>
          <w:color w:val="000000"/>
          <w:spacing w:val="1800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3个</w:t>
      </w:r>
      <w:r>
        <w:rPr>
          <w:rFonts w:ascii="Times New Roman"/>
          <w:color w:val="000000"/>
          <w:spacing w:val="419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所属预算单位数</w:t>
      </w:r>
      <w:r>
        <w:rPr>
          <w:rFonts w:ascii="Times New Roman"/>
          <w:color w:val="000000"/>
          <w:spacing w:val="2246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1个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30" w:after="0" w:line="27" w:lineRule="exact"/>
        <w:ind w:left="8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部门基本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0" w:after="0" w:line="27" w:lineRule="exact"/>
        <w:ind w:left="545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实际在职人员总数</w:t>
      </w:r>
      <w:r>
        <w:rPr>
          <w:rFonts w:ascii="Times New Roman"/>
          <w:color w:val="000000"/>
          <w:spacing w:val="2101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83人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9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信息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30" w:after="0" w:line="27" w:lineRule="exact"/>
        <w:ind w:left="201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核定的人员编制数</w:t>
      </w:r>
      <w:r>
        <w:rPr>
          <w:rFonts w:ascii="Times New Roman"/>
          <w:color w:val="000000"/>
          <w:spacing w:val="1670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86人</w:t>
      </w:r>
      <w:r>
        <w:rPr>
          <w:rFonts w:ascii="Times New Roman"/>
          <w:color w:val="000000"/>
          <w:spacing w:val="383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其中:在编人员数</w:t>
      </w:r>
      <w:r>
        <w:rPr>
          <w:rFonts w:ascii="Times New Roman"/>
          <w:color w:val="000000"/>
          <w:spacing w:val="2138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83人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58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其他人员数</w:t>
      </w:r>
      <w:r>
        <w:rPr>
          <w:rFonts w:ascii="Times New Roman"/>
          <w:color w:val="000000"/>
          <w:spacing w:val="2197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3人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74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兴县城市管理综合行政执法队与兴县住房和城乡建设管理局实行</w:t>
      </w:r>
      <w:r>
        <w:rPr>
          <w:rFonts w:ascii="Times New Roman"/>
          <w:color w:val="000000"/>
          <w:spacing w:val="1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“局队合一”体制，为公益一类事业单位。1.贯彻落实城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市市容市貌管理等方面的相关方针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、政策和法律法规。2.负责城区市容市貌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、环境卫生、两违建筑等方面的行政执法工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8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部门职责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作，督促推进各项管理措施落实。3.依法对城区市容市貌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、环境卫生、两违建筑等方面实施行政许可和行政处罚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8"/>
          <w:sz w:val="13"/>
        </w:rPr>
        <w:t>。4.负责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54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城市管理综合行政执法与刑事司法衔接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，依法开展案件移送和大要案联合查办工作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。5.完成县委、县政府及县住房和城乡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建设管理局交办的其他任务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0"/>
          <w:sz w:val="13"/>
        </w:rPr>
        <w:t>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6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2023年，我单位坚持党的十九大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、二十大精神为指引，以习近平新时代中国特色社会主义思想为统领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，紧紧围绕建设“六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个兴县”目标，按照城市管理精心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、精细、精致、精品的要求，全面提升城市管理品质。加强思想政治建设，多渠道提升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部门战略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业务能力素质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，不断提高执法队员服务意识</w:t>
      </w:r>
      <w:r>
        <w:rPr>
          <w:rFonts w:ascii="Times New Roman"/>
          <w:color w:val="000000"/>
          <w:spacing w:val="-10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，提高行政执法水平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。积极探索常态化城市管理模式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，切实落实城区网格化管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9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目标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理。开展多种形式市容市貌专项整治活动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，确保重点路段整洁规范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。推进城市空间提质活动开展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，全面开展城区统一安装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广告牌匾项目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，打造干净整洁、简洁明快的城市空间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0"/>
          <w:sz w:val="13"/>
        </w:rPr>
        <w:t>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86" w:after="0" w:line="27" w:lineRule="exact"/>
        <w:ind w:left="20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按资金来源划分</w:t>
      </w:r>
      <w:r>
        <w:rPr>
          <w:rFonts w:ascii="Times New Roman"/>
          <w:color w:val="000000"/>
          <w:spacing w:val="660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资金总额（万元）</w:t>
      </w:r>
      <w:r>
        <w:rPr>
          <w:rFonts w:ascii="Times New Roman"/>
          <w:color w:val="000000"/>
          <w:spacing w:val="671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按资金方向划分</w:t>
      </w:r>
      <w:r>
        <w:rPr>
          <w:rFonts w:ascii="Times New Roman"/>
          <w:color w:val="000000"/>
          <w:spacing w:val="90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资金总额（万元）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231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0"/>
          <w:sz w:val="13"/>
        </w:rPr>
        <w:t>合</w:t>
      </w:r>
      <w:r>
        <w:rPr>
          <w:rFonts w:ascii="Times New Roman"/>
          <w:color w:val="000000"/>
          <w:spacing w:val="186"/>
          <w:sz w:val="13"/>
        </w:rPr>
        <w:t xml:space="preserve"> </w:t>
      </w:r>
      <w:r>
        <w:rPr>
          <w:rFonts w:ascii="FangSong" w:hAnsi="FangSong" w:cs="FangSong"/>
          <w:color w:val="000000"/>
          <w:spacing w:val="0"/>
          <w:sz w:val="13"/>
        </w:rPr>
        <w:t>计</w:t>
      </w:r>
      <w:r>
        <w:rPr>
          <w:rFonts w:ascii="Times New Roman"/>
          <w:color w:val="000000"/>
          <w:spacing w:val="1758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1592.96</w:t>
      </w:r>
      <w:r>
        <w:rPr>
          <w:rFonts w:ascii="Times New Roman"/>
          <w:color w:val="000000"/>
          <w:spacing w:val="668"/>
          <w:sz w:val="13"/>
        </w:rPr>
        <w:t xml:space="preserve"> </w:t>
      </w:r>
      <w:r>
        <w:rPr>
          <w:rFonts w:ascii="FangSong" w:hAnsi="FangSong" w:cs="FangSong"/>
          <w:color w:val="000000"/>
          <w:spacing w:val="0"/>
          <w:sz w:val="13"/>
        </w:rPr>
        <w:t>合</w:t>
      </w:r>
      <w:r>
        <w:rPr>
          <w:rFonts w:ascii="Times New Roman"/>
          <w:color w:val="000000"/>
          <w:spacing w:val="174"/>
          <w:sz w:val="13"/>
        </w:rPr>
        <w:t xml:space="preserve"> </w:t>
      </w:r>
      <w:r>
        <w:rPr>
          <w:rFonts w:ascii="FangSong" w:hAnsi="FangSong" w:cs="FangSong"/>
          <w:color w:val="000000"/>
          <w:spacing w:val="0"/>
          <w:sz w:val="13"/>
        </w:rPr>
        <w:t>计</w:t>
      </w:r>
      <w:r>
        <w:rPr>
          <w:rFonts w:ascii="Times New Roman"/>
          <w:color w:val="000000"/>
          <w:spacing w:val="2202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1592.96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16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其中:一般公共预算资金</w:t>
      </w:r>
      <w:r>
        <w:rPr>
          <w:rFonts w:ascii="Times New Roman"/>
          <w:color w:val="000000"/>
          <w:spacing w:val="1441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1592.96</w:t>
      </w:r>
      <w:r>
        <w:rPr>
          <w:rFonts w:ascii="Times New Roman"/>
          <w:color w:val="000000"/>
          <w:spacing w:val="164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其中:基本支出</w:t>
      </w:r>
      <w:r>
        <w:rPr>
          <w:rFonts w:ascii="Times New Roman"/>
          <w:color w:val="000000"/>
          <w:spacing w:val="2293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1011.27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6" w:after="0" w:line="36" w:lineRule="exact"/>
        <w:ind w:left="938" w:right="2179" w:firstLine="972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政府性基金预算资金</w:t>
      </w:r>
      <w:r>
        <w:rPr>
          <w:rFonts w:ascii="Times New Roman"/>
          <w:color w:val="000000"/>
          <w:spacing w:val="1646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0.00</w:t>
      </w:r>
      <w:r>
        <w:rPr>
          <w:rFonts w:ascii="Times New Roman"/>
          <w:color w:val="000000"/>
          <w:spacing w:val="44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项目支出</w:t>
      </w:r>
      <w:r>
        <w:rPr>
          <w:rFonts w:ascii="Times New Roman"/>
          <w:color w:val="000000"/>
          <w:spacing w:val="2412"/>
          <w:sz w:val="13"/>
        </w:rPr>
        <w:t xml:space="preserve"> </w:t>
      </w:r>
      <w:r>
        <w:rPr>
          <w:rFonts w:ascii="FangSong"/>
          <w:color w:val="000000"/>
          <w:spacing w:val="5"/>
          <w:sz w:val="13"/>
        </w:rPr>
        <w:t xml:space="preserve">581.69 </w:t>
      </w:r>
      <w:r>
        <w:rPr>
          <w:rFonts w:ascii="FangSong" w:hAnsi="FangSong" w:cs="FangSong"/>
          <w:color w:val="000000"/>
          <w:spacing w:val="2"/>
          <w:sz w:val="13"/>
        </w:rPr>
        <w:t>年度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8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预算情况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0" w:after="0" w:line="27" w:lineRule="exact"/>
        <w:ind w:left="191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国有资本经营预算资金</w:t>
      </w:r>
      <w:r>
        <w:rPr>
          <w:rFonts w:ascii="Times New Roman"/>
          <w:color w:val="000000"/>
          <w:spacing w:val="1501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0.00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191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社会保险基金预算资金</w:t>
      </w:r>
      <w:r>
        <w:rPr>
          <w:rFonts w:ascii="Times New Roman"/>
          <w:color w:val="000000"/>
          <w:spacing w:val="1501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0.00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191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专户管理资金</w:t>
      </w:r>
      <w:r>
        <w:rPr>
          <w:rFonts w:ascii="Times New Roman"/>
          <w:color w:val="000000"/>
          <w:spacing w:val="2042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0.00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191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单位资金</w:t>
      </w:r>
      <w:r>
        <w:rPr>
          <w:rFonts w:ascii="Times New Roman"/>
          <w:color w:val="000000"/>
          <w:spacing w:val="2320"/>
          <w:sz w:val="13"/>
        </w:rPr>
        <w:t xml:space="preserve"> </w:t>
      </w:r>
      <w:r>
        <w:rPr>
          <w:rFonts w:ascii="FangSong"/>
          <w:color w:val="000000"/>
          <w:spacing w:val="3"/>
          <w:sz w:val="13"/>
        </w:rPr>
        <w:t>0.00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6" w:after="0" w:line="27" w:lineRule="exact"/>
        <w:ind w:left="311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核心职能</w:t>
      </w:r>
      <w:r>
        <w:rPr>
          <w:rFonts w:ascii="Times New Roman"/>
          <w:color w:val="000000"/>
          <w:spacing w:val="307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重点任务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18" w:after="0" w:line="27" w:lineRule="exact"/>
        <w:ind w:left="512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以“城市管理要像绣花一样精细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7"/>
          <w:sz w:val="13"/>
        </w:rPr>
        <w:t>”为目标，持续开展“强转树”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515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、“三提三转”专项活动；落实“721”工作机制，不断提高执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06" w:after="0" w:line="27" w:lineRule="exact"/>
        <w:ind w:left="8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年度重点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0" w:after="0" w:line="27" w:lineRule="exact"/>
        <w:ind w:left="512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法队员服务意识；将城区划分三大片九小片</w:t>
      </w:r>
      <w:r>
        <w:rPr>
          <w:rFonts w:ascii="Times New Roman"/>
          <w:color w:val="000000"/>
          <w:spacing w:val="-1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，三名分管领导负责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18" w:after="0" w:line="27" w:lineRule="exact"/>
        <w:ind w:left="9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任务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0" w:after="0" w:line="27" w:lineRule="exact"/>
        <w:ind w:left="29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城市管理方面</w:t>
      </w:r>
      <w:r>
        <w:rPr>
          <w:rFonts w:ascii="Times New Roman"/>
          <w:color w:val="000000"/>
          <w:spacing w:val="1309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三大片，九个中队负责九小片区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，落实城区网格化管理，积极探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5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索常态化城市管理模式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；各中队加强各片区日常巡查，实现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518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“5+2”、“白+黑”、“错峰”执法，创新城市常态化管理体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512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系；开展城区主干路段专项整治工作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，推进示范路精细化管理</w:t>
      </w:r>
      <w:r>
        <w:rPr>
          <w:rFonts w:ascii="Times New Roman"/>
          <w:color w:val="000000"/>
          <w:spacing w:val="-11"/>
          <w:sz w:val="13"/>
        </w:rPr>
        <w:t xml:space="preserve"> </w:t>
      </w:r>
      <w:r>
        <w:rPr>
          <w:rFonts w:ascii="FangSong" w:hAnsi="FangSong" w:cs="FangSong"/>
          <w:color w:val="000000"/>
          <w:spacing w:val="0"/>
          <w:sz w:val="13"/>
        </w:rPr>
        <w:t>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38" w:after="0" w:line="27" w:lineRule="exact"/>
        <w:ind w:left="8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年度绩效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2023年本单位涉及绩效管理的项目共涉及资金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201.01万元。实施绩效管理的项目都已设定绩效目标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，并填写《项目绩效目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42" w:after="0" w:line="27" w:lineRule="exact"/>
        <w:ind w:left="9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目标</w:t>
      </w:r>
      <w:r>
        <w:rPr>
          <w:rFonts w:ascii="Times New Roman"/>
          <w:color w:val="000000"/>
          <w:spacing w:val="460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标申报表》随同预算上报，待项目完成后再进行项目支出绩效评价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FangSong" w:hAnsi="FangSong" w:cs="FangSong"/>
          <w:color w:val="000000"/>
          <w:spacing w:val="0"/>
          <w:sz w:val="13"/>
        </w:rPr>
        <w:t>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22" w:after="0" w:line="27" w:lineRule="exact"/>
        <w:ind w:left="228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一级指标</w:t>
      </w:r>
      <w:r>
        <w:rPr>
          <w:rFonts w:ascii="Times New Roman"/>
          <w:color w:val="000000"/>
          <w:spacing w:val="114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115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三级指标</w:t>
      </w:r>
      <w:r>
        <w:rPr>
          <w:rFonts w:ascii="Times New Roman"/>
          <w:color w:val="000000"/>
          <w:spacing w:val="14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62" w:after="0" w:line="27" w:lineRule="exact"/>
        <w:ind w:left="559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拆除违章建筑</w:t>
      </w:r>
      <w:r>
        <w:rPr>
          <w:rFonts w:ascii="Times New Roman"/>
          <w:color w:val="000000"/>
          <w:spacing w:val="1333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≥5处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178" w:after="0" w:line="27" w:lineRule="exact"/>
        <w:ind w:left="399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数量指标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517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城区主次干道“脏乱差”整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0" w:after="0" w:line="27" w:lineRule="exact"/>
        <w:ind w:left="776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≥7项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580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治活动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545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持续改善城市品质</w:t>
      </w:r>
      <w:r>
        <w:rPr>
          <w:rFonts w:ascii="Times New Roman"/>
          <w:color w:val="000000"/>
          <w:spacing w:val="109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持续改善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399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质量指标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82" w:after="0" w:line="27" w:lineRule="exact"/>
        <w:ind w:left="228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产出指标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27" w:lineRule="exact"/>
        <w:ind w:left="517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执法符合相关法律法规要求</w:t>
      </w:r>
      <w:r>
        <w:rPr>
          <w:rFonts w:ascii="Times New Roman"/>
          <w:color w:val="000000"/>
          <w:spacing w:val="97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符合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55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项目完成及时性</w:t>
      </w:r>
      <w:r>
        <w:rPr>
          <w:rFonts w:ascii="Times New Roman"/>
          <w:color w:val="000000"/>
          <w:spacing w:val="131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及时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399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时效指标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55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资金拨付及时性</w:t>
      </w:r>
      <w:r>
        <w:rPr>
          <w:rFonts w:ascii="Times New Roman"/>
          <w:color w:val="000000"/>
          <w:spacing w:val="131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及时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4" w:after="0" w:line="36" w:lineRule="exact"/>
        <w:ind w:left="806" w:right="3044" w:firstLine="4849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成本控制率</w:t>
      </w:r>
      <w:r>
        <w:rPr>
          <w:rFonts w:ascii="Times New Roman"/>
          <w:color w:val="000000"/>
          <w:spacing w:val="1441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 xml:space="preserve">≤0% </w:t>
      </w:r>
      <w:r>
        <w:rPr>
          <w:rFonts w:ascii="FangSong" w:hAnsi="FangSong" w:cs="FangSong"/>
          <w:color w:val="000000"/>
          <w:spacing w:val="2"/>
          <w:sz w:val="13"/>
        </w:rPr>
        <w:t>年度绩效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399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成本指标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9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" w:after="0" w:line="27" w:lineRule="exact"/>
        <w:ind w:left="55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成本控制有效性</w:t>
      </w:r>
      <w:r>
        <w:rPr>
          <w:rFonts w:ascii="Times New Roman"/>
          <w:color w:val="000000"/>
          <w:spacing w:val="131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有效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532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带动城市便民摊点发展</w:t>
      </w:r>
      <w:r>
        <w:rPr>
          <w:rFonts w:ascii="Times New Roman"/>
          <w:color w:val="000000"/>
          <w:spacing w:val="1105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带动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38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经济效益指标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545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促进城市市场繁荣</w:t>
      </w:r>
      <w:r>
        <w:rPr>
          <w:rFonts w:ascii="Times New Roman"/>
          <w:color w:val="000000"/>
          <w:spacing w:val="12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促进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545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保障城市良好秩序</w:t>
      </w:r>
      <w:r>
        <w:rPr>
          <w:rFonts w:ascii="Times New Roman"/>
          <w:color w:val="000000"/>
          <w:spacing w:val="12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保障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38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社会效益指标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228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效益指标</w:t>
      </w:r>
      <w:r>
        <w:rPr>
          <w:rFonts w:ascii="Times New Roman"/>
          <w:color w:val="000000"/>
          <w:spacing w:val="2736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提升城市形象</w:t>
      </w:r>
      <w:r>
        <w:rPr>
          <w:rFonts w:ascii="Times New Roman"/>
          <w:color w:val="000000"/>
          <w:spacing w:val="136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提升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38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生态效益指标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6" w:after="0" w:line="27" w:lineRule="exact"/>
        <w:ind w:left="52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满足城市可持续发展需求</w:t>
      </w:r>
      <w:r>
        <w:rPr>
          <w:rFonts w:ascii="Times New Roman"/>
          <w:color w:val="000000"/>
          <w:spacing w:val="1045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满足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379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可持续影响指标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94" w:after="0" w:line="27" w:lineRule="exact"/>
        <w:ind w:left="52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政策、资金、人员可持续</w:t>
      </w:r>
      <w:r>
        <w:rPr>
          <w:rFonts w:ascii="Times New Roman"/>
          <w:color w:val="000000"/>
          <w:spacing w:val="103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持续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4" w:after="0" w:line="27" w:lineRule="exact"/>
        <w:ind w:left="22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满意度指标</w:t>
      </w:r>
      <w:r>
        <w:rPr>
          <w:rFonts w:ascii="Times New Roman"/>
          <w:color w:val="000000"/>
          <w:spacing w:val="733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服务对象满意度指标</w:t>
      </w:r>
      <w:r>
        <w:rPr>
          <w:rFonts w:ascii="Times New Roman"/>
          <w:color w:val="000000"/>
          <w:spacing w:val="626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服务对象满意度</w:t>
      </w:r>
      <w:r>
        <w:rPr>
          <w:rFonts w:ascii="Times New Roman"/>
          <w:color w:val="000000"/>
          <w:spacing w:val="1274"/>
          <w:sz w:val="13"/>
        </w:rPr>
        <w:t xml:space="preserve"> </w:t>
      </w:r>
      <w:r>
        <w:rPr>
          <w:rFonts w:ascii="FangSong" w:hAnsi="FangSong" w:cs="FangSong"/>
          <w:color w:val="000000"/>
          <w:spacing w:val="1"/>
          <w:sz w:val="13"/>
        </w:rPr>
        <w:t>≥95%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48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74" style="position:absolute;margin-left:63.5pt;margin-top:47pt;z-index:-299;width:467.75pt;height:398.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9pt;z-index:-3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703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十一、国有资产占有使用情况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1、车辆情况：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截至2024年5月31日，兴县城市管理综合行政执法队共有公务用车编制3辆，实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有3辆，其中：领导用车0辆，机要通信用车0辆，应急保障用车0辆，执法执勤用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车0辆，特种专业技术用车0辆，事业单位业务用车3辆，其他公务用车0辆。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2、房屋情况：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截至2024年5月31日，兴县城市管理综合行政执法队使用的办公用房建筑总面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积1132.6平方米。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3、其他国有资产占有使用情况：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截至2024年5月31日，兴县城市管理综合行政执法队占有使用价值50万元（原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值）以上的通用设备0台（套）；兴县城市管理综合行政执法队占有使用价值100万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元（原值）以上的通用设备0台（套）。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十二、其他说明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（一）政府购买服务指导性目录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（二）其他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本年度单位不涉及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78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76" style="position:absolute;margin-left:57.5pt;margin-top:53pt;z-index:-307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9pt;z-index:-3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8" style="position:absolute;margin-left:57.5pt;margin-top:53pt;z-index:-315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9pt;z-index:-3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80" style="position:absolute;margin-left:57.5pt;margin-top:53pt;z-index:-323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9pt;z-index:-3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82" style="position:absolute;margin-left:57.5pt;margin-top:53pt;z-index:-331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9pt;z-index:-3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84" style="position:absolute;margin-left:57.5pt;margin-top:53pt;z-index:-339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9pt;z-index:-3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9" w:id="br29"/>
      </w:r>
      <w:r>
        <w:bookmarkEnd w:id="br29"/>
      </w:r>
      <w:r>
        <w:rPr>
          <w:noProof w:val="on"/>
        </w:rPr>
        <w:pict>
          <v:shape xmlns:v="urn:schemas-microsoft-com:vml" id="_x000086" style="position:absolute;margin-left:57.5pt;margin-top:53pt;z-index:-347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29pt;z-index:-3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0" w:id="br30"/>
      </w:r>
      <w:r>
        <w:bookmarkEnd w:id="br30"/>
      </w:r>
      <w:r>
        <w:rPr>
          <w:noProof w:val="on"/>
        </w:rPr>
        <w:pict>
          <v:shape xmlns:v="urn:schemas-microsoft-com:vml" id="_x000088" style="position:absolute;margin-left:57.5pt;margin-top:53pt;z-index:-355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29pt;z-index:-3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1" w:id="br31"/>
      </w:r>
      <w:r>
        <w:bookmarkEnd w:id="br31"/>
      </w:r>
      <w:r>
        <w:rPr>
          <w:noProof w:val="on"/>
        </w:rPr>
        <w:pict>
          <v:shape xmlns:v="urn:schemas-microsoft-com:vml" id="_x000090" style="position:absolute;margin-left:57.5pt;margin-top:53pt;z-index:-363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29pt;z-index:-3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2" w:id="br32"/>
      </w:r>
      <w:r>
        <w:bookmarkEnd w:id="br32"/>
      </w:r>
      <w:r>
        <w:rPr>
          <w:noProof w:val="on"/>
        </w:rPr>
        <w:pict>
          <v:shape xmlns:v="urn:schemas-microsoft-com:vml" id="_x000092" style="position:absolute;margin-left:57.5pt;margin-top:53pt;z-index:-371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29pt;z-index:-3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3" w:id="br33"/>
      </w:r>
      <w:r>
        <w:bookmarkEnd w:id="br33"/>
      </w:r>
      <w:r>
        <w:rPr>
          <w:noProof w:val="on"/>
        </w:rPr>
        <w:pict>
          <v:shape xmlns:v="urn:schemas-microsoft-com:vml" id="_x000094" style="position:absolute;margin-left:57.5pt;margin-top:53pt;z-index:-379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29pt;z-index:-3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4" w:id="br34"/>
      </w:r>
      <w:r>
        <w:bookmarkEnd w:id="br34"/>
      </w:r>
      <w:r>
        <w:rPr>
          <w:noProof w:val="on"/>
        </w:rPr>
        <w:pict>
          <v:shape xmlns:v="urn:schemas-microsoft-com:vml" id="_x000096" style="position:absolute;margin-left:57.5pt;margin-top:53pt;z-index:-387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29pt;z-index:-39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5" w:id="br35"/>
      </w:r>
      <w:r>
        <w:bookmarkEnd w:id="br35"/>
      </w:r>
      <w:r>
        <w:rPr>
          <w:noProof w:val="on"/>
        </w:rPr>
        <w:pict>
          <v:shape xmlns:v="urn:schemas-microsoft-com:vml" id="_x000098" style="position:absolute;margin-left:57.5pt;margin-top:53pt;z-index:-395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9pt;z-index:-3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6" w:id="br36"/>
      </w:r>
      <w:r>
        <w:bookmarkEnd w:id="br36"/>
      </w:r>
      <w:r>
        <w:rPr>
          <w:noProof w:val="on"/>
        </w:rPr>
        <w:pict>
          <v:shape xmlns:v="urn:schemas-microsoft-com:vml" id="_x0000100" style="position:absolute;margin-left:63.5pt;margin-top:47pt;z-index:-403;width:467.75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29pt;z-index:-4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兴县城市管理综合行政执法队2024年部门预算公开报告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31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第四部分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名词解释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63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一、基本支出：</w:t>
      </w:r>
      <w:r>
        <w:rPr>
          <w:rFonts w:ascii="FangSong" w:hAnsi="FangSong" w:cs="FangSong"/>
          <w:color w:val="000000"/>
          <w:spacing w:val="2"/>
          <w:sz w:val="25"/>
        </w:rPr>
        <w:t>指为保障机构正常运转、完成日常工作任务而发生的人员支出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和公用支出。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二、项目支出：</w:t>
      </w:r>
      <w:r>
        <w:rPr>
          <w:rFonts w:ascii="FangSong" w:hAnsi="FangSong" w:cs="FangSong"/>
          <w:color w:val="000000"/>
          <w:spacing w:val="2"/>
          <w:sz w:val="25"/>
        </w:rPr>
        <w:t>指在基本支出之外为完成特定行政任务和事业发展目标所发生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的支出。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三、“三公”经费：</w:t>
      </w:r>
      <w:r>
        <w:rPr>
          <w:rFonts w:ascii="FangSong" w:hAnsi="FangSong" w:cs="FangSong"/>
          <w:color w:val="000000"/>
          <w:spacing w:val="2"/>
          <w:sz w:val="25"/>
        </w:rPr>
        <w:t>指省直部门用财政拨款安排的因公出国（境）费用、公务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用车购置及运行费和公务接待费。其中：因公出国（境）费用反映单位公务出国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（境）的国际旅费、国外城市间交通费、住宿费、伙食费、培训费、公杂费等支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出；公务用车购置费反映公务用车购置支出（含车辆购置税、牌照费）；公务用车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运行维护费反映单位按规定保留的公务用车燃料费、维修费、过路过桥费、保险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费、安全奖励费用等支出；公务接待费反映机关和参公事业单位按规定开支的各类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公务接待（含外宾接待）支出。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四、机关运行经费：</w:t>
      </w:r>
      <w:r>
        <w:rPr>
          <w:rFonts w:ascii="FangSong" w:hAnsi="FangSong" w:cs="FangSong"/>
          <w:color w:val="000000"/>
          <w:spacing w:val="2"/>
          <w:sz w:val="25"/>
        </w:rPr>
        <w:t>指行政单位和参照公务员法管理的事业单位使用财政拨款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安排的基本支出中的公用经费支出。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五、政府购买服务：</w:t>
      </w:r>
      <w:r>
        <w:rPr>
          <w:rFonts w:ascii="FangSong" w:hAnsi="FangSong" w:cs="FangSong"/>
          <w:color w:val="000000"/>
          <w:spacing w:val="2"/>
          <w:sz w:val="25"/>
        </w:rPr>
        <w:t>根据我国现行政策规定，政府购买服务，是指充分发挥市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场机制作用，将国家机关属于自身职责范围且适合通过市场化方式提供的服务事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项，按照政府采购方式和程序，交由符合条件的服务供应商承担，并根据服务数量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和质量等情况向其支付费用的行为。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六、财政专户管理资金：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专指教育收费，包括目前在财政专户管理的高中以上学费、住宿费，高校委托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培养费，党校收费，教育考试考务费，函大、电大、夜大及短训班培训费等。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七、单位资金：</w:t>
      </w:r>
      <w:r>
        <w:rPr>
          <w:rFonts w:ascii="FangSong" w:hAnsi="FangSong" w:cs="FangSong"/>
          <w:color w:val="000000"/>
          <w:spacing w:val="2"/>
          <w:sz w:val="25"/>
        </w:rPr>
        <w:t>是指除政府预算资金和财政专户管理资金以外的资金，包括事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业收入、事业单位经营收入、上级补助收入、附属单位上缴收入、其他收入。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八、上年结转：</w:t>
      </w:r>
      <w:r>
        <w:rPr>
          <w:rFonts w:ascii="FangSong" w:hAnsi="FangSong" w:cs="FangSong"/>
          <w:color w:val="000000"/>
          <w:spacing w:val="2"/>
          <w:sz w:val="25"/>
        </w:rPr>
        <w:t>指以前年度预算安排、结转到本年仍按原规定用途继续使用的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九、一般公共预算</w:t>
      </w:r>
      <w:r>
        <w:rPr>
          <w:rFonts w:ascii="FangSong" w:hAnsi="FangSong" w:cs="FangSong"/>
          <w:color w:val="000000"/>
          <w:spacing w:val="2"/>
          <w:sz w:val="25"/>
        </w:rPr>
        <w:t>是指以税收为主体的财政收入，安排用于保障和改善民生、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推动经济社会发展、维护国家安全、维持国家机构正常运转等方面的收支预算。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十、政府性基金预算：</w:t>
      </w:r>
      <w:r>
        <w:rPr>
          <w:rFonts w:ascii="FangSong" w:hAnsi="FangSong" w:cs="FangSong"/>
          <w:color w:val="000000"/>
          <w:spacing w:val="2"/>
          <w:sz w:val="25"/>
        </w:rPr>
        <w:t>是对依照法律、行政法规的规定在一定期限内向特定对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象征收、收取或者以其他方式筹集的资金，专项用于特定公共事业发展的收支预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十一、国有资本经营预算</w:t>
      </w:r>
      <w:r>
        <w:rPr>
          <w:rFonts w:ascii="FangSong" w:hAnsi="FangSong" w:cs="FangSong"/>
          <w:color w:val="000000"/>
          <w:spacing w:val="2"/>
          <w:sz w:val="25"/>
        </w:rPr>
        <w:t>是对国有资本收益作出支出安排的收支预算。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十二、财政拨款：</w:t>
      </w:r>
      <w:r>
        <w:rPr>
          <w:rFonts w:ascii="FangSong" w:hAnsi="FangSong" w:cs="FangSong"/>
          <w:color w:val="000000"/>
          <w:spacing w:val="2"/>
          <w:sz w:val="25"/>
        </w:rPr>
        <w:t>包含一般公共预算、政府性基金预算、国有资本经营预算。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75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-33-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PIOJP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78A7289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PHVUGJ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74017423-0000-0000-0000-000000000000}"/>
  </w:font>
  <w:font w:name="QLGLOW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79067398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FPKVQK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348F682-0000-0000-0000-000000000000}"/>
  </w:font>
  <w:font w:name="WGNSTL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73497DC5-0000-0000-0000-000000000000}"/>
  </w:font>
  <w:font w:name="WNPKTB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99B8595E-0000-0000-0000-000000000000}"/>
  </w:font>
  <w:font w:name="VGIUWV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2BE85145-0000-0000-0000-000000000000}"/>
  </w:font>
  <w:font w:name="RSPAIH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365AA0A8-0000-0000-0000-000000000000}"/>
  </w:font>
  <w:font w:name="SAGLAQ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57F25E46-0000-0000-0000-000000000000}"/>
  </w:font>
  <w:font w:name="LKSONB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2C591717-0000-0000-0000-000000000000}"/>
  </w:font>
  <w:font w:name="VEIAEN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A09ED2CD-0000-0000-0000-000000000000}"/>
  </w:font>
  <w:font w:name="TSFHLH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A493DAF2-0000-0000-0000-000000000000}"/>
  </w:font>
  <w:font w:name="UHQDJV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CF4F3139-0000-0000-0000-000000000000}"/>
  </w:font>
  <w:font w:name="GLCSAC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06B416CC-0000-0000-0000-000000000000}"/>
  </w:font>
  <w:font w:name="JKSHB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A6F23FE-0000-0000-0000-000000000000}"/>
  </w:font>
  <w:font w:name="LVHKVJ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1BE03691-0000-0000-0000-000000000000}"/>
  </w:font>
  <w:font w:name="RBAJLR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864A0949-0000-0000-0000-000000000000}"/>
  </w:font>
  <w:font w:name="SINQDV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2EEC30D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styles" Target="styles.xml" /><Relationship Id="rId104" Type="http://schemas.openxmlformats.org/officeDocument/2006/relationships/fontTable" Target="fontTable.xml" /><Relationship Id="rId105" Type="http://schemas.openxmlformats.org/officeDocument/2006/relationships/settings" Target="settings.xml" /><Relationship Id="rId106" Type="http://schemas.openxmlformats.org/officeDocument/2006/relationships/webSettings" Target="webSettings.xml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36</Pages>
  <Words>1407</Words>
  <Characters>11131</Characters>
  <Application>Aspose</Application>
  <DocSecurity>0</DocSecurity>
  <Lines>10</Lines>
  <Paragraphs>633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13093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2025-09-25T17:10:57+08:00</dcterms:created>
  <dcterms:modified xmlns:xsi="http://www.w3.org/2001/XMLSchema-instance" xmlns:dcterms="http://purl.org/dc/terms/" xsi:type="dcterms:W3CDTF">2025-09-25T17:10:57+08:00</dcterms:modified>
</coreProperties>
</file>