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94"/>
        <w:spacing w:before="140" w:line="219" w:lineRule="auto"/>
        <w:rPr>
          <w:rFonts w:ascii="SimSun" w:hAnsi="SimSun" w:eastAsia="SimSun" w:cs="SimSun"/>
          <w:sz w:val="43"/>
          <w:szCs w:val="43"/>
        </w:rPr>
      </w:pPr>
      <w:r>
        <w:rPr>
          <w:rFonts w:ascii="SimSun" w:hAnsi="SimSun" w:eastAsia="SimSun" w:cs="SimSun"/>
          <w:sz w:val="43"/>
          <w:szCs w:val="43"/>
          <w:spacing w:val="100"/>
        </w:rPr>
        <w:t>中国共产党山西省兴县委员会组织部</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2"/>
              </w:rPr>
              <w:t xml:space="preserve"> </w:t>
            </w:r>
            <w:r>
              <w:rPr>
                <w:rFonts w:ascii="FangSong" w:hAnsi="FangSong" w:eastAsia="FangSong" w:cs="FangSong"/>
                <w:sz w:val="32"/>
                <w:szCs w:val="32"/>
              </w:rPr>
              <w:t>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9</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10</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12</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13</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15</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16</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17</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18</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20</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20</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9" w:id="3"/>
      <w:bookmarkEnd w:id="3"/>
      <w:bookmarkStart w:name="bookmark3" w:id="4"/>
      <w:bookmarkEnd w:id="4"/>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0" w:lineRule="auto"/>
        <w:rPr/>
      </w:pPr>
      <w:r/>
    </w:p>
    <w:p>
      <w:pPr>
        <w:ind w:left="1534"/>
        <w:spacing w:before="101" w:line="226" w:lineRule="auto"/>
        <w:rPr>
          <w:rFonts w:ascii="FangSong" w:hAnsi="FangSong" w:eastAsia="FangSong" w:cs="FangSong"/>
          <w:sz w:val="31"/>
          <w:szCs w:val="31"/>
        </w:rPr>
      </w:pPr>
      <w:r>
        <w:rPr>
          <w:rFonts w:ascii="FangSong" w:hAnsi="FangSong" w:eastAsia="FangSong" w:cs="FangSong"/>
          <w:sz w:val="31"/>
          <w:szCs w:val="31"/>
          <w:spacing w:val="26"/>
        </w:rPr>
        <w:t>1.认真贯彻落实党的组织工作和干部工作的路线</w:t>
      </w:r>
      <w:r>
        <w:rPr>
          <w:rFonts w:ascii="FangSong" w:hAnsi="FangSong" w:eastAsia="FangSong" w:cs="FangSong"/>
          <w:sz w:val="31"/>
          <w:szCs w:val="31"/>
          <w:spacing w:val="-85"/>
        </w:rPr>
        <w:t xml:space="preserve"> </w:t>
      </w:r>
      <w:r>
        <w:rPr>
          <w:rFonts w:ascii="FangSong" w:hAnsi="FangSong" w:eastAsia="FangSong" w:cs="FangSong"/>
          <w:sz w:val="31"/>
          <w:szCs w:val="31"/>
          <w:spacing w:val="26"/>
        </w:rPr>
        <w:t>、方针</w:t>
      </w:r>
      <w:r>
        <w:rPr>
          <w:rFonts w:ascii="FangSong" w:hAnsi="FangSong" w:eastAsia="FangSong" w:cs="FangSong"/>
          <w:sz w:val="31"/>
          <w:szCs w:val="31"/>
          <w:spacing w:val="-86"/>
        </w:rPr>
        <w:t xml:space="preserve"> </w:t>
      </w:r>
      <w:r>
        <w:rPr>
          <w:rFonts w:ascii="FangSong" w:hAnsi="FangSong" w:eastAsia="FangSong" w:cs="FangSong"/>
          <w:sz w:val="31"/>
          <w:szCs w:val="31"/>
          <w:spacing w:val="26"/>
        </w:rPr>
        <w:t>、政</w:t>
      </w:r>
    </w:p>
    <w:p>
      <w:pPr>
        <w:ind w:left="1525" w:right="7200" w:hanging="1"/>
        <w:spacing w:before="175" w:line="335" w:lineRule="auto"/>
        <w:rPr>
          <w:rFonts w:ascii="FangSong" w:hAnsi="FangSong" w:eastAsia="FangSong" w:cs="FangSong"/>
          <w:sz w:val="31"/>
          <w:szCs w:val="31"/>
        </w:rPr>
      </w:pPr>
      <w:r>
        <w:rPr>
          <w:rFonts w:ascii="FangSong" w:hAnsi="FangSong" w:eastAsia="FangSong" w:cs="FangSong"/>
          <w:sz w:val="31"/>
          <w:szCs w:val="31"/>
          <w:spacing w:val="7"/>
        </w:rPr>
        <w:t>策，提出落实方案并组</w:t>
      </w:r>
      <w:r>
        <w:rPr>
          <w:rFonts w:ascii="FangSong" w:hAnsi="FangSong" w:eastAsia="FangSong" w:cs="FangSong"/>
          <w:sz w:val="31"/>
          <w:szCs w:val="31"/>
          <w:spacing w:val="3"/>
        </w:rPr>
        <w:t xml:space="preserve"> </w:t>
      </w:r>
      <w:r>
        <w:rPr>
          <w:rFonts w:ascii="FangSong" w:hAnsi="FangSong" w:eastAsia="FangSong" w:cs="FangSong"/>
          <w:sz w:val="31"/>
          <w:szCs w:val="31"/>
        </w:rPr>
        <w:t>织实施。</w:t>
      </w:r>
    </w:p>
    <w:p>
      <w:pPr>
        <w:ind w:left="1515"/>
        <w:spacing w:line="228" w:lineRule="auto"/>
        <w:rPr>
          <w:rFonts w:ascii="FangSong" w:hAnsi="FangSong" w:eastAsia="FangSong" w:cs="FangSong"/>
          <w:sz w:val="31"/>
          <w:szCs w:val="31"/>
        </w:rPr>
      </w:pPr>
      <w:r>
        <w:rPr>
          <w:rFonts w:ascii="FangSong" w:hAnsi="FangSong" w:eastAsia="FangSong" w:cs="FangSong"/>
          <w:sz w:val="31"/>
          <w:szCs w:val="31"/>
          <w:spacing w:val="8"/>
        </w:rPr>
        <w:t>2.提出县管干部及领导班子建设、调整、配备的意见和建议。</w:t>
      </w:r>
    </w:p>
    <w:p>
      <w:pPr>
        <w:ind w:left="1528" w:right="1474" w:hanging="11"/>
        <w:spacing w:before="170" w:line="283" w:lineRule="auto"/>
        <w:rPr>
          <w:rFonts w:ascii="FangSong" w:hAnsi="FangSong" w:eastAsia="FangSong" w:cs="FangSong"/>
          <w:sz w:val="31"/>
          <w:szCs w:val="31"/>
        </w:rPr>
      </w:pPr>
      <w:r>
        <w:rPr>
          <w:rFonts w:ascii="FangSong" w:hAnsi="FangSong" w:eastAsia="FangSong" w:cs="FangSong"/>
          <w:sz w:val="31"/>
          <w:szCs w:val="31"/>
          <w:spacing w:val="19"/>
        </w:rPr>
        <w:t>3.负责全县党员、干部队伍的宏观管理和选拔培养中青年干部</w:t>
      </w:r>
      <w:r>
        <w:rPr>
          <w:rFonts w:ascii="FangSong" w:hAnsi="FangSong" w:eastAsia="FangSong" w:cs="FangSong"/>
          <w:sz w:val="31"/>
          <w:szCs w:val="31"/>
          <w:spacing w:val="4"/>
        </w:rPr>
        <w:t xml:space="preserve"> </w:t>
      </w:r>
      <w:r>
        <w:rPr>
          <w:rFonts w:ascii="FangSong" w:hAnsi="FangSong" w:eastAsia="FangSong" w:cs="FangSong"/>
          <w:sz w:val="31"/>
          <w:szCs w:val="31"/>
          <w:spacing w:val="-3"/>
        </w:rPr>
        <w:t>工作。</w:t>
      </w:r>
    </w:p>
    <w:p>
      <w:pPr>
        <w:ind w:left="1519" w:right="1474" w:hanging="10"/>
        <w:spacing w:before="176" w:line="279" w:lineRule="auto"/>
        <w:rPr>
          <w:rFonts w:ascii="FangSong" w:hAnsi="FangSong" w:eastAsia="FangSong" w:cs="FangSong"/>
          <w:sz w:val="31"/>
          <w:szCs w:val="31"/>
        </w:rPr>
      </w:pPr>
      <w:r>
        <w:rPr>
          <w:rFonts w:ascii="FangSong" w:hAnsi="FangSong" w:eastAsia="FangSong" w:cs="FangSong"/>
          <w:sz w:val="31"/>
          <w:szCs w:val="31"/>
          <w:spacing w:val="19"/>
        </w:rPr>
        <w:t>4.按照党章规定，协调规划和指导全县各级党组织建设、党员</w:t>
      </w:r>
      <w:r>
        <w:rPr>
          <w:rFonts w:ascii="FangSong" w:hAnsi="FangSong" w:eastAsia="FangSong" w:cs="FangSong"/>
          <w:sz w:val="31"/>
          <w:szCs w:val="31"/>
          <w:spacing w:val="12"/>
        </w:rPr>
        <w:t xml:space="preserve"> </w:t>
      </w:r>
      <w:r>
        <w:rPr>
          <w:rFonts w:ascii="FangSong" w:hAnsi="FangSong" w:eastAsia="FangSong" w:cs="FangSong"/>
          <w:sz w:val="31"/>
          <w:szCs w:val="31"/>
          <w:spacing w:val="7"/>
        </w:rPr>
        <w:t>教育管理和发展工</w:t>
      </w:r>
    </w:p>
    <w:p>
      <w:pPr>
        <w:ind w:left="1526"/>
        <w:spacing w:before="187" w:line="226" w:lineRule="auto"/>
        <w:rPr>
          <w:rFonts w:ascii="FangSong" w:hAnsi="FangSong" w:eastAsia="FangSong" w:cs="FangSong"/>
          <w:sz w:val="31"/>
          <w:szCs w:val="31"/>
        </w:rPr>
      </w:pPr>
      <w:r>
        <w:rPr>
          <w:rFonts w:ascii="FangSong" w:hAnsi="FangSong" w:eastAsia="FangSong" w:cs="FangSong"/>
          <w:sz w:val="31"/>
          <w:szCs w:val="31"/>
          <w:spacing w:val="-9"/>
        </w:rPr>
        <w:t>作。</w:t>
      </w:r>
    </w:p>
    <w:p>
      <w:pPr>
        <w:ind w:left="1530" w:right="1474" w:hanging="13"/>
        <w:spacing w:before="176" w:line="279" w:lineRule="auto"/>
        <w:rPr>
          <w:rFonts w:ascii="FangSong" w:hAnsi="FangSong" w:eastAsia="FangSong" w:cs="FangSong"/>
          <w:sz w:val="31"/>
          <w:szCs w:val="31"/>
        </w:rPr>
      </w:pPr>
      <w:r>
        <w:rPr>
          <w:rFonts w:ascii="FangSong" w:hAnsi="FangSong" w:eastAsia="FangSong" w:cs="FangSong"/>
          <w:sz w:val="31"/>
          <w:szCs w:val="31"/>
          <w:spacing w:val="19"/>
        </w:rPr>
        <w:t>5.研究拟定全县组织、干部人事工作的主要政策和制度，指导</w:t>
      </w:r>
      <w:r>
        <w:rPr>
          <w:rFonts w:ascii="FangSong" w:hAnsi="FangSong" w:eastAsia="FangSong" w:cs="FangSong"/>
          <w:sz w:val="31"/>
          <w:szCs w:val="31"/>
          <w:spacing w:val="4"/>
        </w:rPr>
        <w:t xml:space="preserve"> </w:t>
      </w:r>
      <w:r>
        <w:rPr>
          <w:rFonts w:ascii="FangSong" w:hAnsi="FangSong" w:eastAsia="FangSong" w:cs="FangSong"/>
          <w:sz w:val="31"/>
          <w:szCs w:val="31"/>
          <w:spacing w:val="5"/>
        </w:rPr>
        <w:t>干部人事制度改革。</w:t>
      </w:r>
    </w:p>
    <w:p>
      <w:pPr>
        <w:ind w:left="1525" w:right="1474" w:hanging="12"/>
        <w:spacing w:before="189" w:line="278" w:lineRule="auto"/>
        <w:rPr>
          <w:rFonts w:ascii="FangSong" w:hAnsi="FangSong" w:eastAsia="FangSong" w:cs="FangSong"/>
          <w:sz w:val="31"/>
          <w:szCs w:val="31"/>
        </w:rPr>
      </w:pPr>
      <w:r>
        <w:rPr>
          <w:rFonts w:ascii="FangSong" w:hAnsi="FangSong" w:eastAsia="FangSong" w:cs="FangSong"/>
          <w:sz w:val="31"/>
          <w:szCs w:val="31"/>
          <w:spacing w:val="28"/>
        </w:rPr>
        <w:t>6.负责县直党政群机关及科级事业单位的</w:t>
      </w:r>
      <w:r>
        <w:rPr>
          <w:rFonts w:ascii="FangSong" w:hAnsi="FangSong" w:eastAsia="FangSong" w:cs="FangSong"/>
          <w:sz w:val="31"/>
          <w:szCs w:val="31"/>
          <w:spacing w:val="-53"/>
        </w:rPr>
        <w:t xml:space="preserve"> </w:t>
      </w:r>
      <w:r>
        <w:rPr>
          <w:rFonts w:ascii="FangSong" w:hAnsi="FangSong" w:eastAsia="FangSong" w:cs="FangSong"/>
          <w:sz w:val="31"/>
          <w:szCs w:val="31"/>
          <w:spacing w:val="27"/>
        </w:rPr>
        <w:t>目标责任制考核工</w:t>
      </w:r>
      <w:r>
        <w:rPr>
          <w:rFonts w:ascii="FangSong" w:hAnsi="FangSong" w:eastAsia="FangSong" w:cs="FangSong"/>
          <w:sz w:val="31"/>
          <w:szCs w:val="31"/>
        </w:rPr>
        <w:t xml:space="preserve"> </w:t>
      </w:r>
      <w:r>
        <w:rPr>
          <w:rFonts w:ascii="FangSong" w:hAnsi="FangSong" w:eastAsia="FangSong" w:cs="FangSong"/>
          <w:sz w:val="31"/>
          <w:szCs w:val="31"/>
          <w:spacing w:val="7"/>
        </w:rPr>
        <w:t>作；负责全县乡镇干部</w:t>
      </w:r>
    </w:p>
    <w:p>
      <w:pPr>
        <w:ind w:left="1521"/>
        <w:spacing w:before="175" w:line="226" w:lineRule="auto"/>
        <w:rPr>
          <w:rFonts w:ascii="FangSong" w:hAnsi="FangSong" w:eastAsia="FangSong" w:cs="FangSong"/>
          <w:sz w:val="31"/>
          <w:szCs w:val="31"/>
        </w:rPr>
      </w:pPr>
      <w:r>
        <w:rPr>
          <w:rFonts w:ascii="FangSong" w:hAnsi="FangSong" w:eastAsia="FangSong" w:cs="FangSong"/>
          <w:sz w:val="31"/>
          <w:szCs w:val="31"/>
          <w:spacing w:val="7"/>
        </w:rPr>
        <w:t>和党群系统干部的考核工作。</w:t>
      </w:r>
    </w:p>
    <w:p>
      <w:pPr>
        <w:ind w:left="1518"/>
        <w:spacing w:before="191" w:line="226" w:lineRule="auto"/>
        <w:rPr>
          <w:rFonts w:ascii="FangSong" w:hAnsi="FangSong" w:eastAsia="FangSong" w:cs="FangSong"/>
          <w:sz w:val="31"/>
          <w:szCs w:val="31"/>
        </w:rPr>
      </w:pPr>
      <w:r>
        <w:rPr>
          <w:rFonts w:ascii="FangSong" w:hAnsi="FangSong" w:eastAsia="FangSong" w:cs="FangSong"/>
          <w:sz w:val="31"/>
          <w:szCs w:val="31"/>
          <w:spacing w:val="19"/>
        </w:rPr>
        <w:t>7.负责全县干部教育工作，落实干部教育规划；负责全县知识</w:t>
      </w:r>
    </w:p>
    <w:p>
      <w:pPr>
        <w:ind w:left="1521" w:right="7520" w:firstLine="3"/>
        <w:spacing w:before="175" w:line="330" w:lineRule="auto"/>
        <w:rPr>
          <w:rFonts w:ascii="FangSong" w:hAnsi="FangSong" w:eastAsia="FangSong" w:cs="FangSong"/>
          <w:sz w:val="31"/>
          <w:szCs w:val="31"/>
        </w:rPr>
      </w:pPr>
      <w:r>
        <w:rPr>
          <w:rFonts w:ascii="FangSong" w:hAnsi="FangSong" w:eastAsia="FangSong" w:cs="FangSong"/>
          <w:sz w:val="31"/>
          <w:szCs w:val="31"/>
          <w:spacing w:val="7"/>
        </w:rPr>
        <w:t>分子工作和机关干部</w:t>
      </w:r>
      <w:r>
        <w:rPr>
          <w:rFonts w:ascii="FangSong" w:hAnsi="FangSong" w:eastAsia="FangSong" w:cs="FangSong"/>
          <w:sz w:val="31"/>
          <w:szCs w:val="31"/>
        </w:rPr>
        <w:t xml:space="preserve"> </w:t>
      </w:r>
      <w:r>
        <w:rPr>
          <w:rFonts w:ascii="FangSong" w:hAnsi="FangSong" w:eastAsia="FangSong" w:cs="FangSong"/>
          <w:sz w:val="31"/>
          <w:szCs w:val="31"/>
          <w:spacing w:val="5"/>
        </w:rPr>
        <w:t>挂职锻炼工作。</w:t>
      </w:r>
    </w:p>
    <w:p>
      <w:pPr>
        <w:ind w:left="1523" w:right="1474" w:hanging="11"/>
        <w:spacing w:before="18" w:line="279" w:lineRule="auto"/>
        <w:rPr>
          <w:rFonts w:ascii="FangSong" w:hAnsi="FangSong" w:eastAsia="FangSong" w:cs="FangSong"/>
          <w:sz w:val="31"/>
          <w:szCs w:val="31"/>
        </w:rPr>
      </w:pPr>
      <w:r>
        <w:rPr>
          <w:rFonts w:ascii="FangSong" w:hAnsi="FangSong" w:eastAsia="FangSong" w:cs="FangSong"/>
          <w:sz w:val="31"/>
          <w:szCs w:val="31"/>
          <w:spacing w:val="19"/>
        </w:rPr>
        <w:t>8.负责全县离退休干部宏观管理，落实离退休干部政策；管理</w:t>
      </w:r>
      <w:r>
        <w:rPr>
          <w:rFonts w:ascii="FangSong" w:hAnsi="FangSong" w:eastAsia="FangSong" w:cs="FangSong"/>
          <w:sz w:val="31"/>
          <w:szCs w:val="31"/>
          <w:spacing w:val="9"/>
        </w:rPr>
        <w:t xml:space="preserve"> </w:t>
      </w:r>
      <w:r>
        <w:rPr>
          <w:rFonts w:ascii="FangSong" w:hAnsi="FangSong" w:eastAsia="FangSong" w:cs="FangSong"/>
          <w:sz w:val="31"/>
          <w:szCs w:val="31"/>
          <w:spacing w:val="5"/>
        </w:rPr>
        <w:t>县委老干部局。</w:t>
      </w:r>
    </w:p>
    <w:p>
      <w:pPr>
        <w:ind w:left="1529" w:right="1474" w:hanging="17"/>
        <w:spacing w:before="171" w:line="283" w:lineRule="auto"/>
        <w:rPr>
          <w:rFonts w:ascii="FangSong" w:hAnsi="FangSong" w:eastAsia="FangSong" w:cs="FangSong"/>
          <w:sz w:val="31"/>
          <w:szCs w:val="31"/>
        </w:rPr>
      </w:pPr>
      <w:r>
        <w:rPr>
          <w:rFonts w:ascii="FangSong" w:hAnsi="FangSong" w:eastAsia="FangSong" w:cs="FangSong"/>
          <w:sz w:val="31"/>
          <w:szCs w:val="31"/>
          <w:spacing w:val="19"/>
        </w:rPr>
        <w:t>9.负责《党政领导干部选拔任用工作条例》贯彻落实情况的监</w:t>
      </w:r>
      <w:r>
        <w:rPr>
          <w:rFonts w:ascii="FangSong" w:hAnsi="FangSong" w:eastAsia="FangSong" w:cs="FangSong"/>
          <w:sz w:val="31"/>
          <w:szCs w:val="31"/>
          <w:spacing w:val="9"/>
        </w:rPr>
        <w:t xml:space="preserve"> </w:t>
      </w:r>
      <w:r>
        <w:rPr>
          <w:rFonts w:ascii="FangSong" w:hAnsi="FangSong" w:eastAsia="FangSong" w:cs="FangSong"/>
          <w:sz w:val="31"/>
          <w:szCs w:val="31"/>
          <w:spacing w:val="6"/>
        </w:rPr>
        <w:t>督、检查，对县管干</w:t>
      </w:r>
    </w:p>
    <w:p>
      <w:pPr>
        <w:spacing w:line="283"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85" w:lineRule="auto"/>
        <w:rPr/>
      </w:pPr>
      <w:r/>
    </w:p>
    <w:p>
      <w:pPr>
        <w:pStyle w:val="BodyText"/>
        <w:spacing w:line="285" w:lineRule="auto"/>
        <w:rPr/>
      </w:pPr>
      <w:r/>
    </w:p>
    <w:p>
      <w:pPr>
        <w:ind w:left="1522"/>
        <w:spacing w:before="100" w:line="227" w:lineRule="auto"/>
        <w:rPr>
          <w:rFonts w:ascii="FangSong" w:hAnsi="FangSong" w:eastAsia="FangSong" w:cs="FangSong"/>
          <w:sz w:val="31"/>
          <w:szCs w:val="31"/>
        </w:rPr>
      </w:pPr>
      <w:r>
        <w:rPr>
          <w:rFonts w:ascii="FangSong" w:hAnsi="FangSong" w:eastAsia="FangSong" w:cs="FangSong"/>
          <w:sz w:val="31"/>
          <w:szCs w:val="31"/>
          <w:spacing w:val="8"/>
        </w:rPr>
        <w:t>部进行监督管理；受理党员、干部的来信来访。</w:t>
      </w:r>
    </w:p>
    <w:p>
      <w:pPr>
        <w:ind w:left="1534"/>
        <w:spacing w:before="174" w:line="226" w:lineRule="auto"/>
        <w:rPr>
          <w:rFonts w:ascii="FangSong" w:hAnsi="FangSong" w:eastAsia="FangSong" w:cs="FangSong"/>
          <w:sz w:val="31"/>
          <w:szCs w:val="31"/>
        </w:rPr>
      </w:pPr>
      <w:r>
        <w:rPr>
          <w:rFonts w:ascii="FangSong" w:hAnsi="FangSong" w:eastAsia="FangSong" w:cs="FangSong"/>
          <w:sz w:val="31"/>
          <w:szCs w:val="31"/>
          <w:spacing w:val="7"/>
        </w:rPr>
        <w:t>10.承办县委和市委组织部交办的其它工作。</w:t>
      </w:r>
    </w:p>
    <w:p>
      <w:pPr>
        <w:ind w:left="2157"/>
        <w:spacing w:before="366" w:line="313"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322" w:lineRule="auto"/>
        <w:rPr/>
      </w:pPr>
      <w:r/>
    </w:p>
    <w:p>
      <w:pPr>
        <w:ind w:left="1526" w:right="1474" w:firstLine="2"/>
        <w:spacing w:before="100" w:line="330" w:lineRule="auto"/>
        <w:rPr>
          <w:rFonts w:ascii="FangSong" w:hAnsi="FangSong" w:eastAsia="FangSong" w:cs="FangSong"/>
          <w:sz w:val="31"/>
          <w:szCs w:val="31"/>
        </w:rPr>
      </w:pPr>
      <w:r>
        <w:rPr>
          <w:rFonts w:ascii="FangSong" w:hAnsi="FangSong" w:eastAsia="FangSong" w:cs="FangSong"/>
          <w:sz w:val="31"/>
          <w:szCs w:val="31"/>
          <w:spacing w:val="19"/>
        </w:rPr>
        <w:t>兴县县委组织部是兴县县委主管组织工作、干部工作和人才工</w:t>
      </w:r>
      <w:r>
        <w:rPr>
          <w:rFonts w:ascii="FangSong" w:hAnsi="FangSong" w:eastAsia="FangSong" w:cs="FangSong"/>
          <w:sz w:val="31"/>
          <w:szCs w:val="31"/>
          <w:spacing w:val="12"/>
        </w:rPr>
        <w:t xml:space="preserve"> </w:t>
      </w:r>
      <w:r>
        <w:rPr>
          <w:rFonts w:ascii="FangSong" w:hAnsi="FangSong" w:eastAsia="FangSong" w:cs="FangSong"/>
          <w:sz w:val="31"/>
          <w:szCs w:val="31"/>
          <w:spacing w:val="7"/>
        </w:rPr>
        <w:t>作的职能部门，主要</w:t>
      </w:r>
    </w:p>
    <w:p>
      <w:pPr>
        <w:ind w:left="1530"/>
        <w:spacing w:before="18" w:line="228" w:lineRule="auto"/>
        <w:rPr>
          <w:rFonts w:ascii="FangSong" w:hAnsi="FangSong" w:eastAsia="FangSong" w:cs="FangSong"/>
          <w:sz w:val="31"/>
          <w:szCs w:val="31"/>
        </w:rPr>
      </w:pPr>
      <w:r>
        <w:rPr>
          <w:rFonts w:ascii="FangSong" w:hAnsi="FangSong" w:eastAsia="FangSong" w:cs="FangSong"/>
          <w:sz w:val="31"/>
          <w:szCs w:val="31"/>
          <w:spacing w:val="8"/>
        </w:rPr>
        <w:t>负责党的组织建设、干部队伍建设和人才队伍建设。</w:t>
      </w:r>
    </w:p>
    <w:p>
      <w:pPr>
        <w:ind w:left="1527" w:right="1475"/>
        <w:spacing w:before="173" w:line="328" w:lineRule="auto"/>
        <w:rPr>
          <w:rFonts w:ascii="FangSong" w:hAnsi="FangSong" w:eastAsia="FangSong" w:cs="FangSong"/>
          <w:sz w:val="31"/>
          <w:szCs w:val="31"/>
        </w:rPr>
      </w:pPr>
      <w:r>
        <w:rPr>
          <w:rFonts w:ascii="FangSong" w:hAnsi="FangSong" w:eastAsia="FangSong" w:cs="FangSong"/>
          <w:sz w:val="31"/>
          <w:szCs w:val="31"/>
          <w:spacing w:val="20"/>
        </w:rPr>
        <w:t>下设2个副科级事业单位：</w:t>
      </w:r>
      <w:r>
        <w:rPr>
          <w:rFonts w:ascii="FangSong" w:hAnsi="FangSong" w:eastAsia="FangSong" w:cs="FangSong"/>
          <w:sz w:val="31"/>
          <w:szCs w:val="31"/>
          <w:spacing w:val="-76"/>
        </w:rPr>
        <w:t xml:space="preserve"> </w:t>
      </w:r>
      <w:r>
        <w:rPr>
          <w:rFonts w:ascii="FangSong" w:hAnsi="FangSong" w:eastAsia="FangSong" w:cs="FangSong"/>
          <w:sz w:val="31"/>
          <w:szCs w:val="31"/>
          <w:spacing w:val="20"/>
        </w:rPr>
        <w:t>党建综合服务中心</w:t>
      </w:r>
      <w:r>
        <w:rPr>
          <w:rFonts w:ascii="FangSong" w:hAnsi="FangSong" w:eastAsia="FangSong" w:cs="FangSong"/>
          <w:sz w:val="31"/>
          <w:szCs w:val="31"/>
          <w:spacing w:val="-93"/>
        </w:rPr>
        <w:t xml:space="preserve"> </w:t>
      </w:r>
      <w:r>
        <w:rPr>
          <w:rFonts w:ascii="FangSong" w:hAnsi="FangSong" w:eastAsia="FangSong" w:cs="FangSong"/>
          <w:sz w:val="31"/>
          <w:szCs w:val="31"/>
          <w:spacing w:val="20"/>
        </w:rPr>
        <w:t>、举报和核查中</w:t>
      </w:r>
      <w:r>
        <w:rPr>
          <w:rFonts w:ascii="FangSong" w:hAnsi="FangSong" w:eastAsia="FangSong" w:cs="FangSong"/>
          <w:sz w:val="31"/>
          <w:szCs w:val="31"/>
        </w:rPr>
        <w:t xml:space="preserve"> </w:t>
      </w:r>
      <w:r>
        <w:rPr>
          <w:rFonts w:ascii="FangSong" w:hAnsi="FangSong" w:eastAsia="FangSong" w:cs="FangSong"/>
          <w:sz w:val="31"/>
          <w:szCs w:val="31"/>
          <w:spacing w:val="-9"/>
        </w:rPr>
        <w:t>心。</w:t>
      </w:r>
    </w:p>
    <w:p>
      <w:pPr>
        <w:ind w:left="1521" w:right="1475" w:firstLine="39"/>
        <w:spacing w:before="21" w:line="331" w:lineRule="auto"/>
        <w:rPr>
          <w:rFonts w:ascii="FangSong" w:hAnsi="FangSong" w:eastAsia="FangSong" w:cs="FangSong"/>
          <w:sz w:val="31"/>
          <w:szCs w:val="31"/>
        </w:rPr>
      </w:pPr>
      <w:r>
        <w:rPr>
          <w:rFonts w:ascii="FangSong" w:hAnsi="FangSong" w:eastAsia="FangSong" w:cs="FangSong"/>
          <w:sz w:val="31"/>
          <w:szCs w:val="31"/>
          <w:spacing w:val="12"/>
        </w:rPr>
        <w:t>内设9个职能股室：办公室、干部股、驻村办、组织股、公务员</w:t>
      </w:r>
      <w:r>
        <w:rPr>
          <w:rFonts w:ascii="FangSong" w:hAnsi="FangSong" w:eastAsia="FangSong" w:cs="FangSong"/>
          <w:sz w:val="31"/>
          <w:szCs w:val="31"/>
          <w:spacing w:val="2"/>
        </w:rPr>
        <w:t xml:space="preserve"> </w:t>
      </w:r>
      <w:r>
        <w:rPr>
          <w:rFonts w:ascii="FangSong" w:hAnsi="FangSong" w:eastAsia="FangSong" w:cs="FangSong"/>
          <w:sz w:val="31"/>
          <w:szCs w:val="31"/>
          <w:spacing w:val="8"/>
        </w:rPr>
        <w:t>股、干部档案室、考</w:t>
      </w:r>
    </w:p>
    <w:p>
      <w:pPr>
        <w:ind w:left="1520"/>
        <w:spacing w:line="228" w:lineRule="auto"/>
        <w:rPr>
          <w:rFonts w:ascii="FangSong" w:hAnsi="FangSong" w:eastAsia="FangSong" w:cs="FangSong"/>
          <w:sz w:val="31"/>
          <w:szCs w:val="31"/>
        </w:rPr>
      </w:pPr>
      <w:r>
        <w:rPr>
          <w:rFonts w:ascii="FangSong" w:hAnsi="FangSong" w:eastAsia="FangSong" w:cs="FangSong"/>
          <w:sz w:val="31"/>
          <w:szCs w:val="31"/>
          <w:spacing w:val="7"/>
        </w:rPr>
        <w:t>核股、干部教育科、研究室。</w:t>
      </w:r>
    </w:p>
    <w:p>
      <w:pPr>
        <w:spacing w:line="228"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部门名称：中国共产党山西省兴县委员会组织部</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7"/>
              <w:spacing w:before="129" w:line="238" w:lineRule="auto"/>
              <w:jc w:val="right"/>
              <w:rPr/>
            </w:pPr>
            <w:r>
              <w:rPr>
                <w:color w:val="212529"/>
                <w:spacing w:val="-2"/>
              </w:rPr>
              <w:t>979.15</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pStyle w:val="TableText"/>
              <w:ind w:right="28"/>
              <w:spacing w:before="129" w:line="238" w:lineRule="auto"/>
              <w:jc w:val="right"/>
              <w:rPr/>
            </w:pPr>
            <w:r>
              <w:rPr>
                <w:color w:val="212529"/>
                <w:spacing w:val="-2"/>
              </w:rPr>
              <w:t>886.41</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4"/>
              <w:spacing w:before="136" w:line="238" w:lineRule="auto"/>
              <w:jc w:val="right"/>
              <w:rPr/>
            </w:pPr>
            <w:r>
              <w:rPr>
                <w:color w:val="212529"/>
                <w:spacing w:val="-4"/>
              </w:rPr>
              <w:t>13.32</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7"/>
              <w:spacing w:before="136" w:line="238" w:lineRule="auto"/>
              <w:jc w:val="right"/>
              <w:rPr/>
            </w:pPr>
            <w:r>
              <w:rPr>
                <w:color w:val="212529"/>
                <w:spacing w:val="-2"/>
              </w:rPr>
              <w:t>52.43</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5"/>
              <w:spacing w:before="137" w:line="238" w:lineRule="auto"/>
              <w:jc w:val="right"/>
              <w:rPr/>
            </w:pPr>
            <w:r>
              <w:rPr>
                <w:color w:val="212529"/>
                <w:spacing w:val="-4"/>
              </w:rPr>
              <w:t>19.07</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7"/>
              <w:spacing w:before="139" w:line="238" w:lineRule="auto"/>
              <w:jc w:val="right"/>
              <w:rPr/>
            </w:pPr>
            <w:r>
              <w:rPr>
                <w:color w:val="212529"/>
                <w:spacing w:val="-2"/>
              </w:rPr>
              <w:t>34.55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1" w:id="9"/>
            <w:bookmarkEnd w:id="9"/>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6"/>
              <w:spacing w:before="136" w:line="161" w:lineRule="auto"/>
              <w:rPr>
                <w:rFonts w:ascii="Arial" w:hAnsi="Arial" w:eastAsia="Arial" w:cs="Arial"/>
                <w:sz w:val="17"/>
                <w:szCs w:val="17"/>
              </w:rPr>
            </w:pPr>
            <w:r>
              <w:rPr>
                <w:rFonts w:ascii="Arial" w:hAnsi="Arial" w:eastAsia="Arial" w:cs="Arial"/>
                <w:sz w:val="17"/>
                <w:szCs w:val="17"/>
                <w:color w:val="212529"/>
                <w:spacing w:val="1"/>
              </w:rPr>
              <w:t>992.47</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2"/>
              <w:spacing w:before="135" w:line="183" w:lineRule="auto"/>
              <w:rPr>
                <w:rFonts w:ascii="Arial" w:hAnsi="Arial" w:eastAsia="Arial" w:cs="Arial"/>
                <w:sz w:val="15"/>
                <w:szCs w:val="15"/>
              </w:rPr>
            </w:pPr>
            <w:r>
              <w:rPr>
                <w:rFonts w:ascii="Arial" w:hAnsi="Arial" w:eastAsia="Arial" w:cs="Arial"/>
                <w:sz w:val="15"/>
                <w:szCs w:val="15"/>
                <w:color w:val="212529"/>
                <w:spacing w:val="3"/>
              </w:rPr>
              <w:t>992.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47</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6"/>
              <w:spacing w:before="142" w:line="161" w:lineRule="auto"/>
              <w:rPr>
                <w:rFonts w:ascii="Arial" w:hAnsi="Arial" w:eastAsia="Arial" w:cs="Arial"/>
                <w:sz w:val="17"/>
                <w:szCs w:val="17"/>
              </w:rPr>
            </w:pPr>
            <w:r>
              <w:rPr>
                <w:rFonts w:ascii="Arial" w:hAnsi="Arial" w:eastAsia="Arial" w:cs="Arial"/>
                <w:sz w:val="17"/>
                <w:szCs w:val="17"/>
                <w:color w:val="212529"/>
                <w:spacing w:val="1"/>
              </w:rPr>
              <w:t>992.47</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2"/>
              <w:spacing w:before="141" w:line="183" w:lineRule="auto"/>
              <w:rPr>
                <w:rFonts w:ascii="Arial" w:hAnsi="Arial" w:eastAsia="Arial" w:cs="Arial"/>
                <w:sz w:val="15"/>
                <w:szCs w:val="15"/>
              </w:rPr>
            </w:pPr>
            <w:r>
              <w:rPr>
                <w:rFonts w:ascii="Arial" w:hAnsi="Arial" w:eastAsia="Arial" w:cs="Arial"/>
                <w:sz w:val="15"/>
                <w:szCs w:val="15"/>
                <w:color w:val="212529"/>
                <w:spacing w:val="3"/>
              </w:rPr>
              <w:t>992.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47</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5"/>
          <w:footerReference w:type="default" r:id="rId9"/>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988"/>
        <w:gridCol w:w="973"/>
        <w:gridCol w:w="898"/>
        <w:gridCol w:w="899"/>
        <w:gridCol w:w="899"/>
        <w:gridCol w:w="644"/>
        <w:gridCol w:w="86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2" w:id="10"/>
            <w:bookmarkEnd w:id="10"/>
            <w:bookmarkStart w:name="bookmark7" w:id="11"/>
            <w:bookmarkEnd w:id="11"/>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0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7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61" w:type="dxa"/>
            <w:vAlign w:val="top"/>
            <w:tcBorders>
              <w:bottom w:val="single" w:color="FFFFFF" w:sz="6" w:space="0"/>
              <w:top w:val="single" w:color="FFFFFF" w:sz="6" w:space="0"/>
              <w:left w:val="single" w:color="FFFFFF" w:sz="2" w:space="0"/>
              <w:right w:val="single" w:color="FFFFFF" w:sz="2" w:space="0"/>
            </w:tcBorders>
          </w:tcPr>
          <w:p>
            <w:pPr>
              <w:pStyle w:val="TableText"/>
              <w:ind w:left="113"/>
              <w:spacing w:before="109" w:line="220" w:lineRule="auto"/>
              <w:rPr/>
            </w:pPr>
            <w:r>
              <w:rPr>
                <w:color w:val="212529"/>
                <w:spacing w:val="-2"/>
              </w:rPr>
              <w:t>公开02表</w:t>
            </w:r>
          </w:p>
        </w:tc>
      </w:tr>
      <w:tr>
        <w:trPr>
          <w:trHeight w:val="419" w:hRule="atLeast"/>
        </w:trPr>
        <w:tc>
          <w:tcPr>
            <w:tcW w:w="3376" w:type="dxa"/>
            <w:vAlign w:val="top"/>
            <w:gridSpan w:val="3"/>
            <w:tcBorders>
              <w:top w:val="single" w:color="FFFFFF" w:sz="6" w:space="0"/>
              <w:left w:val="single" w:color="FFFFFF" w:sz="2" w:space="0"/>
              <w:right w:val="single" w:color="FFFFFF" w:sz="2" w:space="0"/>
            </w:tcBorders>
          </w:tcPr>
          <w:p>
            <w:pPr>
              <w:pStyle w:val="TableText"/>
              <w:ind w:left="14" w:right="125"/>
              <w:spacing w:before="5" w:line="207" w:lineRule="auto"/>
              <w:rPr/>
            </w:pPr>
            <w:r>
              <w:rPr>
                <w:color w:val="212529"/>
                <w:spacing w:val="-1"/>
              </w:rPr>
              <w:t>部门名称：中国共产党山西省兴县委员会</w:t>
            </w:r>
            <w:r>
              <w:rPr>
                <w:color w:val="212529"/>
                <w:spacing w:val="7"/>
              </w:rPr>
              <w:t xml:space="preserve"> </w:t>
            </w:r>
            <w:r>
              <w:rPr>
                <w:color w:val="212529"/>
                <w:spacing w:val="-3"/>
              </w:rPr>
              <w:t>组织部</w:t>
            </w:r>
          </w:p>
        </w:tc>
        <w:tc>
          <w:tcPr>
            <w:tcW w:w="1871" w:type="dxa"/>
            <w:vAlign w:val="top"/>
            <w:gridSpan w:val="2"/>
            <w:tcBorders>
              <w:top w:val="single" w:color="FFFFFF" w:sz="6" w:space="0"/>
              <w:left w:val="single" w:color="FFFFFF" w:sz="2" w:space="0"/>
              <w:right w:val="single" w:color="FFFFFF" w:sz="2" w:space="0"/>
            </w:tcBorders>
          </w:tcPr>
          <w:p>
            <w:pPr>
              <w:pStyle w:val="TableText"/>
              <w:ind w:left="570"/>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2"/>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73" w:type="dxa"/>
            <w:vAlign w:val="top"/>
            <w:vMerge w:val="restart"/>
            <w:tcBorders>
              <w:bottom w:val="nil"/>
            </w:tcBorders>
          </w:tcPr>
          <w:p>
            <w:pPr>
              <w:ind w:left="20"/>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7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75"/>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6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2"/>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61" w:type="dxa"/>
            <w:vAlign w:val="top"/>
            <w:vMerge w:val="restart"/>
            <w:tcBorders>
              <w:bottom w:val="nil"/>
            </w:tcBorders>
          </w:tcPr>
          <w:p>
            <w:pPr>
              <w:spacing w:line="243" w:lineRule="auto"/>
              <w:rPr>
                <w:rFonts w:ascii="Arial"/>
                <w:sz w:val="21"/>
              </w:rPr>
            </w:pPr>
            <w:r/>
          </w:p>
          <w:p>
            <w:pPr>
              <w:ind w:left="4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861"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73" w:type="dxa"/>
            <w:vAlign w:val="top"/>
          </w:tcPr>
          <w:p>
            <w:pPr>
              <w:ind w:left="4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61" w:type="dxa"/>
            <w:vAlign w:val="top"/>
          </w:tcPr>
          <w:p>
            <w:pPr>
              <w:ind w:left="373"/>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7"/>
              <w:spacing w:before="94" w:line="281" w:lineRule="exact"/>
              <w:jc w:val="right"/>
              <w:rPr>
                <w:sz w:val="21"/>
                <w:szCs w:val="21"/>
              </w:rPr>
            </w:pPr>
            <w:r>
              <w:rPr>
                <w:sz w:val="21"/>
                <w:szCs w:val="21"/>
                <w:color w:val="212529"/>
                <w:spacing w:val="5"/>
                <w:position w:val="1"/>
              </w:rPr>
              <w:t>992.47</w:t>
            </w:r>
          </w:p>
        </w:tc>
        <w:tc>
          <w:tcPr>
            <w:tcW w:w="973" w:type="dxa"/>
            <w:vAlign w:val="top"/>
          </w:tcPr>
          <w:p>
            <w:pPr>
              <w:pStyle w:val="TableText"/>
              <w:ind w:right="29"/>
              <w:spacing w:before="94" w:line="281" w:lineRule="exact"/>
              <w:jc w:val="right"/>
              <w:rPr>
                <w:sz w:val="21"/>
                <w:szCs w:val="21"/>
              </w:rPr>
            </w:pPr>
            <w:r>
              <w:rPr>
                <w:sz w:val="21"/>
                <w:szCs w:val="21"/>
                <w:color w:val="212529"/>
                <w:spacing w:val="5"/>
                <w:position w:val="1"/>
              </w:rPr>
              <w:t>979.15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32"/>
              <w:spacing w:before="94" w:line="281" w:lineRule="exact"/>
              <w:jc w:val="right"/>
              <w:rPr>
                <w:sz w:val="21"/>
                <w:szCs w:val="21"/>
              </w:rPr>
            </w:pPr>
            <w:r>
              <w:rPr>
                <w:sz w:val="21"/>
                <w:szCs w:val="21"/>
                <w:color w:val="212529"/>
                <w:spacing w:val="2"/>
                <w:position w:val="1"/>
              </w:rPr>
              <w:t>13.32</w:t>
            </w:r>
          </w:p>
        </w:tc>
      </w:tr>
      <w:tr>
        <w:trPr>
          <w:trHeight w:val="404" w:hRule="atLeast"/>
        </w:trPr>
        <w:tc>
          <w:tcPr>
            <w:tcW w:w="906" w:type="dxa"/>
            <w:vAlign w:val="top"/>
          </w:tcPr>
          <w:p>
            <w:pPr>
              <w:pStyle w:val="TableText"/>
              <w:ind w:left="9"/>
              <w:spacing w:before="114" w:line="239" w:lineRule="auto"/>
              <w:rPr/>
            </w:pPr>
            <w:r>
              <w:rPr>
                <w:color w:val="212529"/>
                <w:spacing w:val="-3"/>
              </w:rPr>
              <w:t>201</w:t>
            </w:r>
          </w:p>
        </w:tc>
        <w:tc>
          <w:tcPr>
            <w:tcW w:w="1482" w:type="dxa"/>
            <w:vAlign w:val="top"/>
          </w:tcPr>
          <w:p>
            <w:pPr>
              <w:pStyle w:val="TableText"/>
              <w:ind w:left="9"/>
              <w:spacing w:before="114" w:line="219" w:lineRule="auto"/>
              <w:rPr/>
            </w:pPr>
            <w:r>
              <w:rPr>
                <w:color w:val="212529"/>
                <w:spacing w:val="-2"/>
              </w:rPr>
              <w:t>一般公共服务支出</w:t>
            </w:r>
          </w:p>
        </w:tc>
        <w:tc>
          <w:tcPr>
            <w:tcW w:w="988" w:type="dxa"/>
            <w:vAlign w:val="top"/>
          </w:tcPr>
          <w:p>
            <w:pPr>
              <w:pStyle w:val="TableText"/>
              <w:ind w:right="33"/>
              <w:spacing w:before="115" w:line="238" w:lineRule="auto"/>
              <w:jc w:val="right"/>
              <w:rPr/>
            </w:pPr>
            <w:r>
              <w:rPr>
                <w:color w:val="212529"/>
                <w:spacing w:val="-2"/>
              </w:rPr>
              <w:t>886.41</w:t>
            </w:r>
          </w:p>
        </w:tc>
        <w:tc>
          <w:tcPr>
            <w:tcW w:w="973" w:type="dxa"/>
            <w:vAlign w:val="top"/>
          </w:tcPr>
          <w:p>
            <w:pPr>
              <w:pStyle w:val="TableText"/>
              <w:ind w:right="25"/>
              <w:spacing w:before="115" w:line="238" w:lineRule="auto"/>
              <w:jc w:val="right"/>
              <w:rPr/>
            </w:pPr>
            <w:r>
              <w:rPr>
                <w:color w:val="212529"/>
                <w:spacing w:val="-2"/>
              </w:rPr>
              <w:t>873.09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5" w:line="238" w:lineRule="auto"/>
              <w:jc w:val="right"/>
              <w:rPr/>
            </w:pPr>
            <w:r>
              <w:rPr>
                <w:color w:val="212529"/>
                <w:spacing w:val="-4"/>
              </w:rPr>
              <w:t>13.32</w:t>
            </w:r>
          </w:p>
        </w:tc>
      </w:tr>
      <w:tr>
        <w:trPr>
          <w:trHeight w:val="404" w:hRule="atLeast"/>
        </w:trPr>
        <w:tc>
          <w:tcPr>
            <w:tcW w:w="906" w:type="dxa"/>
            <w:vAlign w:val="top"/>
          </w:tcPr>
          <w:p>
            <w:pPr>
              <w:pStyle w:val="TableText"/>
              <w:ind w:left="9"/>
              <w:spacing w:before="115" w:line="239" w:lineRule="auto"/>
              <w:rPr/>
            </w:pPr>
            <w:r>
              <w:rPr>
                <w:color w:val="212529"/>
                <w:spacing w:val="-2"/>
              </w:rPr>
              <w:t>20132</w:t>
            </w:r>
          </w:p>
        </w:tc>
        <w:tc>
          <w:tcPr>
            <w:tcW w:w="1482" w:type="dxa"/>
            <w:vAlign w:val="top"/>
          </w:tcPr>
          <w:p>
            <w:pPr>
              <w:pStyle w:val="TableText"/>
              <w:ind w:left="9"/>
              <w:spacing w:before="115" w:line="219" w:lineRule="auto"/>
              <w:rPr/>
            </w:pPr>
            <w:r>
              <w:rPr>
                <w:color w:val="212529"/>
                <w:spacing w:val="-2"/>
              </w:rPr>
              <w:t>组织事务</w:t>
            </w:r>
          </w:p>
        </w:tc>
        <w:tc>
          <w:tcPr>
            <w:tcW w:w="988" w:type="dxa"/>
            <w:vAlign w:val="top"/>
          </w:tcPr>
          <w:p>
            <w:pPr>
              <w:pStyle w:val="TableText"/>
              <w:ind w:right="33"/>
              <w:spacing w:before="116" w:line="238" w:lineRule="auto"/>
              <w:jc w:val="right"/>
              <w:rPr/>
            </w:pPr>
            <w:r>
              <w:rPr>
                <w:color w:val="212529"/>
                <w:spacing w:val="-2"/>
              </w:rPr>
              <w:t>886.41</w:t>
            </w:r>
          </w:p>
        </w:tc>
        <w:tc>
          <w:tcPr>
            <w:tcW w:w="973" w:type="dxa"/>
            <w:vAlign w:val="top"/>
          </w:tcPr>
          <w:p>
            <w:pPr>
              <w:pStyle w:val="TableText"/>
              <w:ind w:right="25"/>
              <w:spacing w:before="116" w:line="238" w:lineRule="auto"/>
              <w:jc w:val="right"/>
              <w:rPr/>
            </w:pPr>
            <w:r>
              <w:rPr>
                <w:color w:val="212529"/>
                <w:spacing w:val="-2"/>
              </w:rPr>
              <w:t>873.09</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6" w:line="238" w:lineRule="auto"/>
              <w:jc w:val="right"/>
              <w:rPr/>
            </w:pPr>
            <w:r>
              <w:rPr>
                <w:color w:val="212529"/>
                <w:spacing w:val="-4"/>
              </w:rPr>
              <w:t>13.32</w:t>
            </w:r>
          </w:p>
        </w:tc>
      </w:tr>
      <w:tr>
        <w:trPr>
          <w:trHeight w:val="404" w:hRule="atLeast"/>
        </w:trPr>
        <w:tc>
          <w:tcPr>
            <w:tcW w:w="906" w:type="dxa"/>
            <w:vAlign w:val="top"/>
          </w:tcPr>
          <w:p>
            <w:pPr>
              <w:pStyle w:val="TableText"/>
              <w:ind w:left="9"/>
              <w:spacing w:before="116" w:line="239" w:lineRule="auto"/>
              <w:rPr/>
            </w:pPr>
            <w:r>
              <w:rPr>
                <w:color w:val="212529"/>
                <w:spacing w:val="-2"/>
              </w:rPr>
              <w:t>2013201</w:t>
            </w:r>
          </w:p>
        </w:tc>
        <w:tc>
          <w:tcPr>
            <w:tcW w:w="1482" w:type="dxa"/>
            <w:vAlign w:val="top"/>
          </w:tcPr>
          <w:p>
            <w:pPr>
              <w:pStyle w:val="TableText"/>
              <w:ind w:left="6"/>
              <w:spacing w:before="117" w:line="219" w:lineRule="auto"/>
              <w:rPr/>
            </w:pPr>
            <w:r>
              <w:rPr>
                <w:color w:val="212529"/>
                <w:spacing w:val="-2"/>
              </w:rPr>
              <w:t>行政运行</w:t>
            </w:r>
          </w:p>
        </w:tc>
        <w:tc>
          <w:tcPr>
            <w:tcW w:w="988" w:type="dxa"/>
            <w:vAlign w:val="top"/>
          </w:tcPr>
          <w:p>
            <w:pPr>
              <w:pStyle w:val="TableText"/>
              <w:ind w:right="31"/>
              <w:spacing w:before="117" w:line="238" w:lineRule="auto"/>
              <w:jc w:val="right"/>
              <w:rPr/>
            </w:pPr>
            <w:r>
              <w:rPr>
                <w:color w:val="212529"/>
                <w:spacing w:val="-3"/>
              </w:rPr>
              <w:t>162.73</w:t>
            </w:r>
          </w:p>
        </w:tc>
        <w:tc>
          <w:tcPr>
            <w:tcW w:w="973" w:type="dxa"/>
            <w:vAlign w:val="top"/>
          </w:tcPr>
          <w:p>
            <w:pPr>
              <w:pStyle w:val="TableText"/>
              <w:ind w:right="23"/>
              <w:spacing w:before="117" w:line="238" w:lineRule="auto"/>
              <w:jc w:val="right"/>
              <w:rPr/>
            </w:pPr>
            <w:r>
              <w:rPr>
                <w:color w:val="212529"/>
                <w:spacing w:val="-3"/>
              </w:rPr>
              <w:t>162.73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2013250</w:t>
            </w:r>
          </w:p>
        </w:tc>
        <w:tc>
          <w:tcPr>
            <w:tcW w:w="1482" w:type="dxa"/>
            <w:vAlign w:val="top"/>
          </w:tcPr>
          <w:p>
            <w:pPr>
              <w:pStyle w:val="TableText"/>
              <w:ind w:left="8"/>
              <w:spacing w:before="118" w:line="219" w:lineRule="auto"/>
              <w:rPr/>
            </w:pPr>
            <w:r>
              <w:rPr>
                <w:color w:val="212529"/>
                <w:spacing w:val="-2"/>
              </w:rPr>
              <w:t>事业运行</w:t>
            </w:r>
          </w:p>
        </w:tc>
        <w:tc>
          <w:tcPr>
            <w:tcW w:w="988" w:type="dxa"/>
            <w:vAlign w:val="top"/>
          </w:tcPr>
          <w:p>
            <w:pPr>
              <w:pStyle w:val="TableText"/>
              <w:ind w:right="31"/>
              <w:spacing w:before="118" w:line="238" w:lineRule="auto"/>
              <w:jc w:val="right"/>
              <w:rPr/>
            </w:pPr>
            <w:r>
              <w:rPr>
                <w:color w:val="212529"/>
                <w:spacing w:val="-3"/>
              </w:rPr>
              <w:t>127.24</w:t>
            </w:r>
          </w:p>
        </w:tc>
        <w:tc>
          <w:tcPr>
            <w:tcW w:w="973" w:type="dxa"/>
            <w:vAlign w:val="top"/>
          </w:tcPr>
          <w:p>
            <w:pPr>
              <w:pStyle w:val="TableText"/>
              <w:ind w:right="23"/>
              <w:spacing w:before="118" w:line="238" w:lineRule="auto"/>
              <w:jc w:val="right"/>
              <w:rPr/>
            </w:pPr>
            <w:r>
              <w:rPr>
                <w:color w:val="212529"/>
                <w:spacing w:val="-3"/>
              </w:rPr>
              <w:t>127.24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2013299</w:t>
            </w:r>
          </w:p>
        </w:tc>
        <w:tc>
          <w:tcPr>
            <w:tcW w:w="1482" w:type="dxa"/>
            <w:vAlign w:val="top"/>
          </w:tcPr>
          <w:p>
            <w:pPr>
              <w:pStyle w:val="TableText"/>
              <w:ind w:left="6"/>
              <w:spacing w:before="117" w:line="219" w:lineRule="auto"/>
              <w:rPr/>
            </w:pPr>
            <w:r>
              <w:rPr>
                <w:color w:val="212529"/>
                <w:spacing w:val="-1"/>
              </w:rPr>
              <w:t>其他组织事务支出</w:t>
            </w:r>
          </w:p>
        </w:tc>
        <w:tc>
          <w:tcPr>
            <w:tcW w:w="988" w:type="dxa"/>
            <w:vAlign w:val="top"/>
          </w:tcPr>
          <w:p>
            <w:pPr>
              <w:pStyle w:val="TableText"/>
              <w:ind w:right="32"/>
              <w:spacing w:before="118" w:line="238" w:lineRule="auto"/>
              <w:jc w:val="right"/>
              <w:rPr/>
            </w:pPr>
            <w:r>
              <w:rPr>
                <w:color w:val="212529"/>
                <w:spacing w:val="-2"/>
              </w:rPr>
              <w:t>596.45</w:t>
            </w:r>
          </w:p>
        </w:tc>
        <w:tc>
          <w:tcPr>
            <w:tcW w:w="973" w:type="dxa"/>
            <w:vAlign w:val="top"/>
          </w:tcPr>
          <w:p>
            <w:pPr>
              <w:pStyle w:val="TableText"/>
              <w:ind w:right="25"/>
              <w:spacing w:before="118" w:line="238" w:lineRule="auto"/>
              <w:jc w:val="right"/>
              <w:rPr/>
            </w:pPr>
            <w:r>
              <w:rPr>
                <w:color w:val="212529"/>
                <w:spacing w:val="-2"/>
              </w:rPr>
              <w:t>583.13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pStyle w:val="TableText"/>
              <w:ind w:right="25"/>
              <w:spacing w:before="118" w:line="238" w:lineRule="auto"/>
              <w:jc w:val="right"/>
              <w:rPr/>
            </w:pPr>
            <w:r>
              <w:rPr>
                <w:color w:val="212529"/>
                <w:spacing w:val="-4"/>
              </w:rPr>
              <w:t>13.32</w:t>
            </w:r>
          </w:p>
        </w:tc>
      </w:tr>
      <w:tr>
        <w:trPr>
          <w:trHeight w:val="419" w:hRule="atLeast"/>
        </w:trPr>
        <w:tc>
          <w:tcPr>
            <w:tcW w:w="906" w:type="dxa"/>
            <w:vAlign w:val="top"/>
          </w:tcPr>
          <w:p>
            <w:pPr>
              <w:pStyle w:val="TableText"/>
              <w:ind w:left="9"/>
              <w:spacing w:before="117" w:line="239" w:lineRule="auto"/>
              <w:rPr/>
            </w:pPr>
            <w:r>
              <w:rPr>
                <w:color w:val="212529"/>
                <w:spacing w:val="-3"/>
              </w:rPr>
              <w:t>208</w:t>
            </w:r>
          </w:p>
        </w:tc>
        <w:tc>
          <w:tcPr>
            <w:tcW w:w="1482" w:type="dxa"/>
            <w:vAlign w:val="top"/>
          </w:tcPr>
          <w:p>
            <w:pPr>
              <w:pStyle w:val="TableText"/>
              <w:ind w:left="22" w:right="27" w:hanging="14"/>
              <w:spacing w:before="13" w:line="203"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32"/>
              <w:spacing w:before="118" w:line="238" w:lineRule="auto"/>
              <w:jc w:val="right"/>
              <w:rPr/>
            </w:pPr>
            <w:r>
              <w:rPr>
                <w:color w:val="212529"/>
                <w:spacing w:val="-2"/>
              </w:rPr>
              <w:t>52.43</w:t>
            </w:r>
          </w:p>
        </w:tc>
        <w:tc>
          <w:tcPr>
            <w:tcW w:w="973" w:type="dxa"/>
            <w:vAlign w:val="top"/>
          </w:tcPr>
          <w:p>
            <w:pPr>
              <w:pStyle w:val="TableText"/>
              <w:ind w:right="25"/>
              <w:spacing w:before="118" w:line="238" w:lineRule="auto"/>
              <w:jc w:val="right"/>
              <w:rPr/>
            </w:pPr>
            <w:r>
              <w:rPr>
                <w:color w:val="212529"/>
                <w:spacing w:val="-2"/>
              </w:rPr>
              <w:t>52.43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20805</w:t>
            </w:r>
          </w:p>
        </w:tc>
        <w:tc>
          <w:tcPr>
            <w:tcW w:w="1482" w:type="dxa"/>
            <w:vAlign w:val="top"/>
          </w:tcPr>
          <w:p>
            <w:pPr>
              <w:pStyle w:val="TableText"/>
              <w:ind w:left="6" w:right="27"/>
              <w:spacing w:before="13" w:line="203"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32"/>
              <w:spacing w:before="119" w:line="238" w:lineRule="auto"/>
              <w:jc w:val="right"/>
              <w:rPr/>
            </w:pPr>
            <w:r>
              <w:rPr>
                <w:color w:val="212529"/>
                <w:spacing w:val="-2"/>
              </w:rPr>
              <w:t>52.43</w:t>
            </w:r>
          </w:p>
        </w:tc>
        <w:tc>
          <w:tcPr>
            <w:tcW w:w="973" w:type="dxa"/>
            <w:vAlign w:val="top"/>
          </w:tcPr>
          <w:p>
            <w:pPr>
              <w:pStyle w:val="TableText"/>
              <w:ind w:right="25"/>
              <w:spacing w:before="119" w:line="238" w:lineRule="auto"/>
              <w:jc w:val="right"/>
              <w:rPr/>
            </w:pPr>
            <w:r>
              <w:rPr>
                <w:color w:val="212529"/>
                <w:spacing w:val="-2"/>
              </w:rPr>
              <w:t>52.43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2"/>
              </w:rPr>
              <w:t>2080505</w:t>
            </w:r>
          </w:p>
        </w:tc>
        <w:tc>
          <w:tcPr>
            <w:tcW w:w="1482" w:type="dxa"/>
            <w:vAlign w:val="top"/>
          </w:tcPr>
          <w:p>
            <w:pPr>
              <w:pStyle w:val="TableText"/>
              <w:ind w:left="6" w:right="27"/>
              <w:spacing w:before="15" w:line="202"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32"/>
              <w:spacing w:before="120" w:line="238" w:lineRule="auto"/>
              <w:jc w:val="right"/>
              <w:rPr/>
            </w:pPr>
            <w:r>
              <w:rPr>
                <w:color w:val="212529"/>
                <w:spacing w:val="-2"/>
              </w:rPr>
              <w:t>36.21</w:t>
            </w:r>
          </w:p>
        </w:tc>
        <w:tc>
          <w:tcPr>
            <w:tcW w:w="973" w:type="dxa"/>
            <w:vAlign w:val="top"/>
          </w:tcPr>
          <w:p>
            <w:pPr>
              <w:pStyle w:val="TableText"/>
              <w:ind w:right="25"/>
              <w:spacing w:before="120" w:line="238" w:lineRule="auto"/>
              <w:jc w:val="right"/>
              <w:rPr/>
            </w:pPr>
            <w:r>
              <w:rPr>
                <w:color w:val="212529"/>
                <w:spacing w:val="-2"/>
              </w:rPr>
              <w:t>36.21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2080506</w:t>
            </w:r>
          </w:p>
        </w:tc>
        <w:tc>
          <w:tcPr>
            <w:tcW w:w="1482" w:type="dxa"/>
            <w:vAlign w:val="top"/>
          </w:tcPr>
          <w:p>
            <w:pPr>
              <w:pStyle w:val="TableText"/>
              <w:ind w:left="7" w:right="27" w:hanging="1"/>
              <w:spacing w:before="17" w:line="201" w:lineRule="auto"/>
              <w:rPr/>
            </w:pPr>
            <w:r>
              <w:rPr>
                <w:color w:val="212529"/>
                <w:spacing w:val="-1"/>
              </w:rPr>
              <w:t>机关事业单位职业</w:t>
            </w:r>
            <w:r>
              <w:rPr>
                <w:color w:val="212529"/>
              </w:rPr>
              <w:t xml:space="preserve"> </w:t>
            </w:r>
            <w:r>
              <w:rPr>
                <w:color w:val="212529"/>
                <w:spacing w:val="-2"/>
              </w:rPr>
              <w:t>年金缴费支出</w:t>
            </w:r>
          </w:p>
        </w:tc>
        <w:tc>
          <w:tcPr>
            <w:tcW w:w="988" w:type="dxa"/>
            <w:vAlign w:val="top"/>
          </w:tcPr>
          <w:p>
            <w:pPr>
              <w:pStyle w:val="TableText"/>
              <w:ind w:right="31"/>
              <w:spacing w:before="121" w:line="238" w:lineRule="auto"/>
              <w:jc w:val="right"/>
              <w:rPr/>
            </w:pPr>
            <w:r>
              <w:rPr>
                <w:color w:val="212529"/>
                <w:spacing w:val="-3"/>
              </w:rPr>
              <w:t>7.68</w:t>
            </w:r>
          </w:p>
        </w:tc>
        <w:tc>
          <w:tcPr>
            <w:tcW w:w="973" w:type="dxa"/>
            <w:vAlign w:val="top"/>
          </w:tcPr>
          <w:p>
            <w:pPr>
              <w:pStyle w:val="TableText"/>
              <w:ind w:right="24"/>
              <w:spacing w:before="121" w:line="238" w:lineRule="auto"/>
              <w:jc w:val="right"/>
              <w:rPr/>
            </w:pPr>
            <w:r>
              <w:rPr>
                <w:color w:val="212529"/>
                <w:spacing w:val="-3"/>
              </w:rPr>
              <w:t>7.68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2"/>
              </w:rPr>
              <w:t>2080599</w:t>
            </w:r>
          </w:p>
        </w:tc>
        <w:tc>
          <w:tcPr>
            <w:tcW w:w="1482" w:type="dxa"/>
            <w:vAlign w:val="top"/>
          </w:tcPr>
          <w:p>
            <w:pPr>
              <w:pStyle w:val="TableText"/>
              <w:ind w:left="6"/>
              <w:spacing w:before="17" w:line="215" w:lineRule="auto"/>
              <w:rPr/>
            </w:pPr>
            <w:r>
              <w:rPr>
                <w:color w:val="212529"/>
                <w:spacing w:val="-1"/>
              </w:rPr>
              <w:t>其他行政事业单位</w:t>
            </w:r>
          </w:p>
          <w:p>
            <w:pPr>
              <w:pStyle w:val="TableText"/>
              <w:ind w:left="6"/>
              <w:spacing w:line="186" w:lineRule="auto"/>
              <w:rPr/>
            </w:pPr>
            <w:r>
              <w:rPr>
                <w:color w:val="212529"/>
                <w:spacing w:val="-2"/>
              </w:rPr>
              <w:t>养老支出</w:t>
            </w:r>
          </w:p>
        </w:tc>
        <w:tc>
          <w:tcPr>
            <w:tcW w:w="988" w:type="dxa"/>
            <w:vAlign w:val="top"/>
          </w:tcPr>
          <w:p>
            <w:pPr>
              <w:pStyle w:val="TableText"/>
              <w:ind w:right="32"/>
              <w:spacing w:before="122" w:line="238" w:lineRule="auto"/>
              <w:jc w:val="right"/>
              <w:rPr/>
            </w:pPr>
            <w:r>
              <w:rPr>
                <w:color w:val="212529"/>
                <w:spacing w:val="-2"/>
              </w:rPr>
              <w:t>8.55</w:t>
            </w:r>
          </w:p>
        </w:tc>
        <w:tc>
          <w:tcPr>
            <w:tcW w:w="973" w:type="dxa"/>
            <w:vAlign w:val="top"/>
          </w:tcPr>
          <w:p>
            <w:pPr>
              <w:pStyle w:val="TableText"/>
              <w:ind w:right="25"/>
              <w:spacing w:before="122" w:line="238" w:lineRule="auto"/>
              <w:jc w:val="right"/>
              <w:rPr/>
            </w:pPr>
            <w:r>
              <w:rPr>
                <w:color w:val="212529"/>
                <w:spacing w:val="-2"/>
              </w:rPr>
              <w:t>8.55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3"/>
              </w:rPr>
              <w:t>210</w:t>
            </w:r>
          </w:p>
        </w:tc>
        <w:tc>
          <w:tcPr>
            <w:tcW w:w="1482" w:type="dxa"/>
            <w:vAlign w:val="top"/>
          </w:tcPr>
          <w:p>
            <w:pPr>
              <w:pStyle w:val="TableText"/>
              <w:ind w:left="8"/>
              <w:spacing w:before="122" w:line="219" w:lineRule="auto"/>
              <w:rPr/>
            </w:pPr>
            <w:r>
              <w:rPr>
                <w:color w:val="212529"/>
                <w:spacing w:val="-2"/>
              </w:rPr>
              <w:t>卫生健康支出</w:t>
            </w:r>
          </w:p>
        </w:tc>
        <w:tc>
          <w:tcPr>
            <w:tcW w:w="988" w:type="dxa"/>
            <w:vAlign w:val="top"/>
          </w:tcPr>
          <w:p>
            <w:pPr>
              <w:pStyle w:val="TableText"/>
              <w:ind w:right="30"/>
              <w:spacing w:before="123" w:line="238" w:lineRule="auto"/>
              <w:jc w:val="right"/>
              <w:rPr/>
            </w:pPr>
            <w:r>
              <w:rPr>
                <w:color w:val="212529"/>
                <w:spacing w:val="-4"/>
              </w:rPr>
              <w:t>19.07</w:t>
            </w:r>
          </w:p>
        </w:tc>
        <w:tc>
          <w:tcPr>
            <w:tcW w:w="973" w:type="dxa"/>
            <w:vAlign w:val="top"/>
          </w:tcPr>
          <w:p>
            <w:pPr>
              <w:pStyle w:val="TableText"/>
              <w:ind w:right="23"/>
              <w:spacing w:before="123" w:line="238" w:lineRule="auto"/>
              <w:jc w:val="right"/>
              <w:rPr/>
            </w:pPr>
            <w:r>
              <w:rPr>
                <w:color w:val="212529"/>
                <w:spacing w:val="-4"/>
              </w:rPr>
              <w:t>19.07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w:t>
            </w:r>
          </w:p>
        </w:tc>
        <w:tc>
          <w:tcPr>
            <w:tcW w:w="1482" w:type="dxa"/>
            <w:vAlign w:val="top"/>
          </w:tcPr>
          <w:p>
            <w:pPr>
              <w:pStyle w:val="TableText"/>
              <w:ind w:left="6"/>
              <w:spacing w:before="123" w:line="219" w:lineRule="auto"/>
              <w:rPr/>
            </w:pPr>
            <w:r>
              <w:rPr>
                <w:color w:val="212529"/>
                <w:spacing w:val="-1"/>
              </w:rPr>
              <w:t>行政事业单位医疗</w:t>
            </w:r>
          </w:p>
        </w:tc>
        <w:tc>
          <w:tcPr>
            <w:tcW w:w="988" w:type="dxa"/>
            <w:vAlign w:val="top"/>
          </w:tcPr>
          <w:p>
            <w:pPr>
              <w:pStyle w:val="TableText"/>
              <w:ind w:right="30"/>
              <w:spacing w:before="123" w:line="238" w:lineRule="auto"/>
              <w:jc w:val="right"/>
              <w:rPr/>
            </w:pPr>
            <w:r>
              <w:rPr>
                <w:color w:val="212529"/>
                <w:spacing w:val="-4"/>
              </w:rPr>
              <w:t>19.07</w:t>
            </w:r>
          </w:p>
        </w:tc>
        <w:tc>
          <w:tcPr>
            <w:tcW w:w="973" w:type="dxa"/>
            <w:vAlign w:val="top"/>
          </w:tcPr>
          <w:p>
            <w:pPr>
              <w:pStyle w:val="TableText"/>
              <w:ind w:right="23"/>
              <w:spacing w:before="123" w:line="238" w:lineRule="auto"/>
              <w:jc w:val="right"/>
              <w:rPr/>
            </w:pPr>
            <w:r>
              <w:rPr>
                <w:color w:val="212529"/>
                <w:spacing w:val="-4"/>
              </w:rPr>
              <w:t>19.07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2101101</w:t>
            </w:r>
          </w:p>
        </w:tc>
        <w:tc>
          <w:tcPr>
            <w:tcW w:w="1482" w:type="dxa"/>
            <w:vAlign w:val="top"/>
          </w:tcPr>
          <w:p>
            <w:pPr>
              <w:pStyle w:val="TableText"/>
              <w:ind w:left="6"/>
              <w:spacing w:before="123" w:line="219" w:lineRule="auto"/>
              <w:rPr/>
            </w:pPr>
            <w:r>
              <w:rPr>
                <w:color w:val="212529"/>
                <w:spacing w:val="-1"/>
              </w:rPr>
              <w:t>行政单位医疗</w:t>
            </w:r>
          </w:p>
        </w:tc>
        <w:tc>
          <w:tcPr>
            <w:tcW w:w="988" w:type="dxa"/>
            <w:vAlign w:val="top"/>
          </w:tcPr>
          <w:p>
            <w:pPr>
              <w:pStyle w:val="TableText"/>
              <w:ind w:right="32"/>
              <w:spacing w:before="123" w:line="238" w:lineRule="auto"/>
              <w:jc w:val="right"/>
              <w:rPr/>
            </w:pPr>
            <w:r>
              <w:rPr>
                <w:color w:val="212529"/>
                <w:spacing w:val="-2"/>
              </w:rPr>
              <w:t>8.01</w:t>
            </w:r>
          </w:p>
        </w:tc>
        <w:tc>
          <w:tcPr>
            <w:tcW w:w="973" w:type="dxa"/>
            <w:vAlign w:val="top"/>
          </w:tcPr>
          <w:p>
            <w:pPr>
              <w:pStyle w:val="TableText"/>
              <w:ind w:right="25"/>
              <w:spacing w:before="123" w:line="238" w:lineRule="auto"/>
              <w:jc w:val="right"/>
              <w:rPr/>
            </w:pPr>
            <w:r>
              <w:rPr>
                <w:color w:val="212529"/>
                <w:spacing w:val="-2"/>
              </w:rPr>
              <w:t>8.01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2101102</w:t>
            </w:r>
          </w:p>
        </w:tc>
        <w:tc>
          <w:tcPr>
            <w:tcW w:w="1482" w:type="dxa"/>
            <w:vAlign w:val="top"/>
          </w:tcPr>
          <w:p>
            <w:pPr>
              <w:pStyle w:val="TableText"/>
              <w:ind w:left="8"/>
              <w:spacing w:before="123" w:line="219" w:lineRule="auto"/>
              <w:rPr/>
            </w:pPr>
            <w:r>
              <w:rPr>
                <w:color w:val="212529"/>
                <w:spacing w:val="-2"/>
              </w:rPr>
              <w:t>事业单位医疗</w:t>
            </w:r>
          </w:p>
        </w:tc>
        <w:tc>
          <w:tcPr>
            <w:tcW w:w="988" w:type="dxa"/>
            <w:vAlign w:val="top"/>
          </w:tcPr>
          <w:p>
            <w:pPr>
              <w:pStyle w:val="TableText"/>
              <w:ind w:right="31"/>
              <w:spacing w:before="123" w:line="238" w:lineRule="auto"/>
              <w:jc w:val="right"/>
              <w:rPr/>
            </w:pPr>
            <w:r>
              <w:rPr>
                <w:color w:val="212529"/>
                <w:spacing w:val="-3"/>
              </w:rPr>
              <w:t>7.68</w:t>
            </w:r>
          </w:p>
        </w:tc>
        <w:tc>
          <w:tcPr>
            <w:tcW w:w="973" w:type="dxa"/>
            <w:vAlign w:val="top"/>
          </w:tcPr>
          <w:p>
            <w:pPr>
              <w:pStyle w:val="TableText"/>
              <w:ind w:right="24"/>
              <w:spacing w:before="123" w:line="238" w:lineRule="auto"/>
              <w:jc w:val="right"/>
              <w:rPr/>
            </w:pPr>
            <w:r>
              <w:rPr>
                <w:color w:val="212529"/>
                <w:spacing w:val="-3"/>
              </w:rPr>
              <w:t>7.68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2" w:line="239" w:lineRule="auto"/>
              <w:rPr/>
            </w:pPr>
            <w:r>
              <w:rPr>
                <w:color w:val="212529"/>
                <w:spacing w:val="-2"/>
              </w:rPr>
              <w:t>2101103</w:t>
            </w:r>
          </w:p>
        </w:tc>
        <w:tc>
          <w:tcPr>
            <w:tcW w:w="1482" w:type="dxa"/>
            <w:vAlign w:val="top"/>
          </w:tcPr>
          <w:p>
            <w:pPr>
              <w:pStyle w:val="TableText"/>
              <w:ind w:left="12"/>
              <w:spacing w:before="122" w:line="219" w:lineRule="auto"/>
              <w:rPr/>
            </w:pPr>
            <w:r>
              <w:rPr>
                <w:color w:val="212529"/>
                <w:spacing w:val="-2"/>
              </w:rPr>
              <w:t>公务员医疗补助</w:t>
            </w:r>
          </w:p>
        </w:tc>
        <w:tc>
          <w:tcPr>
            <w:tcW w:w="988" w:type="dxa"/>
            <w:vAlign w:val="top"/>
          </w:tcPr>
          <w:p>
            <w:pPr>
              <w:pStyle w:val="TableText"/>
              <w:ind w:right="31"/>
              <w:spacing w:before="123" w:line="238" w:lineRule="auto"/>
              <w:jc w:val="right"/>
              <w:rPr/>
            </w:pPr>
            <w:r>
              <w:rPr>
                <w:color w:val="212529"/>
                <w:spacing w:val="-2"/>
              </w:rPr>
              <w:t>3.10</w:t>
            </w:r>
          </w:p>
        </w:tc>
        <w:tc>
          <w:tcPr>
            <w:tcW w:w="973" w:type="dxa"/>
            <w:vAlign w:val="top"/>
          </w:tcPr>
          <w:p>
            <w:pPr>
              <w:pStyle w:val="TableText"/>
              <w:ind w:right="24"/>
              <w:spacing w:before="123" w:line="238" w:lineRule="auto"/>
              <w:jc w:val="right"/>
              <w:rPr/>
            </w:pPr>
            <w:r>
              <w:rPr>
                <w:color w:val="212529"/>
                <w:spacing w:val="-2"/>
              </w:rPr>
              <w:t>3.10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2101199</w:t>
            </w:r>
          </w:p>
        </w:tc>
        <w:tc>
          <w:tcPr>
            <w:tcW w:w="1482" w:type="dxa"/>
            <w:vAlign w:val="top"/>
          </w:tcPr>
          <w:p>
            <w:pPr>
              <w:pStyle w:val="TableText"/>
              <w:ind w:left="15" w:right="27" w:hanging="9"/>
              <w:spacing w:before="19" w:line="200" w:lineRule="auto"/>
              <w:rPr/>
            </w:pPr>
            <w:r>
              <w:rPr>
                <w:color w:val="212529"/>
                <w:spacing w:val="-1"/>
              </w:rPr>
              <w:t>其他行政事业单位</w:t>
            </w:r>
            <w:r>
              <w:rPr>
                <w:color w:val="212529"/>
              </w:rPr>
              <w:t xml:space="preserve"> </w:t>
            </w:r>
            <w:r>
              <w:rPr>
                <w:color w:val="212529"/>
                <w:spacing w:val="-3"/>
              </w:rPr>
              <w:t>医疗支出</w:t>
            </w:r>
          </w:p>
        </w:tc>
        <w:tc>
          <w:tcPr>
            <w:tcW w:w="988" w:type="dxa"/>
            <w:vAlign w:val="top"/>
          </w:tcPr>
          <w:p>
            <w:pPr>
              <w:pStyle w:val="TableText"/>
              <w:ind w:right="32"/>
              <w:spacing w:before="123" w:line="238" w:lineRule="auto"/>
              <w:jc w:val="right"/>
              <w:rPr/>
            </w:pPr>
            <w:r>
              <w:rPr>
                <w:color w:val="212529"/>
                <w:spacing w:val="-2"/>
              </w:rPr>
              <w:t>0.28</w:t>
            </w:r>
          </w:p>
        </w:tc>
        <w:tc>
          <w:tcPr>
            <w:tcW w:w="973" w:type="dxa"/>
            <w:vAlign w:val="top"/>
          </w:tcPr>
          <w:p>
            <w:pPr>
              <w:pStyle w:val="TableText"/>
              <w:ind w:right="25"/>
              <w:spacing w:before="123" w:line="238" w:lineRule="auto"/>
              <w:jc w:val="right"/>
              <w:rPr/>
            </w:pPr>
            <w:r>
              <w:rPr>
                <w:color w:val="212529"/>
                <w:spacing w:val="-2"/>
              </w:rPr>
              <w:t>0.28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4"/>
              <w:rPr/>
            </w:pPr>
            <w:r>
              <w:rPr>
                <w:color w:val="212529"/>
                <w:spacing w:val="-3"/>
              </w:rPr>
              <w:t>221</w:t>
            </w:r>
          </w:p>
        </w:tc>
        <w:tc>
          <w:tcPr>
            <w:tcW w:w="1482" w:type="dxa"/>
            <w:vAlign w:val="top"/>
          </w:tcPr>
          <w:p>
            <w:pPr>
              <w:pStyle w:val="TableText"/>
              <w:ind w:left="7"/>
              <w:spacing w:before="123" w:line="219" w:lineRule="auto"/>
              <w:rPr/>
            </w:pPr>
            <w:r>
              <w:rPr>
                <w:color w:val="212529"/>
                <w:spacing w:val="-2"/>
              </w:rPr>
              <w:t>住房保障支出</w:t>
            </w:r>
          </w:p>
        </w:tc>
        <w:tc>
          <w:tcPr>
            <w:tcW w:w="988" w:type="dxa"/>
            <w:vAlign w:val="top"/>
          </w:tcPr>
          <w:p>
            <w:pPr>
              <w:pStyle w:val="TableText"/>
              <w:ind w:right="32"/>
              <w:spacing w:before="124" w:line="238" w:lineRule="auto"/>
              <w:jc w:val="right"/>
              <w:rPr/>
            </w:pPr>
            <w:r>
              <w:rPr>
                <w:color w:val="212529"/>
                <w:spacing w:val="-2"/>
              </w:rPr>
              <w:t>34.55</w:t>
            </w:r>
          </w:p>
        </w:tc>
        <w:tc>
          <w:tcPr>
            <w:tcW w:w="973" w:type="dxa"/>
            <w:vAlign w:val="top"/>
          </w:tcPr>
          <w:p>
            <w:pPr>
              <w:pStyle w:val="TableText"/>
              <w:ind w:right="25"/>
              <w:spacing w:before="124" w:line="238" w:lineRule="auto"/>
              <w:jc w:val="right"/>
              <w:rPr/>
            </w:pPr>
            <w:r>
              <w:rPr>
                <w:color w:val="212529"/>
                <w:spacing w:val="-2"/>
              </w:rPr>
              <w:t>34.55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w:t>
            </w:r>
          </w:p>
        </w:tc>
        <w:tc>
          <w:tcPr>
            <w:tcW w:w="1482" w:type="dxa"/>
            <w:vAlign w:val="top"/>
          </w:tcPr>
          <w:p>
            <w:pPr>
              <w:pStyle w:val="TableText"/>
              <w:ind w:left="7"/>
              <w:spacing w:before="123" w:line="219" w:lineRule="auto"/>
              <w:rPr/>
            </w:pPr>
            <w:r>
              <w:rPr>
                <w:color w:val="212529"/>
                <w:spacing w:val="-2"/>
              </w:rPr>
              <w:t>住房改革支出</w:t>
            </w:r>
          </w:p>
        </w:tc>
        <w:tc>
          <w:tcPr>
            <w:tcW w:w="988" w:type="dxa"/>
            <w:vAlign w:val="top"/>
          </w:tcPr>
          <w:p>
            <w:pPr>
              <w:pStyle w:val="TableText"/>
              <w:ind w:right="32"/>
              <w:spacing w:before="124" w:line="238" w:lineRule="auto"/>
              <w:jc w:val="right"/>
              <w:rPr/>
            </w:pPr>
            <w:r>
              <w:rPr>
                <w:color w:val="212529"/>
                <w:spacing w:val="-2"/>
              </w:rPr>
              <w:t>34.55</w:t>
            </w:r>
          </w:p>
        </w:tc>
        <w:tc>
          <w:tcPr>
            <w:tcW w:w="973" w:type="dxa"/>
            <w:vAlign w:val="top"/>
          </w:tcPr>
          <w:p>
            <w:pPr>
              <w:pStyle w:val="TableText"/>
              <w:ind w:right="25"/>
              <w:spacing w:before="124" w:line="238" w:lineRule="auto"/>
              <w:jc w:val="right"/>
              <w:rPr/>
            </w:pPr>
            <w:r>
              <w:rPr>
                <w:color w:val="212529"/>
                <w:spacing w:val="-2"/>
              </w:rPr>
              <w:t>34.55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2210201</w:t>
            </w:r>
          </w:p>
        </w:tc>
        <w:tc>
          <w:tcPr>
            <w:tcW w:w="1482" w:type="dxa"/>
            <w:vAlign w:val="top"/>
          </w:tcPr>
          <w:p>
            <w:pPr>
              <w:pStyle w:val="TableText"/>
              <w:ind w:left="7"/>
              <w:spacing w:before="124" w:line="219" w:lineRule="auto"/>
              <w:rPr/>
            </w:pPr>
            <w:r>
              <w:rPr>
                <w:color w:val="212529"/>
                <w:spacing w:val="-2"/>
              </w:rPr>
              <w:t>住房公积金</w:t>
            </w:r>
          </w:p>
        </w:tc>
        <w:tc>
          <w:tcPr>
            <w:tcW w:w="988" w:type="dxa"/>
            <w:vAlign w:val="top"/>
          </w:tcPr>
          <w:p>
            <w:pPr>
              <w:pStyle w:val="TableText"/>
              <w:ind w:right="32"/>
              <w:spacing w:before="124" w:line="238" w:lineRule="auto"/>
              <w:jc w:val="right"/>
              <w:rPr/>
            </w:pPr>
            <w:r>
              <w:rPr>
                <w:color w:val="212529"/>
                <w:spacing w:val="-2"/>
              </w:rPr>
              <w:t>34.55</w:t>
            </w:r>
          </w:p>
        </w:tc>
        <w:tc>
          <w:tcPr>
            <w:tcW w:w="973" w:type="dxa"/>
            <w:vAlign w:val="top"/>
          </w:tcPr>
          <w:p>
            <w:pPr>
              <w:pStyle w:val="TableText"/>
              <w:ind w:right="25"/>
              <w:spacing w:before="124" w:line="238" w:lineRule="auto"/>
              <w:jc w:val="right"/>
              <w:rPr/>
            </w:pPr>
            <w:r>
              <w:rPr>
                <w:color w:val="212529"/>
                <w:spacing w:val="-2"/>
              </w:rPr>
              <w:t>34.55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86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10"/>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2"/>
            <w:bookmarkEnd w:id="12"/>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部门名称：中国共产党山西省兴县委员会组织部</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8"/>
              <w:spacing w:before="135" w:line="183" w:lineRule="auto"/>
              <w:rPr>
                <w:rFonts w:ascii="Arial" w:hAnsi="Arial" w:eastAsia="Arial" w:cs="Arial"/>
                <w:sz w:val="15"/>
                <w:szCs w:val="15"/>
              </w:rPr>
            </w:pPr>
            <w:r>
              <w:rPr>
                <w:rFonts w:ascii="Arial" w:hAnsi="Arial" w:eastAsia="Arial" w:cs="Arial"/>
                <w:sz w:val="15"/>
                <w:szCs w:val="15"/>
                <w:color w:val="212529"/>
                <w:spacing w:val="3"/>
              </w:rPr>
              <w:t>992.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47</w:t>
            </w:r>
          </w:p>
        </w:tc>
        <w:tc>
          <w:tcPr>
            <w:tcW w:w="1108" w:type="dxa"/>
            <w:vAlign w:val="top"/>
          </w:tcPr>
          <w:p>
            <w:pPr>
              <w:ind w:left="537"/>
              <w:spacing w:before="136" w:line="161" w:lineRule="auto"/>
              <w:rPr>
                <w:rFonts w:ascii="Arial" w:hAnsi="Arial" w:eastAsia="Arial" w:cs="Arial"/>
                <w:sz w:val="17"/>
                <w:szCs w:val="17"/>
              </w:rPr>
            </w:pPr>
            <w:r>
              <w:rPr>
                <w:rFonts w:ascii="Arial" w:hAnsi="Arial" w:eastAsia="Arial" w:cs="Arial"/>
                <w:sz w:val="17"/>
                <w:szCs w:val="17"/>
                <w:color w:val="212529"/>
                <w:spacing w:val="1"/>
              </w:rPr>
              <w:t>396.02</w:t>
            </w:r>
          </w:p>
        </w:tc>
        <w:tc>
          <w:tcPr>
            <w:tcW w:w="1123" w:type="dxa"/>
            <w:vAlign w:val="top"/>
          </w:tcPr>
          <w:p>
            <w:pPr>
              <w:ind w:left="544"/>
              <w:spacing w:before="136" w:line="161" w:lineRule="auto"/>
              <w:rPr>
                <w:rFonts w:ascii="Arial" w:hAnsi="Arial" w:eastAsia="Arial" w:cs="Arial"/>
                <w:sz w:val="17"/>
                <w:szCs w:val="17"/>
              </w:rPr>
            </w:pPr>
            <w:r>
              <w:rPr>
                <w:rFonts w:ascii="Arial" w:hAnsi="Arial" w:eastAsia="Arial" w:cs="Arial"/>
                <w:sz w:val="17"/>
                <w:szCs w:val="17"/>
                <w:color w:val="212529"/>
              </w:rPr>
              <w:t>596.45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52" w:type="dxa"/>
            <w:vAlign w:val="top"/>
          </w:tcPr>
          <w:p>
            <w:pPr>
              <w:pStyle w:val="TableText"/>
              <w:ind w:left="8"/>
              <w:spacing w:before="114" w:line="219" w:lineRule="auto"/>
              <w:rPr/>
            </w:pPr>
            <w:r>
              <w:rPr>
                <w:color w:val="212529"/>
                <w:spacing w:val="-2"/>
              </w:rPr>
              <w:t>一般公共服务支出</w:t>
            </w:r>
          </w:p>
        </w:tc>
        <w:tc>
          <w:tcPr>
            <w:tcW w:w="1108" w:type="dxa"/>
            <w:vAlign w:val="top"/>
          </w:tcPr>
          <w:p>
            <w:pPr>
              <w:pStyle w:val="TableText"/>
              <w:ind w:right="31"/>
              <w:spacing w:before="115" w:line="238" w:lineRule="auto"/>
              <w:jc w:val="right"/>
              <w:rPr/>
            </w:pPr>
            <w:r>
              <w:rPr>
                <w:color w:val="212529"/>
                <w:spacing w:val="-2"/>
              </w:rPr>
              <w:t>886.41</w:t>
            </w:r>
          </w:p>
        </w:tc>
        <w:tc>
          <w:tcPr>
            <w:tcW w:w="1108" w:type="dxa"/>
            <w:vAlign w:val="top"/>
          </w:tcPr>
          <w:p>
            <w:pPr>
              <w:pStyle w:val="TableText"/>
              <w:ind w:right="24"/>
              <w:spacing w:before="115" w:line="238" w:lineRule="auto"/>
              <w:jc w:val="right"/>
              <w:rPr/>
            </w:pPr>
            <w:r>
              <w:rPr>
                <w:color w:val="212529"/>
                <w:spacing w:val="-2"/>
              </w:rPr>
              <w:t>289.96</w:t>
            </w:r>
          </w:p>
        </w:tc>
        <w:tc>
          <w:tcPr>
            <w:tcW w:w="1123" w:type="dxa"/>
            <w:vAlign w:val="top"/>
          </w:tcPr>
          <w:p>
            <w:pPr>
              <w:pStyle w:val="TableText"/>
              <w:ind w:right="32"/>
              <w:spacing w:before="115" w:line="238" w:lineRule="auto"/>
              <w:jc w:val="right"/>
              <w:rPr/>
            </w:pPr>
            <w:r>
              <w:rPr>
                <w:color w:val="212529"/>
                <w:spacing w:val="-2"/>
              </w:rPr>
              <w:t>596.45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20132</w:t>
            </w:r>
          </w:p>
        </w:tc>
        <w:tc>
          <w:tcPr>
            <w:tcW w:w="1752" w:type="dxa"/>
            <w:vAlign w:val="top"/>
          </w:tcPr>
          <w:p>
            <w:pPr>
              <w:pStyle w:val="TableText"/>
              <w:ind w:left="9"/>
              <w:spacing w:before="115" w:line="219" w:lineRule="auto"/>
              <w:rPr/>
            </w:pPr>
            <w:r>
              <w:rPr>
                <w:color w:val="212529"/>
                <w:spacing w:val="-2"/>
              </w:rPr>
              <w:t>组织事务</w:t>
            </w:r>
          </w:p>
        </w:tc>
        <w:tc>
          <w:tcPr>
            <w:tcW w:w="1108" w:type="dxa"/>
            <w:vAlign w:val="top"/>
          </w:tcPr>
          <w:p>
            <w:pPr>
              <w:pStyle w:val="TableText"/>
              <w:ind w:right="31"/>
              <w:spacing w:before="116" w:line="238" w:lineRule="auto"/>
              <w:jc w:val="right"/>
              <w:rPr/>
            </w:pPr>
            <w:r>
              <w:rPr>
                <w:color w:val="212529"/>
                <w:spacing w:val="-2"/>
              </w:rPr>
              <w:t>886.41</w:t>
            </w:r>
          </w:p>
        </w:tc>
        <w:tc>
          <w:tcPr>
            <w:tcW w:w="1108" w:type="dxa"/>
            <w:vAlign w:val="top"/>
          </w:tcPr>
          <w:p>
            <w:pPr>
              <w:pStyle w:val="TableText"/>
              <w:ind w:right="24"/>
              <w:spacing w:before="116" w:line="238" w:lineRule="auto"/>
              <w:jc w:val="right"/>
              <w:rPr/>
            </w:pPr>
            <w:r>
              <w:rPr>
                <w:color w:val="212529"/>
                <w:spacing w:val="-2"/>
              </w:rPr>
              <w:t>289.96</w:t>
            </w:r>
          </w:p>
        </w:tc>
        <w:tc>
          <w:tcPr>
            <w:tcW w:w="1123" w:type="dxa"/>
            <w:vAlign w:val="top"/>
          </w:tcPr>
          <w:p>
            <w:pPr>
              <w:pStyle w:val="TableText"/>
              <w:ind w:right="32"/>
              <w:spacing w:before="116" w:line="238" w:lineRule="auto"/>
              <w:jc w:val="right"/>
              <w:rPr/>
            </w:pPr>
            <w:r>
              <w:rPr>
                <w:color w:val="212529"/>
                <w:spacing w:val="-2"/>
              </w:rPr>
              <w:t>596.45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2013201</w:t>
            </w:r>
          </w:p>
        </w:tc>
        <w:tc>
          <w:tcPr>
            <w:tcW w:w="1752" w:type="dxa"/>
            <w:vAlign w:val="top"/>
          </w:tcPr>
          <w:p>
            <w:pPr>
              <w:pStyle w:val="TableText"/>
              <w:ind w:left="6"/>
              <w:spacing w:before="117" w:line="219" w:lineRule="auto"/>
              <w:rPr/>
            </w:pPr>
            <w:r>
              <w:rPr>
                <w:color w:val="212529"/>
                <w:spacing w:val="-2"/>
              </w:rPr>
              <w:t>行政运行</w:t>
            </w:r>
          </w:p>
        </w:tc>
        <w:tc>
          <w:tcPr>
            <w:tcW w:w="1108" w:type="dxa"/>
            <w:vAlign w:val="top"/>
          </w:tcPr>
          <w:p>
            <w:pPr>
              <w:pStyle w:val="TableText"/>
              <w:ind w:right="29"/>
              <w:spacing w:before="117" w:line="238" w:lineRule="auto"/>
              <w:jc w:val="right"/>
              <w:rPr/>
            </w:pPr>
            <w:r>
              <w:rPr>
                <w:color w:val="212529"/>
                <w:spacing w:val="-3"/>
              </w:rPr>
              <w:t>162.73</w:t>
            </w:r>
          </w:p>
        </w:tc>
        <w:tc>
          <w:tcPr>
            <w:tcW w:w="1108" w:type="dxa"/>
            <w:vAlign w:val="top"/>
          </w:tcPr>
          <w:p>
            <w:pPr>
              <w:pStyle w:val="TableText"/>
              <w:ind w:right="22"/>
              <w:spacing w:before="117" w:line="238" w:lineRule="auto"/>
              <w:jc w:val="right"/>
              <w:rPr/>
            </w:pPr>
            <w:r>
              <w:rPr>
                <w:color w:val="212529"/>
                <w:spacing w:val="-3"/>
              </w:rPr>
              <w:t>162.73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2"/>
              </w:rPr>
              <w:t>2013250</w:t>
            </w:r>
          </w:p>
        </w:tc>
        <w:tc>
          <w:tcPr>
            <w:tcW w:w="1752" w:type="dxa"/>
            <w:vAlign w:val="top"/>
          </w:tcPr>
          <w:p>
            <w:pPr>
              <w:pStyle w:val="TableText"/>
              <w:ind w:left="7"/>
              <w:spacing w:before="118" w:line="219" w:lineRule="auto"/>
              <w:rPr/>
            </w:pPr>
            <w:r>
              <w:rPr>
                <w:color w:val="212529"/>
                <w:spacing w:val="-2"/>
              </w:rPr>
              <w:t>事业运行</w:t>
            </w:r>
          </w:p>
        </w:tc>
        <w:tc>
          <w:tcPr>
            <w:tcW w:w="1108" w:type="dxa"/>
            <w:vAlign w:val="top"/>
          </w:tcPr>
          <w:p>
            <w:pPr>
              <w:pStyle w:val="TableText"/>
              <w:ind w:right="29"/>
              <w:spacing w:before="118" w:line="238" w:lineRule="auto"/>
              <w:jc w:val="right"/>
              <w:rPr/>
            </w:pPr>
            <w:r>
              <w:rPr>
                <w:color w:val="212529"/>
                <w:spacing w:val="-3"/>
              </w:rPr>
              <w:t>127.24</w:t>
            </w:r>
          </w:p>
        </w:tc>
        <w:tc>
          <w:tcPr>
            <w:tcW w:w="1108" w:type="dxa"/>
            <w:vAlign w:val="top"/>
          </w:tcPr>
          <w:p>
            <w:pPr>
              <w:pStyle w:val="TableText"/>
              <w:ind w:right="22"/>
              <w:spacing w:before="118" w:line="238" w:lineRule="auto"/>
              <w:jc w:val="right"/>
              <w:rPr/>
            </w:pPr>
            <w:r>
              <w:rPr>
                <w:color w:val="212529"/>
                <w:spacing w:val="-3"/>
              </w:rPr>
              <w:t>127.24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2013299</w:t>
            </w:r>
          </w:p>
        </w:tc>
        <w:tc>
          <w:tcPr>
            <w:tcW w:w="1752" w:type="dxa"/>
            <w:vAlign w:val="top"/>
          </w:tcPr>
          <w:p>
            <w:pPr>
              <w:pStyle w:val="TableText"/>
              <w:ind w:left="5"/>
              <w:spacing w:before="118" w:line="219" w:lineRule="auto"/>
              <w:rPr/>
            </w:pPr>
            <w:r>
              <w:rPr>
                <w:color w:val="212529"/>
                <w:spacing w:val="-1"/>
              </w:rPr>
              <w:t>其他组织事务支出</w:t>
            </w:r>
          </w:p>
        </w:tc>
        <w:tc>
          <w:tcPr>
            <w:tcW w:w="1108" w:type="dxa"/>
            <w:vAlign w:val="top"/>
          </w:tcPr>
          <w:p>
            <w:pPr>
              <w:pStyle w:val="TableText"/>
              <w:ind w:right="30"/>
              <w:spacing w:before="119" w:line="238" w:lineRule="auto"/>
              <w:jc w:val="right"/>
              <w:rPr/>
            </w:pPr>
            <w:r>
              <w:rPr>
                <w:color w:val="212529"/>
                <w:spacing w:val="-2"/>
              </w:rPr>
              <w:t>596.45</w:t>
            </w:r>
          </w:p>
        </w:tc>
        <w:tc>
          <w:tcPr>
            <w:tcW w:w="1108" w:type="dxa"/>
            <w:vAlign w:val="top"/>
          </w:tcPr>
          <w:p>
            <w:pPr>
              <w:rPr>
                <w:rFonts w:ascii="Arial"/>
                <w:sz w:val="21"/>
              </w:rPr>
            </w:pPr>
            <w:r/>
          </w:p>
        </w:tc>
        <w:tc>
          <w:tcPr>
            <w:tcW w:w="1123" w:type="dxa"/>
            <w:vAlign w:val="top"/>
          </w:tcPr>
          <w:p>
            <w:pPr>
              <w:pStyle w:val="TableText"/>
              <w:ind w:right="32"/>
              <w:spacing w:before="119" w:line="238" w:lineRule="auto"/>
              <w:jc w:val="right"/>
              <w:rPr/>
            </w:pPr>
            <w:r>
              <w:rPr>
                <w:color w:val="212529"/>
                <w:spacing w:val="-2"/>
              </w:rPr>
              <w:t>596.45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3"/>
              </w:rPr>
              <w:t>208</w:t>
            </w:r>
          </w:p>
        </w:tc>
        <w:tc>
          <w:tcPr>
            <w:tcW w:w="1752" w:type="dxa"/>
            <w:vAlign w:val="top"/>
          </w:tcPr>
          <w:p>
            <w:pPr>
              <w:pStyle w:val="TableText"/>
              <w:ind w:left="7"/>
              <w:spacing w:before="118" w:line="218" w:lineRule="auto"/>
              <w:rPr/>
            </w:pPr>
            <w:r>
              <w:rPr>
                <w:color w:val="212529"/>
                <w:spacing w:val="-1"/>
              </w:rPr>
              <w:t>社会保障和就业支出</w:t>
            </w:r>
          </w:p>
        </w:tc>
        <w:tc>
          <w:tcPr>
            <w:tcW w:w="1108" w:type="dxa"/>
            <w:vAlign w:val="top"/>
          </w:tcPr>
          <w:p>
            <w:pPr>
              <w:pStyle w:val="TableText"/>
              <w:ind w:right="30"/>
              <w:spacing w:before="119" w:line="238" w:lineRule="auto"/>
              <w:jc w:val="right"/>
              <w:rPr/>
            </w:pPr>
            <w:r>
              <w:rPr>
                <w:color w:val="212529"/>
                <w:spacing w:val="-2"/>
              </w:rPr>
              <w:t>52.43</w:t>
            </w:r>
          </w:p>
        </w:tc>
        <w:tc>
          <w:tcPr>
            <w:tcW w:w="1108" w:type="dxa"/>
            <w:vAlign w:val="top"/>
          </w:tcPr>
          <w:p>
            <w:pPr>
              <w:pStyle w:val="TableText"/>
              <w:ind w:right="23"/>
              <w:spacing w:before="119" w:line="238" w:lineRule="auto"/>
              <w:jc w:val="right"/>
              <w:rPr/>
            </w:pPr>
            <w:r>
              <w:rPr>
                <w:color w:val="212529"/>
                <w:spacing w:val="-2"/>
              </w:rPr>
              <w:t>52.43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w:t>
            </w:r>
          </w:p>
        </w:tc>
        <w:tc>
          <w:tcPr>
            <w:tcW w:w="1752" w:type="dxa"/>
            <w:vAlign w:val="top"/>
          </w:tcPr>
          <w:p>
            <w:pPr>
              <w:pStyle w:val="TableText"/>
              <w:ind w:left="21" w:right="117" w:hanging="15"/>
              <w:spacing w:before="13" w:line="203"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9" w:line="238" w:lineRule="auto"/>
              <w:jc w:val="right"/>
              <w:rPr/>
            </w:pPr>
            <w:r>
              <w:rPr>
                <w:color w:val="212529"/>
                <w:spacing w:val="-2"/>
              </w:rPr>
              <w:t>52.43</w:t>
            </w:r>
          </w:p>
        </w:tc>
        <w:tc>
          <w:tcPr>
            <w:tcW w:w="1108" w:type="dxa"/>
            <w:vAlign w:val="top"/>
          </w:tcPr>
          <w:p>
            <w:pPr>
              <w:pStyle w:val="TableText"/>
              <w:ind w:right="23"/>
              <w:spacing w:before="119" w:line="238" w:lineRule="auto"/>
              <w:jc w:val="right"/>
              <w:rPr/>
            </w:pPr>
            <w:r>
              <w:rPr>
                <w:color w:val="212529"/>
                <w:spacing w:val="-2"/>
              </w:rPr>
              <w:t>52.43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2080505</w:t>
            </w:r>
          </w:p>
        </w:tc>
        <w:tc>
          <w:tcPr>
            <w:tcW w:w="1752" w:type="dxa"/>
            <w:vAlign w:val="top"/>
          </w:tcPr>
          <w:p>
            <w:pPr>
              <w:pStyle w:val="TableText"/>
              <w:ind w:left="6" w:right="117" w:hanging="1"/>
              <w:spacing w:before="15" w:line="202"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20" w:line="238" w:lineRule="auto"/>
              <w:jc w:val="right"/>
              <w:rPr/>
            </w:pPr>
            <w:r>
              <w:rPr>
                <w:color w:val="212529"/>
                <w:spacing w:val="-2"/>
              </w:rPr>
              <w:t>36.21</w:t>
            </w:r>
          </w:p>
        </w:tc>
        <w:tc>
          <w:tcPr>
            <w:tcW w:w="1108" w:type="dxa"/>
            <w:vAlign w:val="top"/>
          </w:tcPr>
          <w:p>
            <w:pPr>
              <w:pStyle w:val="TableText"/>
              <w:ind w:right="23"/>
              <w:spacing w:before="120" w:line="238" w:lineRule="auto"/>
              <w:jc w:val="right"/>
              <w:rPr/>
            </w:pPr>
            <w:r>
              <w:rPr>
                <w:color w:val="212529"/>
                <w:spacing w:val="-2"/>
              </w:rPr>
              <w:t>36.21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2080506</w:t>
            </w:r>
          </w:p>
        </w:tc>
        <w:tc>
          <w:tcPr>
            <w:tcW w:w="1752" w:type="dxa"/>
            <w:vAlign w:val="top"/>
          </w:tcPr>
          <w:p>
            <w:pPr>
              <w:pStyle w:val="TableText"/>
              <w:ind w:left="7" w:right="117" w:hanging="2"/>
              <w:spacing w:before="17" w:line="201"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29"/>
              <w:spacing w:before="121" w:line="238" w:lineRule="auto"/>
              <w:jc w:val="right"/>
              <w:rPr/>
            </w:pPr>
            <w:r>
              <w:rPr>
                <w:color w:val="212529"/>
                <w:spacing w:val="-3"/>
              </w:rPr>
              <w:t>7.68</w:t>
            </w:r>
          </w:p>
        </w:tc>
        <w:tc>
          <w:tcPr>
            <w:tcW w:w="1108" w:type="dxa"/>
            <w:vAlign w:val="top"/>
          </w:tcPr>
          <w:p>
            <w:pPr>
              <w:pStyle w:val="TableText"/>
              <w:ind w:right="22"/>
              <w:spacing w:before="121" w:line="238" w:lineRule="auto"/>
              <w:jc w:val="right"/>
              <w:rPr/>
            </w:pPr>
            <w:r>
              <w:rPr>
                <w:color w:val="212529"/>
                <w:spacing w:val="-3"/>
              </w:rPr>
              <w:t>7.68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2080599</w:t>
            </w:r>
          </w:p>
        </w:tc>
        <w:tc>
          <w:tcPr>
            <w:tcW w:w="1752" w:type="dxa"/>
            <w:vAlign w:val="top"/>
          </w:tcPr>
          <w:p>
            <w:pPr>
              <w:pStyle w:val="TableText"/>
              <w:ind w:left="6" w:right="117" w:hanging="1"/>
              <w:spacing w:before="17" w:line="201" w:lineRule="auto"/>
              <w:rPr/>
            </w:pPr>
            <w:r>
              <w:rPr>
                <w:color w:val="212529"/>
                <w:spacing w:val="-1"/>
              </w:rPr>
              <w:t>其他行政事业单位养</w:t>
            </w:r>
            <w:r>
              <w:rPr>
                <w:color w:val="212529"/>
                <w:spacing w:val="1"/>
              </w:rPr>
              <w:t xml:space="preserve"> </w:t>
            </w:r>
            <w:r>
              <w:rPr>
                <w:color w:val="212529"/>
                <w:spacing w:val="-2"/>
              </w:rPr>
              <w:t>老支出</w:t>
            </w:r>
          </w:p>
        </w:tc>
        <w:tc>
          <w:tcPr>
            <w:tcW w:w="1108" w:type="dxa"/>
            <w:vAlign w:val="top"/>
          </w:tcPr>
          <w:p>
            <w:pPr>
              <w:pStyle w:val="TableText"/>
              <w:ind w:right="30"/>
              <w:spacing w:before="122" w:line="238" w:lineRule="auto"/>
              <w:jc w:val="right"/>
              <w:rPr/>
            </w:pPr>
            <w:r>
              <w:rPr>
                <w:color w:val="212529"/>
                <w:spacing w:val="-2"/>
              </w:rPr>
              <w:t>8.55</w:t>
            </w:r>
          </w:p>
        </w:tc>
        <w:tc>
          <w:tcPr>
            <w:tcW w:w="1108" w:type="dxa"/>
            <w:vAlign w:val="top"/>
          </w:tcPr>
          <w:p>
            <w:pPr>
              <w:pStyle w:val="TableText"/>
              <w:ind w:right="23"/>
              <w:spacing w:before="122" w:line="238" w:lineRule="auto"/>
              <w:jc w:val="right"/>
              <w:rPr/>
            </w:pPr>
            <w:r>
              <w:rPr>
                <w:color w:val="212529"/>
                <w:spacing w:val="-2"/>
              </w:rPr>
              <w:t>8.55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3"/>
              </w:rPr>
              <w:t>210</w:t>
            </w:r>
          </w:p>
        </w:tc>
        <w:tc>
          <w:tcPr>
            <w:tcW w:w="1752" w:type="dxa"/>
            <w:vAlign w:val="top"/>
          </w:tcPr>
          <w:p>
            <w:pPr>
              <w:pStyle w:val="TableText"/>
              <w:ind w:left="7"/>
              <w:spacing w:before="122" w:line="219" w:lineRule="auto"/>
              <w:rPr/>
            </w:pPr>
            <w:r>
              <w:rPr>
                <w:color w:val="212529"/>
                <w:spacing w:val="-2"/>
              </w:rPr>
              <w:t>卫生健康支出</w:t>
            </w:r>
          </w:p>
        </w:tc>
        <w:tc>
          <w:tcPr>
            <w:tcW w:w="1108" w:type="dxa"/>
            <w:vAlign w:val="top"/>
          </w:tcPr>
          <w:p>
            <w:pPr>
              <w:pStyle w:val="TableText"/>
              <w:ind w:right="28"/>
              <w:spacing w:before="123" w:line="238" w:lineRule="auto"/>
              <w:jc w:val="right"/>
              <w:rPr/>
            </w:pPr>
            <w:r>
              <w:rPr>
                <w:color w:val="212529"/>
                <w:spacing w:val="-4"/>
              </w:rPr>
              <w:t>19.07</w:t>
            </w:r>
          </w:p>
        </w:tc>
        <w:tc>
          <w:tcPr>
            <w:tcW w:w="1108" w:type="dxa"/>
            <w:vAlign w:val="top"/>
          </w:tcPr>
          <w:p>
            <w:pPr>
              <w:pStyle w:val="TableText"/>
              <w:ind w:right="21"/>
              <w:spacing w:before="123" w:line="238" w:lineRule="auto"/>
              <w:jc w:val="right"/>
              <w:rPr/>
            </w:pPr>
            <w:r>
              <w:rPr>
                <w:color w:val="212529"/>
                <w:spacing w:val="-4"/>
              </w:rPr>
              <w:t>19.07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w:t>
            </w:r>
          </w:p>
        </w:tc>
        <w:tc>
          <w:tcPr>
            <w:tcW w:w="1752" w:type="dxa"/>
            <w:vAlign w:val="top"/>
          </w:tcPr>
          <w:p>
            <w:pPr>
              <w:pStyle w:val="TableText"/>
              <w:ind w:left="6"/>
              <w:spacing w:before="123" w:line="219" w:lineRule="auto"/>
              <w:rPr/>
            </w:pPr>
            <w:r>
              <w:rPr>
                <w:color w:val="212529"/>
                <w:spacing w:val="-1"/>
              </w:rPr>
              <w:t>行政事业单位医疗</w:t>
            </w:r>
          </w:p>
        </w:tc>
        <w:tc>
          <w:tcPr>
            <w:tcW w:w="1108" w:type="dxa"/>
            <w:vAlign w:val="top"/>
          </w:tcPr>
          <w:p>
            <w:pPr>
              <w:pStyle w:val="TableText"/>
              <w:ind w:right="28"/>
              <w:spacing w:before="123" w:line="238" w:lineRule="auto"/>
              <w:jc w:val="right"/>
              <w:rPr/>
            </w:pPr>
            <w:r>
              <w:rPr>
                <w:color w:val="212529"/>
                <w:spacing w:val="-4"/>
              </w:rPr>
              <w:t>19.07</w:t>
            </w:r>
          </w:p>
        </w:tc>
        <w:tc>
          <w:tcPr>
            <w:tcW w:w="1108" w:type="dxa"/>
            <w:vAlign w:val="top"/>
          </w:tcPr>
          <w:p>
            <w:pPr>
              <w:pStyle w:val="TableText"/>
              <w:ind w:right="21"/>
              <w:spacing w:before="123" w:line="238" w:lineRule="auto"/>
              <w:jc w:val="right"/>
              <w:rPr/>
            </w:pPr>
            <w:r>
              <w:rPr>
                <w:color w:val="212529"/>
                <w:spacing w:val="-4"/>
              </w:rPr>
              <w:t>19.07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2101101</w:t>
            </w:r>
          </w:p>
        </w:tc>
        <w:tc>
          <w:tcPr>
            <w:tcW w:w="1752" w:type="dxa"/>
            <w:vAlign w:val="top"/>
          </w:tcPr>
          <w:p>
            <w:pPr>
              <w:pStyle w:val="TableText"/>
              <w:ind w:left="6"/>
              <w:spacing w:before="123" w:line="219" w:lineRule="auto"/>
              <w:rPr/>
            </w:pPr>
            <w:r>
              <w:rPr>
                <w:color w:val="212529"/>
                <w:spacing w:val="-1"/>
              </w:rPr>
              <w:t>行政单位医疗</w:t>
            </w:r>
          </w:p>
        </w:tc>
        <w:tc>
          <w:tcPr>
            <w:tcW w:w="1108" w:type="dxa"/>
            <w:vAlign w:val="top"/>
          </w:tcPr>
          <w:p>
            <w:pPr>
              <w:pStyle w:val="TableText"/>
              <w:ind w:right="30"/>
              <w:spacing w:before="123" w:line="238" w:lineRule="auto"/>
              <w:jc w:val="right"/>
              <w:rPr/>
            </w:pPr>
            <w:r>
              <w:rPr>
                <w:color w:val="212529"/>
                <w:spacing w:val="-2"/>
              </w:rPr>
              <w:t>8.01</w:t>
            </w:r>
          </w:p>
        </w:tc>
        <w:tc>
          <w:tcPr>
            <w:tcW w:w="1108" w:type="dxa"/>
            <w:vAlign w:val="top"/>
          </w:tcPr>
          <w:p>
            <w:pPr>
              <w:pStyle w:val="TableText"/>
              <w:ind w:right="23"/>
              <w:spacing w:before="123" w:line="238" w:lineRule="auto"/>
              <w:jc w:val="right"/>
              <w:rPr/>
            </w:pPr>
            <w:r>
              <w:rPr>
                <w:color w:val="212529"/>
                <w:spacing w:val="-2"/>
              </w:rPr>
              <w:t>8.01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2101102</w:t>
            </w:r>
          </w:p>
        </w:tc>
        <w:tc>
          <w:tcPr>
            <w:tcW w:w="1752" w:type="dxa"/>
            <w:vAlign w:val="top"/>
          </w:tcPr>
          <w:p>
            <w:pPr>
              <w:pStyle w:val="TableText"/>
              <w:ind w:left="7"/>
              <w:spacing w:before="123" w:line="219" w:lineRule="auto"/>
              <w:rPr/>
            </w:pPr>
            <w:r>
              <w:rPr>
                <w:color w:val="212529"/>
                <w:spacing w:val="-2"/>
              </w:rPr>
              <w:t>事业单位医疗</w:t>
            </w:r>
          </w:p>
        </w:tc>
        <w:tc>
          <w:tcPr>
            <w:tcW w:w="1108" w:type="dxa"/>
            <w:vAlign w:val="top"/>
          </w:tcPr>
          <w:p>
            <w:pPr>
              <w:pStyle w:val="TableText"/>
              <w:ind w:right="29"/>
              <w:spacing w:before="123" w:line="238" w:lineRule="auto"/>
              <w:jc w:val="right"/>
              <w:rPr/>
            </w:pPr>
            <w:r>
              <w:rPr>
                <w:color w:val="212529"/>
                <w:spacing w:val="-3"/>
              </w:rPr>
              <w:t>7.68</w:t>
            </w:r>
          </w:p>
        </w:tc>
        <w:tc>
          <w:tcPr>
            <w:tcW w:w="1108" w:type="dxa"/>
            <w:vAlign w:val="top"/>
          </w:tcPr>
          <w:p>
            <w:pPr>
              <w:pStyle w:val="TableText"/>
              <w:ind w:right="22"/>
              <w:spacing w:before="123" w:line="238" w:lineRule="auto"/>
              <w:jc w:val="right"/>
              <w:rPr/>
            </w:pPr>
            <w:r>
              <w:rPr>
                <w:color w:val="212529"/>
                <w:spacing w:val="-3"/>
              </w:rPr>
              <w:t>7.68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2101103</w:t>
            </w:r>
          </w:p>
        </w:tc>
        <w:tc>
          <w:tcPr>
            <w:tcW w:w="1752" w:type="dxa"/>
            <w:vAlign w:val="top"/>
          </w:tcPr>
          <w:p>
            <w:pPr>
              <w:pStyle w:val="TableText"/>
              <w:ind w:left="11"/>
              <w:spacing w:before="122" w:line="219" w:lineRule="auto"/>
              <w:rPr/>
            </w:pPr>
            <w:r>
              <w:rPr>
                <w:color w:val="212529"/>
                <w:spacing w:val="-2"/>
              </w:rPr>
              <w:t>公务员医疗补助</w:t>
            </w:r>
          </w:p>
        </w:tc>
        <w:tc>
          <w:tcPr>
            <w:tcW w:w="1108" w:type="dxa"/>
            <w:vAlign w:val="top"/>
          </w:tcPr>
          <w:p>
            <w:pPr>
              <w:pStyle w:val="TableText"/>
              <w:ind w:right="29"/>
              <w:spacing w:before="123" w:line="238" w:lineRule="auto"/>
              <w:jc w:val="right"/>
              <w:rPr/>
            </w:pPr>
            <w:r>
              <w:rPr>
                <w:color w:val="212529"/>
                <w:spacing w:val="-2"/>
              </w:rPr>
              <w:t>3.10</w:t>
            </w:r>
          </w:p>
        </w:tc>
        <w:tc>
          <w:tcPr>
            <w:tcW w:w="1108" w:type="dxa"/>
            <w:vAlign w:val="top"/>
          </w:tcPr>
          <w:p>
            <w:pPr>
              <w:pStyle w:val="TableText"/>
              <w:ind w:right="23"/>
              <w:spacing w:before="123" w:line="238" w:lineRule="auto"/>
              <w:jc w:val="right"/>
              <w:rPr/>
            </w:pPr>
            <w:r>
              <w:rPr>
                <w:color w:val="212529"/>
                <w:spacing w:val="-2"/>
              </w:rPr>
              <w:t>3.10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2101199</w:t>
            </w:r>
          </w:p>
        </w:tc>
        <w:tc>
          <w:tcPr>
            <w:tcW w:w="1752" w:type="dxa"/>
            <w:vAlign w:val="top"/>
          </w:tcPr>
          <w:p>
            <w:pPr>
              <w:pStyle w:val="TableText"/>
              <w:ind w:left="5" w:right="117"/>
              <w:spacing w:before="19" w:line="200" w:lineRule="auto"/>
              <w:rPr/>
            </w:pPr>
            <w:r>
              <w:rPr>
                <w:color w:val="212529"/>
                <w:spacing w:val="-1"/>
              </w:rPr>
              <w:t>其他行政事业单位医</w:t>
            </w:r>
            <w:r>
              <w:rPr>
                <w:color w:val="212529"/>
                <w:spacing w:val="1"/>
              </w:rPr>
              <w:t xml:space="preserve"> </w:t>
            </w:r>
            <w:r>
              <w:rPr>
                <w:color w:val="212529"/>
                <w:spacing w:val="-2"/>
              </w:rPr>
              <w:t>疗支出</w:t>
            </w:r>
          </w:p>
        </w:tc>
        <w:tc>
          <w:tcPr>
            <w:tcW w:w="1108" w:type="dxa"/>
            <w:vAlign w:val="top"/>
          </w:tcPr>
          <w:p>
            <w:pPr>
              <w:pStyle w:val="TableText"/>
              <w:ind w:right="30"/>
              <w:spacing w:before="123" w:line="238" w:lineRule="auto"/>
              <w:jc w:val="right"/>
              <w:rPr/>
            </w:pPr>
            <w:r>
              <w:rPr>
                <w:color w:val="212529"/>
                <w:spacing w:val="-2"/>
              </w:rPr>
              <w:t>0.28</w:t>
            </w:r>
          </w:p>
        </w:tc>
        <w:tc>
          <w:tcPr>
            <w:tcW w:w="1108" w:type="dxa"/>
            <w:vAlign w:val="top"/>
          </w:tcPr>
          <w:p>
            <w:pPr>
              <w:pStyle w:val="TableText"/>
              <w:ind w:right="23"/>
              <w:spacing w:before="123" w:line="238" w:lineRule="auto"/>
              <w:jc w:val="right"/>
              <w:rPr/>
            </w:pPr>
            <w:r>
              <w:rPr>
                <w:color w:val="212529"/>
                <w:spacing w:val="-2"/>
              </w:rPr>
              <w:t>0.28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34.55</w:t>
            </w:r>
          </w:p>
        </w:tc>
        <w:tc>
          <w:tcPr>
            <w:tcW w:w="1108" w:type="dxa"/>
            <w:vAlign w:val="top"/>
          </w:tcPr>
          <w:p>
            <w:pPr>
              <w:pStyle w:val="TableText"/>
              <w:ind w:right="23"/>
              <w:spacing w:before="124" w:line="238" w:lineRule="auto"/>
              <w:jc w:val="right"/>
              <w:rPr/>
            </w:pPr>
            <w:r>
              <w:rPr>
                <w:color w:val="212529"/>
                <w:spacing w:val="-2"/>
              </w:rPr>
              <w:t>34.55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34.55</w:t>
            </w:r>
          </w:p>
        </w:tc>
        <w:tc>
          <w:tcPr>
            <w:tcW w:w="1108" w:type="dxa"/>
            <w:vAlign w:val="top"/>
          </w:tcPr>
          <w:p>
            <w:pPr>
              <w:pStyle w:val="TableText"/>
              <w:ind w:right="23"/>
              <w:spacing w:before="124" w:line="238" w:lineRule="auto"/>
              <w:jc w:val="right"/>
              <w:rPr/>
            </w:pPr>
            <w:r>
              <w:rPr>
                <w:color w:val="212529"/>
                <w:spacing w:val="-2"/>
              </w:rPr>
              <w:t>34.55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34.55</w:t>
            </w:r>
          </w:p>
        </w:tc>
        <w:tc>
          <w:tcPr>
            <w:tcW w:w="1108" w:type="dxa"/>
            <w:vAlign w:val="top"/>
          </w:tcPr>
          <w:p>
            <w:pPr>
              <w:pStyle w:val="TableText"/>
              <w:ind w:right="23"/>
              <w:spacing w:before="124" w:line="238" w:lineRule="auto"/>
              <w:jc w:val="right"/>
              <w:rPr/>
            </w:pPr>
            <w:r>
              <w:rPr>
                <w:color w:val="212529"/>
                <w:spacing w:val="-2"/>
              </w:rPr>
              <w:t>34.55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8" w:right="66" w:hanging="4"/>
              <w:spacing w:before="64" w:line="217" w:lineRule="auto"/>
              <w:rPr/>
            </w:pPr>
            <w:r>
              <w:rPr>
                <w:color w:val="212529"/>
                <w:spacing w:val="-1"/>
              </w:rPr>
              <w:t>部门名称：中国共产党山西省兴县委</w:t>
            </w:r>
            <w:r>
              <w:rPr>
                <w:color w:val="212529"/>
                <w:spacing w:val="5"/>
              </w:rPr>
              <w:t xml:space="preserve"> </w:t>
            </w:r>
            <w:r>
              <w:rPr>
                <w:color w:val="212529"/>
                <w:spacing w:val="-3"/>
              </w:rPr>
              <w:t>员会组织部</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979.15</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pStyle w:val="TableText"/>
              <w:ind w:right="20"/>
              <w:spacing w:before="174" w:line="238" w:lineRule="auto"/>
              <w:jc w:val="right"/>
              <w:rPr/>
            </w:pPr>
            <w:r>
              <w:rPr>
                <w:color w:val="212529"/>
                <w:spacing w:val="-2"/>
              </w:rPr>
              <w:t>873.09</w:t>
            </w:r>
          </w:p>
        </w:tc>
        <w:tc>
          <w:tcPr>
            <w:tcW w:w="1003" w:type="dxa"/>
            <w:vAlign w:val="top"/>
          </w:tcPr>
          <w:p>
            <w:pPr>
              <w:pStyle w:val="TableText"/>
              <w:ind w:right="21"/>
              <w:spacing w:before="174" w:line="238" w:lineRule="auto"/>
              <w:jc w:val="right"/>
              <w:rPr/>
            </w:pPr>
            <w:r>
              <w:rPr>
                <w:color w:val="212529"/>
                <w:spacing w:val="-2"/>
              </w:rPr>
              <w:t>873.09</w:t>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52.43</w:t>
            </w:r>
          </w:p>
        </w:tc>
        <w:tc>
          <w:tcPr>
            <w:tcW w:w="1003" w:type="dxa"/>
            <w:vAlign w:val="top"/>
          </w:tcPr>
          <w:p>
            <w:pPr>
              <w:pStyle w:val="TableText"/>
              <w:ind w:right="20"/>
              <w:spacing w:before="181" w:line="238" w:lineRule="auto"/>
              <w:jc w:val="right"/>
              <w:rPr/>
            </w:pPr>
            <w:r>
              <w:rPr>
                <w:color w:val="212529"/>
                <w:spacing w:val="-2"/>
              </w:rPr>
              <w:t>52.43</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7"/>
              <w:spacing w:before="182" w:line="238" w:lineRule="auto"/>
              <w:jc w:val="right"/>
              <w:rPr/>
            </w:pPr>
            <w:r>
              <w:rPr>
                <w:color w:val="212529"/>
                <w:spacing w:val="-4"/>
              </w:rPr>
              <w:t>19.07</w:t>
            </w:r>
          </w:p>
        </w:tc>
        <w:tc>
          <w:tcPr>
            <w:tcW w:w="1003" w:type="dxa"/>
            <w:vAlign w:val="top"/>
          </w:tcPr>
          <w:p>
            <w:pPr>
              <w:pStyle w:val="TableText"/>
              <w:ind w:right="18"/>
              <w:spacing w:before="182" w:line="238" w:lineRule="auto"/>
              <w:jc w:val="right"/>
              <w:rPr/>
            </w:pPr>
            <w:r>
              <w:rPr>
                <w:color w:val="212529"/>
                <w:spacing w:val="-4"/>
              </w:rPr>
              <w:t>19.07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34.55</w:t>
            </w:r>
          </w:p>
        </w:tc>
        <w:tc>
          <w:tcPr>
            <w:tcW w:w="1003" w:type="dxa"/>
            <w:vAlign w:val="top"/>
          </w:tcPr>
          <w:p>
            <w:pPr>
              <w:pStyle w:val="TableText"/>
              <w:ind w:right="20"/>
              <w:spacing w:before="184" w:line="238" w:lineRule="auto"/>
              <w:jc w:val="right"/>
              <w:rPr/>
            </w:pPr>
            <w:r>
              <w:rPr>
                <w:color w:val="212529"/>
                <w:spacing w:val="-2"/>
              </w:rPr>
              <w:t>34.55</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4" w:id="15"/>
            <w:bookmarkEnd w:id="15"/>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8"/>
              <w:spacing w:before="181" w:line="184" w:lineRule="auto"/>
              <w:rPr>
                <w:rFonts w:ascii="Arial" w:hAnsi="Arial" w:eastAsia="Arial" w:cs="Arial"/>
                <w:sz w:val="15"/>
                <w:szCs w:val="15"/>
              </w:rPr>
            </w:pPr>
            <w:r>
              <w:rPr>
                <w:rFonts w:ascii="Arial" w:hAnsi="Arial" w:eastAsia="Arial" w:cs="Arial"/>
                <w:sz w:val="15"/>
                <w:szCs w:val="15"/>
                <w:color w:val="212529"/>
                <w:spacing w:val="2"/>
              </w:rPr>
              <w:t>979.</w:t>
            </w:r>
            <w:r>
              <w:rPr>
                <w:rFonts w:ascii="Arial" w:hAnsi="Arial" w:eastAsia="Arial" w:cs="Arial"/>
                <w:sz w:val="15"/>
                <w:szCs w:val="15"/>
                <w:color w:val="212529"/>
                <w:spacing w:val="15"/>
                <w:w w:val="101"/>
              </w:rPr>
              <w:t xml:space="preserve"> </w:t>
            </w:r>
            <w:r>
              <w:rPr>
                <w:rFonts w:ascii="Arial" w:hAnsi="Arial" w:eastAsia="Arial" w:cs="Arial"/>
                <w:sz w:val="15"/>
                <w:szCs w:val="15"/>
                <w:color w:val="212529"/>
                <w:spacing w:val="2"/>
              </w:rPr>
              <w:t>15</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0"/>
              <w:spacing w:before="181" w:line="184" w:lineRule="auto"/>
              <w:rPr>
                <w:rFonts w:ascii="Arial" w:hAnsi="Arial" w:eastAsia="Arial" w:cs="Arial"/>
                <w:sz w:val="15"/>
                <w:szCs w:val="15"/>
              </w:rPr>
            </w:pPr>
            <w:r>
              <w:rPr>
                <w:rFonts w:ascii="Arial" w:hAnsi="Arial" w:eastAsia="Arial" w:cs="Arial"/>
                <w:sz w:val="15"/>
                <w:szCs w:val="15"/>
                <w:color w:val="212529"/>
                <w:spacing w:val="3"/>
              </w:rPr>
              <w:t>979.</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15</w:t>
            </w:r>
          </w:p>
        </w:tc>
        <w:tc>
          <w:tcPr>
            <w:tcW w:w="1003" w:type="dxa"/>
            <w:vAlign w:val="top"/>
          </w:tcPr>
          <w:p>
            <w:pPr>
              <w:ind w:left="433"/>
              <w:spacing w:before="181" w:line="184" w:lineRule="auto"/>
              <w:rPr>
                <w:rFonts w:ascii="Arial" w:hAnsi="Arial" w:eastAsia="Arial" w:cs="Arial"/>
                <w:sz w:val="15"/>
                <w:szCs w:val="15"/>
              </w:rPr>
            </w:pPr>
            <w:r>
              <w:rPr>
                <w:rFonts w:ascii="Arial" w:hAnsi="Arial" w:eastAsia="Arial" w:cs="Arial"/>
                <w:sz w:val="15"/>
                <w:szCs w:val="15"/>
                <w:color w:val="212529"/>
                <w:spacing w:val="2"/>
              </w:rPr>
              <w:t>979.</w:t>
            </w:r>
            <w:r>
              <w:rPr>
                <w:rFonts w:ascii="Arial" w:hAnsi="Arial" w:eastAsia="Arial" w:cs="Arial"/>
                <w:sz w:val="15"/>
                <w:szCs w:val="15"/>
                <w:color w:val="212529"/>
                <w:spacing w:val="15"/>
                <w:w w:val="101"/>
              </w:rPr>
              <w:t xml:space="preserve"> </w:t>
            </w:r>
            <w:r>
              <w:rPr>
                <w:rFonts w:ascii="Arial" w:hAnsi="Arial" w:eastAsia="Arial" w:cs="Arial"/>
                <w:sz w:val="15"/>
                <w:szCs w:val="15"/>
                <w:color w:val="212529"/>
                <w:spacing w:val="2"/>
              </w:rPr>
              <w:t>15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8"/>
              <w:spacing w:before="186" w:line="184" w:lineRule="auto"/>
              <w:rPr>
                <w:rFonts w:ascii="Arial" w:hAnsi="Arial" w:eastAsia="Arial" w:cs="Arial"/>
                <w:sz w:val="15"/>
                <w:szCs w:val="15"/>
              </w:rPr>
            </w:pPr>
            <w:r>
              <w:rPr>
                <w:rFonts w:ascii="Arial" w:hAnsi="Arial" w:eastAsia="Arial" w:cs="Arial"/>
                <w:sz w:val="15"/>
                <w:szCs w:val="15"/>
                <w:color w:val="212529"/>
                <w:spacing w:val="2"/>
              </w:rPr>
              <w:t>979.</w:t>
            </w:r>
            <w:r>
              <w:rPr>
                <w:rFonts w:ascii="Arial" w:hAnsi="Arial" w:eastAsia="Arial" w:cs="Arial"/>
                <w:sz w:val="15"/>
                <w:szCs w:val="15"/>
                <w:color w:val="212529"/>
                <w:spacing w:val="15"/>
                <w:w w:val="101"/>
              </w:rPr>
              <w:t xml:space="preserve"> </w:t>
            </w:r>
            <w:r>
              <w:rPr>
                <w:rFonts w:ascii="Arial" w:hAnsi="Arial" w:eastAsia="Arial" w:cs="Arial"/>
                <w:sz w:val="15"/>
                <w:szCs w:val="15"/>
                <w:color w:val="212529"/>
                <w:spacing w:val="2"/>
              </w:rPr>
              <w:t>15</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979.15</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979.15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5"/>
          <w:footerReference w:type="default" r:id="rId16"/>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部门名称：中国共产党山西省兴县委员会组织部</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right="36"/>
              <w:spacing w:before="79" w:line="281" w:lineRule="exact"/>
              <w:jc w:val="right"/>
              <w:rPr>
                <w:sz w:val="21"/>
                <w:szCs w:val="21"/>
              </w:rPr>
            </w:pPr>
            <w:r>
              <w:rPr>
                <w:sz w:val="21"/>
                <w:szCs w:val="21"/>
                <w:color w:val="212529"/>
                <w:spacing w:val="5"/>
                <w:position w:val="1"/>
              </w:rPr>
              <w:t>979.15</w:t>
            </w:r>
          </w:p>
        </w:tc>
        <w:tc>
          <w:tcPr>
            <w:tcW w:w="1423" w:type="dxa"/>
            <w:vAlign w:val="top"/>
          </w:tcPr>
          <w:p>
            <w:pPr>
              <w:pStyle w:val="TableText"/>
              <w:ind w:right="21"/>
              <w:spacing w:before="79" w:line="281" w:lineRule="exact"/>
              <w:jc w:val="right"/>
              <w:rPr>
                <w:sz w:val="21"/>
                <w:szCs w:val="21"/>
              </w:rPr>
            </w:pPr>
            <w:r>
              <w:rPr>
                <w:sz w:val="21"/>
                <w:szCs w:val="21"/>
                <w:color w:val="212529"/>
                <w:spacing w:val="4"/>
                <w:position w:val="1"/>
              </w:rPr>
              <w:t>396.02</w:t>
            </w:r>
          </w:p>
        </w:tc>
        <w:tc>
          <w:tcPr>
            <w:tcW w:w="1505" w:type="dxa"/>
            <w:vAlign w:val="top"/>
          </w:tcPr>
          <w:p>
            <w:pPr>
              <w:pStyle w:val="TableText"/>
              <w:ind w:right="32"/>
              <w:spacing w:before="79" w:line="281" w:lineRule="exact"/>
              <w:jc w:val="right"/>
              <w:rPr>
                <w:sz w:val="21"/>
                <w:szCs w:val="21"/>
              </w:rPr>
            </w:pPr>
            <w:r>
              <w:rPr>
                <w:sz w:val="21"/>
                <w:szCs w:val="21"/>
                <w:color w:val="212529"/>
                <w:spacing w:val="4"/>
                <w:position w:val="1"/>
              </w:rPr>
              <w:t>583.13</w:t>
            </w:r>
          </w:p>
        </w:tc>
      </w:tr>
      <w:tr>
        <w:trPr>
          <w:trHeight w:val="374" w:hRule="atLeast"/>
        </w:trPr>
        <w:tc>
          <w:tcPr>
            <w:tcW w:w="177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291" w:type="dxa"/>
            <w:vAlign w:val="top"/>
          </w:tcPr>
          <w:p>
            <w:pPr>
              <w:pStyle w:val="TableText"/>
              <w:ind w:left="6"/>
              <w:spacing w:before="81" w:line="227" w:lineRule="auto"/>
              <w:rPr>
                <w:sz w:val="21"/>
                <w:szCs w:val="21"/>
              </w:rPr>
            </w:pPr>
            <w:r>
              <w:rPr>
                <w:sz w:val="21"/>
                <w:szCs w:val="21"/>
                <w:color w:val="212529"/>
                <w:spacing w:val="12"/>
              </w:rPr>
              <w:t>一般公共服务支出</w:t>
            </w:r>
          </w:p>
        </w:tc>
        <w:tc>
          <w:tcPr>
            <w:tcW w:w="1557" w:type="dxa"/>
            <w:vAlign w:val="top"/>
          </w:tcPr>
          <w:p>
            <w:pPr>
              <w:pStyle w:val="TableText"/>
              <w:ind w:right="36"/>
              <w:spacing w:before="80" w:line="281" w:lineRule="exact"/>
              <w:jc w:val="right"/>
              <w:rPr>
                <w:sz w:val="21"/>
                <w:szCs w:val="21"/>
              </w:rPr>
            </w:pPr>
            <w:r>
              <w:rPr>
                <w:sz w:val="21"/>
                <w:szCs w:val="21"/>
                <w:color w:val="212529"/>
                <w:spacing w:val="5"/>
                <w:position w:val="1"/>
              </w:rPr>
              <w:t>873.09</w:t>
            </w:r>
          </w:p>
        </w:tc>
        <w:tc>
          <w:tcPr>
            <w:tcW w:w="1423" w:type="dxa"/>
            <w:vAlign w:val="top"/>
          </w:tcPr>
          <w:p>
            <w:pPr>
              <w:pStyle w:val="TableText"/>
              <w:ind w:right="21"/>
              <w:spacing w:before="80" w:line="281" w:lineRule="exact"/>
              <w:jc w:val="right"/>
              <w:rPr>
                <w:sz w:val="21"/>
                <w:szCs w:val="21"/>
              </w:rPr>
            </w:pPr>
            <w:r>
              <w:rPr>
                <w:sz w:val="21"/>
                <w:szCs w:val="21"/>
                <w:color w:val="212529"/>
                <w:spacing w:val="5"/>
                <w:position w:val="1"/>
              </w:rPr>
              <w:t>289.96</w:t>
            </w:r>
          </w:p>
        </w:tc>
        <w:tc>
          <w:tcPr>
            <w:tcW w:w="1505" w:type="dxa"/>
            <w:vAlign w:val="top"/>
          </w:tcPr>
          <w:p>
            <w:pPr>
              <w:pStyle w:val="TableText"/>
              <w:ind w:right="32"/>
              <w:spacing w:before="80" w:line="281" w:lineRule="exact"/>
              <w:jc w:val="right"/>
              <w:rPr>
                <w:sz w:val="21"/>
                <w:szCs w:val="21"/>
              </w:rPr>
            </w:pPr>
            <w:r>
              <w:rPr>
                <w:sz w:val="21"/>
                <w:szCs w:val="21"/>
                <w:color w:val="212529"/>
                <w:spacing w:val="4"/>
                <w:position w:val="1"/>
              </w:rPr>
              <w:t>583.13</w:t>
            </w:r>
          </w:p>
        </w:tc>
      </w:tr>
      <w:tr>
        <w:trPr>
          <w:trHeight w:val="374" w:hRule="atLeast"/>
        </w:trPr>
        <w:tc>
          <w:tcPr>
            <w:tcW w:w="1774"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291" w:type="dxa"/>
            <w:vAlign w:val="top"/>
          </w:tcPr>
          <w:p>
            <w:pPr>
              <w:pStyle w:val="TableText"/>
              <w:ind w:left="7"/>
              <w:spacing w:before="82" w:line="227" w:lineRule="auto"/>
              <w:rPr>
                <w:sz w:val="21"/>
                <w:szCs w:val="21"/>
              </w:rPr>
            </w:pPr>
            <w:r>
              <w:rPr>
                <w:sz w:val="21"/>
                <w:szCs w:val="21"/>
                <w:color w:val="212529"/>
                <w:spacing w:val="10"/>
              </w:rPr>
              <w:t>组织事务</w:t>
            </w:r>
          </w:p>
        </w:tc>
        <w:tc>
          <w:tcPr>
            <w:tcW w:w="1557" w:type="dxa"/>
            <w:vAlign w:val="top"/>
          </w:tcPr>
          <w:p>
            <w:pPr>
              <w:pStyle w:val="TableText"/>
              <w:ind w:right="36"/>
              <w:spacing w:before="81" w:line="281" w:lineRule="exact"/>
              <w:jc w:val="right"/>
              <w:rPr>
                <w:sz w:val="21"/>
                <w:szCs w:val="21"/>
              </w:rPr>
            </w:pPr>
            <w:r>
              <w:rPr>
                <w:sz w:val="21"/>
                <w:szCs w:val="21"/>
                <w:color w:val="212529"/>
                <w:spacing w:val="5"/>
                <w:position w:val="1"/>
              </w:rPr>
              <w:t>873.09</w:t>
            </w:r>
          </w:p>
        </w:tc>
        <w:tc>
          <w:tcPr>
            <w:tcW w:w="1423" w:type="dxa"/>
            <w:vAlign w:val="top"/>
          </w:tcPr>
          <w:p>
            <w:pPr>
              <w:pStyle w:val="TableText"/>
              <w:ind w:right="21"/>
              <w:spacing w:before="81" w:line="281" w:lineRule="exact"/>
              <w:jc w:val="right"/>
              <w:rPr>
                <w:sz w:val="21"/>
                <w:szCs w:val="21"/>
              </w:rPr>
            </w:pPr>
            <w:r>
              <w:rPr>
                <w:sz w:val="21"/>
                <w:szCs w:val="21"/>
                <w:color w:val="212529"/>
                <w:spacing w:val="5"/>
                <w:position w:val="1"/>
              </w:rPr>
              <w:t>289.96</w:t>
            </w:r>
          </w:p>
        </w:tc>
        <w:tc>
          <w:tcPr>
            <w:tcW w:w="1505" w:type="dxa"/>
            <w:vAlign w:val="top"/>
          </w:tcPr>
          <w:p>
            <w:pPr>
              <w:pStyle w:val="TableText"/>
              <w:ind w:right="32"/>
              <w:spacing w:before="81" w:line="281" w:lineRule="exact"/>
              <w:jc w:val="right"/>
              <w:rPr>
                <w:sz w:val="21"/>
                <w:szCs w:val="21"/>
              </w:rPr>
            </w:pPr>
            <w:r>
              <w:rPr>
                <w:sz w:val="21"/>
                <w:szCs w:val="21"/>
                <w:color w:val="212529"/>
                <w:spacing w:val="4"/>
                <w:position w:val="1"/>
              </w:rPr>
              <w:t>583.13</w:t>
            </w:r>
          </w:p>
        </w:tc>
      </w:tr>
      <w:tr>
        <w:trPr>
          <w:trHeight w:val="374" w:hRule="atLeast"/>
        </w:trPr>
        <w:tc>
          <w:tcPr>
            <w:tcW w:w="1774" w:type="dxa"/>
            <w:vAlign w:val="top"/>
          </w:tcPr>
          <w:p>
            <w:pPr>
              <w:pStyle w:val="TableText"/>
              <w:ind w:left="11"/>
              <w:spacing w:before="82" w:line="282" w:lineRule="exact"/>
              <w:rPr>
                <w:sz w:val="21"/>
                <w:szCs w:val="21"/>
              </w:rPr>
            </w:pPr>
            <w:r>
              <w:rPr>
                <w:sz w:val="21"/>
                <w:szCs w:val="21"/>
                <w:color w:val="212529"/>
                <w:spacing w:val="5"/>
                <w:position w:val="1"/>
              </w:rPr>
              <w:t>2013201</w:t>
            </w:r>
          </w:p>
        </w:tc>
        <w:tc>
          <w:tcPr>
            <w:tcW w:w="2291" w:type="dxa"/>
            <w:vAlign w:val="top"/>
          </w:tcPr>
          <w:p>
            <w:pPr>
              <w:pStyle w:val="TableText"/>
              <w:ind w:left="4"/>
              <w:spacing w:before="82" w:line="228" w:lineRule="auto"/>
              <w:rPr>
                <w:sz w:val="21"/>
                <w:szCs w:val="21"/>
              </w:rPr>
            </w:pPr>
            <w:r>
              <w:rPr>
                <w:sz w:val="21"/>
                <w:szCs w:val="21"/>
                <w:color w:val="212529"/>
                <w:spacing w:val="11"/>
              </w:rPr>
              <w:t>行政运行</w:t>
            </w:r>
          </w:p>
        </w:tc>
        <w:tc>
          <w:tcPr>
            <w:tcW w:w="1557" w:type="dxa"/>
            <w:vAlign w:val="top"/>
          </w:tcPr>
          <w:p>
            <w:pPr>
              <w:pStyle w:val="TableText"/>
              <w:ind w:right="36"/>
              <w:spacing w:before="82" w:line="281" w:lineRule="exact"/>
              <w:jc w:val="right"/>
              <w:rPr>
                <w:sz w:val="21"/>
                <w:szCs w:val="21"/>
              </w:rPr>
            </w:pPr>
            <w:r>
              <w:rPr>
                <w:sz w:val="21"/>
                <w:szCs w:val="21"/>
                <w:color w:val="212529"/>
                <w:spacing w:val="2"/>
                <w:position w:val="1"/>
              </w:rPr>
              <w:t>162.73</w:t>
            </w:r>
          </w:p>
        </w:tc>
        <w:tc>
          <w:tcPr>
            <w:tcW w:w="1423" w:type="dxa"/>
            <w:vAlign w:val="top"/>
          </w:tcPr>
          <w:p>
            <w:pPr>
              <w:pStyle w:val="TableText"/>
              <w:ind w:right="21"/>
              <w:spacing w:before="82" w:line="281" w:lineRule="exact"/>
              <w:jc w:val="right"/>
              <w:rPr>
                <w:sz w:val="21"/>
                <w:szCs w:val="21"/>
              </w:rPr>
            </w:pPr>
            <w:r>
              <w:rPr>
                <w:sz w:val="21"/>
                <w:szCs w:val="21"/>
                <w:color w:val="212529"/>
                <w:spacing w:val="2"/>
                <w:position w:val="1"/>
              </w:rPr>
              <w:t>162.73</w:t>
            </w:r>
          </w:p>
        </w:tc>
        <w:tc>
          <w:tcPr>
            <w:tcW w:w="1505" w:type="dxa"/>
            <w:vAlign w:val="top"/>
          </w:tcPr>
          <w:p>
            <w:pPr>
              <w:rPr>
                <w:rFonts w:ascii="Arial"/>
                <w:sz w:val="21"/>
              </w:rPr>
            </w:pPr>
            <w:r/>
          </w:p>
        </w:tc>
      </w:tr>
      <w:tr>
        <w:trPr>
          <w:trHeight w:val="374" w:hRule="atLeast"/>
        </w:trPr>
        <w:tc>
          <w:tcPr>
            <w:tcW w:w="1774" w:type="dxa"/>
            <w:vAlign w:val="top"/>
          </w:tcPr>
          <w:p>
            <w:pPr>
              <w:pStyle w:val="TableText"/>
              <w:ind w:left="11"/>
              <w:spacing w:before="83" w:line="281" w:lineRule="exact"/>
              <w:rPr>
                <w:sz w:val="21"/>
                <w:szCs w:val="21"/>
              </w:rPr>
            </w:pPr>
            <w:r>
              <w:rPr>
                <w:sz w:val="21"/>
                <w:szCs w:val="21"/>
                <w:color w:val="212529"/>
                <w:spacing w:val="5"/>
                <w:position w:val="1"/>
              </w:rPr>
              <w:t>2013250</w:t>
            </w:r>
          </w:p>
        </w:tc>
        <w:tc>
          <w:tcPr>
            <w:tcW w:w="2291" w:type="dxa"/>
            <w:vAlign w:val="top"/>
          </w:tcPr>
          <w:p>
            <w:pPr>
              <w:pStyle w:val="TableText"/>
              <w:ind w:left="6"/>
              <w:spacing w:before="83" w:line="228" w:lineRule="auto"/>
              <w:rPr>
                <w:sz w:val="21"/>
                <w:szCs w:val="21"/>
              </w:rPr>
            </w:pPr>
            <w:r>
              <w:rPr>
                <w:sz w:val="21"/>
                <w:szCs w:val="21"/>
                <w:color w:val="212529"/>
                <w:spacing w:val="11"/>
              </w:rPr>
              <w:t>事业运行</w:t>
            </w:r>
          </w:p>
        </w:tc>
        <w:tc>
          <w:tcPr>
            <w:tcW w:w="1557" w:type="dxa"/>
            <w:vAlign w:val="top"/>
          </w:tcPr>
          <w:p>
            <w:pPr>
              <w:pStyle w:val="TableText"/>
              <w:ind w:right="36"/>
              <w:spacing w:before="83" w:line="281" w:lineRule="exact"/>
              <w:jc w:val="right"/>
              <w:rPr>
                <w:sz w:val="21"/>
                <w:szCs w:val="21"/>
              </w:rPr>
            </w:pPr>
            <w:r>
              <w:rPr>
                <w:sz w:val="21"/>
                <w:szCs w:val="21"/>
                <w:color w:val="212529"/>
                <w:spacing w:val="2"/>
                <w:position w:val="1"/>
              </w:rPr>
              <w:t>127.24</w:t>
            </w:r>
          </w:p>
        </w:tc>
        <w:tc>
          <w:tcPr>
            <w:tcW w:w="1423" w:type="dxa"/>
            <w:vAlign w:val="top"/>
          </w:tcPr>
          <w:p>
            <w:pPr>
              <w:pStyle w:val="TableText"/>
              <w:ind w:right="21"/>
              <w:spacing w:before="83" w:line="281" w:lineRule="exact"/>
              <w:jc w:val="right"/>
              <w:rPr>
                <w:sz w:val="21"/>
                <w:szCs w:val="21"/>
              </w:rPr>
            </w:pPr>
            <w:r>
              <w:rPr>
                <w:sz w:val="21"/>
                <w:szCs w:val="21"/>
                <w:color w:val="212529"/>
                <w:spacing w:val="2"/>
                <w:position w:val="1"/>
              </w:rPr>
              <w:t>127.24</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5"/>
                <w:position w:val="1"/>
              </w:rPr>
              <w:t>2013299</w:t>
            </w:r>
          </w:p>
        </w:tc>
        <w:tc>
          <w:tcPr>
            <w:tcW w:w="2291" w:type="dxa"/>
            <w:vAlign w:val="top"/>
          </w:tcPr>
          <w:p>
            <w:pPr>
              <w:pStyle w:val="TableText"/>
              <w:ind w:left="3"/>
              <w:spacing w:before="85" w:line="227" w:lineRule="auto"/>
              <w:rPr>
                <w:sz w:val="21"/>
                <w:szCs w:val="21"/>
              </w:rPr>
            </w:pPr>
            <w:r>
              <w:rPr>
                <w:sz w:val="21"/>
                <w:szCs w:val="21"/>
                <w:color w:val="212529"/>
                <w:spacing w:val="13"/>
              </w:rPr>
              <w:t>其他组织事务支出</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583.13</w:t>
            </w:r>
          </w:p>
        </w:tc>
        <w:tc>
          <w:tcPr>
            <w:tcW w:w="1423" w:type="dxa"/>
            <w:vAlign w:val="top"/>
          </w:tcPr>
          <w:p>
            <w:pPr>
              <w:rPr>
                <w:rFonts w:ascii="Arial"/>
                <w:sz w:val="21"/>
              </w:rPr>
            </w:pPr>
            <w:r/>
          </w:p>
        </w:tc>
        <w:tc>
          <w:tcPr>
            <w:tcW w:w="1505" w:type="dxa"/>
            <w:vAlign w:val="top"/>
          </w:tcPr>
          <w:p>
            <w:pPr>
              <w:pStyle w:val="TableText"/>
              <w:ind w:right="32"/>
              <w:spacing w:before="84" w:line="281" w:lineRule="exact"/>
              <w:jc w:val="right"/>
              <w:rPr>
                <w:sz w:val="21"/>
                <w:szCs w:val="21"/>
              </w:rPr>
            </w:pPr>
            <w:r>
              <w:rPr>
                <w:sz w:val="21"/>
                <w:szCs w:val="21"/>
                <w:color w:val="212529"/>
                <w:spacing w:val="4"/>
                <w:position w:val="1"/>
              </w:rPr>
              <w:t>583.13</w:t>
            </w:r>
          </w:p>
        </w:tc>
      </w:tr>
      <w:tr>
        <w:trPr>
          <w:trHeight w:val="375" w:hRule="atLeast"/>
        </w:trPr>
        <w:tc>
          <w:tcPr>
            <w:tcW w:w="1774" w:type="dxa"/>
            <w:vAlign w:val="top"/>
          </w:tcPr>
          <w:p>
            <w:pPr>
              <w:pStyle w:val="TableText"/>
              <w:ind w:left="11"/>
              <w:spacing w:before="84" w:line="281" w:lineRule="exact"/>
              <w:rPr>
                <w:sz w:val="21"/>
                <w:szCs w:val="21"/>
              </w:rPr>
            </w:pPr>
            <w:r>
              <w:rPr>
                <w:sz w:val="21"/>
                <w:szCs w:val="21"/>
                <w:color w:val="212529"/>
                <w:spacing w:val="2"/>
                <w:position w:val="1"/>
              </w:rPr>
              <w:t>208</w:t>
            </w:r>
          </w:p>
        </w:tc>
        <w:tc>
          <w:tcPr>
            <w:tcW w:w="2291" w:type="dxa"/>
            <w:vAlign w:val="top"/>
          </w:tcPr>
          <w:p>
            <w:pPr>
              <w:pStyle w:val="TableText"/>
              <w:ind w:left="6"/>
              <w:spacing w:before="84" w:line="227" w:lineRule="auto"/>
              <w:rPr>
                <w:sz w:val="21"/>
                <w:szCs w:val="21"/>
              </w:rPr>
            </w:pPr>
            <w:r>
              <w:rPr>
                <w:sz w:val="21"/>
                <w:szCs w:val="21"/>
                <w:color w:val="212529"/>
                <w:spacing w:val="13"/>
              </w:rPr>
              <w:t>社会保障和就业支出</w:t>
            </w:r>
          </w:p>
        </w:tc>
        <w:tc>
          <w:tcPr>
            <w:tcW w:w="1557" w:type="dxa"/>
            <w:vAlign w:val="top"/>
          </w:tcPr>
          <w:p>
            <w:pPr>
              <w:pStyle w:val="TableText"/>
              <w:ind w:right="36"/>
              <w:spacing w:before="84" w:line="281" w:lineRule="exact"/>
              <w:jc w:val="right"/>
              <w:rPr>
                <w:sz w:val="21"/>
                <w:szCs w:val="21"/>
              </w:rPr>
            </w:pPr>
            <w:r>
              <w:rPr>
                <w:sz w:val="21"/>
                <w:szCs w:val="21"/>
                <w:color w:val="212529"/>
                <w:spacing w:val="4"/>
                <w:position w:val="1"/>
              </w:rPr>
              <w:t>52.43</w:t>
            </w:r>
          </w:p>
        </w:tc>
        <w:tc>
          <w:tcPr>
            <w:tcW w:w="1423" w:type="dxa"/>
            <w:vAlign w:val="top"/>
          </w:tcPr>
          <w:p>
            <w:pPr>
              <w:pStyle w:val="TableText"/>
              <w:ind w:right="21"/>
              <w:spacing w:before="84" w:line="281" w:lineRule="exact"/>
              <w:jc w:val="right"/>
              <w:rPr>
                <w:sz w:val="21"/>
                <w:szCs w:val="21"/>
              </w:rPr>
            </w:pPr>
            <w:r>
              <w:rPr>
                <w:sz w:val="21"/>
                <w:szCs w:val="21"/>
                <w:color w:val="212529"/>
                <w:spacing w:val="4"/>
                <w:position w:val="1"/>
              </w:rPr>
              <w:t>52.43</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59" w:line="282" w:lineRule="exact"/>
              <w:rPr>
                <w:sz w:val="21"/>
                <w:szCs w:val="21"/>
              </w:rPr>
            </w:pPr>
            <w:r>
              <w:rPr>
                <w:sz w:val="21"/>
                <w:szCs w:val="21"/>
                <w:color w:val="212529"/>
                <w:spacing w:val="4"/>
                <w:position w:val="1"/>
              </w:rPr>
              <w:t>20805</w:t>
            </w:r>
          </w:p>
        </w:tc>
        <w:tc>
          <w:tcPr>
            <w:tcW w:w="2291" w:type="dxa"/>
            <w:vAlign w:val="top"/>
          </w:tcPr>
          <w:p>
            <w:pPr>
              <w:pStyle w:val="TableText"/>
              <w:ind w:left="22" w:right="260" w:hanging="18"/>
              <w:spacing w:before="25" w:line="208"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right="36"/>
              <w:spacing w:before="159" w:line="281" w:lineRule="exact"/>
              <w:jc w:val="right"/>
              <w:rPr>
                <w:sz w:val="21"/>
                <w:szCs w:val="21"/>
              </w:rPr>
            </w:pPr>
            <w:r>
              <w:rPr>
                <w:sz w:val="21"/>
                <w:szCs w:val="21"/>
                <w:color w:val="212529"/>
                <w:spacing w:val="4"/>
                <w:position w:val="1"/>
              </w:rPr>
              <w:t>52.43</w:t>
            </w:r>
          </w:p>
        </w:tc>
        <w:tc>
          <w:tcPr>
            <w:tcW w:w="1423" w:type="dxa"/>
            <w:vAlign w:val="top"/>
          </w:tcPr>
          <w:p>
            <w:pPr>
              <w:pStyle w:val="TableText"/>
              <w:ind w:right="21"/>
              <w:spacing w:before="159" w:line="281" w:lineRule="exact"/>
              <w:jc w:val="right"/>
              <w:rPr>
                <w:sz w:val="21"/>
                <w:szCs w:val="21"/>
              </w:rPr>
            </w:pPr>
            <w:r>
              <w:rPr>
                <w:sz w:val="21"/>
                <w:szCs w:val="21"/>
                <w:color w:val="212529"/>
                <w:spacing w:val="4"/>
                <w:position w:val="1"/>
              </w:rPr>
              <w:t>52.43</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0" w:line="282" w:lineRule="exact"/>
              <w:rPr>
                <w:sz w:val="21"/>
                <w:szCs w:val="21"/>
              </w:rPr>
            </w:pPr>
            <w:r>
              <w:rPr>
                <w:sz w:val="21"/>
                <w:szCs w:val="21"/>
                <w:color w:val="212529"/>
                <w:spacing w:val="5"/>
                <w:position w:val="1"/>
              </w:rPr>
              <w:t>2080505</w:t>
            </w:r>
          </w:p>
        </w:tc>
        <w:tc>
          <w:tcPr>
            <w:tcW w:w="2291" w:type="dxa"/>
            <w:vAlign w:val="top"/>
          </w:tcPr>
          <w:p>
            <w:pPr>
              <w:pStyle w:val="TableText"/>
              <w:ind w:left="4" w:right="260" w:hanging="1"/>
              <w:spacing w:before="25" w:line="208"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right="36"/>
              <w:spacing w:before="160" w:line="281" w:lineRule="exact"/>
              <w:jc w:val="right"/>
              <w:rPr>
                <w:sz w:val="21"/>
                <w:szCs w:val="21"/>
              </w:rPr>
            </w:pPr>
            <w:r>
              <w:rPr>
                <w:sz w:val="21"/>
                <w:szCs w:val="21"/>
                <w:color w:val="212529"/>
                <w:spacing w:val="4"/>
                <w:position w:val="1"/>
              </w:rPr>
              <w:t>36.21</w:t>
            </w:r>
          </w:p>
        </w:tc>
        <w:tc>
          <w:tcPr>
            <w:tcW w:w="1423" w:type="dxa"/>
            <w:vAlign w:val="top"/>
          </w:tcPr>
          <w:p>
            <w:pPr>
              <w:pStyle w:val="TableText"/>
              <w:ind w:right="21"/>
              <w:spacing w:before="160" w:line="281" w:lineRule="exact"/>
              <w:jc w:val="right"/>
              <w:rPr>
                <w:sz w:val="21"/>
                <w:szCs w:val="21"/>
              </w:rPr>
            </w:pPr>
            <w:r>
              <w:rPr>
                <w:sz w:val="21"/>
                <w:szCs w:val="21"/>
                <w:color w:val="212529"/>
                <w:spacing w:val="4"/>
                <w:position w:val="1"/>
              </w:rPr>
              <w:t>36.21</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1" w:line="282" w:lineRule="exact"/>
              <w:rPr>
                <w:sz w:val="21"/>
                <w:szCs w:val="21"/>
              </w:rPr>
            </w:pPr>
            <w:r>
              <w:rPr>
                <w:sz w:val="21"/>
                <w:szCs w:val="21"/>
                <w:color w:val="212529"/>
                <w:spacing w:val="5"/>
                <w:position w:val="1"/>
              </w:rPr>
              <w:t>2080506</w:t>
            </w:r>
          </w:p>
        </w:tc>
        <w:tc>
          <w:tcPr>
            <w:tcW w:w="2291" w:type="dxa"/>
            <w:vAlign w:val="top"/>
          </w:tcPr>
          <w:p>
            <w:pPr>
              <w:pStyle w:val="TableText"/>
              <w:ind w:left="5" w:right="260" w:hanging="2"/>
              <w:spacing w:before="28" w:line="207"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557" w:type="dxa"/>
            <w:vAlign w:val="top"/>
          </w:tcPr>
          <w:p>
            <w:pPr>
              <w:pStyle w:val="TableText"/>
              <w:ind w:right="36"/>
              <w:spacing w:before="161" w:line="281" w:lineRule="exact"/>
              <w:jc w:val="right"/>
              <w:rPr>
                <w:sz w:val="21"/>
                <w:szCs w:val="21"/>
              </w:rPr>
            </w:pPr>
            <w:r>
              <w:rPr>
                <w:sz w:val="21"/>
                <w:szCs w:val="21"/>
                <w:color w:val="212529"/>
                <w:spacing w:val="3"/>
                <w:position w:val="1"/>
              </w:rPr>
              <w:t>7.68</w:t>
            </w:r>
          </w:p>
        </w:tc>
        <w:tc>
          <w:tcPr>
            <w:tcW w:w="1423" w:type="dxa"/>
            <w:vAlign w:val="top"/>
          </w:tcPr>
          <w:p>
            <w:pPr>
              <w:pStyle w:val="TableText"/>
              <w:ind w:right="21"/>
              <w:spacing w:before="161" w:line="281" w:lineRule="exact"/>
              <w:jc w:val="right"/>
              <w:rPr>
                <w:sz w:val="21"/>
                <w:szCs w:val="21"/>
              </w:rPr>
            </w:pPr>
            <w:r>
              <w:rPr>
                <w:sz w:val="21"/>
                <w:szCs w:val="21"/>
                <w:color w:val="212529"/>
                <w:spacing w:val="3"/>
                <w:position w:val="1"/>
              </w:rPr>
              <w:t>7.68</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2" w:line="282" w:lineRule="exact"/>
              <w:rPr>
                <w:sz w:val="21"/>
                <w:szCs w:val="21"/>
              </w:rPr>
            </w:pPr>
            <w:r>
              <w:rPr>
                <w:sz w:val="21"/>
                <w:szCs w:val="21"/>
                <w:color w:val="212529"/>
                <w:spacing w:val="5"/>
                <w:position w:val="1"/>
              </w:rPr>
              <w:t>2080599</w:t>
            </w:r>
          </w:p>
        </w:tc>
        <w:tc>
          <w:tcPr>
            <w:tcW w:w="2291" w:type="dxa"/>
            <w:vAlign w:val="top"/>
          </w:tcPr>
          <w:p>
            <w:pPr>
              <w:pStyle w:val="TableText"/>
              <w:ind w:left="4" w:right="260" w:hanging="1"/>
              <w:spacing w:before="28" w:line="207" w:lineRule="auto"/>
              <w:rPr>
                <w:sz w:val="21"/>
                <w:szCs w:val="21"/>
              </w:rPr>
            </w:pPr>
            <w:r>
              <w:rPr>
                <w:sz w:val="21"/>
                <w:szCs w:val="21"/>
                <w:color w:val="212529"/>
                <w:spacing w:val="13"/>
              </w:rPr>
              <w:t>其他行政事业单位养</w:t>
            </w:r>
            <w:r>
              <w:rPr>
                <w:sz w:val="21"/>
                <w:szCs w:val="21"/>
                <w:color w:val="212529"/>
                <w:spacing w:val="4"/>
              </w:rPr>
              <w:t xml:space="preserve"> </w:t>
            </w:r>
            <w:r>
              <w:rPr>
                <w:sz w:val="21"/>
                <w:szCs w:val="21"/>
                <w:color w:val="212529"/>
                <w:spacing w:val="10"/>
              </w:rPr>
              <w:t>老支出</w:t>
            </w:r>
          </w:p>
        </w:tc>
        <w:tc>
          <w:tcPr>
            <w:tcW w:w="1557" w:type="dxa"/>
            <w:vAlign w:val="top"/>
          </w:tcPr>
          <w:p>
            <w:pPr>
              <w:pStyle w:val="TableText"/>
              <w:ind w:right="36"/>
              <w:spacing w:before="162" w:line="281" w:lineRule="exact"/>
              <w:jc w:val="right"/>
              <w:rPr>
                <w:sz w:val="21"/>
                <w:szCs w:val="21"/>
              </w:rPr>
            </w:pPr>
            <w:r>
              <w:rPr>
                <w:sz w:val="21"/>
                <w:szCs w:val="21"/>
                <w:color w:val="212529"/>
                <w:spacing w:val="4"/>
                <w:position w:val="1"/>
              </w:rPr>
              <w:t>8.55</w:t>
            </w:r>
          </w:p>
        </w:tc>
        <w:tc>
          <w:tcPr>
            <w:tcW w:w="1423" w:type="dxa"/>
            <w:vAlign w:val="top"/>
          </w:tcPr>
          <w:p>
            <w:pPr>
              <w:pStyle w:val="TableText"/>
              <w:ind w:right="21"/>
              <w:spacing w:before="162" w:line="281" w:lineRule="exact"/>
              <w:jc w:val="right"/>
              <w:rPr>
                <w:sz w:val="21"/>
                <w:szCs w:val="21"/>
              </w:rPr>
            </w:pPr>
            <w:r>
              <w:rPr>
                <w:sz w:val="21"/>
                <w:szCs w:val="21"/>
                <w:color w:val="212529"/>
                <w:spacing w:val="4"/>
                <w:position w:val="1"/>
              </w:rPr>
              <w:t>8.55</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2"/>
                <w:position w:val="1"/>
              </w:rPr>
              <w:t>210</w:t>
            </w:r>
          </w:p>
        </w:tc>
        <w:tc>
          <w:tcPr>
            <w:tcW w:w="2291" w:type="dxa"/>
            <w:vAlign w:val="top"/>
          </w:tcPr>
          <w:p>
            <w:pPr>
              <w:pStyle w:val="TableText"/>
              <w:ind w:left="6"/>
              <w:spacing w:before="89" w:line="227" w:lineRule="auto"/>
              <w:rPr>
                <w:sz w:val="21"/>
                <w:szCs w:val="21"/>
              </w:rPr>
            </w:pPr>
            <w:r>
              <w:rPr>
                <w:sz w:val="21"/>
                <w:szCs w:val="21"/>
                <w:color w:val="212529"/>
                <w:spacing w:val="12"/>
              </w:rPr>
              <w:t>卫生健康支出</w:t>
            </w:r>
          </w:p>
        </w:tc>
        <w:tc>
          <w:tcPr>
            <w:tcW w:w="1557" w:type="dxa"/>
            <w:vAlign w:val="top"/>
          </w:tcPr>
          <w:p>
            <w:pPr>
              <w:pStyle w:val="TableText"/>
              <w:ind w:right="36"/>
              <w:spacing w:before="88" w:line="277" w:lineRule="exact"/>
              <w:jc w:val="right"/>
              <w:rPr>
                <w:sz w:val="21"/>
                <w:szCs w:val="21"/>
              </w:rPr>
            </w:pPr>
            <w:r>
              <w:rPr>
                <w:sz w:val="21"/>
                <w:szCs w:val="21"/>
                <w:color w:val="212529"/>
                <w:spacing w:val="2"/>
                <w:position w:val="1"/>
              </w:rPr>
              <w:t>19.07</w:t>
            </w:r>
          </w:p>
        </w:tc>
        <w:tc>
          <w:tcPr>
            <w:tcW w:w="1423" w:type="dxa"/>
            <w:vAlign w:val="top"/>
          </w:tcPr>
          <w:p>
            <w:pPr>
              <w:pStyle w:val="TableText"/>
              <w:ind w:right="21"/>
              <w:spacing w:before="88" w:line="277" w:lineRule="exact"/>
              <w:jc w:val="right"/>
              <w:rPr>
                <w:sz w:val="21"/>
                <w:szCs w:val="21"/>
              </w:rPr>
            </w:pPr>
            <w:r>
              <w:rPr>
                <w:sz w:val="21"/>
                <w:szCs w:val="21"/>
                <w:color w:val="212529"/>
                <w:spacing w:val="2"/>
                <w:position w:val="1"/>
              </w:rPr>
              <w:t>19.07</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291" w:type="dxa"/>
            <w:vAlign w:val="top"/>
          </w:tcPr>
          <w:p>
            <w:pPr>
              <w:pStyle w:val="TableText"/>
              <w:ind w:left="4"/>
              <w:spacing w:before="88" w:line="228" w:lineRule="auto"/>
              <w:rPr>
                <w:sz w:val="21"/>
                <w:szCs w:val="21"/>
              </w:rPr>
            </w:pPr>
            <w:r>
              <w:rPr>
                <w:sz w:val="21"/>
                <w:szCs w:val="21"/>
                <w:color w:val="212529"/>
                <w:spacing w:val="13"/>
              </w:rPr>
              <w:t>行政事业单位医疗</w:t>
            </w:r>
          </w:p>
        </w:tc>
        <w:tc>
          <w:tcPr>
            <w:tcW w:w="1557" w:type="dxa"/>
            <w:vAlign w:val="top"/>
          </w:tcPr>
          <w:p>
            <w:pPr>
              <w:pStyle w:val="TableText"/>
              <w:ind w:right="36"/>
              <w:spacing w:before="88" w:line="277" w:lineRule="exact"/>
              <w:jc w:val="right"/>
              <w:rPr>
                <w:sz w:val="21"/>
                <w:szCs w:val="21"/>
              </w:rPr>
            </w:pPr>
            <w:r>
              <w:rPr>
                <w:sz w:val="21"/>
                <w:szCs w:val="21"/>
                <w:color w:val="212529"/>
                <w:spacing w:val="2"/>
                <w:position w:val="1"/>
              </w:rPr>
              <w:t>19.07</w:t>
            </w:r>
          </w:p>
        </w:tc>
        <w:tc>
          <w:tcPr>
            <w:tcW w:w="1423" w:type="dxa"/>
            <w:vAlign w:val="top"/>
          </w:tcPr>
          <w:p>
            <w:pPr>
              <w:pStyle w:val="TableText"/>
              <w:ind w:right="21"/>
              <w:spacing w:before="88" w:line="277" w:lineRule="exact"/>
              <w:jc w:val="right"/>
              <w:rPr>
                <w:sz w:val="21"/>
                <w:szCs w:val="21"/>
              </w:rPr>
            </w:pPr>
            <w:r>
              <w:rPr>
                <w:sz w:val="21"/>
                <w:szCs w:val="21"/>
                <w:color w:val="212529"/>
                <w:spacing w:val="2"/>
                <w:position w:val="1"/>
              </w:rPr>
              <w:t>19.07</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291" w:type="dxa"/>
            <w:vAlign w:val="top"/>
          </w:tcPr>
          <w:p>
            <w:pPr>
              <w:pStyle w:val="TableText"/>
              <w:ind w:left="4"/>
              <w:spacing w:before="88" w:line="228" w:lineRule="auto"/>
              <w:rPr>
                <w:sz w:val="21"/>
                <w:szCs w:val="21"/>
              </w:rPr>
            </w:pPr>
            <w:r>
              <w:rPr>
                <w:sz w:val="21"/>
                <w:szCs w:val="21"/>
                <w:color w:val="212529"/>
                <w:spacing w:val="12"/>
              </w:rPr>
              <w:t>行政单位医疗</w:t>
            </w:r>
          </w:p>
        </w:tc>
        <w:tc>
          <w:tcPr>
            <w:tcW w:w="1557" w:type="dxa"/>
            <w:vAlign w:val="top"/>
          </w:tcPr>
          <w:p>
            <w:pPr>
              <w:pStyle w:val="TableText"/>
              <w:ind w:right="36"/>
              <w:spacing w:before="88" w:line="277" w:lineRule="exact"/>
              <w:jc w:val="right"/>
              <w:rPr>
                <w:sz w:val="21"/>
                <w:szCs w:val="21"/>
              </w:rPr>
            </w:pPr>
            <w:r>
              <w:rPr>
                <w:sz w:val="21"/>
                <w:szCs w:val="21"/>
                <w:color w:val="212529"/>
                <w:spacing w:val="4"/>
                <w:position w:val="1"/>
              </w:rPr>
              <w:t>8.01</w:t>
            </w:r>
          </w:p>
        </w:tc>
        <w:tc>
          <w:tcPr>
            <w:tcW w:w="1423" w:type="dxa"/>
            <w:vAlign w:val="top"/>
          </w:tcPr>
          <w:p>
            <w:pPr>
              <w:pStyle w:val="TableText"/>
              <w:ind w:right="21"/>
              <w:spacing w:before="88" w:line="277" w:lineRule="exact"/>
              <w:jc w:val="right"/>
              <w:rPr>
                <w:sz w:val="21"/>
                <w:szCs w:val="21"/>
              </w:rPr>
            </w:pPr>
            <w:r>
              <w:rPr>
                <w:sz w:val="21"/>
                <w:szCs w:val="21"/>
                <w:color w:val="212529"/>
                <w:spacing w:val="4"/>
                <w:position w:val="1"/>
              </w:rPr>
              <w:t>8.01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291" w:type="dxa"/>
            <w:vAlign w:val="top"/>
          </w:tcPr>
          <w:p>
            <w:pPr>
              <w:pStyle w:val="TableText"/>
              <w:ind w:left="6"/>
              <w:spacing w:before="88" w:line="228" w:lineRule="auto"/>
              <w:rPr>
                <w:sz w:val="21"/>
                <w:szCs w:val="21"/>
              </w:rPr>
            </w:pPr>
            <w:r>
              <w:rPr>
                <w:sz w:val="21"/>
                <w:szCs w:val="21"/>
                <w:color w:val="212529"/>
                <w:spacing w:val="12"/>
              </w:rPr>
              <w:t>事业单位医疗</w:t>
            </w:r>
          </w:p>
        </w:tc>
        <w:tc>
          <w:tcPr>
            <w:tcW w:w="1557" w:type="dxa"/>
            <w:vAlign w:val="top"/>
          </w:tcPr>
          <w:p>
            <w:pPr>
              <w:pStyle w:val="TableText"/>
              <w:ind w:right="36"/>
              <w:spacing w:before="88" w:line="277" w:lineRule="exact"/>
              <w:jc w:val="right"/>
              <w:rPr>
                <w:sz w:val="21"/>
                <w:szCs w:val="21"/>
              </w:rPr>
            </w:pPr>
            <w:r>
              <w:rPr>
                <w:sz w:val="21"/>
                <w:szCs w:val="21"/>
                <w:color w:val="212529"/>
                <w:spacing w:val="3"/>
                <w:position w:val="1"/>
              </w:rPr>
              <w:t>7.68</w:t>
            </w:r>
          </w:p>
        </w:tc>
        <w:tc>
          <w:tcPr>
            <w:tcW w:w="1423" w:type="dxa"/>
            <w:vAlign w:val="top"/>
          </w:tcPr>
          <w:p>
            <w:pPr>
              <w:pStyle w:val="TableText"/>
              <w:ind w:right="21"/>
              <w:spacing w:before="88" w:line="277" w:lineRule="exact"/>
              <w:jc w:val="right"/>
              <w:rPr>
                <w:sz w:val="21"/>
                <w:szCs w:val="21"/>
              </w:rPr>
            </w:pPr>
            <w:r>
              <w:rPr>
                <w:sz w:val="21"/>
                <w:szCs w:val="21"/>
                <w:color w:val="212529"/>
                <w:spacing w:val="3"/>
                <w:position w:val="1"/>
              </w:rPr>
              <w:t>7.68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291" w:type="dxa"/>
            <w:vAlign w:val="top"/>
          </w:tcPr>
          <w:p>
            <w:pPr>
              <w:pStyle w:val="TableText"/>
              <w:ind w:left="11"/>
              <w:spacing w:before="89" w:line="227" w:lineRule="auto"/>
              <w:rPr>
                <w:sz w:val="21"/>
                <w:szCs w:val="21"/>
              </w:rPr>
            </w:pPr>
            <w:r>
              <w:rPr>
                <w:sz w:val="21"/>
                <w:szCs w:val="21"/>
                <w:color w:val="212529"/>
                <w:spacing w:val="12"/>
              </w:rPr>
              <w:t>公务员医疗补助</w:t>
            </w:r>
          </w:p>
        </w:tc>
        <w:tc>
          <w:tcPr>
            <w:tcW w:w="1557" w:type="dxa"/>
            <w:vAlign w:val="top"/>
          </w:tcPr>
          <w:p>
            <w:pPr>
              <w:pStyle w:val="TableText"/>
              <w:ind w:right="36"/>
              <w:spacing w:before="88" w:line="277" w:lineRule="exact"/>
              <w:jc w:val="right"/>
              <w:rPr>
                <w:sz w:val="21"/>
                <w:szCs w:val="21"/>
              </w:rPr>
            </w:pPr>
            <w:r>
              <w:rPr>
                <w:sz w:val="21"/>
                <w:szCs w:val="21"/>
                <w:color w:val="212529"/>
                <w:spacing w:val="3"/>
                <w:position w:val="1"/>
              </w:rPr>
              <w:t>3.10</w:t>
            </w:r>
          </w:p>
        </w:tc>
        <w:tc>
          <w:tcPr>
            <w:tcW w:w="1423" w:type="dxa"/>
            <w:vAlign w:val="top"/>
          </w:tcPr>
          <w:p>
            <w:pPr>
              <w:pStyle w:val="TableText"/>
              <w:ind w:right="21"/>
              <w:spacing w:before="88" w:line="277" w:lineRule="exact"/>
              <w:jc w:val="right"/>
              <w:rPr>
                <w:sz w:val="21"/>
                <w:szCs w:val="21"/>
              </w:rPr>
            </w:pPr>
            <w:r>
              <w:rPr>
                <w:sz w:val="21"/>
                <w:szCs w:val="21"/>
                <w:color w:val="212529"/>
                <w:spacing w:val="3"/>
                <w:position w:val="1"/>
              </w:rPr>
              <w:t>3.10</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63" w:line="282" w:lineRule="exact"/>
              <w:rPr>
                <w:sz w:val="21"/>
                <w:szCs w:val="21"/>
              </w:rPr>
            </w:pPr>
            <w:r>
              <w:rPr>
                <w:sz w:val="21"/>
                <w:szCs w:val="21"/>
                <w:color w:val="212529"/>
                <w:spacing w:val="5"/>
                <w:position w:val="1"/>
              </w:rPr>
              <w:t>2101199</w:t>
            </w:r>
          </w:p>
        </w:tc>
        <w:tc>
          <w:tcPr>
            <w:tcW w:w="2291" w:type="dxa"/>
            <w:vAlign w:val="top"/>
          </w:tcPr>
          <w:p>
            <w:pPr>
              <w:pStyle w:val="TableText"/>
              <w:ind w:left="3" w:right="260"/>
              <w:spacing w:before="28" w:line="207" w:lineRule="auto"/>
              <w:rPr>
                <w:sz w:val="21"/>
                <w:szCs w:val="21"/>
              </w:rPr>
            </w:pPr>
            <w:r>
              <w:rPr>
                <w:sz w:val="21"/>
                <w:szCs w:val="21"/>
                <w:color w:val="212529"/>
                <w:spacing w:val="13"/>
              </w:rPr>
              <w:t>其他行政事业单位医</w:t>
            </w:r>
            <w:r>
              <w:rPr>
                <w:sz w:val="21"/>
                <w:szCs w:val="21"/>
                <w:color w:val="212529"/>
                <w:spacing w:val="4"/>
              </w:rPr>
              <w:t xml:space="preserve"> </w:t>
            </w:r>
            <w:r>
              <w:rPr>
                <w:sz w:val="21"/>
                <w:szCs w:val="21"/>
                <w:color w:val="212529"/>
                <w:spacing w:val="10"/>
              </w:rPr>
              <w:t>疗支出</w:t>
            </w:r>
          </w:p>
        </w:tc>
        <w:tc>
          <w:tcPr>
            <w:tcW w:w="1557" w:type="dxa"/>
            <w:vAlign w:val="top"/>
          </w:tcPr>
          <w:p>
            <w:pPr>
              <w:pStyle w:val="TableText"/>
              <w:ind w:right="36"/>
              <w:spacing w:before="163" w:line="281" w:lineRule="exact"/>
              <w:jc w:val="right"/>
              <w:rPr>
                <w:sz w:val="21"/>
                <w:szCs w:val="21"/>
              </w:rPr>
            </w:pPr>
            <w:r>
              <w:rPr>
                <w:sz w:val="21"/>
                <w:szCs w:val="21"/>
                <w:color w:val="212529"/>
                <w:spacing w:val="4"/>
                <w:position w:val="1"/>
              </w:rPr>
              <w:t>0.28</w:t>
            </w:r>
          </w:p>
        </w:tc>
        <w:tc>
          <w:tcPr>
            <w:tcW w:w="1423" w:type="dxa"/>
            <w:vAlign w:val="top"/>
          </w:tcPr>
          <w:p>
            <w:pPr>
              <w:pStyle w:val="TableText"/>
              <w:ind w:right="21"/>
              <w:spacing w:before="163" w:line="281" w:lineRule="exact"/>
              <w:jc w:val="right"/>
              <w:rPr>
                <w:sz w:val="21"/>
                <w:szCs w:val="21"/>
              </w:rPr>
            </w:pPr>
            <w:r>
              <w:rPr>
                <w:sz w:val="21"/>
                <w:szCs w:val="21"/>
                <w:color w:val="212529"/>
                <w:spacing w:val="4"/>
                <w:position w:val="1"/>
              </w:rPr>
              <w:t>0.28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34.55</w:t>
            </w:r>
          </w:p>
        </w:tc>
        <w:tc>
          <w:tcPr>
            <w:tcW w:w="1423" w:type="dxa"/>
            <w:vAlign w:val="top"/>
          </w:tcPr>
          <w:p>
            <w:pPr>
              <w:pStyle w:val="TableText"/>
              <w:ind w:right="21"/>
              <w:spacing w:before="89" w:line="242" w:lineRule="auto"/>
              <w:jc w:val="right"/>
              <w:rPr>
                <w:sz w:val="21"/>
                <w:szCs w:val="21"/>
              </w:rPr>
            </w:pPr>
            <w:r>
              <w:rPr>
                <w:sz w:val="21"/>
                <w:szCs w:val="21"/>
                <w:color w:val="212529"/>
                <w:spacing w:val="4"/>
              </w:rPr>
              <w:t>34.55</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right="36"/>
              <w:spacing w:before="89" w:line="242" w:lineRule="auto"/>
              <w:jc w:val="right"/>
              <w:rPr>
                <w:sz w:val="21"/>
                <w:szCs w:val="21"/>
              </w:rPr>
            </w:pPr>
            <w:r>
              <w:rPr>
                <w:sz w:val="21"/>
                <w:szCs w:val="21"/>
                <w:color w:val="212529"/>
                <w:spacing w:val="4"/>
              </w:rPr>
              <w:t>34.55</w:t>
            </w:r>
          </w:p>
        </w:tc>
        <w:tc>
          <w:tcPr>
            <w:tcW w:w="1423" w:type="dxa"/>
            <w:vAlign w:val="top"/>
          </w:tcPr>
          <w:p>
            <w:pPr>
              <w:pStyle w:val="TableText"/>
              <w:ind w:right="21"/>
              <w:spacing w:before="89" w:line="242" w:lineRule="auto"/>
              <w:jc w:val="right"/>
              <w:rPr>
                <w:sz w:val="21"/>
                <w:szCs w:val="21"/>
              </w:rPr>
            </w:pPr>
            <w:r>
              <w:rPr>
                <w:sz w:val="21"/>
                <w:szCs w:val="21"/>
                <w:color w:val="212529"/>
                <w:spacing w:val="4"/>
              </w:rPr>
              <w:t>34.55</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89" w:line="242" w:lineRule="auto"/>
              <w:rPr>
                <w:sz w:val="21"/>
                <w:szCs w:val="21"/>
              </w:rPr>
            </w:pPr>
            <w:r>
              <w:rPr>
                <w:sz w:val="21"/>
                <w:szCs w:val="21"/>
                <w:color w:val="212529"/>
                <w:spacing w:val="5"/>
              </w:rPr>
              <w:t>2210201</w:t>
            </w:r>
          </w:p>
        </w:tc>
        <w:tc>
          <w:tcPr>
            <w:tcW w:w="2291" w:type="dxa"/>
            <w:vAlign w:val="top"/>
          </w:tcPr>
          <w:p>
            <w:pPr>
              <w:pStyle w:val="TableText"/>
              <w:ind w:left="5"/>
              <w:spacing w:before="89" w:line="228" w:lineRule="auto"/>
              <w:rPr>
                <w:sz w:val="21"/>
                <w:szCs w:val="21"/>
              </w:rPr>
            </w:pPr>
            <w:r>
              <w:rPr>
                <w:sz w:val="21"/>
                <w:szCs w:val="21"/>
                <w:color w:val="212529"/>
                <w:spacing w:val="12"/>
              </w:rPr>
              <w:t>住房公积金</w:t>
            </w:r>
          </w:p>
        </w:tc>
        <w:tc>
          <w:tcPr>
            <w:tcW w:w="1557" w:type="dxa"/>
            <w:vAlign w:val="top"/>
          </w:tcPr>
          <w:p>
            <w:pPr>
              <w:pStyle w:val="TableText"/>
              <w:ind w:right="36"/>
              <w:spacing w:before="89" w:line="242" w:lineRule="auto"/>
              <w:jc w:val="right"/>
              <w:rPr>
                <w:sz w:val="21"/>
                <w:szCs w:val="21"/>
              </w:rPr>
            </w:pPr>
            <w:r>
              <w:rPr>
                <w:sz w:val="21"/>
                <w:szCs w:val="21"/>
                <w:color w:val="212529"/>
                <w:spacing w:val="4"/>
              </w:rPr>
              <w:t>34.55</w:t>
            </w:r>
          </w:p>
        </w:tc>
        <w:tc>
          <w:tcPr>
            <w:tcW w:w="1423" w:type="dxa"/>
            <w:vAlign w:val="top"/>
          </w:tcPr>
          <w:p>
            <w:pPr>
              <w:pStyle w:val="TableText"/>
              <w:ind w:right="21"/>
              <w:spacing w:before="89" w:line="242" w:lineRule="auto"/>
              <w:jc w:val="right"/>
              <w:rPr>
                <w:sz w:val="21"/>
                <w:szCs w:val="21"/>
              </w:rPr>
            </w:pPr>
            <w:r>
              <w:rPr>
                <w:sz w:val="21"/>
                <w:szCs w:val="21"/>
                <w:color w:val="212529"/>
                <w:spacing w:val="4"/>
              </w:rPr>
              <w:t>34.55</w:t>
            </w:r>
          </w:p>
        </w:tc>
        <w:tc>
          <w:tcPr>
            <w:tcW w:w="150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部门名称：中国共产党山西省兴县委员会组织部</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7"/>
              <w:spacing w:before="173" w:line="238" w:lineRule="auto"/>
              <w:jc w:val="right"/>
              <w:rPr/>
            </w:pPr>
            <w:r>
              <w:rPr>
                <w:color w:val="212529"/>
                <w:spacing w:val="-2"/>
              </w:rPr>
              <w:t>361.79</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1"/>
              <w:spacing w:before="173" w:line="238" w:lineRule="auto"/>
              <w:jc w:val="right"/>
              <w:rPr/>
            </w:pPr>
            <w:r>
              <w:rPr>
                <w:color w:val="212529"/>
                <w:spacing w:val="-2"/>
              </w:rPr>
              <w:t>20.77</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6"/>
              <w:spacing w:before="174" w:line="238" w:lineRule="auto"/>
              <w:jc w:val="right"/>
              <w:rPr/>
            </w:pPr>
            <w:r>
              <w:rPr>
                <w:color w:val="212529"/>
                <w:spacing w:val="-3"/>
              </w:rPr>
              <w:t>138.64</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30"/>
              <w:spacing w:before="174" w:line="238" w:lineRule="auto"/>
              <w:jc w:val="right"/>
              <w:rPr/>
            </w:pPr>
            <w:r>
              <w:rPr>
                <w:color w:val="212529"/>
                <w:spacing w:val="-2"/>
              </w:rPr>
              <w:t>3.06</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59.07</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right="30"/>
              <w:spacing w:before="175" w:line="238" w:lineRule="auto"/>
              <w:jc w:val="right"/>
              <w:rPr/>
            </w:pPr>
            <w:r>
              <w:rPr>
                <w:color w:val="212529"/>
                <w:spacing w:val="-2"/>
              </w:rPr>
              <w:t>3.86</w:t>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5"/>
              <w:spacing w:before="176" w:line="238" w:lineRule="auto"/>
              <w:jc w:val="right"/>
              <w:rPr/>
            </w:pPr>
            <w:r>
              <w:rPr>
                <w:color w:val="212529"/>
                <w:spacing w:val="-4"/>
              </w:rPr>
              <w:t>11.91</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8"/>
              <w:spacing w:before="178" w:line="238" w:lineRule="auto"/>
              <w:jc w:val="right"/>
              <w:rPr/>
            </w:pPr>
            <w:r>
              <w:rPr>
                <w:color w:val="212529"/>
                <w:spacing w:val="-2"/>
              </w:rPr>
              <w:t>48.12</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36.21</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6"/>
              <w:spacing w:before="180" w:line="238" w:lineRule="auto"/>
              <w:jc w:val="right"/>
              <w:rPr/>
            </w:pPr>
            <w:r>
              <w:rPr>
                <w:color w:val="212529"/>
                <w:spacing w:val="-3"/>
              </w:rPr>
              <w:t>7.68</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261" w:line="129" w:lineRule="exact"/>
              <w:rPr/>
            </w:pPr>
            <w:r>
              <w:rPr>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right="25"/>
              <w:spacing w:before="181" w:line="238" w:lineRule="auto"/>
              <w:jc w:val="right"/>
              <w:rPr/>
            </w:pPr>
            <w:r>
              <w:rPr>
                <w:color w:val="212529"/>
                <w:spacing w:val="-4"/>
              </w:rPr>
              <w:t>15.69</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rPr>
                <w:rFonts w:ascii="Arial"/>
                <w:sz w:val="21"/>
              </w:rPr>
            </w:pPr>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3.10</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7"/>
              <w:spacing w:before="183" w:line="238" w:lineRule="auto"/>
              <w:jc w:val="right"/>
              <w:rPr/>
            </w:pPr>
            <w:r>
              <w:rPr>
                <w:color w:val="212529"/>
                <w:spacing w:val="-2"/>
              </w:rPr>
              <w:t>0.58</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pStyle w:val="TableText"/>
              <w:ind w:right="30"/>
              <w:spacing w:before="183" w:line="238" w:lineRule="auto"/>
              <w:jc w:val="right"/>
              <w:rPr/>
            </w:pPr>
            <w:r>
              <w:rPr>
                <w:color w:val="212529"/>
                <w:spacing w:val="-2"/>
              </w:rPr>
              <w:t>0.20</w:t>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264" w:line="129" w:lineRule="exact"/>
              <w:rPr/>
            </w:pPr>
            <w:r>
              <w:rPr>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34.55</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9"/>
          <w:footerReference w:type="default" r:id="rId20"/>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 xml:space="preserve"> </w:t>
            </w:r>
            <w:r>
              <w:rPr>
                <w:color w:val="212529"/>
              </w:rPr>
              <w:t>出</w:t>
            </w:r>
          </w:p>
        </w:tc>
        <w:tc>
          <w:tcPr>
            <w:tcW w:w="944" w:type="dxa"/>
            <w:vAlign w:val="top"/>
          </w:tcPr>
          <w:p>
            <w:pPr>
              <w:pStyle w:val="TableText"/>
              <w:ind w:right="27"/>
              <w:spacing w:before="154" w:line="238" w:lineRule="auto"/>
              <w:jc w:val="right"/>
              <w:rPr/>
            </w:pPr>
            <w:r>
              <w:rPr>
                <w:color w:val="212529"/>
                <w:spacing w:val="-2"/>
              </w:rPr>
              <w:t>6.23</w:t>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5"/>
              <w:spacing w:before="155" w:line="238" w:lineRule="auto"/>
              <w:jc w:val="right"/>
              <w:rPr/>
            </w:pPr>
            <w:r>
              <w:rPr>
                <w:color w:val="212529"/>
                <w:spacing w:val="-4"/>
              </w:rPr>
              <w:t>13.46</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8.55</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239" w:line="129" w:lineRule="exact"/>
              <w:rPr/>
            </w:pPr>
            <w:r>
              <w:rPr>
                <w:color w:val="212529"/>
                <w:position w:val="-3"/>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pStyle w:val="TableText"/>
              <w:ind w:right="28"/>
              <w:spacing w:before="160" w:line="238" w:lineRule="auto"/>
              <w:jc w:val="right"/>
              <w:rPr/>
            </w:pPr>
            <w:r>
              <w:rPr>
                <w:color w:val="212529"/>
                <w:spacing w:val="-2"/>
              </w:rPr>
              <w:t>4.91</w:t>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0"/>
              <w:spacing w:before="163" w:line="238" w:lineRule="auto"/>
              <w:jc w:val="right"/>
              <w:rPr/>
            </w:pPr>
            <w:r>
              <w:rPr>
                <w:color w:val="212529"/>
                <w:spacing w:val="-2"/>
              </w:rPr>
              <w:t>0.42</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pStyle w:val="TableText"/>
              <w:ind w:right="30"/>
              <w:spacing w:before="165" w:line="238" w:lineRule="auto"/>
              <w:jc w:val="right"/>
              <w:rPr/>
            </w:pPr>
            <w:r>
              <w:rPr>
                <w:color w:val="212529"/>
                <w:spacing w:val="-2"/>
              </w:rPr>
              <w:t>2.00</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28"/>
              <w:spacing w:before="166" w:line="238" w:lineRule="auto"/>
              <w:jc w:val="right"/>
              <w:rPr/>
            </w:pPr>
            <w:r>
              <w:rPr>
                <w:color w:val="212529"/>
                <w:spacing w:val="-4"/>
              </w:rPr>
              <w:t>11.20</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pStyle w:val="TableText"/>
              <w:ind w:right="30"/>
              <w:spacing w:before="168" w:line="238" w:lineRule="auto"/>
              <w:jc w:val="right"/>
              <w:rPr/>
            </w:pPr>
            <w:r>
              <w:rPr>
                <w:color w:val="212529"/>
                <w:spacing w:val="-2"/>
              </w:rPr>
              <w:t>0.02</w:t>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7"/>
              <w:spacing w:before="169" w:line="238" w:lineRule="auto"/>
              <w:jc w:val="right"/>
              <w:rPr/>
            </w:pPr>
            <w:r>
              <w:rPr>
                <w:color w:val="212529"/>
                <w:spacing w:val="-2"/>
              </w:rPr>
              <w:t>375.25</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20.77</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1"/>
          <w:footerReference w:type="default" r:id="rId2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部门名称：中国共产党山西省兴县委员会组织部</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3"/>
          <w:footerReference w:type="default" r:id="rId24"/>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部门名称：中国共产党山西省兴县委员会组织部</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5"/>
          <w:pgSz w:w="11900" w:h="16840"/>
          <w:pgMar w:top="642" w:right="0" w:bottom="340" w:left="0" w:header="326" w:footer="11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9" w:id="24"/>
            <w:bookmarkEnd w:id="24"/>
            <w:bookmarkStart w:name="bookmark14"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10" w:right="109" w:hanging="1"/>
              <w:spacing w:before="69" w:line="216" w:lineRule="auto"/>
              <w:rPr/>
            </w:pPr>
            <w:r>
              <w:rPr>
                <w:color w:val="212529"/>
                <w:spacing w:val="-1"/>
              </w:rPr>
              <w:t>部门名称：中国共产党山西省</w:t>
            </w:r>
            <w:r>
              <w:rPr>
                <w:color w:val="212529"/>
                <w:spacing w:val="2"/>
              </w:rPr>
              <w:t xml:space="preserve"> </w:t>
            </w:r>
            <w:r>
              <w:rPr>
                <w:color w:val="212529"/>
                <w:spacing w:val="-2"/>
              </w:rPr>
              <w:t>兴县委员会组织部</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4"/>
                <w:position w:val="1"/>
              </w:rPr>
              <w:t>2.00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4"/>
                <w:position w:val="1"/>
              </w:rPr>
              <w:t>2.00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4"/>
                <w:position w:val="1"/>
              </w:rPr>
              <w:t>2.00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4"/>
                <w:position w:val="1"/>
              </w:rPr>
              <w:t>2.00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4"/>
                <w:position w:val="1"/>
              </w:rPr>
              <w:t>2.00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4"/>
                <w:position w:val="1"/>
              </w:rPr>
              <w:t>2.00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26"/>
          <w:footerReference w:type="default" r:id="rId27"/>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单位名称：中国共产党山西省兴县委员会组织部</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position w:val="1"/>
              </w:rPr>
              <w:t>12.43</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position w:val="1"/>
              </w:rPr>
              <w:t>12.43</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20.77</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pStyle w:val="TableText"/>
              <w:ind w:right="8"/>
              <w:spacing w:before="73"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5"/>
          <w:footerReference w:type="default" r:id="rId28"/>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1261" w:right="1223" w:firstLine="459"/>
        <w:spacing w:before="186" w:line="323" w:lineRule="auto"/>
        <w:jc w:val="both"/>
        <w:rPr>
          <w:rFonts w:ascii="FangSong" w:hAnsi="FangSong" w:eastAsia="FangSong" w:cs="FangSong"/>
          <w:sz w:val="23"/>
          <w:szCs w:val="23"/>
        </w:rPr>
      </w:pPr>
      <w:r>
        <w:rPr>
          <w:rFonts w:ascii="FangSong" w:hAnsi="FangSong" w:eastAsia="FangSong" w:cs="FangSong"/>
          <w:sz w:val="23"/>
          <w:szCs w:val="23"/>
          <w:spacing w:val="2"/>
        </w:rPr>
        <w:t>2024年度收入总计992.47万元，支出总计992.47万元。与上年相比，收入总计增加44.72</w:t>
      </w:r>
      <w:r>
        <w:rPr>
          <w:rFonts w:ascii="FangSong" w:hAnsi="FangSong" w:eastAsia="FangSong" w:cs="FangSong"/>
          <w:sz w:val="23"/>
          <w:szCs w:val="23"/>
          <w:spacing w:val="1"/>
        </w:rPr>
        <w:t xml:space="preserve"> </w:t>
      </w:r>
      <w:r>
        <w:rPr>
          <w:rFonts w:ascii="FangSong" w:hAnsi="FangSong" w:eastAsia="FangSong" w:cs="FangSong"/>
          <w:sz w:val="23"/>
          <w:szCs w:val="23"/>
          <w:spacing w:val="9"/>
        </w:rPr>
        <w:t>万元，增长4.72%，支出总计增加44.72万元，增长4.72%。主要原因是1、2024年基本支出</w:t>
      </w:r>
      <w:r>
        <w:rPr>
          <w:rFonts w:ascii="FangSong" w:hAnsi="FangSong" w:eastAsia="FangSong" w:cs="FangSong"/>
          <w:sz w:val="23"/>
          <w:szCs w:val="23"/>
          <w:spacing w:val="3"/>
        </w:rPr>
        <w:t xml:space="preserve"> </w:t>
      </w:r>
      <w:r>
        <w:rPr>
          <w:rFonts w:ascii="FangSong" w:hAnsi="FangSong" w:eastAsia="FangSong" w:cs="FangSong"/>
          <w:sz w:val="23"/>
          <w:szCs w:val="23"/>
          <w:spacing w:val="2"/>
        </w:rPr>
        <w:t>396.02万元，较上年基本支出435.76万元减少39.74万元，主要原因为本年有公务员调出和退</w:t>
      </w:r>
      <w:r>
        <w:rPr>
          <w:rFonts w:ascii="FangSong" w:hAnsi="FangSong" w:eastAsia="FangSong" w:cs="FangSong"/>
          <w:sz w:val="23"/>
          <w:szCs w:val="23"/>
        </w:rPr>
        <w:t xml:space="preserve"> </w:t>
      </w:r>
      <w:r>
        <w:rPr>
          <w:rFonts w:ascii="FangSong" w:hAnsi="FangSong" w:eastAsia="FangSong" w:cs="FangSong"/>
          <w:sz w:val="23"/>
          <w:szCs w:val="23"/>
          <w:spacing w:val="-1"/>
        </w:rPr>
        <w:t>休人员，工资福利减少;</w:t>
      </w:r>
    </w:p>
    <w:p>
      <w:pPr>
        <w:ind w:left="1262" w:right="1223" w:hanging="3"/>
        <w:spacing w:before="1" w:line="321" w:lineRule="auto"/>
        <w:rPr>
          <w:rFonts w:ascii="FangSong" w:hAnsi="FangSong" w:eastAsia="FangSong" w:cs="FangSong"/>
          <w:sz w:val="23"/>
          <w:szCs w:val="23"/>
        </w:rPr>
      </w:pPr>
      <w:r>
        <w:rPr>
          <w:rFonts w:ascii="FangSong" w:hAnsi="FangSong" w:eastAsia="FangSong" w:cs="FangSong"/>
          <w:sz w:val="23"/>
          <w:szCs w:val="23"/>
          <w:spacing w:val="4"/>
        </w:rPr>
        <w:t>2、2024年项目支出583.13万元，较上年511.99万元增加71.14万元，主要原因为本年较上年</w:t>
      </w:r>
      <w:r>
        <w:rPr>
          <w:rFonts w:ascii="FangSong" w:hAnsi="FangSong" w:eastAsia="FangSong" w:cs="FangSong"/>
          <w:sz w:val="23"/>
          <w:szCs w:val="23"/>
          <w:spacing w:val="11"/>
        </w:rPr>
        <w:t xml:space="preserve"> </w:t>
      </w:r>
      <w:r>
        <w:rPr>
          <w:rFonts w:ascii="FangSong" w:hAnsi="FangSong" w:eastAsia="FangSong" w:cs="FangSong"/>
          <w:sz w:val="23"/>
          <w:szCs w:val="23"/>
          <w:spacing w:val="-1"/>
        </w:rPr>
        <w:t>驻村人员生活补助增加。</w:t>
      </w:r>
    </w:p>
    <w:p>
      <w:pPr>
        <w:ind w:left="1722"/>
        <w:spacing w:before="5" w:line="230"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2024年度收入合计992.47万元，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财政拨款收入979.15万元，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占比98.66%；</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4"/>
        </w:rPr>
        <w:t>其他收入13.32万元，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占比1.34%。</w:t>
      </w:r>
    </w:p>
    <w:p>
      <w:pPr>
        <w:ind w:left="1723"/>
        <w:spacing w:before="120"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2024年度支出合计992.47万元，</w:t>
      </w:r>
      <w:r>
        <w:rPr>
          <w:rFonts w:ascii="FangSong" w:hAnsi="FangSong" w:eastAsia="FangSong" w:cs="FangSong"/>
          <w:sz w:val="23"/>
          <w:szCs w:val="23"/>
          <w:spacing w:val="-1"/>
        </w:rPr>
        <w:t>其中：</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基本支出396.02万元，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占比39.90%；</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项目支出596.45万元，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占比60.10%。</w:t>
      </w:r>
    </w:p>
    <w:p>
      <w:pPr>
        <w:ind w:left="1732"/>
        <w:spacing w:before="117"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86"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2024年度财政拨款收入总计979.15万元，支出总计979</w:t>
      </w:r>
      <w:r>
        <w:rPr>
          <w:rFonts w:ascii="FangSong" w:hAnsi="FangSong" w:eastAsia="FangSong" w:cs="FangSong"/>
          <w:sz w:val="23"/>
          <w:szCs w:val="23"/>
          <w:spacing w:val="4"/>
        </w:rPr>
        <w:t>.15万元。与上年相比，财政拨款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收入总计增加31.40万元，增长3.31%；财政拨款支出总计增加31.40万元，增长3.31%。主要</w:t>
      </w:r>
      <w:r>
        <w:rPr>
          <w:rFonts w:ascii="FangSong" w:hAnsi="FangSong" w:eastAsia="FangSong" w:cs="FangSong"/>
          <w:sz w:val="23"/>
          <w:szCs w:val="23"/>
          <w:spacing w:val="6"/>
        </w:rPr>
        <w:t xml:space="preserve"> </w:t>
      </w:r>
      <w:r>
        <w:rPr>
          <w:rFonts w:ascii="FangSong" w:hAnsi="FangSong" w:eastAsia="FangSong" w:cs="FangSong"/>
          <w:sz w:val="23"/>
          <w:szCs w:val="23"/>
          <w:spacing w:val="4"/>
        </w:rPr>
        <w:t>原因是1、2024年基本支出396.02万元，较上年基本支出435.76万元减少39.74万元，主要原</w:t>
      </w:r>
      <w:r>
        <w:rPr>
          <w:rFonts w:ascii="FangSong" w:hAnsi="FangSong" w:eastAsia="FangSong" w:cs="FangSong"/>
          <w:sz w:val="23"/>
          <w:szCs w:val="23"/>
          <w:spacing w:val="2"/>
        </w:rPr>
        <w:t xml:space="preserve"> </w:t>
      </w:r>
      <w:r>
        <w:rPr>
          <w:rFonts w:ascii="FangSong" w:hAnsi="FangSong" w:eastAsia="FangSong" w:cs="FangSong"/>
          <w:sz w:val="23"/>
          <w:szCs w:val="23"/>
          <w:spacing w:val="-1"/>
        </w:rPr>
        <w:t>因为本年有公务员调出和退休人员，工资福利减少;</w:t>
      </w:r>
    </w:p>
    <w:p>
      <w:pPr>
        <w:ind w:left="1262" w:right="1223" w:hanging="3"/>
        <w:spacing w:before="2" w:line="321" w:lineRule="auto"/>
        <w:rPr>
          <w:rFonts w:ascii="FangSong" w:hAnsi="FangSong" w:eastAsia="FangSong" w:cs="FangSong"/>
          <w:sz w:val="23"/>
          <w:szCs w:val="23"/>
        </w:rPr>
      </w:pPr>
      <w:r>
        <w:rPr>
          <w:rFonts w:ascii="FangSong" w:hAnsi="FangSong" w:eastAsia="FangSong" w:cs="FangSong"/>
          <w:sz w:val="23"/>
          <w:szCs w:val="23"/>
          <w:spacing w:val="4"/>
        </w:rPr>
        <w:t>2、2024年项目支出583.13万元，较上年511.99万元增加71.14万元，主要原因为本年较上年</w:t>
      </w:r>
      <w:r>
        <w:rPr>
          <w:rFonts w:ascii="FangSong" w:hAnsi="FangSong" w:eastAsia="FangSong" w:cs="FangSong"/>
          <w:sz w:val="23"/>
          <w:szCs w:val="23"/>
          <w:spacing w:val="11"/>
        </w:rPr>
        <w:t xml:space="preserve"> </w:t>
      </w:r>
      <w:r>
        <w:rPr>
          <w:rFonts w:ascii="FangSong" w:hAnsi="FangSong" w:eastAsia="FangSong" w:cs="FangSong"/>
          <w:sz w:val="23"/>
          <w:szCs w:val="23"/>
          <w:spacing w:val="-1"/>
        </w:rPr>
        <w:t>驻村人员生活补助增加。</w:t>
      </w:r>
    </w:p>
    <w:p>
      <w:pPr>
        <w:ind w:left="1725"/>
        <w:spacing w:before="5"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59" w:right="1223" w:firstLine="461"/>
        <w:spacing w:before="126" w:line="325"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2024年一般公共预算财政拨款决算支出979.15万元，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占本年支出合计的98.66%。与上年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相比，一般公共预算财政拨款支出增加31.40万元，增长3.31%。主要</w:t>
      </w:r>
      <w:r>
        <w:rPr>
          <w:rFonts w:ascii="FangSong" w:hAnsi="FangSong" w:eastAsia="FangSong" w:cs="FangSong"/>
          <w:sz w:val="23"/>
          <w:szCs w:val="23"/>
          <w:spacing w:val="4"/>
        </w:rPr>
        <w:t>原因是主要原因是预算</w:t>
      </w:r>
      <w:r>
        <w:rPr>
          <w:rFonts w:ascii="FangSong" w:hAnsi="FangSong" w:eastAsia="FangSong" w:cs="FangSong"/>
          <w:sz w:val="23"/>
          <w:szCs w:val="23"/>
        </w:rPr>
        <w:t xml:space="preserve"> </w:t>
      </w:r>
      <w:r>
        <w:rPr>
          <w:rFonts w:ascii="FangSong" w:hAnsi="FangSong" w:eastAsia="FangSong" w:cs="FangSong"/>
          <w:sz w:val="23"/>
          <w:szCs w:val="23"/>
          <w:spacing w:val="1"/>
        </w:rPr>
        <w:t>项目经费增加，其中，人员经费375.25万元</w:t>
      </w:r>
      <w:r>
        <w:rPr>
          <w:rFonts w:ascii="FangSong" w:hAnsi="FangSong" w:eastAsia="FangSong" w:cs="FangSong"/>
          <w:sz w:val="23"/>
          <w:szCs w:val="23"/>
        </w:rPr>
        <w:t>，</w:t>
      </w:r>
      <w:r>
        <w:rPr>
          <w:rFonts w:ascii="FangSong" w:hAnsi="FangSong" w:eastAsia="FangSong" w:cs="FangSong"/>
          <w:sz w:val="23"/>
          <w:szCs w:val="23"/>
          <w:spacing w:val="-49"/>
        </w:rPr>
        <w:t xml:space="preserve"> </w:t>
      </w:r>
      <w:r>
        <w:rPr>
          <w:rFonts w:ascii="FangSong" w:hAnsi="FangSong" w:eastAsia="FangSong" w:cs="FangSong"/>
          <w:sz w:val="23"/>
          <w:szCs w:val="23"/>
        </w:rPr>
        <w:t>占</w:t>
      </w:r>
      <w:r>
        <w:rPr>
          <w:rFonts w:ascii="FangSong" w:hAnsi="FangSong" w:eastAsia="FangSong" w:cs="FangSong"/>
          <w:sz w:val="23"/>
          <w:szCs w:val="23"/>
          <w:spacing w:val="-64"/>
        </w:rPr>
        <w:t xml:space="preserve"> </w:t>
      </w:r>
      <w:r>
        <w:rPr>
          <w:rFonts w:ascii="FangSong" w:hAnsi="FangSong" w:eastAsia="FangSong" w:cs="FangSong"/>
          <w:sz w:val="23"/>
          <w:szCs w:val="23"/>
        </w:rPr>
        <w:t>比38.32%；</w:t>
      </w:r>
      <w:r>
        <w:rPr>
          <w:rFonts w:ascii="FangSong" w:hAnsi="FangSong" w:eastAsia="FangSong" w:cs="FangSong"/>
          <w:sz w:val="23"/>
          <w:szCs w:val="23"/>
          <w:spacing w:val="-41"/>
        </w:rPr>
        <w:t xml:space="preserve"> </w:t>
      </w:r>
      <w:r>
        <w:rPr>
          <w:rFonts w:ascii="FangSong" w:hAnsi="FangSong" w:eastAsia="FangSong" w:cs="FangSong"/>
          <w:sz w:val="23"/>
          <w:szCs w:val="23"/>
        </w:rPr>
        <w:t>日常公用经费20.77万元，</w:t>
      </w:r>
      <w:r>
        <w:rPr>
          <w:rFonts w:ascii="FangSong" w:hAnsi="FangSong" w:eastAsia="FangSong" w:cs="FangSong"/>
          <w:sz w:val="23"/>
          <w:szCs w:val="23"/>
          <w:spacing w:val="-49"/>
        </w:rPr>
        <w:t xml:space="preserve"> </w:t>
      </w:r>
      <w:r>
        <w:rPr>
          <w:rFonts w:ascii="FangSong" w:hAnsi="FangSong" w:eastAsia="FangSong" w:cs="FangSong"/>
          <w:sz w:val="23"/>
          <w:szCs w:val="23"/>
        </w:rPr>
        <w:t>占</w:t>
      </w:r>
      <w:r>
        <w:rPr>
          <w:rFonts w:ascii="FangSong" w:hAnsi="FangSong" w:eastAsia="FangSong" w:cs="FangSong"/>
          <w:sz w:val="23"/>
          <w:szCs w:val="23"/>
          <w:spacing w:val="-64"/>
        </w:rPr>
        <w:t xml:space="preserve"> </w:t>
      </w:r>
      <w:r>
        <w:rPr>
          <w:rFonts w:ascii="FangSong" w:hAnsi="FangSong" w:eastAsia="FangSong" w:cs="FangSong"/>
          <w:sz w:val="23"/>
          <w:szCs w:val="23"/>
        </w:rPr>
        <w:t>比</w:t>
      </w:r>
      <w:r>
        <w:rPr>
          <w:rFonts w:ascii="FangSong" w:hAnsi="FangSong" w:eastAsia="FangSong" w:cs="FangSong"/>
          <w:sz w:val="23"/>
          <w:szCs w:val="23"/>
        </w:rPr>
        <w:t xml:space="preserve"> </w:t>
      </w:r>
      <w:r>
        <w:rPr>
          <w:rFonts w:ascii="FangSong" w:hAnsi="FangSong" w:eastAsia="FangSong" w:cs="FangSong"/>
          <w:sz w:val="23"/>
          <w:szCs w:val="23"/>
          <w:spacing w:val="-2"/>
        </w:rPr>
        <w:t>2.12%。</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2024年度一般公共预算财政拨款支出979.15万元，主要用于以下方面：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一般公共服务支出(类)873.09万元，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占比89</w:t>
      </w:r>
      <w:r>
        <w:rPr>
          <w:rFonts w:ascii="FangSong" w:hAnsi="FangSong" w:eastAsia="FangSong" w:cs="FangSong"/>
          <w:sz w:val="23"/>
          <w:szCs w:val="23"/>
          <w:spacing w:val="-3"/>
        </w:rPr>
        <w:t>.17%；</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社会保障和就业支出(类)52.43万元，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35%；</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卫生健康支出(类)19.07万元，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占比1.95%；</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住房保障支出(类)34.55万元，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占比3.53%。</w:t>
      </w:r>
    </w:p>
    <w:p>
      <w:pPr>
        <w:spacing w:line="221" w:lineRule="auto"/>
        <w:sectPr>
          <w:headerReference w:type="default" r:id="rId29"/>
          <w:footerReference w:type="default" r:id="rId30"/>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7" w:right="1223" w:firstLine="453"/>
        <w:spacing w:before="125" w:line="325"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2024年度一般公共预算财政拨款支出年初预算6,09</w:t>
      </w:r>
      <w:r>
        <w:rPr>
          <w:rFonts w:ascii="FangSong" w:hAnsi="FangSong" w:eastAsia="FangSong" w:cs="FangSong"/>
          <w:sz w:val="23"/>
          <w:szCs w:val="23"/>
          <w:spacing w:val="4"/>
        </w:rPr>
        <w:t>9.52万元，支出决算979.15万元，完</w:t>
      </w:r>
      <w:r>
        <w:rPr>
          <w:rFonts w:ascii="FangSong" w:hAnsi="FangSong" w:eastAsia="FangSong" w:cs="FangSong"/>
          <w:sz w:val="23"/>
          <w:szCs w:val="23"/>
        </w:rPr>
        <w:t xml:space="preserve"> </w:t>
      </w:r>
      <w:r>
        <w:rPr>
          <w:rFonts w:ascii="FangSong" w:hAnsi="FangSong" w:eastAsia="FangSong" w:cs="FangSong"/>
          <w:sz w:val="23"/>
          <w:szCs w:val="23"/>
          <w:spacing w:val="-1"/>
        </w:rPr>
        <w:t>成年初预算的16.05%。其中：</w:t>
      </w:r>
    </w:p>
    <w:p>
      <w:pPr>
        <w:ind w:left="1265" w:right="1223" w:firstLine="463"/>
        <w:spacing w:before="3" w:line="323" w:lineRule="auto"/>
        <w:jc w:val="both"/>
        <w:rPr>
          <w:rFonts w:ascii="FangSong" w:hAnsi="FangSong" w:eastAsia="FangSong" w:cs="FangSong"/>
          <w:sz w:val="23"/>
          <w:szCs w:val="23"/>
        </w:rPr>
      </w:pPr>
      <w:r>
        <w:rPr>
          <w:rFonts w:ascii="FangSong" w:hAnsi="FangSong" w:eastAsia="FangSong" w:cs="FangSong"/>
          <w:sz w:val="23"/>
          <w:szCs w:val="23"/>
          <w:spacing w:val="9"/>
        </w:rPr>
        <w:t>一般公共服务支</w:t>
      </w:r>
      <w:r>
        <w:rPr>
          <w:rFonts w:ascii="FangSong" w:hAnsi="FangSong" w:eastAsia="FangSong" w:cs="FangSong"/>
          <w:sz w:val="23"/>
          <w:szCs w:val="23"/>
          <w:spacing w:val="-55"/>
        </w:rPr>
        <w:t xml:space="preserve"> </w:t>
      </w:r>
      <w:r>
        <w:rPr>
          <w:rFonts w:ascii="FangSong" w:hAnsi="FangSong" w:eastAsia="FangSong" w:cs="FangSong"/>
          <w:sz w:val="23"/>
          <w:szCs w:val="23"/>
          <w:spacing w:val="9"/>
        </w:rPr>
        <w:t>出年初预算5,977.08万元</w:t>
      </w:r>
      <w:r>
        <w:rPr>
          <w:rFonts w:ascii="FangSong" w:hAnsi="FangSong" w:eastAsia="FangSong" w:cs="FangSong"/>
          <w:sz w:val="23"/>
          <w:szCs w:val="23"/>
          <w:spacing w:val="-61"/>
        </w:rPr>
        <w:t xml:space="preserve"> </w:t>
      </w:r>
      <w:r>
        <w:rPr>
          <w:rFonts w:ascii="FangSong" w:hAnsi="FangSong" w:eastAsia="FangSong" w:cs="FangSong"/>
          <w:sz w:val="23"/>
          <w:szCs w:val="23"/>
          <w:spacing w:val="9"/>
        </w:rPr>
        <w:t>，支</w:t>
      </w:r>
      <w:r>
        <w:rPr>
          <w:rFonts w:ascii="FangSong" w:hAnsi="FangSong" w:eastAsia="FangSong" w:cs="FangSong"/>
          <w:sz w:val="23"/>
          <w:szCs w:val="23"/>
          <w:spacing w:val="-55"/>
        </w:rPr>
        <w:t xml:space="preserve"> </w:t>
      </w:r>
      <w:r>
        <w:rPr>
          <w:rFonts w:ascii="FangSong" w:hAnsi="FangSong" w:eastAsia="FangSong" w:cs="FangSong"/>
          <w:sz w:val="23"/>
          <w:szCs w:val="23"/>
          <w:spacing w:val="9"/>
        </w:rPr>
        <w:t>出决算873.09万元</w:t>
      </w:r>
      <w:r>
        <w:rPr>
          <w:rFonts w:ascii="FangSong" w:hAnsi="FangSong" w:eastAsia="FangSong" w:cs="FangSong"/>
          <w:sz w:val="23"/>
          <w:szCs w:val="23"/>
          <w:spacing w:val="-61"/>
        </w:rPr>
        <w:t xml:space="preserve"> </w:t>
      </w:r>
      <w:r>
        <w:rPr>
          <w:rFonts w:ascii="FangSong" w:hAnsi="FangSong" w:eastAsia="FangSong" w:cs="FangSong"/>
          <w:sz w:val="23"/>
          <w:szCs w:val="23"/>
          <w:spacing w:val="9"/>
        </w:rPr>
        <w:t>，完成年初预算</w:t>
      </w:r>
      <w:r>
        <w:rPr>
          <w:rFonts w:ascii="FangSong" w:hAnsi="FangSong" w:eastAsia="FangSong" w:cs="FangSong"/>
          <w:sz w:val="23"/>
          <w:szCs w:val="23"/>
          <w:spacing w:val="-64"/>
        </w:rPr>
        <w:t xml:space="preserve"> </w:t>
      </w:r>
      <w:r>
        <w:rPr>
          <w:rFonts w:ascii="FangSong" w:hAnsi="FangSong" w:eastAsia="FangSong" w:cs="FangSong"/>
          <w:sz w:val="23"/>
          <w:szCs w:val="23"/>
          <w:spacing w:val="9"/>
        </w:rPr>
        <w:t>的</w:t>
      </w:r>
      <w:r>
        <w:rPr>
          <w:rFonts w:ascii="FangSong" w:hAnsi="FangSong" w:eastAsia="FangSong" w:cs="FangSong"/>
          <w:sz w:val="23"/>
          <w:szCs w:val="23"/>
        </w:rPr>
        <w:t xml:space="preserve"> </w:t>
      </w:r>
      <w:r>
        <w:rPr>
          <w:rFonts w:ascii="FangSong" w:hAnsi="FangSong" w:eastAsia="FangSong" w:cs="FangSong"/>
          <w:sz w:val="23"/>
          <w:szCs w:val="23"/>
          <w:spacing w:val="2"/>
        </w:rPr>
        <w:t>14.61%，用于1、单位在职人员工资发放、遗属人员生活补助、单位日常运转所需公务用车运</w:t>
      </w:r>
      <w:r>
        <w:rPr>
          <w:rFonts w:ascii="FangSong" w:hAnsi="FangSong" w:eastAsia="FangSong" w:cs="FangSong"/>
          <w:sz w:val="23"/>
          <w:szCs w:val="23"/>
          <w:spacing w:val="6"/>
        </w:rPr>
        <w:t xml:space="preserve"> </w:t>
      </w:r>
      <w:r>
        <w:rPr>
          <w:rFonts w:ascii="FangSong" w:hAnsi="FangSong" w:eastAsia="FangSong" w:cs="FangSong"/>
          <w:sz w:val="23"/>
          <w:szCs w:val="23"/>
        </w:rPr>
        <w:t>行维护费、办公费、印制费、差旅费、其他商品服务费、会议</w:t>
      </w:r>
      <w:r>
        <w:rPr>
          <w:rFonts w:ascii="FangSong" w:hAnsi="FangSong" w:eastAsia="FangSong" w:cs="FangSong"/>
          <w:sz w:val="23"/>
          <w:szCs w:val="23"/>
          <w:spacing w:val="-1"/>
        </w:rPr>
        <w:t>费；</w:t>
      </w:r>
    </w:p>
    <w:p>
      <w:pPr>
        <w:ind w:left="1259" w:right="1223"/>
        <w:spacing w:before="1" w:line="323" w:lineRule="auto"/>
        <w:jc w:val="both"/>
        <w:rPr>
          <w:rFonts w:ascii="FangSong" w:hAnsi="FangSong" w:eastAsia="FangSong" w:cs="FangSong"/>
          <w:sz w:val="23"/>
          <w:szCs w:val="23"/>
        </w:rPr>
      </w:pPr>
      <w:r>
        <w:rPr>
          <w:rFonts w:ascii="FangSong" w:hAnsi="FangSong" w:eastAsia="FangSong" w:cs="FangSong"/>
          <w:sz w:val="23"/>
          <w:szCs w:val="23"/>
          <w:spacing w:val="2"/>
        </w:rPr>
        <w:t>2、项目支出中下拨各乡镇的项目经费，支付各项培训费用，拨付各单位2022年及2023年度全</w:t>
      </w:r>
      <w:r>
        <w:rPr>
          <w:rFonts w:ascii="FangSong" w:hAnsi="FangSong" w:eastAsia="FangSong" w:cs="FangSong"/>
          <w:sz w:val="23"/>
          <w:szCs w:val="23"/>
          <w:spacing w:val="10"/>
        </w:rPr>
        <w:t xml:space="preserve"> </w:t>
      </w:r>
      <w:r>
        <w:rPr>
          <w:rFonts w:ascii="FangSong" w:hAnsi="FangSong" w:eastAsia="FangSong" w:cs="FangSong"/>
          <w:sz w:val="23"/>
          <w:szCs w:val="23"/>
          <w:spacing w:val="10"/>
        </w:rPr>
        <w:t>县考核奖金费等。较上年决算增加32.97万元，增长3.92%，主</w:t>
      </w:r>
      <w:r>
        <w:rPr>
          <w:rFonts w:ascii="FangSong" w:hAnsi="FangSong" w:eastAsia="FangSong" w:cs="FangSong"/>
          <w:sz w:val="23"/>
          <w:szCs w:val="23"/>
          <w:spacing w:val="9"/>
        </w:rPr>
        <w:t>要原因是2024年拨付各单位</w:t>
      </w:r>
      <w:r>
        <w:rPr>
          <w:rFonts w:ascii="FangSong" w:hAnsi="FangSong" w:eastAsia="FangSong" w:cs="FangSong"/>
          <w:sz w:val="23"/>
          <w:szCs w:val="23"/>
        </w:rPr>
        <w:t xml:space="preserve"> </w:t>
      </w:r>
      <w:r>
        <w:rPr>
          <w:rFonts w:ascii="FangSong" w:hAnsi="FangSong" w:eastAsia="FangSong" w:cs="FangSong"/>
          <w:sz w:val="23"/>
          <w:szCs w:val="23"/>
          <w:spacing w:val="2"/>
        </w:rPr>
        <w:t>2022年度市、县级担当作为干部奖金51万；2022年度嘉奖、三等功奖金159.6万元、2022年度</w:t>
      </w:r>
      <w:r>
        <w:rPr>
          <w:rFonts w:ascii="FangSong" w:hAnsi="FangSong" w:eastAsia="FangSong" w:cs="FangSong"/>
          <w:sz w:val="23"/>
          <w:szCs w:val="23"/>
        </w:rPr>
        <w:t xml:space="preserve"> </w:t>
      </w:r>
      <w:r>
        <w:rPr>
          <w:rFonts w:ascii="FangSong" w:hAnsi="FangSong" w:eastAsia="FangSong" w:cs="FangSong"/>
          <w:sz w:val="23"/>
          <w:szCs w:val="23"/>
          <w:spacing w:val="-1"/>
        </w:rPr>
        <w:t>考核奖310.31万元；</w:t>
      </w:r>
    </w:p>
    <w:p>
      <w:pPr>
        <w:ind w:left="1263" w:right="1223" w:hanging="4"/>
        <w:spacing w:before="1" w:line="325" w:lineRule="auto"/>
        <w:rPr>
          <w:rFonts w:ascii="FangSong" w:hAnsi="FangSong" w:eastAsia="FangSong" w:cs="FangSong"/>
          <w:sz w:val="23"/>
          <w:szCs w:val="23"/>
        </w:rPr>
      </w:pPr>
      <w:r>
        <w:rPr>
          <w:rFonts w:ascii="FangSong" w:hAnsi="FangSong" w:eastAsia="FangSong" w:cs="FangSong"/>
          <w:sz w:val="23"/>
          <w:szCs w:val="23"/>
          <w:spacing w:val="5"/>
        </w:rPr>
        <w:t>2024年驻村工作人员增加，下拨给各单位驻村干部生活补助经费相应增加，2024</w:t>
      </w:r>
      <w:r>
        <w:rPr>
          <w:rFonts w:ascii="FangSong" w:hAnsi="FangSong" w:eastAsia="FangSong" w:cs="FangSong"/>
          <w:sz w:val="23"/>
          <w:szCs w:val="23"/>
          <w:spacing w:val="4"/>
        </w:rPr>
        <w:t>年其他组织</w:t>
      </w:r>
      <w:r>
        <w:rPr>
          <w:rFonts w:ascii="FangSong" w:hAnsi="FangSong" w:eastAsia="FangSong" w:cs="FangSong"/>
          <w:sz w:val="23"/>
          <w:szCs w:val="23"/>
        </w:rPr>
        <w:t xml:space="preserve"> </w:t>
      </w:r>
      <w:r>
        <w:rPr>
          <w:rFonts w:ascii="FangSong" w:hAnsi="FangSong" w:eastAsia="FangSong" w:cs="FangSong"/>
          <w:sz w:val="23"/>
          <w:szCs w:val="23"/>
        </w:rPr>
        <w:t>事务支出583.13万元，2023年其他组织事务支出511.99万元，增加13.89%；</w:t>
      </w:r>
    </w:p>
    <w:p>
      <w:pPr>
        <w:ind w:left="1265"/>
        <w:spacing w:line="222" w:lineRule="auto"/>
        <w:rPr>
          <w:rFonts w:ascii="FangSong" w:hAnsi="FangSong" w:eastAsia="FangSong" w:cs="FangSong"/>
          <w:sz w:val="23"/>
          <w:szCs w:val="23"/>
        </w:rPr>
      </w:pPr>
      <w:r>
        <w:rPr>
          <w:rFonts w:ascii="FangSong" w:hAnsi="FangSong" w:eastAsia="FangSong" w:cs="FangSong"/>
          <w:sz w:val="23"/>
          <w:szCs w:val="23"/>
        </w:rPr>
        <w:t>其他项目经费由于财政局11月收回资金，导致支</w:t>
      </w:r>
      <w:r>
        <w:rPr>
          <w:rFonts w:ascii="FangSong" w:hAnsi="FangSong" w:eastAsia="FangSong" w:cs="FangSong"/>
          <w:sz w:val="23"/>
          <w:szCs w:val="23"/>
          <w:spacing w:val="-1"/>
        </w:rPr>
        <w:t>出减少。</w:t>
      </w:r>
    </w:p>
    <w:p>
      <w:pPr>
        <w:ind w:left="1257" w:right="1223" w:firstLine="467"/>
        <w:spacing w:before="124" w:line="324"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年初预算59.33</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出决算52.43万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10"/>
        </w:rPr>
        <w:t>88.37%，用于缴纳单位人员养老保险，职业年金，退休人员绩效。较上年决算增加3.92万</w:t>
      </w:r>
      <w:r>
        <w:rPr>
          <w:rFonts w:ascii="FangSong" w:hAnsi="FangSong" w:eastAsia="FangSong" w:cs="FangSong"/>
          <w:sz w:val="23"/>
          <w:szCs w:val="23"/>
          <w:spacing w:val="7"/>
        </w:rPr>
        <w:t xml:space="preserve"> </w:t>
      </w:r>
      <w:r>
        <w:rPr>
          <w:rFonts w:ascii="FangSong" w:hAnsi="FangSong" w:eastAsia="FangSong" w:cs="FangSong"/>
          <w:sz w:val="23"/>
          <w:szCs w:val="23"/>
          <w:spacing w:val="5"/>
        </w:rPr>
        <w:t>元，增长8.08%，主要原因是单位招才引智引进4名研究生事业人员，为其缴纳养老保险和职</w:t>
      </w:r>
      <w:r>
        <w:rPr>
          <w:rFonts w:ascii="FangSong" w:hAnsi="FangSong" w:eastAsia="FangSong" w:cs="FangSong"/>
          <w:sz w:val="23"/>
          <w:szCs w:val="23"/>
          <w:spacing w:val="2"/>
        </w:rPr>
        <w:t xml:space="preserve"> </w:t>
      </w:r>
      <w:r>
        <w:rPr>
          <w:rFonts w:ascii="FangSong" w:hAnsi="FangSong" w:eastAsia="FangSong" w:cs="FangSong"/>
          <w:sz w:val="23"/>
          <w:szCs w:val="23"/>
          <w:spacing w:val="-1"/>
        </w:rPr>
        <w:t>业年金相应增加。</w:t>
      </w:r>
    </w:p>
    <w:p>
      <w:pPr>
        <w:ind w:left="1264" w:right="1223" w:firstLine="463"/>
        <w:spacing w:before="7" w:line="321"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卫生健康支出年初预算22.02万元，支出决算</w:t>
      </w:r>
      <w:r>
        <w:rPr>
          <w:rFonts w:ascii="FangSong" w:hAnsi="FangSong" w:eastAsia="FangSong" w:cs="FangSong"/>
          <w:sz w:val="23"/>
          <w:szCs w:val="23"/>
          <w:spacing w:val="4"/>
        </w:rPr>
        <w:t>19.07万元，完成年初预算的86.60%，用于</w:t>
      </w:r>
      <w:r>
        <w:rPr>
          <w:rFonts w:ascii="FangSong" w:hAnsi="FangSong" w:eastAsia="FangSong" w:cs="FangSong"/>
          <w:sz w:val="23"/>
          <w:szCs w:val="23"/>
        </w:rPr>
        <w:t xml:space="preserve"> </w:t>
      </w:r>
      <w:r>
        <w:rPr>
          <w:rFonts w:ascii="FangSong" w:hAnsi="FangSong" w:eastAsia="FangSong" w:cs="FangSong"/>
          <w:sz w:val="23"/>
          <w:szCs w:val="23"/>
          <w:spacing w:val="2"/>
        </w:rPr>
        <w:t>缴纳单位人员医疗保险。较上年决算减少1.75万元，下降8.41%，主要原因是2024年单位退休</w:t>
      </w:r>
      <w:r>
        <w:rPr>
          <w:rFonts w:ascii="FangSong" w:hAnsi="FangSong" w:eastAsia="FangSong" w:cs="FangSong"/>
          <w:sz w:val="23"/>
          <w:szCs w:val="23"/>
          <w:spacing w:val="1"/>
        </w:rPr>
        <w:t xml:space="preserve"> </w:t>
      </w:r>
      <w:r>
        <w:rPr>
          <w:rFonts w:ascii="FangSong" w:hAnsi="FangSong" w:eastAsia="FangSong" w:cs="FangSong"/>
          <w:sz w:val="23"/>
          <w:szCs w:val="23"/>
        </w:rPr>
        <w:t>1名公务员，调出外地4名公务员，缴纳医疗保险相应</w:t>
      </w:r>
      <w:r>
        <w:rPr>
          <w:rFonts w:ascii="FangSong" w:hAnsi="FangSong" w:eastAsia="FangSong" w:cs="FangSong"/>
          <w:sz w:val="23"/>
          <w:szCs w:val="23"/>
          <w:spacing w:val="-1"/>
        </w:rPr>
        <w:t>减少。</w:t>
      </w:r>
    </w:p>
    <w:p>
      <w:pPr>
        <w:ind w:left="1264" w:right="1223" w:firstLine="460"/>
        <w:spacing w:before="10" w:line="321"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住房保障支出年初预算41.09万元，支出决算34.5</w:t>
      </w:r>
      <w:r>
        <w:rPr>
          <w:rFonts w:ascii="FangSong" w:hAnsi="FangSong" w:eastAsia="FangSong" w:cs="FangSong"/>
          <w:sz w:val="23"/>
          <w:szCs w:val="23"/>
          <w:spacing w:val="4"/>
        </w:rPr>
        <w:t>5万元，完成年初预算的84.08%，用于</w:t>
      </w:r>
      <w:r>
        <w:rPr>
          <w:rFonts w:ascii="FangSong" w:hAnsi="FangSong" w:eastAsia="FangSong" w:cs="FangSong"/>
          <w:sz w:val="23"/>
          <w:szCs w:val="23"/>
        </w:rPr>
        <w:t xml:space="preserve"> </w:t>
      </w:r>
      <w:r>
        <w:rPr>
          <w:rFonts w:ascii="FangSong" w:hAnsi="FangSong" w:eastAsia="FangSong" w:cs="FangSong"/>
          <w:sz w:val="23"/>
          <w:szCs w:val="23"/>
          <w:spacing w:val="2"/>
        </w:rPr>
        <w:t>缴纳单位人员住房公积金。较上年决算减少3.75万元，下降9.79%，主要原因是2024年单位退</w:t>
      </w:r>
      <w:r>
        <w:rPr>
          <w:rFonts w:ascii="FangSong" w:hAnsi="FangSong" w:eastAsia="FangSong" w:cs="FangSong"/>
          <w:sz w:val="23"/>
          <w:szCs w:val="23"/>
          <w:spacing w:val="1"/>
        </w:rPr>
        <w:t xml:space="preserve"> </w:t>
      </w:r>
      <w:r>
        <w:rPr>
          <w:rFonts w:ascii="FangSong" w:hAnsi="FangSong" w:eastAsia="FangSong" w:cs="FangSong"/>
          <w:sz w:val="23"/>
          <w:szCs w:val="23"/>
          <w:spacing w:val="-1"/>
        </w:rPr>
        <w:t>休1名公务员，调出外地4名公务员。</w:t>
      </w:r>
    </w:p>
    <w:p>
      <w:pPr>
        <w:ind w:left="1723"/>
        <w:spacing w:before="7"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2024年度财政拨款基本支出396.02万元，其中：</w:t>
      </w:r>
    </w:p>
    <w:p>
      <w:pPr>
        <w:ind w:left="1267" w:right="1223" w:firstLine="461"/>
        <w:spacing w:before="123" w:line="325" w:lineRule="auto"/>
        <w:rPr>
          <w:rFonts w:ascii="FangSong" w:hAnsi="FangSong" w:eastAsia="FangSong" w:cs="FangSong"/>
          <w:sz w:val="23"/>
          <w:szCs w:val="23"/>
        </w:rPr>
      </w:pPr>
      <w:r>
        <w:rPr>
          <w:rFonts w:ascii="FangSong" w:hAnsi="FangSong" w:eastAsia="FangSong" w:cs="FangSong"/>
          <w:sz w:val="23"/>
          <w:szCs w:val="23"/>
          <w:spacing w:val="2"/>
        </w:rPr>
        <w:t>人员经费375.25万元，主要包括工资福利支出361.79万元，对个人和家庭的补助13.</w:t>
      </w:r>
      <w:r>
        <w:rPr>
          <w:rFonts w:ascii="FangSong" w:hAnsi="FangSong" w:eastAsia="FangSong" w:cs="FangSong"/>
          <w:sz w:val="23"/>
          <w:szCs w:val="23"/>
          <w:spacing w:val="1"/>
        </w:rPr>
        <w:t>46万</w:t>
      </w:r>
      <w:r>
        <w:rPr>
          <w:rFonts w:ascii="FangSong" w:hAnsi="FangSong" w:eastAsia="FangSong" w:cs="FangSong"/>
          <w:sz w:val="23"/>
          <w:szCs w:val="23"/>
        </w:rPr>
        <w:t xml:space="preserve"> </w:t>
      </w:r>
      <w:r>
        <w:rPr>
          <w:rFonts w:ascii="FangSong" w:hAnsi="FangSong" w:eastAsia="FangSong" w:cs="FangSong"/>
          <w:sz w:val="23"/>
          <w:szCs w:val="23"/>
          <w:spacing w:val="-10"/>
        </w:rPr>
        <w:t>元；</w:t>
      </w:r>
    </w:p>
    <w:p>
      <w:pPr>
        <w:ind w:left="1267" w:right="1223" w:firstLine="462"/>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公用经费20.77万元，主要包括办公费30600元、印刷费36800元、差旅费200</w:t>
      </w:r>
      <w:r>
        <w:rPr>
          <w:rFonts w:ascii="FangSong" w:hAnsi="FangSong" w:eastAsia="FangSong" w:cs="FangSong"/>
          <w:sz w:val="23"/>
          <w:szCs w:val="23"/>
          <w:spacing w:val="1"/>
        </w:rPr>
        <w:t>0元、工会经</w:t>
      </w:r>
      <w:r>
        <w:rPr>
          <w:rFonts w:ascii="FangSong" w:hAnsi="FangSong" w:eastAsia="FangSong" w:cs="FangSong"/>
          <w:sz w:val="23"/>
          <w:szCs w:val="23"/>
        </w:rPr>
        <w:t xml:space="preserve"> </w:t>
      </w:r>
      <w:r>
        <w:rPr>
          <w:rFonts w:ascii="FangSong" w:hAnsi="FangSong" w:eastAsia="FangSong" w:cs="FangSong"/>
          <w:sz w:val="23"/>
          <w:szCs w:val="23"/>
          <w:spacing w:val="4"/>
        </w:rPr>
        <w:t>费4200元、公务用车运行维护费20000元、其他交通费用112000元、其他商品和服务支出200</w:t>
      </w:r>
      <w:r>
        <w:rPr>
          <w:rFonts w:ascii="FangSong" w:hAnsi="FangSong" w:eastAsia="FangSong" w:cs="FangSong"/>
          <w:sz w:val="23"/>
          <w:szCs w:val="23"/>
          <w:spacing w:val="11"/>
        </w:rPr>
        <w:t xml:space="preserve"> </w:t>
      </w:r>
      <w:r>
        <w:rPr>
          <w:rFonts w:ascii="FangSong" w:hAnsi="FangSong" w:eastAsia="FangSong" w:cs="FangSong"/>
          <w:sz w:val="23"/>
          <w:szCs w:val="23"/>
          <w:spacing w:val="-10"/>
        </w:rPr>
        <w:t>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30" w:line="229"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spacing w:line="221" w:lineRule="auto"/>
        <w:sectPr>
          <w:headerReference w:type="default" r:id="rId31"/>
          <w:footerReference w:type="default" r:id="rId32"/>
          <w:pgSz w:w="11900" w:h="16840"/>
          <w:pgMar w:top="642" w:right="0" w:bottom="340" w:left="0" w:header="326" w:footer="111" w:gutter="0"/>
        </w:sectPr>
        <w:rPr>
          <w:rFonts w:ascii="SimHei" w:hAnsi="SimHei" w:eastAsia="SimHei" w:cs="SimHei"/>
          <w:sz w:val="23"/>
          <w:szCs w:val="23"/>
        </w:rPr>
      </w:pPr>
    </w:p>
    <w:p>
      <w:pPr>
        <w:pStyle w:val="BodyText"/>
        <w:spacing w:line="281" w:lineRule="auto"/>
        <w:rPr/>
      </w:pPr>
      <w:r/>
    </w:p>
    <w:p>
      <w:pPr>
        <w:pStyle w:val="BodyText"/>
        <w:spacing w:line="282" w:lineRule="auto"/>
        <w:rPr/>
      </w:pPr>
      <w:r/>
    </w:p>
    <w:p>
      <w:pPr>
        <w:ind w:left="1265" w:right="1223" w:firstLine="454"/>
        <w:spacing w:before="75" w:line="324" w:lineRule="auto"/>
        <w:jc w:val="both"/>
        <w:rPr>
          <w:rFonts w:ascii="FangSong" w:hAnsi="FangSong" w:eastAsia="FangSong" w:cs="FangSong"/>
          <w:sz w:val="23"/>
          <w:szCs w:val="23"/>
        </w:rPr>
      </w:pPr>
      <w:bookmarkStart w:name="bookmark42" w:id="39"/>
      <w:bookmarkEnd w:id="39"/>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”经费财政拨款支出全年预算2.00万元，支出决算2.00万元，完成全年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预算的100.00%，比上年度增加0.01万元，增长0.5%，主要原因是：公务用车运行维护费</w:t>
      </w:r>
      <w:r>
        <w:rPr>
          <w:rFonts w:ascii="FangSong" w:hAnsi="FangSong" w:eastAsia="FangSong" w:cs="FangSong"/>
          <w:sz w:val="23"/>
          <w:szCs w:val="23"/>
          <w:spacing w:val="1"/>
        </w:rPr>
        <w:t>中燃</w:t>
      </w:r>
      <w:r>
        <w:rPr>
          <w:rFonts w:ascii="FangSong" w:hAnsi="FangSong" w:eastAsia="FangSong" w:cs="FangSong"/>
          <w:sz w:val="23"/>
          <w:szCs w:val="23"/>
        </w:rPr>
        <w:t xml:space="preserve"> </w:t>
      </w:r>
      <w:r>
        <w:rPr>
          <w:rFonts w:ascii="FangSong" w:hAnsi="FangSong" w:eastAsia="FangSong" w:cs="FangSong"/>
          <w:sz w:val="23"/>
          <w:szCs w:val="23"/>
          <w:spacing w:val="-2"/>
        </w:rPr>
        <w:t>油费支出略增加。其中：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287" w:right="1223" w:firstLine="442"/>
        <w:spacing w:before="8" w:line="321" w:lineRule="auto"/>
        <w:rPr>
          <w:rFonts w:ascii="FangSong" w:hAnsi="FangSong" w:eastAsia="FangSong" w:cs="FangSong"/>
          <w:sz w:val="23"/>
          <w:szCs w:val="23"/>
        </w:rPr>
      </w:pPr>
      <w:r>
        <w:rPr>
          <w:rFonts w:ascii="FangSong" w:hAnsi="FangSong" w:eastAsia="FangSong" w:cs="FangSong"/>
          <w:sz w:val="23"/>
          <w:szCs w:val="23"/>
          <w:spacing w:val="8"/>
        </w:rPr>
        <w:t>公务用车购置费支出0万元，与上年相同，主要原因是：本单位无因公出国（境）费支</w:t>
      </w:r>
      <w:r>
        <w:rPr>
          <w:rFonts w:ascii="FangSong" w:hAnsi="FangSong" w:eastAsia="FangSong" w:cs="FangSong"/>
          <w:sz w:val="23"/>
          <w:szCs w:val="23"/>
          <w:spacing w:val="16"/>
        </w:rPr>
        <w:t xml:space="preserve"> </w:t>
      </w:r>
      <w:r>
        <w:rPr>
          <w:rFonts w:ascii="FangSong" w:hAnsi="FangSong" w:eastAsia="FangSong" w:cs="FangSong"/>
          <w:sz w:val="23"/>
          <w:szCs w:val="23"/>
          <w:spacing w:val="-20"/>
        </w:rPr>
        <w:t>出；</w:t>
      </w:r>
    </w:p>
    <w:p>
      <w:pPr>
        <w:ind w:left="1263" w:right="1271" w:firstLine="465"/>
        <w:spacing w:before="1" w:line="325" w:lineRule="auto"/>
        <w:rPr>
          <w:rFonts w:ascii="FangSong" w:hAnsi="FangSong" w:eastAsia="FangSong" w:cs="FangSong"/>
          <w:sz w:val="23"/>
          <w:szCs w:val="23"/>
        </w:rPr>
      </w:pPr>
      <w:r>
        <w:rPr>
          <w:rFonts w:ascii="FangSong" w:hAnsi="FangSong" w:eastAsia="FangSong" w:cs="FangSong"/>
          <w:sz w:val="23"/>
          <w:szCs w:val="23"/>
          <w:spacing w:val="1"/>
        </w:rPr>
        <w:t>公务用车运行维护费支出2.00万元，完成全年预算的100.00%，比上年度增加0.0</w:t>
      </w:r>
      <w:r>
        <w:rPr>
          <w:rFonts w:ascii="FangSong" w:hAnsi="FangSong" w:eastAsia="FangSong" w:cs="FangSong"/>
          <w:sz w:val="23"/>
          <w:szCs w:val="23"/>
        </w:rPr>
        <w:t>1万元，</w:t>
      </w:r>
      <w:r>
        <w:rPr>
          <w:rFonts w:ascii="FangSong" w:hAnsi="FangSong" w:eastAsia="FangSong" w:cs="FangSong"/>
          <w:sz w:val="23"/>
          <w:szCs w:val="23"/>
        </w:rPr>
        <w:t xml:space="preserve"> </w:t>
      </w:r>
      <w:r>
        <w:rPr>
          <w:rFonts w:ascii="FangSong" w:hAnsi="FangSong" w:eastAsia="FangSong" w:cs="FangSong"/>
          <w:sz w:val="23"/>
          <w:szCs w:val="23"/>
        </w:rPr>
        <w:t>增长0.5%，主要原因是：公务用车运行维护费中燃油费较上年增加；</w:t>
      </w:r>
    </w:p>
    <w:p>
      <w:pPr>
        <w:ind w:left="1729"/>
        <w:spacing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公务接待费支出0万元，与上年相同，主要原因是：本单位无因公出国（境）费支出。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36" w:line="27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70" w:right="1223" w:firstLine="450"/>
        <w:spacing w:before="121" w:line="275"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25" w:line="271" w:lineRule="auto"/>
        <w:rPr>
          <w:rFonts w:ascii="FangSong" w:hAnsi="FangSong" w:eastAsia="FangSong" w:cs="FangSong"/>
          <w:sz w:val="23"/>
          <w:szCs w:val="23"/>
        </w:rPr>
      </w:pPr>
      <w:r>
        <w:rPr>
          <w:rFonts w:ascii="FangSong" w:hAnsi="FangSong" w:eastAsia="FangSong" w:cs="FangSong"/>
          <w:sz w:val="23"/>
          <w:szCs w:val="23"/>
          <w:spacing w:val="5"/>
        </w:rPr>
        <w:t>3、公务用车运行维护费支出2.00万元，使用财政拨款负担的公务用车保有量共1辆，主</w:t>
      </w:r>
      <w:r>
        <w:rPr>
          <w:rFonts w:ascii="FangSong" w:hAnsi="FangSong" w:eastAsia="FangSong" w:cs="FangSong"/>
          <w:sz w:val="23"/>
          <w:szCs w:val="23"/>
          <w:spacing w:val="7"/>
        </w:rPr>
        <w:t xml:space="preserve"> </w:t>
      </w:r>
      <w:r>
        <w:rPr>
          <w:rFonts w:ascii="FangSong" w:hAnsi="FangSong" w:eastAsia="FangSong" w:cs="FangSong"/>
          <w:sz w:val="23"/>
          <w:szCs w:val="23"/>
        </w:rPr>
        <w:t>要用于：公务用车燃料费、维修费、过路过桥费、保险费、安全奖励费用等支出。</w:t>
      </w:r>
    </w:p>
    <w:p>
      <w:pPr>
        <w:ind w:left="1263" w:right="1222" w:firstLine="453"/>
        <w:spacing w:before="137"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spacing w:val="8"/>
        </w:rPr>
        <w:t>（境）外接待费0万元，共接待国（境）外0批次，0人次，主要是本单位无国（境）外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721"/>
        <w:spacing w:before="119" w:line="227"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57" w:right="1223" w:firstLine="463"/>
        <w:spacing w:before="135" w:line="323" w:lineRule="auto"/>
        <w:jc w:val="both"/>
        <w:rPr>
          <w:rFonts w:ascii="FangSong" w:hAnsi="FangSong" w:eastAsia="FangSong" w:cs="FangSong"/>
          <w:sz w:val="23"/>
          <w:szCs w:val="23"/>
        </w:rPr>
      </w:pPr>
      <w:r>
        <w:rPr>
          <w:rFonts w:ascii="FangSong" w:hAnsi="FangSong" w:eastAsia="FangSong" w:cs="FangSong"/>
          <w:sz w:val="23"/>
          <w:szCs w:val="23"/>
          <w:spacing w:val="6"/>
        </w:rPr>
        <w:t>2024年机关运行经费支出20.77万元，</w:t>
      </w:r>
      <w:r>
        <w:rPr>
          <w:rFonts w:ascii="FangSong" w:hAnsi="FangSong" w:eastAsia="FangSong" w:cs="FangSong"/>
          <w:sz w:val="23"/>
          <w:szCs w:val="23"/>
          <w:spacing w:val="-62"/>
        </w:rPr>
        <w:t xml:space="preserve"> </w:t>
      </w:r>
      <w:r>
        <w:rPr>
          <w:rFonts w:ascii="FangSong" w:hAnsi="FangSong" w:eastAsia="FangSong" w:cs="FangSong"/>
          <w:sz w:val="23"/>
          <w:szCs w:val="23"/>
          <w:spacing w:val="6"/>
        </w:rPr>
        <w:t>比2023年增加2.</w:t>
      </w:r>
      <w:r>
        <w:rPr>
          <w:rFonts w:ascii="FangSong" w:hAnsi="FangSong" w:eastAsia="FangSong" w:cs="FangSong"/>
          <w:sz w:val="23"/>
          <w:szCs w:val="23"/>
          <w:spacing w:val="5"/>
        </w:rPr>
        <w:t>53万元，增长13.87%，主要原因</w:t>
      </w:r>
      <w:r>
        <w:rPr>
          <w:rFonts w:ascii="FangSong" w:hAnsi="FangSong" w:eastAsia="FangSong" w:cs="FangSong"/>
          <w:sz w:val="23"/>
          <w:szCs w:val="23"/>
        </w:rPr>
        <w:t xml:space="preserve"> </w:t>
      </w:r>
      <w:r>
        <w:rPr>
          <w:rFonts w:ascii="FangSong" w:hAnsi="FangSong" w:eastAsia="FangSong" w:cs="FangSong"/>
          <w:sz w:val="23"/>
          <w:szCs w:val="23"/>
          <w:spacing w:val="5"/>
        </w:rPr>
        <w:t>2024年办公费30600元</w:t>
      </w:r>
      <w:r>
        <w:rPr>
          <w:rFonts w:ascii="FangSong" w:hAnsi="FangSong" w:eastAsia="FangSong" w:cs="FangSong"/>
          <w:sz w:val="23"/>
          <w:szCs w:val="23"/>
          <w:spacing w:val="-49"/>
        </w:rPr>
        <w:t xml:space="preserve"> </w:t>
      </w:r>
      <w:r>
        <w:rPr>
          <w:rFonts w:ascii="FangSong" w:hAnsi="FangSong" w:eastAsia="FangSong" w:cs="FangSong"/>
          <w:sz w:val="23"/>
          <w:szCs w:val="23"/>
          <w:spacing w:val="5"/>
        </w:rPr>
        <w:t>，较上年600元</w:t>
      </w:r>
      <w:r>
        <w:rPr>
          <w:rFonts w:ascii="FangSong" w:hAnsi="FangSong" w:eastAsia="FangSong" w:cs="FangSong"/>
          <w:sz w:val="23"/>
          <w:szCs w:val="23"/>
          <w:spacing w:val="-66"/>
        </w:rPr>
        <w:t xml:space="preserve"> </w:t>
      </w:r>
      <w:r>
        <w:rPr>
          <w:rFonts w:ascii="FangSong" w:hAnsi="FangSong" w:eastAsia="FangSong" w:cs="FangSong"/>
          <w:sz w:val="23"/>
          <w:szCs w:val="23"/>
          <w:spacing w:val="5"/>
        </w:rPr>
        <w:t>，增加30000元</w:t>
      </w:r>
      <w:r>
        <w:rPr>
          <w:rFonts w:ascii="FangSong" w:hAnsi="FangSong" w:eastAsia="FangSong" w:cs="FangSong"/>
          <w:sz w:val="23"/>
          <w:szCs w:val="23"/>
          <w:spacing w:val="-67"/>
        </w:rPr>
        <w:t xml:space="preserve"> </w:t>
      </w:r>
      <w:r>
        <w:rPr>
          <w:rFonts w:ascii="FangSong" w:hAnsi="FangSong" w:eastAsia="FangSong" w:cs="FangSong"/>
          <w:sz w:val="23"/>
          <w:szCs w:val="23"/>
          <w:spacing w:val="5"/>
        </w:rPr>
        <w:t>；</w:t>
      </w:r>
      <w:r>
        <w:rPr>
          <w:rFonts w:ascii="FangSong" w:hAnsi="FangSong" w:eastAsia="FangSong" w:cs="FangSong"/>
          <w:sz w:val="23"/>
          <w:szCs w:val="23"/>
          <w:spacing w:val="-63"/>
        </w:rPr>
        <w:t xml:space="preserve"> </w:t>
      </w:r>
      <w:r>
        <w:rPr>
          <w:rFonts w:ascii="FangSong" w:hAnsi="FangSong" w:eastAsia="FangSong" w:cs="FangSong"/>
          <w:sz w:val="23"/>
          <w:szCs w:val="23"/>
          <w:spacing w:val="5"/>
        </w:rPr>
        <w:t>印刷费38600元</w:t>
      </w:r>
      <w:r>
        <w:rPr>
          <w:rFonts w:ascii="FangSong" w:hAnsi="FangSong" w:eastAsia="FangSong" w:cs="FangSong"/>
          <w:sz w:val="23"/>
          <w:szCs w:val="23"/>
          <w:spacing w:val="-67"/>
        </w:rPr>
        <w:t xml:space="preserve"> </w:t>
      </w:r>
      <w:r>
        <w:rPr>
          <w:rFonts w:ascii="FangSong" w:hAnsi="FangSong" w:eastAsia="FangSong" w:cs="FangSong"/>
          <w:sz w:val="23"/>
          <w:szCs w:val="23"/>
          <w:spacing w:val="5"/>
        </w:rPr>
        <w:t>，较上年0元</w:t>
      </w:r>
      <w:r>
        <w:rPr>
          <w:rFonts w:ascii="FangSong" w:hAnsi="FangSong" w:eastAsia="FangSong" w:cs="FangSong"/>
          <w:sz w:val="23"/>
          <w:szCs w:val="23"/>
          <w:spacing w:val="-66"/>
        </w:rPr>
        <w:t xml:space="preserve"> </w:t>
      </w:r>
      <w:r>
        <w:rPr>
          <w:rFonts w:ascii="FangSong" w:hAnsi="FangSong" w:eastAsia="FangSong" w:cs="FangSong"/>
          <w:sz w:val="23"/>
          <w:szCs w:val="23"/>
          <w:spacing w:val="5"/>
        </w:rPr>
        <w:t>，增加</w:t>
      </w:r>
      <w:r>
        <w:rPr>
          <w:rFonts w:ascii="FangSong" w:hAnsi="FangSong" w:eastAsia="FangSong" w:cs="FangSong"/>
          <w:sz w:val="23"/>
          <w:szCs w:val="23"/>
        </w:rPr>
        <w:t xml:space="preserve"> </w:t>
      </w:r>
      <w:r>
        <w:rPr>
          <w:rFonts w:ascii="FangSong" w:hAnsi="FangSong" w:eastAsia="FangSong" w:cs="FangSong"/>
          <w:sz w:val="23"/>
          <w:szCs w:val="23"/>
          <w:spacing w:val="2"/>
        </w:rPr>
        <w:t>38600元；差旅费200元，较上年5200元，减少5000元；工会经费4200元，较上年1320</w:t>
      </w:r>
      <w:r>
        <w:rPr>
          <w:rFonts w:ascii="FangSong" w:hAnsi="FangSong" w:eastAsia="FangSong" w:cs="FangSong"/>
          <w:sz w:val="23"/>
          <w:szCs w:val="23"/>
          <w:spacing w:val="1"/>
        </w:rPr>
        <w:t>0元减少</w:t>
      </w:r>
      <w:r>
        <w:rPr>
          <w:rFonts w:ascii="FangSong" w:hAnsi="FangSong" w:eastAsia="FangSong" w:cs="FangSong"/>
          <w:sz w:val="23"/>
          <w:szCs w:val="23"/>
        </w:rPr>
        <w:t xml:space="preserve"> </w:t>
      </w:r>
      <w:r>
        <w:rPr>
          <w:rFonts w:ascii="FangSong" w:hAnsi="FangSong" w:eastAsia="FangSong" w:cs="FangSong"/>
          <w:sz w:val="23"/>
          <w:szCs w:val="23"/>
          <w:spacing w:val="4"/>
        </w:rPr>
        <w:t>9000元；公务运行维护费20000元，较上年19900元，增加100元；福利费0元，较上年2000元</w:t>
      </w:r>
      <w:r>
        <w:rPr>
          <w:rFonts w:ascii="FangSong" w:hAnsi="FangSong" w:eastAsia="FangSong" w:cs="FangSong"/>
          <w:sz w:val="23"/>
          <w:szCs w:val="23"/>
          <w:spacing w:val="13"/>
        </w:rPr>
        <w:t xml:space="preserve"> </w:t>
      </w:r>
      <w:r>
        <w:rPr>
          <w:rFonts w:ascii="FangSong" w:hAnsi="FangSong" w:eastAsia="FangSong" w:cs="FangSong"/>
          <w:sz w:val="23"/>
          <w:szCs w:val="23"/>
          <w:spacing w:val="9"/>
        </w:rPr>
        <w:t>减少2000元；其他交通费112000，较上年135900元减少23900元；</w:t>
      </w:r>
      <w:r>
        <w:rPr>
          <w:rFonts w:ascii="FangSong" w:hAnsi="FangSong" w:eastAsia="FangSong" w:cs="FangSong"/>
          <w:sz w:val="23"/>
          <w:szCs w:val="23"/>
          <w:spacing w:val="8"/>
        </w:rPr>
        <w:t>其他商品和服务支出200</w:t>
      </w:r>
      <w:r>
        <w:rPr>
          <w:rFonts w:ascii="FangSong" w:hAnsi="FangSong" w:eastAsia="FangSong" w:cs="FangSong"/>
          <w:sz w:val="23"/>
          <w:szCs w:val="23"/>
        </w:rPr>
        <w:t xml:space="preserve"> </w:t>
      </w:r>
      <w:r>
        <w:rPr>
          <w:rFonts w:ascii="FangSong" w:hAnsi="FangSong" w:eastAsia="FangSong" w:cs="FangSong"/>
          <w:sz w:val="23"/>
          <w:szCs w:val="23"/>
          <w:spacing w:val="-1"/>
        </w:rPr>
        <w:t>元，较上年5700元减少5500元</w:t>
      </w:r>
    </w:p>
    <w:p>
      <w:pPr>
        <w:ind w:left="1281"/>
        <w:spacing w:before="162"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734"/>
        <w:spacing w:before="136"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4" w:right="1223" w:firstLine="455"/>
        <w:spacing w:before="126" w:line="323" w:lineRule="auto"/>
        <w:jc w:val="both"/>
        <w:rPr>
          <w:rFonts w:ascii="FangSong" w:hAnsi="FangSong" w:eastAsia="FangSong" w:cs="FangSong"/>
          <w:sz w:val="23"/>
          <w:szCs w:val="23"/>
        </w:rPr>
      </w:pPr>
      <w:r>
        <w:rPr>
          <w:rFonts w:ascii="FangSong" w:hAnsi="FangSong" w:eastAsia="FangSong" w:cs="FangSong"/>
          <w:sz w:val="23"/>
          <w:szCs w:val="23"/>
          <w:spacing w:val="5"/>
        </w:rPr>
        <w:t>2024年度政府采购支出总额12.43万元，其中：政府采购货物支出1</w:t>
      </w:r>
      <w:r>
        <w:rPr>
          <w:rFonts w:ascii="FangSong" w:hAnsi="FangSong" w:eastAsia="FangSong" w:cs="FangSong"/>
          <w:sz w:val="23"/>
          <w:szCs w:val="23"/>
          <w:spacing w:val="4"/>
        </w:rPr>
        <w:t>2.43万元、政府采购</w:t>
      </w:r>
      <w:r>
        <w:rPr>
          <w:rFonts w:ascii="FangSong" w:hAnsi="FangSong" w:eastAsia="FangSong" w:cs="FangSong"/>
          <w:sz w:val="23"/>
          <w:szCs w:val="23"/>
        </w:rPr>
        <w:t xml:space="preserve"> </w:t>
      </w:r>
      <w:r>
        <w:rPr>
          <w:rFonts w:ascii="FangSong" w:hAnsi="FangSong" w:eastAsia="FangSong" w:cs="FangSong"/>
          <w:sz w:val="23"/>
          <w:szCs w:val="23"/>
          <w:spacing w:val="4"/>
        </w:rPr>
        <w:t>工程支出0万元、政府采购服务支出0万元。政</w:t>
      </w:r>
      <w:r>
        <w:rPr>
          <w:rFonts w:ascii="FangSong" w:hAnsi="FangSong" w:eastAsia="FangSong" w:cs="FangSong"/>
          <w:sz w:val="23"/>
          <w:szCs w:val="23"/>
          <w:spacing w:val="3"/>
        </w:rPr>
        <w:t>府采购授予中小企业合同金额1.33万元，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占政</w:t>
      </w:r>
      <w:r>
        <w:rPr>
          <w:rFonts w:ascii="FangSong" w:hAnsi="FangSong" w:eastAsia="FangSong" w:cs="FangSong"/>
          <w:sz w:val="23"/>
          <w:szCs w:val="23"/>
        </w:rPr>
        <w:t xml:space="preserve"> </w:t>
      </w:r>
      <w:r>
        <w:rPr>
          <w:rFonts w:ascii="FangSong" w:hAnsi="FangSong" w:eastAsia="FangSong" w:cs="FangSong"/>
          <w:sz w:val="23"/>
          <w:szCs w:val="23"/>
          <w:spacing w:val="3"/>
        </w:rPr>
        <w:t>府采购支出总额的10.70%。其中：授予小微企业合同金额1.33万元，</w:t>
      </w:r>
      <w:r>
        <w:rPr>
          <w:rFonts w:ascii="FangSong" w:hAnsi="FangSong" w:eastAsia="FangSong" w:cs="FangSong"/>
          <w:sz w:val="23"/>
          <w:szCs w:val="23"/>
          <w:spacing w:val="-40"/>
        </w:rPr>
        <w:t xml:space="preserve"> </w:t>
      </w:r>
      <w:r>
        <w:rPr>
          <w:rFonts w:ascii="FangSong" w:hAnsi="FangSong" w:eastAsia="FangSong" w:cs="FangSong"/>
          <w:sz w:val="23"/>
          <w:szCs w:val="23"/>
          <w:spacing w:val="3"/>
        </w:rPr>
        <w:t>占政府采购支出总额的</w:t>
      </w:r>
      <w:r>
        <w:rPr>
          <w:rFonts w:ascii="FangSong" w:hAnsi="FangSong" w:eastAsia="FangSong" w:cs="FangSong"/>
          <w:sz w:val="23"/>
          <w:szCs w:val="23"/>
        </w:rPr>
        <w:t xml:space="preserve"> </w:t>
      </w:r>
      <w:r>
        <w:rPr>
          <w:rFonts w:ascii="FangSong" w:hAnsi="FangSong" w:eastAsia="FangSong" w:cs="FangSong"/>
          <w:sz w:val="23"/>
          <w:szCs w:val="23"/>
          <w:spacing w:val="-3"/>
        </w:rPr>
        <w:t>10.70%。</w:t>
      </w:r>
    </w:p>
    <w:p>
      <w:pPr>
        <w:ind w:left="1734"/>
        <w:spacing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spacing w:line="221" w:lineRule="auto"/>
        <w:sectPr>
          <w:footerReference w:type="default" r:id="rId33"/>
          <w:pgSz w:w="11900" w:h="16840"/>
          <w:pgMar w:top="642" w:right="0" w:bottom="340" w:left="0" w:header="326" w:footer="111" w:gutter="0"/>
        </w:sectPr>
        <w:rPr>
          <w:rFonts w:ascii="SimHei" w:hAnsi="SimHei" w:eastAsia="SimHei" w:cs="SimHei"/>
          <w:sz w:val="23"/>
          <w:szCs w:val="23"/>
        </w:rPr>
      </w:pPr>
    </w:p>
    <w:p>
      <w:pPr>
        <w:pStyle w:val="BodyText"/>
        <w:spacing w:line="281" w:lineRule="auto"/>
        <w:rPr/>
      </w:pPr>
      <w:r/>
    </w:p>
    <w:p>
      <w:pPr>
        <w:pStyle w:val="BodyText"/>
        <w:spacing w:line="282" w:lineRule="auto"/>
        <w:rPr/>
      </w:pPr>
      <w:r/>
    </w:p>
    <w:p>
      <w:pPr>
        <w:ind w:left="1264" w:right="1223" w:firstLine="460"/>
        <w:spacing w:before="75"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日，本部门（单位）共有车辆1辆。其中：机要通信用车1辆，其他用</w:t>
      </w:r>
      <w:r>
        <w:rPr>
          <w:rFonts w:ascii="FangSong" w:hAnsi="FangSong" w:eastAsia="FangSong" w:cs="FangSong"/>
          <w:sz w:val="23"/>
          <w:szCs w:val="23"/>
        </w:rPr>
        <w:t xml:space="preserve"> </w:t>
      </w:r>
      <w:r>
        <w:rPr>
          <w:rFonts w:ascii="FangSong" w:hAnsi="FangSong" w:eastAsia="FangSong" w:cs="FangSong"/>
          <w:sz w:val="23"/>
          <w:szCs w:val="23"/>
          <w:spacing w:val="5"/>
        </w:rPr>
        <w:t>车0辆，其他用车主要是其他用车主要是用于机关机要通信用，保障办公效率。单价100万元</w:t>
      </w:r>
      <w:r>
        <w:rPr>
          <w:rFonts w:ascii="FangSong" w:hAnsi="FangSong" w:eastAsia="FangSong" w:cs="FangSong"/>
          <w:sz w:val="23"/>
          <w:szCs w:val="23"/>
        </w:rPr>
        <w:t xml:space="preserve"> </w:t>
      </w:r>
      <w:r>
        <w:rPr>
          <w:rFonts w:ascii="FangSong" w:hAnsi="FangSong" w:eastAsia="FangSong" w:cs="FangSong"/>
          <w:sz w:val="23"/>
          <w:szCs w:val="23"/>
          <w:spacing w:val="-1"/>
        </w:rPr>
        <w:t>（含）以上设备（不含车辆）0台（套）。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firstLine="1"/>
        <w:spacing w:before="132" w:line="324" w:lineRule="auto"/>
        <w:rPr>
          <w:rFonts w:ascii="FangSong" w:hAnsi="FangSong" w:eastAsia="FangSong" w:cs="FangSong"/>
          <w:sz w:val="23"/>
          <w:szCs w:val="23"/>
        </w:rPr>
      </w:pPr>
      <w:r>
        <w:rPr>
          <w:rFonts w:ascii="FangSong" w:hAnsi="FangSong" w:eastAsia="FangSong" w:cs="FangSong"/>
          <w:sz w:val="23"/>
          <w:szCs w:val="23"/>
          <w:spacing w:val="4"/>
        </w:rPr>
        <w:t>根据预算绩效管理要求，</w:t>
      </w:r>
      <w:r>
        <w:rPr>
          <w:rFonts w:ascii="FangSong" w:hAnsi="FangSong" w:eastAsia="FangSong" w:cs="FangSong"/>
          <w:sz w:val="23"/>
          <w:szCs w:val="23"/>
          <w:spacing w:val="-65"/>
        </w:rPr>
        <w:t xml:space="preserve"> </w:t>
      </w:r>
      <w:r>
        <w:rPr>
          <w:rFonts w:ascii="FangSong" w:hAnsi="FangSong" w:eastAsia="FangSong" w:cs="FangSong"/>
          <w:sz w:val="23"/>
          <w:szCs w:val="23"/>
          <w:spacing w:val="4"/>
        </w:rPr>
        <w:t>中国共产党山西省兴县委员会组织部部门（单位）按照“谁支出、</w:t>
      </w:r>
      <w:r>
        <w:rPr>
          <w:rFonts w:ascii="FangSong" w:hAnsi="FangSong" w:eastAsia="FangSong" w:cs="FangSong"/>
          <w:sz w:val="23"/>
          <w:szCs w:val="23"/>
        </w:rPr>
        <w:t xml:space="preserve"> </w:t>
      </w:r>
      <w:r>
        <w:rPr>
          <w:rFonts w:ascii="FangSong" w:hAnsi="FangSong" w:eastAsia="FangSong" w:cs="FangSong"/>
          <w:sz w:val="23"/>
          <w:szCs w:val="23"/>
          <w:spacing w:val="4"/>
        </w:rPr>
        <w:t>谁自评</w:t>
      </w:r>
      <w:r>
        <w:rPr>
          <w:rFonts w:ascii="FangSong" w:hAnsi="FangSong" w:eastAsia="FangSong" w:cs="FangSong"/>
          <w:sz w:val="23"/>
          <w:szCs w:val="23"/>
          <w:spacing w:val="-71"/>
        </w:rPr>
        <w:t xml:space="preserve"> </w:t>
      </w:r>
      <w:r>
        <w:rPr>
          <w:rFonts w:ascii="FangSong" w:hAnsi="FangSong" w:eastAsia="FangSong" w:cs="FangSong"/>
          <w:sz w:val="23"/>
          <w:szCs w:val="23"/>
          <w:spacing w:val="4"/>
        </w:rPr>
        <w:t>”的原则，组织对2024年度年初预算安排的所有项目资金全面开展了绩效自评，涵盖</w:t>
      </w:r>
      <w:r>
        <w:rPr>
          <w:rFonts w:ascii="FangSong" w:hAnsi="FangSong" w:eastAsia="FangSong" w:cs="FangSong"/>
          <w:sz w:val="23"/>
          <w:szCs w:val="23"/>
        </w:rPr>
        <w:t xml:space="preserve"> </w:t>
      </w:r>
      <w:r>
        <w:rPr>
          <w:rFonts w:ascii="FangSong" w:hAnsi="FangSong" w:eastAsia="FangSong" w:cs="FangSong"/>
          <w:sz w:val="23"/>
          <w:szCs w:val="23"/>
          <w:spacing w:val="3"/>
        </w:rPr>
        <w:t>一级项目0个，二级项目46个，共涉及资金5229.63万元，</w:t>
      </w:r>
      <w:r>
        <w:rPr>
          <w:rFonts w:ascii="FangSong" w:hAnsi="FangSong" w:eastAsia="FangSong" w:cs="FangSong"/>
          <w:sz w:val="23"/>
          <w:szCs w:val="23"/>
          <w:spacing w:val="-38"/>
        </w:rPr>
        <w:t xml:space="preserve"> </w:t>
      </w:r>
      <w:r>
        <w:rPr>
          <w:rFonts w:ascii="FangSong" w:hAnsi="FangSong" w:eastAsia="FangSong" w:cs="FangSong"/>
          <w:sz w:val="23"/>
          <w:szCs w:val="23"/>
          <w:spacing w:val="3"/>
        </w:rPr>
        <w:t>占本部门（单位）项目支出总额的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100%，一般公共预算项目支出583.13元、政府性基金预算项目支出0元、国有资金经营预算项</w:t>
      </w:r>
      <w:r>
        <w:rPr>
          <w:rFonts w:ascii="FangSong" w:hAnsi="FangSong" w:eastAsia="FangSong" w:cs="FangSong"/>
          <w:sz w:val="23"/>
          <w:szCs w:val="23"/>
          <w:spacing w:val="5"/>
        </w:rPr>
        <w:t xml:space="preserve"> </w:t>
      </w:r>
      <w:r>
        <w:rPr>
          <w:rFonts w:ascii="FangSong" w:hAnsi="FangSong" w:eastAsia="FangSong" w:cs="FangSong"/>
          <w:sz w:val="23"/>
          <w:szCs w:val="23"/>
          <w:spacing w:val="5"/>
        </w:rPr>
        <w:t>目支出0元、社会保险基金预算项目支出0元。组织开展了2023年度中国共产党山西省</w:t>
      </w:r>
      <w:r>
        <w:rPr>
          <w:rFonts w:ascii="FangSong" w:hAnsi="FangSong" w:eastAsia="FangSong" w:cs="FangSong"/>
          <w:sz w:val="23"/>
          <w:szCs w:val="23"/>
          <w:spacing w:val="4"/>
        </w:rPr>
        <w:t>兴县委</w:t>
      </w:r>
      <w:r>
        <w:rPr>
          <w:rFonts w:ascii="FangSong" w:hAnsi="FangSong" w:eastAsia="FangSong" w:cs="FangSong"/>
          <w:sz w:val="23"/>
          <w:szCs w:val="23"/>
        </w:rPr>
        <w:t xml:space="preserve"> </w:t>
      </w:r>
      <w:r>
        <w:rPr>
          <w:rFonts w:ascii="FangSong" w:hAnsi="FangSong" w:eastAsia="FangSong" w:cs="FangSong"/>
          <w:sz w:val="23"/>
          <w:szCs w:val="23"/>
          <w:spacing w:val="2"/>
        </w:rPr>
        <w:t>员会组织部对农党网费用等84个二级项目开展了部门评价，涉及资金8804.14万元，其中一般</w:t>
      </w:r>
      <w:r>
        <w:rPr>
          <w:rFonts w:ascii="FangSong" w:hAnsi="FangSong" w:eastAsia="FangSong" w:cs="FangSong"/>
          <w:sz w:val="23"/>
          <w:szCs w:val="23"/>
          <w:spacing w:val="7"/>
        </w:rPr>
        <w:t xml:space="preserve"> </w:t>
      </w:r>
      <w:r>
        <w:rPr>
          <w:rFonts w:ascii="FangSong" w:hAnsi="FangSong" w:eastAsia="FangSong" w:cs="FangSong"/>
          <w:sz w:val="23"/>
          <w:szCs w:val="23"/>
          <w:spacing w:val="2"/>
        </w:rPr>
        <w:t>公共预算支出0元、政府性基金预算支出0元、国有资金经营预算支出0元、社会保险基金预算</w:t>
      </w:r>
      <w:r>
        <w:rPr>
          <w:rFonts w:ascii="FangSong" w:hAnsi="FangSong" w:eastAsia="FangSong" w:cs="FangSong"/>
          <w:sz w:val="23"/>
          <w:szCs w:val="23"/>
          <w:spacing w:val="13"/>
        </w:rPr>
        <w:t xml:space="preserve"> </w:t>
      </w:r>
      <w:r>
        <w:rPr>
          <w:rFonts w:ascii="FangSong" w:hAnsi="FangSong" w:eastAsia="FangSong" w:cs="FangSong"/>
          <w:sz w:val="23"/>
          <w:szCs w:val="23"/>
          <w:spacing w:val="2"/>
        </w:rPr>
        <w:t>支出0元。从评价结果来看，通过绩效评价，我部机关开始重视财政支出的绩效问题，以绩效</w:t>
      </w:r>
      <w:r>
        <w:rPr>
          <w:rFonts w:ascii="FangSong" w:hAnsi="FangSong" w:eastAsia="FangSong" w:cs="FangSong"/>
          <w:sz w:val="23"/>
          <w:szCs w:val="23"/>
          <w:spacing w:val="15"/>
        </w:rPr>
        <w:t xml:space="preserve"> </w:t>
      </w:r>
      <w:r>
        <w:rPr>
          <w:rFonts w:ascii="FangSong" w:hAnsi="FangSong" w:eastAsia="FangSong" w:cs="FangSong"/>
          <w:sz w:val="23"/>
          <w:szCs w:val="23"/>
          <w:spacing w:val="3"/>
        </w:rPr>
        <w:t>为</w:t>
      </w:r>
      <w:r>
        <w:rPr>
          <w:rFonts w:ascii="FangSong" w:hAnsi="FangSong" w:eastAsia="FangSong" w:cs="FangSong"/>
          <w:sz w:val="23"/>
          <w:szCs w:val="23"/>
          <w:spacing w:val="-54"/>
        </w:rPr>
        <w:t xml:space="preserve"> </w:t>
      </w:r>
      <w:r>
        <w:rPr>
          <w:rFonts w:ascii="FangSong" w:hAnsi="FangSong" w:eastAsia="FangSong" w:cs="FangSong"/>
          <w:sz w:val="23"/>
          <w:szCs w:val="23"/>
          <w:spacing w:val="3"/>
        </w:rPr>
        <w:t>目标、以结果为导向的绩效理念正在逐步形成。</w:t>
      </w:r>
      <w:r>
        <w:rPr>
          <w:rFonts w:ascii="FangSong" w:hAnsi="FangSong" w:eastAsia="FangSong" w:cs="FangSong"/>
          <w:sz w:val="23"/>
          <w:szCs w:val="23"/>
          <w:spacing w:val="-67"/>
        </w:rPr>
        <w:t xml:space="preserve"> </w:t>
      </w:r>
      <w:r>
        <w:rPr>
          <w:rFonts w:ascii="FangSong" w:hAnsi="FangSong" w:eastAsia="FangSong" w:cs="FangSong"/>
          <w:sz w:val="23"/>
          <w:szCs w:val="23"/>
          <w:spacing w:val="3"/>
        </w:rPr>
        <w:t>同</w:t>
      </w:r>
      <w:r>
        <w:rPr>
          <w:rFonts w:ascii="FangSong" w:hAnsi="FangSong" w:eastAsia="FangSong" w:cs="FangSong"/>
          <w:sz w:val="23"/>
          <w:szCs w:val="23"/>
          <w:spacing w:val="2"/>
        </w:rPr>
        <w:t>时，对财政支出的科学性、效益性、管</w:t>
      </w:r>
      <w:r>
        <w:rPr>
          <w:rFonts w:ascii="FangSong" w:hAnsi="FangSong" w:eastAsia="FangSong" w:cs="FangSong"/>
          <w:sz w:val="23"/>
          <w:szCs w:val="23"/>
        </w:rPr>
        <w:t xml:space="preserve"> </w:t>
      </w:r>
      <w:r>
        <w:rPr>
          <w:rFonts w:ascii="FangSong" w:hAnsi="FangSong" w:eastAsia="FangSong" w:cs="FangSong"/>
          <w:sz w:val="23"/>
          <w:szCs w:val="23"/>
          <w:spacing w:val="-2"/>
        </w:rPr>
        <w:t>理水平的评判，促进了部门不断完善内部管理，</w:t>
      </w:r>
      <w:r>
        <w:rPr>
          <w:rFonts w:ascii="FangSong" w:hAnsi="FangSong" w:eastAsia="FangSong" w:cs="FangSong"/>
          <w:sz w:val="23"/>
          <w:szCs w:val="23"/>
          <w:spacing w:val="-44"/>
        </w:rPr>
        <w:t xml:space="preserve"> </w:t>
      </w:r>
      <w:r>
        <w:rPr>
          <w:rFonts w:ascii="FangSong" w:hAnsi="FangSong" w:eastAsia="FangSong" w:cs="FangSong"/>
          <w:sz w:val="23"/>
          <w:szCs w:val="23"/>
          <w:spacing w:val="-2"/>
        </w:rPr>
        <w:t>自觉加强对资金的监督水平。</w:t>
      </w:r>
    </w:p>
    <w:p>
      <w:pPr>
        <w:ind w:left="1264" w:right="7768" w:firstLine="455"/>
        <w:spacing w:line="321"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spacing w:val="-2"/>
        </w:rPr>
        <w:t>本单位无其他说明事项</w:t>
      </w:r>
    </w:p>
    <w:p>
      <w:pPr>
        <w:spacing w:line="321" w:lineRule="auto"/>
        <w:sectPr>
          <w:headerReference w:type="default" r:id="rId23"/>
          <w:footerReference w:type="default" r:id="rId34"/>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59" w:right="1223" w:firstLine="11"/>
        <w:spacing w:before="163" w:line="322" w:lineRule="auto"/>
        <w:rPr>
          <w:rFonts w:ascii="FangSong" w:hAnsi="FangSong" w:eastAsia="FangSong" w:cs="FangSong"/>
          <w:sz w:val="23"/>
          <w:szCs w:val="23"/>
        </w:rPr>
      </w:pPr>
      <w:r>
        <w:rPr>
          <w:rFonts w:ascii="FangSong" w:hAnsi="FangSong" w:eastAsia="FangSong" w:cs="FangSong"/>
          <w:sz w:val="23"/>
          <w:szCs w:val="23"/>
          <w:spacing w:val="8"/>
        </w:rPr>
        <w:t>办公费30600元、</w:t>
      </w:r>
      <w:r>
        <w:rPr>
          <w:rFonts w:ascii="FangSong" w:hAnsi="FangSong" w:eastAsia="FangSong" w:cs="FangSong"/>
          <w:sz w:val="23"/>
          <w:szCs w:val="23"/>
          <w:spacing w:val="-65"/>
        </w:rPr>
        <w:t xml:space="preserve"> </w:t>
      </w:r>
      <w:r>
        <w:rPr>
          <w:rFonts w:ascii="FangSong" w:hAnsi="FangSong" w:eastAsia="FangSong" w:cs="FangSong"/>
          <w:sz w:val="23"/>
          <w:szCs w:val="23"/>
          <w:spacing w:val="8"/>
        </w:rPr>
        <w:t>印刷费36800元、差旅费2000元、工会经费4200元、公务用车运行维护费</w:t>
      </w:r>
      <w:r>
        <w:rPr>
          <w:rFonts w:ascii="FangSong" w:hAnsi="FangSong" w:eastAsia="FangSong" w:cs="FangSong"/>
          <w:sz w:val="23"/>
          <w:szCs w:val="23"/>
        </w:rPr>
        <w:t xml:space="preserve"> </w:t>
      </w:r>
      <w:r>
        <w:rPr>
          <w:rFonts w:ascii="FangSong" w:hAnsi="FangSong" w:eastAsia="FangSong" w:cs="FangSong"/>
          <w:sz w:val="23"/>
          <w:szCs w:val="23"/>
        </w:rPr>
        <w:t>20000元、其他交通费用112000元、其他商品和服务支出200元</w:t>
      </w:r>
    </w:p>
    <w:p>
      <w:pPr>
        <w:ind w:left="5217"/>
        <w:spacing w:before="27" w:line="227" w:lineRule="exact"/>
        <w:outlineLvl w:val="0"/>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5"/>
          <w:footerReference w:type="default" r:id="rId35"/>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77" w:lineRule="auto"/>
        <w:rPr/>
      </w:pPr>
      <w:r>
        <w:pict>
          <v:shape id="_x0000_s270"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272" style="position:absolute;margin-left:491.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74" style="position:absolute;margin-left:-13.08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276"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78"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 name="IM 2"/>
            <wp:cNvGraphicFramePr/>
            <a:graphic>
              <a:graphicData uri="http://schemas.openxmlformats.org/drawingml/2006/picture">
                <pic:pic>
                  <pic:nvPicPr>
                    <pic:cNvPr id="2" name="IM 2"/>
                    <pic:cNvPicPr/>
                  </pic:nvPicPr>
                  <pic:blipFill>
                    <a:blip r:embed="rId38"/>
                    <a:stretch>
                      <a:fillRect/>
                    </a:stretch>
                  </pic:blipFill>
                  <pic:spPr>
                    <a:xfrm rot="0">
                      <a:off x="0" y="0"/>
                      <a:ext cx="5045993" cy="6281747"/>
                    </a:xfrm>
                    <a:prstGeom prst="rect">
                      <a:avLst/>
                    </a:prstGeom>
                  </pic:spPr>
                </pic:pic>
              </a:graphicData>
            </a:graphic>
          </wp:inline>
        </w:drawing>
      </w:r>
    </w:p>
    <w:p>
      <w:pPr>
        <w:spacing w:line="9893" w:lineRule="exact"/>
        <w:sectPr>
          <w:headerReference w:type="default" r:id="rId36"/>
          <w:footerReference w:type="default" r:id="rId37"/>
          <w:pgSz w:w="11900" w:h="16840"/>
          <w:pgMar w:top="642" w:right="0" w:bottom="340" w:left="0" w:header="326" w:footer="110" w:gutter="0"/>
        </w:sectPr>
        <w:rPr/>
      </w:pPr>
    </w:p>
    <w:p>
      <w:pPr>
        <w:pStyle w:val="BodyText"/>
        <w:spacing w:line="277" w:lineRule="auto"/>
        <w:rPr/>
      </w:pPr>
      <w:r>
        <w:pict>
          <v:shape id="_x0000_s280" style="position:absolute;margin-left:491.92pt;margin-top:44.1055pt;mso-position-vertical-relative:page;mso-position-horizontal-relative:page;width:119.4pt;height:18.85pt;z-index:2516633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606" w:lineRule="exact"/>
        <w:rPr/>
      </w:pPr>
      <w:r>
        <w:pict>
          <v:shape id="_x0000_s282"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84" style="position:absolute;margin-left:491.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86" style="position:absolute;margin-left:-13.08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88"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12"/>
        </w:rPr>
        <w:drawing>
          <wp:inline distT="0" distB="0" distL="0" distR="0">
            <wp:extent cx="5045993" cy="6734856"/>
            <wp:effectExtent l="0" t="0" r="0" b="0"/>
            <wp:docPr id="4" name="IM 4"/>
            <wp:cNvGraphicFramePr/>
            <a:graphic>
              <a:graphicData uri="http://schemas.openxmlformats.org/drawingml/2006/picture">
                <pic:pic>
                  <pic:nvPicPr>
                    <pic:cNvPr id="4" name="IM 4"/>
                    <pic:cNvPicPr/>
                  </pic:nvPicPr>
                  <pic:blipFill>
                    <a:blip r:embed="rId40"/>
                    <a:stretch>
                      <a:fillRect/>
                    </a:stretch>
                  </pic:blipFill>
                  <pic:spPr>
                    <a:xfrm rot="0">
                      <a:off x="0" y="0"/>
                      <a:ext cx="5045993" cy="6734856"/>
                    </a:xfrm>
                    <a:prstGeom prst="rect">
                      <a:avLst/>
                    </a:prstGeom>
                  </pic:spPr>
                </pic:pic>
              </a:graphicData>
            </a:graphic>
          </wp:inline>
        </w:drawing>
      </w:r>
    </w:p>
    <w:p>
      <w:pPr>
        <w:spacing w:line="10606" w:lineRule="exact"/>
        <w:sectPr>
          <w:footerReference w:type="default" r:id="rId39"/>
          <w:pgSz w:w="11900" w:h="16840"/>
          <w:pgMar w:top="642" w:right="0" w:bottom="340" w:left="0" w:header="326" w:footer="110" w:gutter="0"/>
        </w:sectPr>
        <w:rPr/>
      </w:pPr>
    </w:p>
    <w:p>
      <w:pPr>
        <w:pStyle w:val="BodyText"/>
        <w:spacing w:line="277" w:lineRule="auto"/>
        <w:rPr/>
      </w:pPr>
      <w:r>
        <w:pict>
          <v:shape id="_x0000_s290" style="position:absolute;margin-left:491.92pt;margin-top:44.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292" style="position:absolute;margin-left:491.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94" style="position:absolute;margin-left:-13.08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96"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98"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41"/>
          <w:pgSz w:w="11900" w:h="16840"/>
          <w:pgMar w:top="642" w:right="0" w:bottom="340" w:left="0" w:header="326" w:footer="111" w:gutter="0"/>
        </w:sectPr>
        <w:rPr/>
      </w:pPr>
    </w:p>
    <w:p>
      <w:pPr>
        <w:pStyle w:val="BodyText"/>
        <w:spacing w:line="277" w:lineRule="auto"/>
        <w:rPr/>
      </w:pPr>
      <w:r>
        <w:pict>
          <v:shape id="_x0000_s300"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02"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306" style="position:absolute;margin-left:-13.08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308"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 name="IM 8"/>
            <wp:cNvGraphicFramePr/>
            <a:graphic>
              <a:graphicData uri="http://schemas.openxmlformats.org/drawingml/2006/picture">
                <pic:pic>
                  <pic:nvPicPr>
                    <pic:cNvPr id="8" name="IM 8"/>
                    <pic:cNvPicPr/>
                  </pic:nvPicPr>
                  <pic:blipFill>
                    <a:blip r:embed="rId4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43"/>
          <w:pgSz w:w="11900" w:h="16840"/>
          <w:pgMar w:top="642" w:right="0" w:bottom="340" w:left="0" w:header="326" w:footer="110" w:gutter="0"/>
        </w:sectPr>
        <w:rPr/>
      </w:pPr>
    </w:p>
    <w:p>
      <w:pPr>
        <w:pStyle w:val="BodyText"/>
        <w:spacing w:line="277" w:lineRule="auto"/>
        <w:rPr/>
      </w:pPr>
      <w:r>
        <w:pict>
          <v:shape id="_x0000_s310"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12"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14" style="position:absolute;margin-left:491.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316" style="position:absolute;margin-left:-13.08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45"/>
          <w:pgSz w:w="11900" w:h="16840"/>
          <w:pgMar w:top="642" w:right="0" w:bottom="340" w:left="0" w:header="326" w:footer="111" w:gutter="0"/>
        </w:sectPr>
        <w:rPr/>
      </w:pPr>
    </w:p>
    <w:p>
      <w:pPr>
        <w:pStyle w:val="BodyText"/>
        <w:spacing w:line="277" w:lineRule="auto"/>
        <w:rPr/>
      </w:pPr>
      <w:r>
        <w:pict>
          <v:shape id="_x0000_s320"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22"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324"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26" style="position:absolute;margin-left:491.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47"/>
          <w:pgSz w:w="11900" w:h="16840"/>
          <w:pgMar w:top="642" w:right="0" w:bottom="340" w:left="0" w:header="326" w:footer="111" w:gutter="0"/>
        </w:sectPr>
        <w:rPr/>
      </w:pPr>
    </w:p>
    <w:p>
      <w:pPr>
        <w:pStyle w:val="BodyText"/>
        <w:spacing w:line="277" w:lineRule="auto"/>
        <w:rPr/>
      </w:pPr>
      <w:r>
        <w:pict>
          <v:shape id="_x0000_s330"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32"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34" style="position:absolute;margin-left:491.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36"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49"/>
          <w:pgSz w:w="11900" w:h="16840"/>
          <w:pgMar w:top="642" w:right="0" w:bottom="340" w:left="0" w:header="326" w:footer="111" w:gutter="0"/>
        </w:sectPr>
        <w:rPr/>
      </w:pPr>
    </w:p>
    <w:p>
      <w:pPr>
        <w:pStyle w:val="BodyText"/>
        <w:spacing w:line="277" w:lineRule="auto"/>
        <w:rPr/>
      </w:pPr>
      <w:r>
        <w:pict>
          <v:shape id="_x0000_s340" style="position:absolute;margin-left:491.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42"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44"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51"/>
          <w:pgSz w:w="11900" w:h="16840"/>
          <w:pgMar w:top="642" w:right="0" w:bottom="340" w:left="0" w:header="326" w:footer="111" w:gutter="0"/>
        </w:sectPr>
        <w:rPr/>
      </w:pPr>
    </w:p>
    <w:p>
      <w:pPr>
        <w:pStyle w:val="BodyText"/>
        <w:spacing w:line="277" w:lineRule="auto"/>
        <w:rPr/>
      </w:pPr>
      <w:r>
        <w:pict>
          <v:shape id="_x0000_s350"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52"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54" style="position:absolute;margin-left:491.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56" style="position:absolute;margin-left:-13.08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18" name="IM 18"/>
            <wp:cNvGraphicFramePr/>
            <a:graphic>
              <a:graphicData uri="http://schemas.openxmlformats.org/drawingml/2006/picture">
                <pic:pic>
                  <pic:nvPicPr>
                    <pic:cNvPr id="18" name="IM 18"/>
                    <pic:cNvPicPr/>
                  </pic:nvPicPr>
                  <pic:blipFill>
                    <a:blip r:embed="rId5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53"/>
          <w:pgSz w:w="11900" w:h="16840"/>
          <w:pgMar w:top="642" w:right="0" w:bottom="340" w:left="0" w:header="326" w:footer="111" w:gutter="0"/>
        </w:sectPr>
        <w:rPr/>
      </w:pPr>
    </w:p>
    <w:p>
      <w:pPr>
        <w:pStyle w:val="BodyText"/>
        <w:spacing w:line="277" w:lineRule="auto"/>
        <w:rPr/>
      </w:pPr>
      <w:r>
        <w:pict>
          <v:shape id="_x0000_s360"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31" w:lineRule="exact"/>
        <w:rPr/>
      </w:pPr>
      <w:r>
        <w:pict>
          <v:shape id="_x0000_s362" style="position:absolute;margin-left:391.92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64"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66"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68"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32783"/>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5045993" cy="6432783"/>
                    </a:xfrm>
                    <a:prstGeom prst="rect">
                      <a:avLst/>
                    </a:prstGeom>
                  </pic:spPr>
                </pic:pic>
              </a:graphicData>
            </a:graphic>
          </wp:inline>
        </w:drawing>
      </w:r>
    </w:p>
    <w:p>
      <w:pPr>
        <w:spacing w:line="10131" w:lineRule="exact"/>
        <w:sectPr>
          <w:footerReference w:type="default" r:id="rId55"/>
          <w:pgSz w:w="11900" w:h="16840"/>
          <w:pgMar w:top="642" w:right="0" w:bottom="340" w:left="0" w:header="326" w:footer="111" w:gutter="0"/>
        </w:sectPr>
        <w:rPr/>
      </w:pPr>
    </w:p>
    <w:p>
      <w:pPr>
        <w:pStyle w:val="BodyText"/>
        <w:spacing w:line="277" w:lineRule="auto"/>
        <w:rPr/>
      </w:pPr>
      <w:r>
        <w:pict>
          <v:shape id="_x0000_s370" style="position:absolute;margin-left:491.92pt;margin-top:44.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72"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76"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78"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57"/>
          <w:pgSz w:w="11900" w:h="16840"/>
          <w:pgMar w:top="642" w:right="0" w:bottom="340" w:left="0" w:header="326" w:footer="111" w:gutter="0"/>
        </w:sectPr>
        <w:rPr/>
      </w:pPr>
    </w:p>
    <w:p>
      <w:pPr>
        <w:pStyle w:val="BodyText"/>
        <w:spacing w:line="277" w:lineRule="auto"/>
        <w:rPr/>
      </w:pPr>
      <w:r>
        <w:pict>
          <v:shape id="_x0000_s380"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82"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84" style="position:absolute;margin-left:491.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86" style="position:absolute;margin-left:391.92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59"/>
          <w:pgSz w:w="11900" w:h="16840"/>
          <w:pgMar w:top="642" w:right="0" w:bottom="340" w:left="0" w:header="326" w:footer="111" w:gutter="0"/>
        </w:sectPr>
        <w:rPr/>
      </w:pPr>
    </w:p>
    <w:p>
      <w:pPr>
        <w:pStyle w:val="BodyText"/>
        <w:spacing w:line="277" w:lineRule="auto"/>
        <w:rPr/>
      </w:pPr>
      <w:r>
        <w:pict>
          <v:shape id="_x0000_s390"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392"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94" style="position:absolute;margin-left:-13.08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96" style="position:absolute;margin-left:491.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98" style="position:absolute;margin-left:391.92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6" name="IM 26"/>
            <wp:cNvGraphicFramePr/>
            <a:graphic>
              <a:graphicData uri="http://schemas.openxmlformats.org/drawingml/2006/picture">
                <pic:pic>
                  <pic:nvPicPr>
                    <pic:cNvPr id="26" name="IM 26"/>
                    <pic:cNvPicPr/>
                  </pic:nvPicPr>
                  <pic:blipFill>
                    <a:blip r:embed="rId6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61"/>
          <w:pgSz w:w="11900" w:h="16840"/>
          <w:pgMar w:top="642" w:right="0" w:bottom="340" w:left="0" w:header="326" w:footer="111" w:gutter="0"/>
        </w:sectPr>
        <w:rPr/>
      </w:pPr>
    </w:p>
    <w:p>
      <w:pPr>
        <w:pStyle w:val="BodyText"/>
        <w:spacing w:line="277" w:lineRule="auto"/>
        <w:rPr/>
      </w:pPr>
      <w:r>
        <w:pict>
          <v:shape id="_x0000_s400" style="position:absolute;margin-left:491.92pt;margin-top:44.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02" style="position:absolute;margin-left:-13.08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404" style="position:absolute;margin-left:491.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406" style="position:absolute;margin-left:391.92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408" style="position:absolute;margin-left:86.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28" name="IM 28"/>
            <wp:cNvGraphicFramePr/>
            <a:graphic>
              <a:graphicData uri="http://schemas.openxmlformats.org/drawingml/2006/picture">
                <pic:pic>
                  <pic:nvPicPr>
                    <pic:cNvPr id="28" name="IM 28"/>
                    <pic:cNvPicPr/>
                  </pic:nvPicPr>
                  <pic:blipFill>
                    <a:blip r:embed="rId6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63"/>
          <w:pgSz w:w="11900" w:h="16840"/>
          <w:pgMar w:top="642" w:right="0" w:bottom="340" w:left="0" w:header="326" w:footer="111" w:gutter="0"/>
        </w:sectPr>
        <w:rPr/>
      </w:pPr>
    </w:p>
    <w:p>
      <w:pPr>
        <w:pStyle w:val="BodyText"/>
        <w:spacing w:line="277" w:lineRule="auto"/>
        <w:rPr/>
      </w:pPr>
      <w:r>
        <w:pict>
          <v:shape id="_x0000_s410" style="position:absolute;margin-left:491.92pt;margin-top:44.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12" style="position:absolute;margin-left:391.92pt;margin-top:228.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414" style="position:absolute;margin-left:491.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16" style="position:absolute;margin-left:86.92pt;margin-top:472.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418" style="position:absolute;margin-left:-13.08pt;margin-top:228.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30" name="IM 30"/>
            <wp:cNvGraphicFramePr/>
            <a:graphic>
              <a:graphicData uri="http://schemas.openxmlformats.org/drawingml/2006/picture">
                <pic:pic>
                  <pic:nvPicPr>
                    <pic:cNvPr id="30" name="IM 30"/>
                    <pic:cNvPicPr/>
                  </pic:nvPicPr>
                  <pic:blipFill>
                    <a:blip r:embed="rId66"/>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65"/>
          <w:pgSz w:w="11900" w:h="16840"/>
          <w:pgMar w:top="642" w:right="0" w:bottom="340" w:left="0" w:header="326" w:footer="111" w:gutter="0"/>
        </w:sectPr>
        <w:rPr/>
      </w:pPr>
    </w:p>
    <w:p>
      <w:pPr>
        <w:pStyle w:val="BodyText"/>
        <w:spacing w:line="277" w:lineRule="auto"/>
        <w:rPr/>
      </w:pPr>
      <w:r>
        <w:pict>
          <v:shape id="_x0000_s420" style="position:absolute;margin-left:491.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31" w:lineRule="exact"/>
        <w:rPr/>
      </w:pPr>
      <w:r>
        <w:pict>
          <v:shape id="_x0000_s422" style="position:absolute;margin-left:-13.08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24" style="position:absolute;margin-left:491.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26" style="position:absolute;margin-left:86.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28" style="position:absolute;margin-left:391.92pt;margin-top:228.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32783"/>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5045993" cy="6432783"/>
                    </a:xfrm>
                    <a:prstGeom prst="rect">
                      <a:avLst/>
                    </a:prstGeom>
                  </pic:spPr>
                </pic:pic>
              </a:graphicData>
            </a:graphic>
          </wp:inline>
        </w:drawing>
      </w:r>
    </w:p>
    <w:p>
      <w:pPr>
        <w:spacing w:line="10131" w:lineRule="exact"/>
        <w:sectPr>
          <w:footerReference w:type="default" r:id="rId67"/>
          <w:pgSz w:w="11900" w:h="16840"/>
          <w:pgMar w:top="642" w:right="0" w:bottom="340" w:left="0" w:header="326" w:footer="111" w:gutter="0"/>
        </w:sectPr>
        <w:rPr/>
      </w:pPr>
    </w:p>
    <w:p>
      <w:pPr>
        <w:pStyle w:val="BodyText"/>
        <w:spacing w:line="277" w:lineRule="auto"/>
        <w:rPr/>
      </w:pPr>
      <w:r>
        <w:pict>
          <v:shape id="_x0000_s430" style="position:absolute;margin-left:491.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32" style="position:absolute;margin-left:391.92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34" style="position:absolute;margin-left:491.92pt;margin-top:472.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36" style="position:absolute;margin-left:-13.08pt;margin-top:228.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38" style="position:absolute;margin-left:86.92pt;margin-top:472.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69"/>
          <w:pgSz w:w="11900" w:h="16840"/>
          <w:pgMar w:top="642" w:right="0" w:bottom="340" w:left="0" w:header="326" w:footer="111" w:gutter="0"/>
        </w:sectPr>
        <w:rPr/>
      </w:pPr>
    </w:p>
    <w:p>
      <w:pPr>
        <w:pStyle w:val="BodyText"/>
        <w:spacing w:line="277" w:lineRule="auto"/>
        <w:rPr/>
      </w:pPr>
      <w:r>
        <w:pict>
          <v:shape id="_x0000_s440" style="position:absolute;margin-left:491.92pt;margin-top:44.1055pt;mso-position-vertical-relative:page;mso-position-horizontal-relative:page;width:119.4pt;height:18.85pt;z-index:2517473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42" style="position:absolute;margin-left:491.92pt;margin-top:472.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444" style="position:absolute;margin-left:-13.08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446" style="position:absolute;margin-left:391.92pt;margin-top:228.067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pict>
          <v:shape id="_x0000_s448" style="position:absolute;margin-left:86.92pt;margin-top:472.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36" name="IM 36"/>
            <wp:cNvGraphicFramePr/>
            <a:graphic>
              <a:graphicData uri="http://schemas.openxmlformats.org/drawingml/2006/picture">
                <pic:pic>
                  <pic:nvPicPr>
                    <pic:cNvPr id="36" name="IM 36"/>
                    <pic:cNvPicPr/>
                  </pic:nvPicPr>
                  <pic:blipFill>
                    <a:blip r:embed="rId7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71"/>
          <w:pgSz w:w="11900" w:h="16840"/>
          <w:pgMar w:top="642" w:right="0" w:bottom="340" w:left="0" w:header="326" w:footer="111" w:gutter="0"/>
        </w:sectPr>
        <w:rPr/>
      </w:pPr>
    </w:p>
    <w:p>
      <w:pPr>
        <w:pStyle w:val="BodyText"/>
        <w:spacing w:line="277" w:lineRule="auto"/>
        <w:rPr/>
      </w:pPr>
      <w:r>
        <w:pict>
          <v:shape id="_x0000_s450" style="position:absolute;margin-left:491.92pt;margin-top:44.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52" style="position:absolute;margin-left:391.92pt;margin-top:228.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54" style="position:absolute;margin-left:491.92pt;margin-top:472.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56" style="position:absolute;margin-left:-13.08pt;margin-top:228.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458" style="position:absolute;margin-left:86.92pt;margin-top:472.067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38" name="IM 38"/>
            <wp:cNvGraphicFramePr/>
            <a:graphic>
              <a:graphicData uri="http://schemas.openxmlformats.org/drawingml/2006/picture">
                <pic:pic>
                  <pic:nvPicPr>
                    <pic:cNvPr id="38" name="IM 38"/>
                    <pic:cNvPicPr/>
                  </pic:nvPicPr>
                  <pic:blipFill>
                    <a:blip r:embed="rId7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73"/>
          <w:pgSz w:w="11900" w:h="16840"/>
          <w:pgMar w:top="642" w:right="0" w:bottom="340" w:left="0" w:header="326" w:footer="111" w:gutter="0"/>
        </w:sectPr>
        <w:rPr/>
      </w:pPr>
    </w:p>
    <w:p>
      <w:pPr>
        <w:pStyle w:val="BodyText"/>
        <w:spacing w:line="277" w:lineRule="auto"/>
        <w:rPr/>
      </w:pPr>
      <w:r>
        <w:pict>
          <v:shape id="_x0000_s460" style="position:absolute;margin-left:491.92pt;margin-top:44.1055pt;mso-position-vertical-relative:page;mso-position-horizontal-relative:page;width:119.4pt;height:18.85pt;z-index:2517575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62" style="position:absolute;margin-left:-13.08pt;margin-top:228.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64" style="position:absolute;margin-left:86.92pt;margin-top:472.067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466" style="position:absolute;margin-left:491.92pt;margin-top:472.067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468" style="position:absolute;margin-left:391.92pt;margin-top:228.067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40" name="IM 40"/>
            <wp:cNvGraphicFramePr/>
            <a:graphic>
              <a:graphicData uri="http://schemas.openxmlformats.org/drawingml/2006/picture">
                <pic:pic>
                  <pic:nvPicPr>
                    <pic:cNvPr id="40" name="IM 40"/>
                    <pic:cNvPicPr/>
                  </pic:nvPicPr>
                  <pic:blipFill>
                    <a:blip r:embed="rId76"/>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75"/>
          <w:pgSz w:w="11900" w:h="16840"/>
          <w:pgMar w:top="642" w:right="0" w:bottom="340" w:left="0" w:header="326" w:footer="111" w:gutter="0"/>
        </w:sectPr>
        <w:rPr/>
      </w:pPr>
    </w:p>
    <w:p>
      <w:pPr>
        <w:pStyle w:val="BodyText"/>
        <w:spacing w:line="277" w:lineRule="auto"/>
        <w:rPr/>
      </w:pPr>
      <w:r>
        <w:pict>
          <v:shape id="_x0000_s470" style="position:absolute;margin-left:491.92pt;margin-top:44.1055pt;mso-position-vertical-relative:page;mso-position-horizontal-relative:page;width:119.4pt;height:18.85pt;z-index:2517637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72" style="position:absolute;margin-left:391.92pt;margin-top:228.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474" style="position:absolute;margin-left:-13.08pt;margin-top:228.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476" style="position:absolute;margin-left:86.92pt;margin-top:472.067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_x0000_s478" style="position:absolute;margin-left:491.92pt;margin-top:472.067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42" name="IM 42"/>
            <wp:cNvGraphicFramePr/>
            <a:graphic>
              <a:graphicData uri="http://schemas.openxmlformats.org/drawingml/2006/picture">
                <pic:pic>
                  <pic:nvPicPr>
                    <pic:cNvPr id="42" name="IM 42"/>
                    <pic:cNvPicPr/>
                  </pic:nvPicPr>
                  <pic:blipFill>
                    <a:blip r:embed="rId7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77"/>
          <w:pgSz w:w="11900" w:h="16840"/>
          <w:pgMar w:top="642" w:right="0" w:bottom="340" w:left="0" w:header="326" w:footer="110" w:gutter="0"/>
        </w:sectPr>
        <w:rPr/>
      </w:pPr>
    </w:p>
    <w:p>
      <w:pPr>
        <w:pStyle w:val="BodyText"/>
        <w:spacing w:line="277" w:lineRule="auto"/>
        <w:rPr/>
      </w:pPr>
      <w:r>
        <w:pict>
          <v:shape id="_x0000_s480" style="position:absolute;margin-left:491.92pt;margin-top:44.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482" style="position:absolute;margin-left:-13.08pt;margin-top:228.067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484" style="position:absolute;margin-left:391.92pt;margin-top:228.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_x0000_s486" style="position:absolute;margin-left:491.92pt;margin-top:472.067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pict>
          <v:shape id="_x0000_s488" style="position:absolute;margin-left:86.92pt;margin-top:472.067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44" name="IM 44"/>
            <wp:cNvGraphicFramePr/>
            <a:graphic>
              <a:graphicData uri="http://schemas.openxmlformats.org/drawingml/2006/picture">
                <pic:pic>
                  <pic:nvPicPr>
                    <pic:cNvPr id="44" name="IM 44"/>
                    <pic:cNvPicPr/>
                  </pic:nvPicPr>
                  <pic:blipFill>
                    <a:blip r:embed="rId8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79"/>
          <w:pgSz w:w="11900" w:h="16840"/>
          <w:pgMar w:top="642" w:right="0" w:bottom="340" w:left="0" w:header="326" w:footer="110" w:gutter="0"/>
        </w:sectPr>
        <w:rPr/>
      </w:pPr>
    </w:p>
    <w:p>
      <w:pPr>
        <w:pStyle w:val="BodyText"/>
        <w:spacing w:line="277" w:lineRule="auto"/>
        <w:rPr/>
      </w:pPr>
      <w:r>
        <w:pict>
          <v:shape id="_x0000_s490" style="position:absolute;margin-left:491.92pt;margin-top:44.1055pt;mso-position-vertical-relative:page;mso-position-horizontal-relative:page;width:119.4pt;height:18.85pt;z-index:2517749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31" w:lineRule="exact"/>
        <w:rPr/>
      </w:pPr>
      <w:r>
        <w:pict>
          <v:shape id="_x0000_s492" style="position:absolute;margin-left:391.92pt;margin-top:228.067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_x0000_s494" style="position:absolute;margin-left:86.92pt;margin-top:472.067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pict>
          <v:shape id="_x0000_s496" style="position:absolute;margin-left:-13.08pt;margin-top:228.067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pict>
          <v:shape id="_x0000_s498" style="position:absolute;margin-left:491.92pt;margin-top:472.067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32783"/>
            <wp:effectExtent l="0" t="0" r="0" b="0"/>
            <wp:docPr id="46" name="IM 46"/>
            <wp:cNvGraphicFramePr/>
            <a:graphic>
              <a:graphicData uri="http://schemas.openxmlformats.org/drawingml/2006/picture">
                <pic:pic>
                  <pic:nvPicPr>
                    <pic:cNvPr id="46" name="IM 46"/>
                    <pic:cNvPicPr/>
                  </pic:nvPicPr>
                  <pic:blipFill>
                    <a:blip r:embed="rId82"/>
                    <a:stretch>
                      <a:fillRect/>
                    </a:stretch>
                  </pic:blipFill>
                  <pic:spPr>
                    <a:xfrm rot="0">
                      <a:off x="0" y="0"/>
                      <a:ext cx="5045993" cy="6432783"/>
                    </a:xfrm>
                    <a:prstGeom prst="rect">
                      <a:avLst/>
                    </a:prstGeom>
                  </pic:spPr>
                </pic:pic>
              </a:graphicData>
            </a:graphic>
          </wp:inline>
        </w:drawing>
      </w:r>
    </w:p>
    <w:p>
      <w:pPr>
        <w:spacing w:line="10131" w:lineRule="exact"/>
        <w:sectPr>
          <w:footerReference w:type="default" r:id="rId81"/>
          <w:pgSz w:w="11900" w:h="16840"/>
          <w:pgMar w:top="642" w:right="0" w:bottom="340" w:left="0" w:header="326" w:footer="111" w:gutter="0"/>
        </w:sectPr>
        <w:rPr/>
      </w:pPr>
    </w:p>
    <w:p>
      <w:pPr>
        <w:pStyle w:val="BodyText"/>
        <w:spacing w:line="277" w:lineRule="auto"/>
        <w:rPr/>
      </w:pPr>
      <w:r>
        <w:pict>
          <v:shape id="_x0000_s500" style="position:absolute;margin-left:491.92pt;margin-top:44.1055pt;mso-position-vertical-relative:page;mso-position-horizontal-relative:page;width:119.4pt;height:18.85pt;z-index:2517780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502" style="position:absolute;margin-left:86.92pt;margin-top:472.067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pict>
          <v:shape id="_x0000_s504" style="position:absolute;margin-left:-13.08pt;margin-top:228.067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pict>
          <v:shape id="_x0000_s506" style="position:absolute;margin-left:491.92pt;margin-top:472.067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508" style="position:absolute;margin-left:391.92pt;margin-top:228.067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48" name="IM 48"/>
            <wp:cNvGraphicFramePr/>
            <a:graphic>
              <a:graphicData uri="http://schemas.openxmlformats.org/drawingml/2006/picture">
                <pic:pic>
                  <pic:nvPicPr>
                    <pic:cNvPr id="48" name="IM 48"/>
                    <pic:cNvPicPr/>
                  </pic:nvPicPr>
                  <pic:blipFill>
                    <a:blip r:embed="rId84"/>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83"/>
          <w:pgSz w:w="11900" w:h="16840"/>
          <w:pgMar w:top="642" w:right="0" w:bottom="340" w:left="0" w:header="326" w:footer="110" w:gutter="0"/>
        </w:sectPr>
        <w:rPr/>
      </w:pPr>
    </w:p>
    <w:p>
      <w:pPr>
        <w:pStyle w:val="BodyText"/>
        <w:spacing w:line="277" w:lineRule="auto"/>
        <w:rPr/>
      </w:pPr>
      <w:r>
        <w:pict>
          <v:shape id="_x0000_s510" style="position:absolute;margin-left:491.92pt;margin-top:44.1055pt;mso-position-vertical-relative:page;mso-position-horizontal-relative:page;width:119.4pt;height:18.85pt;z-index:2517821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512" style="position:absolute;margin-left:-13.08pt;margin-top:228.067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514" style="position:absolute;margin-left:391.92pt;margin-top:228.067pt;mso-position-vertical-relative:text;mso-position-horizontal-relative:text;width:119.4pt;height:18.85pt;z-index:251783168;rotation:330;" fillcolor="#404040" filled="true" stroked="false" type="#_x0000_t136">
            <v:fill opacity="0.400000"/>
            <v:textpath style="font-family:&quot;SimSun&quot;;font-size:20;v-text-kern:t;mso-text-shadow:auto" string="仅供内部审核"/>
          </v:shape>
        </w:pict>
      </w:r>
      <w:r>
        <w:pict>
          <v:shape id="_x0000_s516" style="position:absolute;margin-left:491.92pt;margin-top:472.067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518" style="position:absolute;margin-left:86.92pt;margin-top:472.067pt;mso-position-vertical-relative:text;mso-position-horizontal-relative:text;width:119.4pt;height:18.85pt;z-index:25178521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50" name="IM 50"/>
            <wp:cNvGraphicFramePr/>
            <a:graphic>
              <a:graphicData uri="http://schemas.openxmlformats.org/drawingml/2006/picture">
                <pic:pic>
                  <pic:nvPicPr>
                    <pic:cNvPr id="50" name="IM 50"/>
                    <pic:cNvPicPr/>
                  </pic:nvPicPr>
                  <pic:blipFill>
                    <a:blip r:embed="rId86"/>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85"/>
          <w:pgSz w:w="11900" w:h="16840"/>
          <w:pgMar w:top="642" w:right="0" w:bottom="340" w:left="0" w:header="326" w:footer="111" w:gutter="0"/>
        </w:sectPr>
        <w:rPr/>
      </w:pPr>
    </w:p>
    <w:p>
      <w:pPr>
        <w:pStyle w:val="BodyText"/>
        <w:spacing w:line="277" w:lineRule="auto"/>
        <w:rPr/>
      </w:pPr>
      <w:r>
        <w:pict>
          <v:shape id="_x0000_s520" style="position:absolute;margin-left:491.92pt;margin-top:44.1055pt;mso-position-vertical-relative:page;mso-position-horizontal-relative:page;width:119.4pt;height:18.85pt;z-index:2517872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522" style="position:absolute;margin-left:-13.08pt;margin-top:228.067pt;mso-position-vertical-relative:text;mso-position-horizontal-relative:text;width:119.4pt;height:18.85pt;z-index:251786240;rotation:330;" fillcolor="#404040" filled="true" stroked="false" type="#_x0000_t136">
            <v:fill opacity="0.400000"/>
            <v:textpath style="font-family:&quot;SimSun&quot;;font-size:20;v-text-kern:t;mso-text-shadow:auto" string="仅供内部审核"/>
          </v:shape>
        </w:pict>
      </w:r>
      <w:r>
        <w:pict>
          <v:shape id="_x0000_s524" style="position:absolute;margin-left:491.92pt;margin-top:472.067pt;mso-position-vertical-relative:text;mso-position-horizontal-relative:text;width:119.4pt;height:18.85pt;z-index:251788288;rotation:330;" fillcolor="#404040" filled="true" stroked="false" type="#_x0000_t136">
            <v:fill opacity="0.400000"/>
            <v:textpath style="font-family:&quot;SimSun&quot;;font-size:20;v-text-kern:t;mso-text-shadow:auto" string="仅供内部审核"/>
          </v:shape>
        </w:pict>
      </w:r>
      <w:r>
        <w:pict>
          <v:shape id="_x0000_s526" style="position:absolute;margin-left:391.92pt;margin-top:228.067pt;mso-position-vertical-relative:text;mso-position-horizontal-relative:text;width:119.4pt;height:18.85pt;z-index:251789312;rotation:330;" fillcolor="#404040" filled="true" stroked="false" type="#_x0000_t136">
            <v:fill opacity="0.400000"/>
            <v:textpath style="font-family:&quot;SimSun&quot;;font-size:20;v-text-kern:t;mso-text-shadow:auto" string="仅供内部审核"/>
          </v:shape>
        </w:pict>
      </w:r>
      <w:r>
        <w:pict>
          <v:shape id="_x0000_s528" style="position:absolute;margin-left:86.92pt;margin-top:472.067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52" name="IM 52"/>
            <wp:cNvGraphicFramePr/>
            <a:graphic>
              <a:graphicData uri="http://schemas.openxmlformats.org/drawingml/2006/picture">
                <pic:pic>
                  <pic:nvPicPr>
                    <pic:cNvPr id="52" name="IM 52"/>
                    <pic:cNvPicPr/>
                  </pic:nvPicPr>
                  <pic:blipFill>
                    <a:blip r:embed="rId88"/>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87"/>
          <w:pgSz w:w="11900" w:h="16840"/>
          <w:pgMar w:top="642" w:right="0" w:bottom="340" w:left="0" w:header="326" w:footer="111" w:gutter="0"/>
        </w:sectPr>
        <w:rPr/>
      </w:pPr>
    </w:p>
    <w:p>
      <w:pPr>
        <w:pStyle w:val="BodyText"/>
        <w:spacing w:line="277" w:lineRule="auto"/>
        <w:rPr/>
      </w:pPr>
      <w:r>
        <w:pict>
          <v:shape id="_x0000_s530" style="position:absolute;margin-left:491.92pt;margin-top:44.1055pt;mso-position-vertical-relative:page;mso-position-horizontal-relative:page;width:119.4pt;height:18.85pt;z-index:2517954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532" style="position:absolute;margin-left:86.92pt;margin-top:472.067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_x0000_s534" style="position:absolute;margin-left:491.92pt;margin-top:472.067pt;mso-position-vertical-relative:text;mso-position-horizontal-relative:text;width:119.4pt;height:18.85pt;z-index:251792384;rotation:330;" fillcolor="#404040" filled="true" stroked="false" type="#_x0000_t136">
            <v:fill opacity="0.400000"/>
            <v:textpath style="font-family:&quot;SimSun&quot;;font-size:20;v-text-kern:t;mso-text-shadow:auto" string="仅供内部审核"/>
          </v:shape>
        </w:pict>
      </w:r>
      <w:r>
        <w:pict>
          <v:shape id="_x0000_s536" style="position:absolute;margin-left:-13.08pt;margin-top:228.067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28.067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54" name="IM 54"/>
            <wp:cNvGraphicFramePr/>
            <a:graphic>
              <a:graphicData uri="http://schemas.openxmlformats.org/drawingml/2006/picture">
                <pic:pic>
                  <pic:nvPicPr>
                    <pic:cNvPr id="54" name="IM 54"/>
                    <pic:cNvPicPr/>
                  </pic:nvPicPr>
                  <pic:blipFill>
                    <a:blip r:embed="rId90"/>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89"/>
          <w:pgSz w:w="11900" w:h="16840"/>
          <w:pgMar w:top="642" w:right="0" w:bottom="340" w:left="0" w:header="326" w:footer="111" w:gutter="0"/>
        </w:sectPr>
        <w:rPr/>
      </w:pPr>
    </w:p>
    <w:p>
      <w:pPr>
        <w:pStyle w:val="BodyText"/>
        <w:spacing w:line="277" w:lineRule="auto"/>
        <w:rPr/>
      </w:pPr>
      <w:r>
        <w:pict>
          <v:shape id="_x0000_s540" style="position:absolute;margin-left:491.92pt;margin-top:44.1055pt;mso-position-vertical-relative:page;mso-position-horizontal-relative:page;width:119.4pt;height:18.85pt;z-index:2517995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542" style="position:absolute;margin-left:86.92pt;margin-top:472.067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_x0000_s544" style="position:absolute;margin-left:391.92pt;margin-top:228.067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546" style="position:absolute;margin-left:491.92pt;margin-top:472.067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pict>
          <v:shape id="_x0000_s548" style="position:absolute;margin-left:-13.08pt;margin-top:228.067pt;mso-position-vertical-relative:text;mso-position-horizontal-relative:text;width:119.4pt;height:18.85pt;z-index:25180057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56" name="IM 56"/>
            <wp:cNvGraphicFramePr/>
            <a:graphic>
              <a:graphicData uri="http://schemas.openxmlformats.org/drawingml/2006/picture">
                <pic:pic>
                  <pic:nvPicPr>
                    <pic:cNvPr id="56" name="IM 56"/>
                    <pic:cNvPicPr/>
                  </pic:nvPicPr>
                  <pic:blipFill>
                    <a:blip r:embed="rId92"/>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9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9913" w:lineRule="exact"/>
        <w:rPr/>
      </w:pPr>
      <w:r>
        <w:pict>
          <v:shape id="_x0000_s564" style="position:absolute;margin-left:391.92pt;margin-top:228.067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_x0000_s566" style="position:absolute;margin-left:86.92pt;margin-top:472.067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rPr>
          <w:position w:val="-198"/>
        </w:rPr>
        <w:drawing>
          <wp:inline distT="0" distB="0" distL="0" distR="0">
            <wp:extent cx="4937350" cy="6294282"/>
            <wp:effectExtent l="0" t="0" r="0" b="0"/>
            <wp:docPr id="58" name="IM 58"/>
            <wp:cNvGraphicFramePr/>
            <a:graphic>
              <a:graphicData uri="http://schemas.openxmlformats.org/drawingml/2006/picture">
                <pic:pic>
                  <pic:nvPicPr>
                    <pic:cNvPr id="58" name="IM 58"/>
                    <pic:cNvPicPr/>
                  </pic:nvPicPr>
                  <pic:blipFill>
                    <a:blip r:embed="rId95"/>
                    <a:stretch>
                      <a:fillRect/>
                    </a:stretch>
                  </pic:blipFill>
                  <pic:spPr>
                    <a:xfrm rot="0">
                      <a:off x="0" y="0"/>
                      <a:ext cx="4937350" cy="6294282"/>
                    </a:xfrm>
                    <a:prstGeom prst="rect">
                      <a:avLst/>
                    </a:prstGeom>
                  </pic:spPr>
                </pic:pic>
              </a:graphicData>
            </a:graphic>
          </wp:inline>
        </w:drawing>
      </w:r>
    </w:p>
    <w:p>
      <w:pPr>
        <w:spacing w:line="9913" w:lineRule="exact"/>
        <w:sectPr>
          <w:headerReference w:type="default" r:id="rId93"/>
          <w:footerReference w:type="default" r:id="rId94"/>
          <w:pgSz w:w="11900" w:h="16840"/>
          <w:pgMar w:top="642" w:right="0" w:bottom="340" w:left="0" w:header="326" w:footer="111" w:gutter="0"/>
        </w:sectPr>
        <w:rPr/>
      </w:pPr>
    </w:p>
    <w:p>
      <w:pPr>
        <w:pStyle w:val="BodyText"/>
        <w:spacing w:line="277" w:lineRule="auto"/>
        <w:rPr/>
      </w:pPr>
      <w:r>
        <w:pict>
          <v:shape id="_x0000_s568" style="position:absolute;margin-left:491.92pt;margin-top:44.1055pt;mso-position-vertical-relative:page;mso-position-horizontal-relative:page;width:119.4pt;height:18.85pt;z-index:2518077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570" style="position:absolute;margin-left:86.92pt;margin-top:472.067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572" style="position:absolute;margin-left:391.92pt;margin-top:228.067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pict>
          <v:shape id="_x0000_s574" style="position:absolute;margin-left:-13.08pt;margin-top:228.067pt;mso-position-vertical-relative:text;mso-position-horizontal-relative:text;width:119.4pt;height:18.85pt;z-index:251809792;rotation:330;" fillcolor="#404040" filled="true" stroked="false" type="#_x0000_t136">
            <v:fill opacity="0.400000"/>
            <v:textpath style="font-family:&quot;SimSun&quot;;font-size:20;v-text-kern:t;mso-text-shadow:auto" string="仅供内部审核"/>
          </v:shape>
        </w:pict>
      </w:r>
      <w:r>
        <w:pict>
          <v:shape id="_x0000_s576" style="position:absolute;margin-left:491.92pt;margin-top:472.067pt;mso-position-vertical-relative:text;mso-position-horizontal-relative:text;width:119.4pt;height:18.85pt;z-index:25181081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60" name="IM 60"/>
            <wp:cNvGraphicFramePr/>
            <a:graphic>
              <a:graphicData uri="http://schemas.openxmlformats.org/drawingml/2006/picture">
                <pic:pic>
                  <pic:nvPicPr>
                    <pic:cNvPr id="60" name="IM 60"/>
                    <pic:cNvPicPr/>
                  </pic:nvPicPr>
                  <pic:blipFill>
                    <a:blip r:embed="rId97"/>
                    <a:stretch>
                      <a:fillRect/>
                    </a:stretch>
                  </pic:blipFill>
                  <pic:spPr>
                    <a:xfrm rot="0">
                      <a:off x="0" y="0"/>
                      <a:ext cx="5045993" cy="6281747"/>
                    </a:xfrm>
                    <a:prstGeom prst="rect">
                      <a:avLst/>
                    </a:prstGeom>
                  </pic:spPr>
                </pic:pic>
              </a:graphicData>
            </a:graphic>
          </wp:inline>
        </w:drawing>
      </w:r>
    </w:p>
    <w:p>
      <w:pPr>
        <w:spacing w:line="9893" w:lineRule="exact"/>
        <w:sectPr>
          <w:headerReference w:type="default" r:id="rId36"/>
          <w:footerReference w:type="default" r:id="rId96"/>
          <w:pgSz w:w="11900" w:h="16840"/>
          <w:pgMar w:top="642" w:right="0" w:bottom="340" w:left="0" w:header="326" w:footer="111" w:gutter="0"/>
        </w:sectPr>
        <w:rPr/>
      </w:pPr>
    </w:p>
    <w:p>
      <w:pPr>
        <w:pStyle w:val="BodyText"/>
        <w:spacing w:line="277" w:lineRule="auto"/>
        <w:rPr/>
      </w:pPr>
      <w:r>
        <w:pict>
          <v:shape id="_x0000_s578" style="position:absolute;margin-left:491.92pt;margin-top:44.1055pt;mso-position-vertical-relative:page;mso-position-horizontal-relative:page;width:119.4pt;height:18.85pt;z-index:2518138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369" w:lineRule="exact"/>
        <w:rPr/>
      </w:pPr>
      <w:r>
        <w:pict>
          <v:shape id="_x0000_s580" style="position:absolute;margin-left:491.92pt;margin-top:472.067pt;mso-position-vertical-relative:text;mso-position-horizontal-relative:text;width:119.4pt;height:18.85pt;z-index:251811840;rotation:330;" fillcolor="#404040" filled="true" stroked="false" type="#_x0000_t136">
            <v:fill opacity="0.400000"/>
            <v:textpath style="font-family:&quot;SimSun&quot;;font-size:20;v-text-kern:t;mso-text-shadow:auto" string="仅供内部审核"/>
          </v:shape>
        </w:pict>
      </w:r>
      <w:r>
        <w:pict>
          <v:shape id="_x0000_s582" style="position:absolute;margin-left:-13.08pt;margin-top:228.067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pict>
          <v:shape id="_x0000_s584" style="position:absolute;margin-left:391.92pt;margin-top:228.067pt;mso-position-vertical-relative:text;mso-position-horizontal-relative:text;width:119.4pt;height:18.85pt;z-index:251814912;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67pt;mso-position-vertical-relative:text;mso-position-horizontal-relative:text;width:119.4pt;height:18.85pt;z-index:251815936;rotation:330;" fillcolor="#404040" filled="true" stroked="false" type="#_x0000_t136">
            <v:fill opacity="0.400000"/>
            <v:textpath style="font-family:&quot;SimSun&quot;;font-size:20;v-text-kern:t;mso-text-shadow:auto" string="仅供内部审核"/>
          </v:shape>
        </w:pict>
      </w:r>
      <w:r>
        <w:rPr>
          <w:position w:val="-207"/>
        </w:rPr>
        <w:drawing>
          <wp:inline distT="0" distB="0" distL="0" distR="0">
            <wp:extent cx="5045993" cy="6583820"/>
            <wp:effectExtent l="0" t="0" r="0" b="0"/>
            <wp:docPr id="62" name="IM 62"/>
            <wp:cNvGraphicFramePr/>
            <a:graphic>
              <a:graphicData uri="http://schemas.openxmlformats.org/drawingml/2006/picture">
                <pic:pic>
                  <pic:nvPicPr>
                    <pic:cNvPr id="62" name="IM 62"/>
                    <pic:cNvPicPr/>
                  </pic:nvPicPr>
                  <pic:blipFill>
                    <a:blip r:embed="rId99"/>
                    <a:stretch>
                      <a:fillRect/>
                    </a:stretch>
                  </pic:blipFill>
                  <pic:spPr>
                    <a:xfrm rot="0">
                      <a:off x="0" y="0"/>
                      <a:ext cx="5045993" cy="6583820"/>
                    </a:xfrm>
                    <a:prstGeom prst="rect">
                      <a:avLst/>
                    </a:prstGeom>
                  </pic:spPr>
                </pic:pic>
              </a:graphicData>
            </a:graphic>
          </wp:inline>
        </w:drawing>
      </w:r>
    </w:p>
    <w:p>
      <w:pPr>
        <w:spacing w:line="10369" w:lineRule="exact"/>
        <w:sectPr>
          <w:footerReference w:type="default" r:id="rId98"/>
          <w:pgSz w:w="11900" w:h="16840"/>
          <w:pgMar w:top="642" w:right="0" w:bottom="340" w:left="0" w:header="326" w:footer="111" w:gutter="0"/>
        </w:sectPr>
        <w:rPr/>
      </w:pPr>
    </w:p>
    <w:p>
      <w:pPr>
        <w:pStyle w:val="BodyText"/>
        <w:spacing w:line="277" w:lineRule="auto"/>
        <w:rPr/>
      </w:pPr>
      <w:r>
        <w:pict>
          <v:shape id="_x0000_s588" style="position:absolute;margin-left:491.92pt;margin-top:44.1055pt;mso-position-vertical-relative:page;mso-position-horizontal-relative:page;width:119.4pt;height:18.85pt;z-index:2518179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369" w:lineRule="exact"/>
        <w:rPr/>
      </w:pPr>
      <w:r>
        <w:pict>
          <v:shape id="_x0000_s590" style="position:absolute;margin-left:86.92pt;margin-top:472.067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pict>
          <v:shape id="_x0000_s592" style="position:absolute;margin-left:391.92pt;margin-top:228.067pt;mso-position-vertical-relative:text;mso-position-horizontal-relative:text;width:119.4pt;height:18.85pt;z-index:251819008;rotation:330;" fillcolor="#404040" filled="true" stroked="false" type="#_x0000_t136">
            <v:fill opacity="0.400000"/>
            <v:textpath style="font-family:&quot;SimSun&quot;;font-size:20;v-text-kern:t;mso-text-shadow:auto" string="仅供内部审核"/>
          </v:shape>
        </w:pict>
      </w:r>
      <w:r>
        <w:pict>
          <v:shape id="_x0000_s594" style="position:absolute;margin-left:-13.08pt;margin-top:228.067pt;mso-position-vertical-relative:text;mso-position-horizontal-relative:text;width:119.4pt;height:18.85pt;z-index:251820032;rotation:330;" fillcolor="#404040" filled="true" stroked="false" type="#_x0000_t136">
            <v:fill opacity="0.400000"/>
            <v:textpath style="font-family:&quot;SimSun&quot;;font-size:20;v-text-kern:t;mso-text-shadow:auto" string="仅供内部审核"/>
          </v:shape>
        </w:pict>
      </w:r>
      <w:r>
        <w:pict>
          <v:shape id="_x0000_s596" style="position:absolute;margin-left:491.92pt;margin-top:472.067pt;mso-position-vertical-relative:text;mso-position-horizontal-relative:text;width:119.4pt;height:18.85pt;z-index:251821056;rotation:330;" fillcolor="#404040" filled="true" stroked="false" type="#_x0000_t136">
            <v:fill opacity="0.400000"/>
            <v:textpath style="font-family:&quot;SimSun&quot;;font-size:20;v-text-kern:t;mso-text-shadow:auto" string="仅供内部审核"/>
          </v:shape>
        </w:pict>
      </w:r>
      <w:r>
        <w:rPr>
          <w:position w:val="-207"/>
        </w:rPr>
        <w:drawing>
          <wp:inline distT="0" distB="0" distL="0" distR="0">
            <wp:extent cx="5045993" cy="6583820"/>
            <wp:effectExtent l="0" t="0" r="0" b="0"/>
            <wp:docPr id="64" name="IM 64"/>
            <wp:cNvGraphicFramePr/>
            <a:graphic>
              <a:graphicData uri="http://schemas.openxmlformats.org/drawingml/2006/picture">
                <pic:pic>
                  <pic:nvPicPr>
                    <pic:cNvPr id="64" name="IM 64"/>
                    <pic:cNvPicPr/>
                  </pic:nvPicPr>
                  <pic:blipFill>
                    <a:blip r:embed="rId101"/>
                    <a:stretch>
                      <a:fillRect/>
                    </a:stretch>
                  </pic:blipFill>
                  <pic:spPr>
                    <a:xfrm rot="0">
                      <a:off x="0" y="0"/>
                      <a:ext cx="5045993" cy="6583820"/>
                    </a:xfrm>
                    <a:prstGeom prst="rect">
                      <a:avLst/>
                    </a:prstGeom>
                  </pic:spPr>
                </pic:pic>
              </a:graphicData>
            </a:graphic>
          </wp:inline>
        </w:drawing>
      </w:r>
    </w:p>
    <w:p>
      <w:pPr>
        <w:spacing w:line="10369" w:lineRule="exact"/>
        <w:sectPr>
          <w:footerReference w:type="default" r:id="rId100"/>
          <w:pgSz w:w="11900" w:h="16840"/>
          <w:pgMar w:top="642" w:right="0" w:bottom="340" w:left="0" w:header="326" w:footer="111" w:gutter="0"/>
        </w:sectPr>
        <w:rPr/>
      </w:pPr>
    </w:p>
    <w:p>
      <w:pPr>
        <w:pStyle w:val="BodyText"/>
        <w:spacing w:line="277" w:lineRule="auto"/>
        <w:rPr/>
      </w:pPr>
      <w:r>
        <w:pict>
          <v:shape id="_x0000_s598" style="position:absolute;margin-left:491.92pt;margin-top:44.1055pt;mso-position-vertical-relative:page;mso-position-horizontal-relative:page;width:119.4pt;height:18.85pt;z-index:2518261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31" w:lineRule="exact"/>
        <w:rPr/>
      </w:pPr>
      <w:r>
        <w:pict>
          <v:shape id="_x0000_s600" style="position:absolute;margin-left:86.92pt;margin-top:472.067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602" style="position:absolute;margin-left:391.92pt;margin-top:228.067pt;mso-position-vertical-relative:text;mso-position-horizontal-relative:text;width:119.4pt;height:18.85pt;z-index:251823104;rotation:330;" fillcolor="#404040" filled="true" stroked="false" type="#_x0000_t136">
            <v:fill opacity="0.400000"/>
            <v:textpath style="font-family:&quot;SimSun&quot;;font-size:20;v-text-kern:t;mso-text-shadow:auto" string="仅供内部审核"/>
          </v:shape>
        </w:pict>
      </w:r>
      <w:r>
        <w:pict>
          <v:shape id="_x0000_s604" style="position:absolute;margin-left:491.92pt;margin-top:472.067pt;mso-position-vertical-relative:text;mso-position-horizontal-relative:text;width:119.4pt;height:18.85pt;z-index:251824128;rotation:330;" fillcolor="#404040" filled="true" stroked="false" type="#_x0000_t136">
            <v:fill opacity="0.400000"/>
            <v:textpath style="font-family:&quot;SimSun&quot;;font-size:20;v-text-kern:t;mso-text-shadow:auto" string="仅供内部审核"/>
          </v:shape>
        </w:pict>
      </w:r>
      <w:r>
        <w:pict>
          <v:shape id="_x0000_s606" style="position:absolute;margin-left:-13.08pt;margin-top:228.067pt;mso-position-vertical-relative:text;mso-position-horizontal-relative:text;width:119.4pt;height:18.85pt;z-index:251825152;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32783"/>
            <wp:effectExtent l="0" t="0" r="0" b="0"/>
            <wp:docPr id="66" name="IM 66"/>
            <wp:cNvGraphicFramePr/>
            <a:graphic>
              <a:graphicData uri="http://schemas.openxmlformats.org/drawingml/2006/picture">
                <pic:pic>
                  <pic:nvPicPr>
                    <pic:cNvPr id="66" name="IM 66"/>
                    <pic:cNvPicPr/>
                  </pic:nvPicPr>
                  <pic:blipFill>
                    <a:blip r:embed="rId103"/>
                    <a:stretch>
                      <a:fillRect/>
                    </a:stretch>
                  </pic:blipFill>
                  <pic:spPr>
                    <a:xfrm rot="0">
                      <a:off x="0" y="0"/>
                      <a:ext cx="5045993" cy="6432783"/>
                    </a:xfrm>
                    <a:prstGeom prst="rect">
                      <a:avLst/>
                    </a:prstGeom>
                  </pic:spPr>
                </pic:pic>
              </a:graphicData>
            </a:graphic>
          </wp:inline>
        </w:drawing>
      </w:r>
    </w:p>
    <w:p>
      <w:pPr>
        <w:spacing w:line="10131" w:lineRule="exact"/>
        <w:sectPr>
          <w:footerReference w:type="default" r:id="rId102"/>
          <w:pgSz w:w="11900" w:h="16840"/>
          <w:pgMar w:top="642" w:right="0" w:bottom="340" w:left="0" w:header="326" w:footer="111" w:gutter="0"/>
        </w:sectPr>
        <w:rPr/>
      </w:pPr>
    </w:p>
    <w:p>
      <w:pPr>
        <w:pStyle w:val="BodyText"/>
        <w:spacing w:line="277" w:lineRule="auto"/>
        <w:rPr/>
      </w:pPr>
      <w:r>
        <w:pict>
          <v:shape id="_x0000_s608" style="position:absolute;margin-left:491.92pt;margin-top:44.1055pt;mso-position-vertical-relative:page;mso-position-horizontal-relative:page;width:119.4pt;height:18.85pt;z-index:251827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606" w:lineRule="exact"/>
        <w:rPr/>
      </w:pPr>
      <w:r>
        <w:pict>
          <v:shape id="_x0000_s610" style="position:absolute;margin-left:391.92pt;margin-top:228.067pt;mso-position-vertical-relative:text;mso-position-horizontal-relative:text;width:119.4pt;height:18.85pt;z-index:251828224;rotation:330;" fillcolor="#404040" filled="true" stroked="false" type="#_x0000_t136">
            <v:fill opacity="0.400000"/>
            <v:textpath style="font-family:&quot;SimSun&quot;;font-size:20;v-text-kern:t;mso-text-shadow:auto" string="仅供内部审核"/>
          </v:shape>
        </w:pict>
      </w:r>
      <w:r>
        <w:pict>
          <v:shape id="_x0000_s612" style="position:absolute;margin-left:86.92pt;margin-top:472.067pt;mso-position-vertical-relative:text;mso-position-horizontal-relative:text;width:119.4pt;height:18.85pt;z-index:251829248;rotation:330;" fillcolor="#404040" filled="true" stroked="false" type="#_x0000_t136">
            <v:fill opacity="0.400000"/>
            <v:textpath style="font-family:&quot;SimSun&quot;;font-size:20;v-text-kern:t;mso-text-shadow:auto" string="仅供内部审核"/>
          </v:shape>
        </w:pict>
      </w:r>
      <w:r>
        <w:pict>
          <v:shape id="_x0000_s614" style="position:absolute;margin-left:491.92pt;margin-top:472.067pt;mso-position-vertical-relative:text;mso-position-horizontal-relative:text;width:119.4pt;height:18.85pt;z-index:251830272;rotation:330;" fillcolor="#404040" filled="true" stroked="false" type="#_x0000_t136">
            <v:fill opacity="0.400000"/>
            <v:textpath style="font-family:&quot;SimSun&quot;;font-size:20;v-text-kern:t;mso-text-shadow:auto" string="仅供内部审核"/>
          </v:shape>
        </w:pict>
      </w:r>
      <w:r>
        <w:pict>
          <v:shape id="_x0000_s616" style="position:absolute;margin-left:-13.08pt;margin-top:228.067pt;mso-position-vertical-relative:text;mso-position-horizontal-relative:text;width:119.4pt;height:18.85pt;z-index:251831296;rotation:330;" fillcolor="#404040" filled="true" stroked="false" type="#_x0000_t136">
            <v:fill opacity="0.400000"/>
            <v:textpath style="font-family:&quot;SimSun&quot;;font-size:20;v-text-kern:t;mso-text-shadow:auto" string="仅供内部审核"/>
          </v:shape>
        </w:pict>
      </w:r>
      <w:r>
        <w:rPr>
          <w:position w:val="-212"/>
        </w:rPr>
        <w:drawing>
          <wp:inline distT="0" distB="0" distL="0" distR="0">
            <wp:extent cx="5045993" cy="6734856"/>
            <wp:effectExtent l="0" t="0" r="0" b="0"/>
            <wp:docPr id="68" name="IM 68"/>
            <wp:cNvGraphicFramePr/>
            <a:graphic>
              <a:graphicData uri="http://schemas.openxmlformats.org/drawingml/2006/picture">
                <pic:pic>
                  <pic:nvPicPr>
                    <pic:cNvPr id="68" name="IM 68"/>
                    <pic:cNvPicPr/>
                  </pic:nvPicPr>
                  <pic:blipFill>
                    <a:blip r:embed="rId105"/>
                    <a:stretch>
                      <a:fillRect/>
                    </a:stretch>
                  </pic:blipFill>
                  <pic:spPr>
                    <a:xfrm rot="0">
                      <a:off x="0" y="0"/>
                      <a:ext cx="5045993" cy="6734856"/>
                    </a:xfrm>
                    <a:prstGeom prst="rect">
                      <a:avLst/>
                    </a:prstGeom>
                  </pic:spPr>
                </pic:pic>
              </a:graphicData>
            </a:graphic>
          </wp:inline>
        </w:drawing>
      </w:r>
    </w:p>
    <w:p>
      <w:pPr>
        <w:spacing w:line="10606" w:lineRule="exact"/>
        <w:sectPr>
          <w:footerReference w:type="default" r:id="rId104"/>
          <w:pgSz w:w="11900" w:h="16840"/>
          <w:pgMar w:top="642" w:right="0" w:bottom="340" w:left="0" w:header="326" w:footer="111" w:gutter="0"/>
        </w:sectPr>
        <w:rPr/>
      </w:pPr>
    </w:p>
    <w:p>
      <w:pPr>
        <w:pStyle w:val="BodyText"/>
        <w:spacing w:line="277" w:lineRule="auto"/>
        <w:rPr/>
      </w:pPr>
      <w:r>
        <w:pict>
          <v:shape id="_x0000_s618" style="position:absolute;margin-left:491.92pt;margin-top:44.1055pt;mso-position-vertical-relative:page;mso-position-horizontal-relative:page;width:119.4pt;height:18.85pt;z-index:251832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369" w:lineRule="exact"/>
        <w:rPr/>
      </w:pPr>
      <w:r>
        <w:pict>
          <v:shape id="_x0000_s620" style="position:absolute;margin-left:391.92pt;margin-top:228.067pt;mso-position-vertical-relative:text;mso-position-horizontal-relative:text;width:119.4pt;height:18.85pt;z-index:251833344;rotation:330;" fillcolor="#404040" filled="true" stroked="false" type="#_x0000_t136">
            <v:fill opacity="0.400000"/>
            <v:textpath style="font-family:&quot;SimSun&quot;;font-size:20;v-text-kern:t;mso-text-shadow:auto" string="仅供内部审核"/>
          </v:shape>
        </w:pict>
      </w:r>
      <w:r>
        <w:pict>
          <v:shape id="_x0000_s622" style="position:absolute;margin-left:86.92pt;margin-top:472.067pt;mso-position-vertical-relative:text;mso-position-horizontal-relative:text;width:119.4pt;height:18.85pt;z-index:251834368;rotation:330;" fillcolor="#404040" filled="true" stroked="false" type="#_x0000_t136">
            <v:fill opacity="0.400000"/>
            <v:textpath style="font-family:&quot;SimSun&quot;;font-size:20;v-text-kern:t;mso-text-shadow:auto" string="仅供内部审核"/>
          </v:shape>
        </w:pict>
      </w:r>
      <w:r>
        <w:pict>
          <v:shape id="_x0000_s624" style="position:absolute;margin-left:491.92pt;margin-top:472.067pt;mso-position-vertical-relative:text;mso-position-horizontal-relative:text;width:119.4pt;height:18.85pt;z-index:251835392;rotation:330;" fillcolor="#404040" filled="true" stroked="false" type="#_x0000_t136">
            <v:fill opacity="0.400000"/>
            <v:textpath style="font-family:&quot;SimSun&quot;;font-size:20;v-text-kern:t;mso-text-shadow:auto" string="仅供内部审核"/>
          </v:shape>
        </w:pict>
      </w:r>
      <w:r>
        <w:pict>
          <v:shape id="_x0000_s626" style="position:absolute;margin-left:-13.08pt;margin-top:228.067pt;mso-position-vertical-relative:text;mso-position-horizontal-relative:text;width:119.4pt;height:18.85pt;z-index:251836416;rotation:330;" fillcolor="#404040" filled="true" stroked="false" type="#_x0000_t136">
            <v:fill opacity="0.400000"/>
            <v:textpath style="font-family:&quot;SimSun&quot;;font-size:20;v-text-kern:t;mso-text-shadow:auto" string="仅供内部审核"/>
          </v:shape>
        </w:pict>
      </w:r>
      <w:r>
        <w:rPr>
          <w:position w:val="-207"/>
        </w:rPr>
        <w:drawing>
          <wp:inline distT="0" distB="0" distL="0" distR="0">
            <wp:extent cx="5045993" cy="6583820"/>
            <wp:effectExtent l="0" t="0" r="0" b="0"/>
            <wp:docPr id="70" name="IM 70"/>
            <wp:cNvGraphicFramePr/>
            <a:graphic>
              <a:graphicData uri="http://schemas.openxmlformats.org/drawingml/2006/picture">
                <pic:pic>
                  <pic:nvPicPr>
                    <pic:cNvPr id="70" name="IM 70"/>
                    <pic:cNvPicPr/>
                  </pic:nvPicPr>
                  <pic:blipFill>
                    <a:blip r:embed="rId107"/>
                    <a:stretch>
                      <a:fillRect/>
                    </a:stretch>
                  </pic:blipFill>
                  <pic:spPr>
                    <a:xfrm rot="0">
                      <a:off x="0" y="0"/>
                      <a:ext cx="5045993" cy="6583820"/>
                    </a:xfrm>
                    <a:prstGeom prst="rect">
                      <a:avLst/>
                    </a:prstGeom>
                  </pic:spPr>
                </pic:pic>
              </a:graphicData>
            </a:graphic>
          </wp:inline>
        </w:drawing>
      </w:r>
    </w:p>
    <w:p>
      <w:pPr>
        <w:spacing w:line="10369" w:lineRule="exact"/>
        <w:sectPr>
          <w:footerReference w:type="default" r:id="rId106"/>
          <w:pgSz w:w="11900" w:h="16840"/>
          <w:pgMar w:top="642" w:right="0" w:bottom="340" w:left="0" w:header="326" w:footer="111" w:gutter="0"/>
        </w:sectPr>
        <w:rPr/>
      </w:pPr>
    </w:p>
    <w:p>
      <w:pPr>
        <w:pStyle w:val="BodyText"/>
        <w:spacing w:line="277" w:lineRule="auto"/>
        <w:rPr/>
      </w:pPr>
      <w:r>
        <w:pict>
          <v:shape id="_x0000_s628" style="position:absolute;margin-left:491.92pt;margin-top:44.1055pt;mso-position-vertical-relative:page;mso-position-horizontal-relative:page;width:119.4pt;height:18.85pt;z-index:251838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30" style="position:absolute;margin-left:-13.08pt;margin-top:228.067pt;mso-position-vertical-relative:text;mso-position-horizontal-relative:text;width:119.4pt;height:18.85pt;z-index:251837440;rotation:330;" fillcolor="#404040" filled="true" stroked="false" type="#_x0000_t136">
            <v:fill opacity="0.400000"/>
            <v:textpath style="font-family:&quot;SimSun&quot;;font-size:20;v-text-kern:t;mso-text-shadow:auto" string="仅供内部审核"/>
          </v:shape>
        </w:pict>
      </w:r>
      <w:r>
        <w:pict>
          <v:shape id="_x0000_s632" style="position:absolute;margin-left:391.92pt;margin-top:228.067pt;mso-position-vertical-relative:text;mso-position-horizontal-relative:text;width:119.4pt;height:18.85pt;z-index:251839488;rotation:330;" fillcolor="#404040" filled="true" stroked="false" type="#_x0000_t136">
            <v:fill opacity="0.400000"/>
            <v:textpath style="font-family:&quot;SimSun&quot;;font-size:20;v-text-kern:t;mso-text-shadow:auto" string="仅供内部审核"/>
          </v:shape>
        </w:pict>
      </w:r>
      <w:r>
        <w:pict>
          <v:shape id="_x0000_s634" style="position:absolute;margin-left:86.92pt;margin-top:472.067pt;mso-position-vertical-relative:text;mso-position-horizontal-relative:text;width:119.4pt;height:18.85pt;z-index:251840512;rotation:330;" fillcolor="#404040" filled="true" stroked="false" type="#_x0000_t136">
            <v:fill opacity="0.400000"/>
            <v:textpath style="font-family:&quot;SimSun&quot;;font-size:20;v-text-kern:t;mso-text-shadow:auto" string="仅供内部审核"/>
          </v:shape>
        </w:pict>
      </w:r>
      <w:r>
        <w:pict>
          <v:shape id="_x0000_s636" style="position:absolute;margin-left:491.92pt;margin-top:472.067pt;mso-position-vertical-relative:text;mso-position-horizontal-relative:text;width:119.4pt;height:18.85pt;z-index:25184153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72" name="IM 72"/>
            <wp:cNvGraphicFramePr/>
            <a:graphic>
              <a:graphicData uri="http://schemas.openxmlformats.org/drawingml/2006/picture">
                <pic:pic>
                  <pic:nvPicPr>
                    <pic:cNvPr id="72" name="IM 72"/>
                    <pic:cNvPicPr/>
                  </pic:nvPicPr>
                  <pic:blipFill>
                    <a:blip r:embed="rId109"/>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08"/>
          <w:pgSz w:w="11900" w:h="16840"/>
          <w:pgMar w:top="642" w:right="0" w:bottom="340" w:left="0" w:header="326" w:footer="111" w:gutter="0"/>
        </w:sectPr>
        <w:rPr/>
      </w:pPr>
    </w:p>
    <w:p>
      <w:pPr>
        <w:pStyle w:val="BodyText"/>
        <w:spacing w:line="277" w:lineRule="auto"/>
        <w:rPr/>
      </w:pPr>
      <w:r>
        <w:pict>
          <v:shape id="_x0000_s638" style="position:absolute;margin-left:491.92pt;margin-top:44.1055pt;mso-position-vertical-relative:page;mso-position-horizontal-relative:page;width:119.4pt;height:18.85pt;z-index:2518435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40" style="position:absolute;margin-left:-13.08pt;margin-top:228.067pt;mso-position-vertical-relative:text;mso-position-horizontal-relative:text;width:119.4pt;height:18.85pt;z-index:251842560;rotation:330;" fillcolor="#404040" filled="true" stroked="false" type="#_x0000_t136">
            <v:fill opacity="0.400000"/>
            <v:textpath style="font-family:&quot;SimSun&quot;;font-size:20;v-text-kern:t;mso-text-shadow:auto" string="仅供内部审核"/>
          </v:shape>
        </w:pict>
      </w:r>
      <w:r>
        <w:pict>
          <v:shape id="_x0000_s642" style="position:absolute;margin-left:86.92pt;margin-top:472.067pt;mso-position-vertical-relative:text;mso-position-horizontal-relative:text;width:119.4pt;height:18.85pt;z-index:251844608;rotation:330;" fillcolor="#404040" filled="true" stroked="false" type="#_x0000_t136">
            <v:fill opacity="0.400000"/>
            <v:textpath style="font-family:&quot;SimSun&quot;;font-size:20;v-text-kern:t;mso-text-shadow:auto" string="仅供内部审核"/>
          </v:shape>
        </w:pict>
      </w:r>
      <w:r>
        <w:pict>
          <v:shape id="_x0000_s644" style="position:absolute;margin-left:391.92pt;margin-top:228.067pt;mso-position-vertical-relative:text;mso-position-horizontal-relative:text;width:119.4pt;height:18.85pt;z-index:251845632;rotation:330;" fillcolor="#404040" filled="true" stroked="false" type="#_x0000_t136">
            <v:fill opacity="0.400000"/>
            <v:textpath style="font-family:&quot;SimSun&quot;;font-size:20;v-text-kern:t;mso-text-shadow:auto" string="仅供内部审核"/>
          </v:shape>
        </w:pict>
      </w:r>
      <w:r>
        <w:pict>
          <v:shape id="_x0000_s646" style="position:absolute;margin-left:491.92pt;margin-top:472.067pt;mso-position-vertical-relative:text;mso-position-horizontal-relative:text;width:119.4pt;height:18.85pt;z-index:25184665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74" name="IM 74"/>
            <wp:cNvGraphicFramePr/>
            <a:graphic>
              <a:graphicData uri="http://schemas.openxmlformats.org/drawingml/2006/picture">
                <pic:pic>
                  <pic:nvPicPr>
                    <pic:cNvPr id="74" name="IM 74"/>
                    <pic:cNvPicPr/>
                  </pic:nvPicPr>
                  <pic:blipFill>
                    <a:blip r:embed="rId111"/>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10"/>
          <w:pgSz w:w="11900" w:h="16840"/>
          <w:pgMar w:top="642" w:right="0" w:bottom="340" w:left="0" w:header="326" w:footer="111" w:gutter="0"/>
        </w:sectPr>
        <w:rPr/>
      </w:pPr>
    </w:p>
    <w:p>
      <w:pPr>
        <w:pStyle w:val="BodyText"/>
        <w:spacing w:line="277" w:lineRule="auto"/>
        <w:rPr/>
      </w:pPr>
      <w:r>
        <w:pict>
          <v:shape id="_x0000_s648" style="position:absolute;margin-left:491.92pt;margin-top:44.1055pt;mso-position-vertical-relative:page;mso-position-horizontal-relative:page;width:119.4pt;height:18.85pt;z-index:2518507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50" style="position:absolute;margin-left:86.92pt;margin-top:472.067pt;mso-position-vertical-relative:text;mso-position-horizontal-relative:text;width:119.4pt;height:18.85pt;z-index:251847680;rotation:330;" fillcolor="#404040" filled="true" stroked="false" type="#_x0000_t136">
            <v:fill opacity="0.400000"/>
            <v:textpath style="font-family:&quot;SimSun&quot;;font-size:20;v-text-kern:t;mso-text-shadow:auto" string="仅供内部审核"/>
          </v:shape>
        </w:pict>
      </w:r>
      <w:r>
        <w:pict>
          <v:shape id="_x0000_s652" style="position:absolute;margin-left:491.92pt;margin-top:472.067pt;mso-position-vertical-relative:text;mso-position-horizontal-relative:text;width:119.4pt;height:18.85pt;z-index:251848704;rotation:330;" fillcolor="#404040" filled="true" stroked="false" type="#_x0000_t136">
            <v:fill opacity="0.400000"/>
            <v:textpath style="font-family:&quot;SimSun&quot;;font-size:20;v-text-kern:t;mso-text-shadow:auto" string="仅供内部审核"/>
          </v:shape>
        </w:pict>
      </w:r>
      <w:r>
        <w:pict>
          <v:shape id="_x0000_s654" style="position:absolute;margin-left:391.92pt;margin-top:228.067pt;mso-position-vertical-relative:text;mso-position-horizontal-relative:text;width:119.4pt;height:18.85pt;z-index:251849728;rotation:330;" fillcolor="#404040" filled="true" stroked="false" type="#_x0000_t136">
            <v:fill opacity="0.400000"/>
            <v:textpath style="font-family:&quot;SimSun&quot;;font-size:20;v-text-kern:t;mso-text-shadow:auto" string="仅供内部审核"/>
          </v:shape>
        </w:pict>
      </w:r>
      <w:r>
        <w:pict>
          <v:shape id="_x0000_s656" style="position:absolute;margin-left:-13.08pt;margin-top:228.067pt;mso-position-vertical-relative:text;mso-position-horizontal-relative:text;width:119.4pt;height:18.85pt;z-index:25185177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76" name="IM 76"/>
            <wp:cNvGraphicFramePr/>
            <a:graphic>
              <a:graphicData uri="http://schemas.openxmlformats.org/drawingml/2006/picture">
                <pic:pic>
                  <pic:nvPicPr>
                    <pic:cNvPr id="76" name="IM 76"/>
                    <pic:cNvPicPr/>
                  </pic:nvPicPr>
                  <pic:blipFill>
                    <a:blip r:embed="rId113"/>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12"/>
          <w:pgSz w:w="11900" w:h="16840"/>
          <w:pgMar w:top="642" w:right="0" w:bottom="340" w:left="0" w:header="326" w:footer="111" w:gutter="0"/>
        </w:sectPr>
        <w:rPr/>
      </w:pPr>
    </w:p>
    <w:p>
      <w:pPr>
        <w:pStyle w:val="BodyText"/>
        <w:spacing w:line="277" w:lineRule="auto"/>
        <w:rPr/>
      </w:pPr>
      <w:r>
        <w:pict>
          <v:shape id="_x0000_s658" style="position:absolute;margin-left:491.92pt;margin-top:44.1055pt;mso-position-vertical-relative:page;mso-position-horizontal-relative:page;width:119.4pt;height:18.85pt;z-index:2518538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60" style="position:absolute;margin-left:491.92pt;margin-top:472.067pt;mso-position-vertical-relative:text;mso-position-horizontal-relative:text;width:119.4pt;height:18.85pt;z-index:251852800;rotation:330;" fillcolor="#404040" filled="true" stroked="false" type="#_x0000_t136">
            <v:fill opacity="0.400000"/>
            <v:textpath style="font-family:&quot;SimSun&quot;;font-size:20;v-text-kern:t;mso-text-shadow:auto" string="仅供内部审核"/>
          </v:shape>
        </w:pict>
      </w:r>
      <w:r>
        <w:pict>
          <v:shape id="_x0000_s662" style="position:absolute;margin-left:-13.08pt;margin-top:228.067pt;mso-position-vertical-relative:text;mso-position-horizontal-relative:text;width:119.4pt;height:18.85pt;z-index:251854848;rotation:330;" fillcolor="#404040" filled="true" stroked="false" type="#_x0000_t136">
            <v:fill opacity="0.400000"/>
            <v:textpath style="font-family:&quot;SimSun&quot;;font-size:20;v-text-kern:t;mso-text-shadow:auto" string="仅供内部审核"/>
          </v:shape>
        </w:pict>
      </w:r>
      <w:r>
        <w:pict>
          <v:shape id="_x0000_s664" style="position:absolute;margin-left:391.92pt;margin-top:228.067pt;mso-position-vertical-relative:text;mso-position-horizontal-relative:text;width:119.4pt;height:18.85pt;z-index:251855872;rotation:330;" fillcolor="#404040" filled="true" stroked="false" type="#_x0000_t136">
            <v:fill opacity="0.400000"/>
            <v:textpath style="font-family:&quot;SimSun&quot;;font-size:20;v-text-kern:t;mso-text-shadow:auto" string="仅供内部审核"/>
          </v:shape>
        </w:pict>
      </w:r>
      <w:r>
        <w:pict>
          <v:shape id="_x0000_s666" style="position:absolute;margin-left:86.92pt;margin-top:472.067pt;mso-position-vertical-relative:text;mso-position-horizontal-relative:text;width:119.4pt;height:18.85pt;z-index:25185689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78" name="IM 78"/>
            <wp:cNvGraphicFramePr/>
            <a:graphic>
              <a:graphicData uri="http://schemas.openxmlformats.org/drawingml/2006/picture">
                <pic:pic>
                  <pic:nvPicPr>
                    <pic:cNvPr id="78" name="IM 78"/>
                    <pic:cNvPicPr/>
                  </pic:nvPicPr>
                  <pic:blipFill>
                    <a:blip r:embed="rId115"/>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14"/>
          <w:pgSz w:w="11900" w:h="16840"/>
          <w:pgMar w:top="642" w:right="0" w:bottom="340" w:left="0" w:header="326" w:footer="111" w:gutter="0"/>
        </w:sectPr>
        <w:rPr/>
      </w:pPr>
    </w:p>
    <w:p>
      <w:pPr>
        <w:pStyle w:val="BodyText"/>
        <w:spacing w:line="277" w:lineRule="auto"/>
        <w:rPr/>
      </w:pPr>
      <w:r>
        <w:pict>
          <v:shape id="_x0000_s668" style="position:absolute;margin-left:491.92pt;margin-top:44.1055pt;mso-position-vertical-relative:page;mso-position-horizontal-relative:page;width:119.4pt;height:18.85pt;z-index:2518620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70" style="position:absolute;margin-left:86.92pt;margin-top:472.067pt;mso-position-vertical-relative:text;mso-position-horizontal-relative:text;width:119.4pt;height:18.85pt;z-index:251857920;rotation:330;" fillcolor="#404040" filled="true" stroked="false" type="#_x0000_t136">
            <v:fill opacity="0.400000"/>
            <v:textpath style="font-family:&quot;SimSun&quot;;font-size:20;v-text-kern:t;mso-text-shadow:auto" string="仅供内部审核"/>
          </v:shape>
        </w:pict>
      </w:r>
      <w:r>
        <w:pict>
          <v:shape id="_x0000_s672" style="position:absolute;margin-left:391.92pt;margin-top:228.067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pict>
          <v:shape id="_x0000_s674" style="position:absolute;margin-left:491.92pt;margin-top:472.067pt;mso-position-vertical-relative:text;mso-position-horizontal-relative:text;width:119.4pt;height:18.85pt;z-index:251859968;rotation:330;" fillcolor="#404040" filled="true" stroked="false" type="#_x0000_t136">
            <v:fill opacity="0.400000"/>
            <v:textpath style="font-family:&quot;SimSun&quot;;font-size:20;v-text-kern:t;mso-text-shadow:auto" string="仅供内部审核"/>
          </v:shape>
        </w:pict>
      </w:r>
      <w:r>
        <w:pict>
          <v:shape id="_x0000_s676" style="position:absolute;margin-left:-13.08pt;margin-top:228.067pt;mso-position-vertical-relative:text;mso-position-horizontal-relative:text;width:119.4pt;height:18.85pt;z-index:251860992;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0" name="IM 80"/>
            <wp:cNvGraphicFramePr/>
            <a:graphic>
              <a:graphicData uri="http://schemas.openxmlformats.org/drawingml/2006/picture">
                <pic:pic>
                  <pic:nvPicPr>
                    <pic:cNvPr id="80" name="IM 80"/>
                    <pic:cNvPicPr/>
                  </pic:nvPicPr>
                  <pic:blipFill>
                    <a:blip r:embed="rId117"/>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16"/>
          <w:pgSz w:w="11900" w:h="16840"/>
          <w:pgMar w:top="642" w:right="0" w:bottom="340" w:left="0" w:header="326" w:footer="111" w:gutter="0"/>
        </w:sectPr>
        <w:rPr/>
      </w:pPr>
    </w:p>
    <w:p>
      <w:pPr>
        <w:pStyle w:val="BodyText"/>
        <w:spacing w:line="277" w:lineRule="auto"/>
        <w:rPr/>
      </w:pPr>
      <w:r>
        <w:pict>
          <v:shape id="_x0000_s678" style="position:absolute;margin-left:491.92pt;margin-top:44.1055pt;mso-position-vertical-relative:page;mso-position-horizontal-relative:page;width:119.4pt;height:18.85pt;z-index:2518671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10131" w:lineRule="exact"/>
        <w:rPr/>
      </w:pPr>
      <w:r>
        <w:pict>
          <v:shape id="_x0000_s680" style="position:absolute;margin-left:391.92pt;margin-top:228.067pt;mso-position-vertical-relative:text;mso-position-horizontal-relative:text;width:119.4pt;height:18.85pt;z-index:251863040;rotation:330;" fillcolor="#404040" filled="true" stroked="false" type="#_x0000_t136">
            <v:fill opacity="0.400000"/>
            <v:textpath style="font-family:&quot;SimSun&quot;;font-size:20;v-text-kern:t;mso-text-shadow:auto" string="仅供内部审核"/>
          </v:shape>
        </w:pict>
      </w:r>
      <w:r>
        <w:pict>
          <v:shape id="_x0000_s682" style="position:absolute;margin-left:491.92pt;margin-top:472.067pt;mso-position-vertical-relative:text;mso-position-horizontal-relative:text;width:119.4pt;height:18.85pt;z-index:251864064;rotation:330;" fillcolor="#404040" filled="true" stroked="false" type="#_x0000_t136">
            <v:fill opacity="0.400000"/>
            <v:textpath style="font-family:&quot;SimSun&quot;;font-size:20;v-text-kern:t;mso-text-shadow:auto" string="仅供内部审核"/>
          </v:shape>
        </w:pict>
      </w:r>
      <w:r>
        <w:pict>
          <v:shape id="_x0000_s684" style="position:absolute;margin-left:86.92pt;margin-top:472.067pt;mso-position-vertical-relative:text;mso-position-horizontal-relative:text;width:119.4pt;height:18.85pt;z-index:251865088;rotation:330;" fillcolor="#404040" filled="true" stroked="false" type="#_x0000_t136">
            <v:fill opacity="0.400000"/>
            <v:textpath style="font-family:&quot;SimSun&quot;;font-size:20;v-text-kern:t;mso-text-shadow:auto" string="仅供内部审核"/>
          </v:shape>
        </w:pict>
      </w:r>
      <w:r>
        <w:pict>
          <v:shape id="_x0000_s686" style="position:absolute;margin-left:-13.08pt;margin-top:228.067pt;mso-position-vertical-relative:text;mso-position-horizontal-relative:text;width:119.4pt;height:18.85pt;z-index:251866112;rotation:330;" fillcolor="#404040" filled="true" stroked="false" type="#_x0000_t136">
            <v:fill opacity="0.400000"/>
            <v:textpath style="font-family:&quot;SimSun&quot;;font-size:20;v-text-kern:t;mso-text-shadow:auto" string="仅供内部审核"/>
          </v:shape>
        </w:pict>
      </w:r>
      <w:r>
        <w:rPr>
          <w:position w:val="-202"/>
        </w:rPr>
        <w:drawing>
          <wp:inline distT="0" distB="0" distL="0" distR="0">
            <wp:extent cx="5045993" cy="6432783"/>
            <wp:effectExtent l="0" t="0" r="0" b="0"/>
            <wp:docPr id="82" name="IM 82"/>
            <wp:cNvGraphicFramePr/>
            <a:graphic>
              <a:graphicData uri="http://schemas.openxmlformats.org/drawingml/2006/picture">
                <pic:pic>
                  <pic:nvPicPr>
                    <pic:cNvPr id="82" name="IM 82"/>
                    <pic:cNvPicPr/>
                  </pic:nvPicPr>
                  <pic:blipFill>
                    <a:blip r:embed="rId119"/>
                    <a:stretch>
                      <a:fillRect/>
                    </a:stretch>
                  </pic:blipFill>
                  <pic:spPr>
                    <a:xfrm rot="0">
                      <a:off x="0" y="0"/>
                      <a:ext cx="5045993" cy="6432783"/>
                    </a:xfrm>
                    <a:prstGeom prst="rect">
                      <a:avLst/>
                    </a:prstGeom>
                  </pic:spPr>
                </pic:pic>
              </a:graphicData>
            </a:graphic>
          </wp:inline>
        </w:drawing>
      </w:r>
    </w:p>
    <w:p>
      <w:pPr>
        <w:spacing w:line="10131" w:lineRule="exact"/>
        <w:sectPr>
          <w:footerReference w:type="default" r:id="rId118"/>
          <w:pgSz w:w="11900" w:h="16840"/>
          <w:pgMar w:top="642" w:right="0" w:bottom="340" w:left="0" w:header="326" w:footer="111" w:gutter="0"/>
        </w:sectPr>
        <w:rPr/>
      </w:pPr>
    </w:p>
    <w:p>
      <w:pPr>
        <w:pStyle w:val="BodyText"/>
        <w:spacing w:line="277" w:lineRule="auto"/>
        <w:rPr/>
      </w:pPr>
      <w:r>
        <w:pict>
          <v:shape id="_x0000_s688" style="position:absolute;margin-left:491.92pt;margin-top:44.1055pt;mso-position-vertical-relative:page;mso-position-horizontal-relative:page;width:119.4pt;height:18.85pt;z-index:2518712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690" style="position:absolute;margin-left:491.92pt;margin-top:472.067pt;mso-position-vertical-relative:text;mso-position-horizontal-relative:text;width:119.4pt;height:18.85pt;z-index:251868160;rotation:330;" fillcolor="#404040" filled="true" stroked="false" type="#_x0000_t136">
            <v:fill opacity="0.400000"/>
            <v:textpath style="font-family:&quot;SimSun&quot;;font-size:20;v-text-kern:t;mso-text-shadow:auto" string="仅供内部审核"/>
          </v:shape>
        </w:pict>
      </w:r>
      <w:r>
        <w:pict>
          <v:shape id="_x0000_s692" style="position:absolute;margin-left:86.92pt;margin-top:472.067pt;mso-position-vertical-relative:text;mso-position-horizontal-relative:text;width:119.4pt;height:18.85pt;z-index:251869184;rotation:330;" fillcolor="#404040" filled="true" stroked="false" type="#_x0000_t136">
            <v:fill opacity="0.400000"/>
            <v:textpath style="font-family:&quot;SimSun&quot;;font-size:20;v-text-kern:t;mso-text-shadow:auto" string="仅供内部审核"/>
          </v:shape>
        </w:pict>
      </w:r>
      <w:r>
        <w:pict>
          <v:shape id="_x0000_s694" style="position:absolute;margin-left:-13.08pt;margin-top:228.067pt;mso-position-vertical-relative:text;mso-position-horizontal-relative:text;width:119.4pt;height:18.85pt;z-index:251870208;rotation:330;" fillcolor="#404040" filled="true" stroked="false" type="#_x0000_t136">
            <v:fill opacity="0.400000"/>
            <v:textpath style="font-family:&quot;SimSun&quot;;font-size:20;v-text-kern:t;mso-text-shadow:auto" string="仅供内部审核"/>
          </v:shape>
        </w:pict>
      </w:r>
      <w:r>
        <w:pict>
          <v:shape id="_x0000_s696" style="position:absolute;margin-left:391.92pt;margin-top:228.067pt;mso-position-vertical-relative:text;mso-position-horizontal-relative:text;width:119.4pt;height:18.85pt;z-index:25187225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4" name="IM 84"/>
            <wp:cNvGraphicFramePr/>
            <a:graphic>
              <a:graphicData uri="http://schemas.openxmlformats.org/drawingml/2006/picture">
                <pic:pic>
                  <pic:nvPicPr>
                    <pic:cNvPr id="84" name="IM 84"/>
                    <pic:cNvPicPr/>
                  </pic:nvPicPr>
                  <pic:blipFill>
                    <a:blip r:embed="rId121"/>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20"/>
          <w:pgSz w:w="11900" w:h="16840"/>
          <w:pgMar w:top="642" w:right="0" w:bottom="340" w:left="0" w:header="326" w:footer="111" w:gutter="0"/>
        </w:sectPr>
        <w:rPr/>
      </w:pPr>
    </w:p>
    <w:p>
      <w:pPr>
        <w:pStyle w:val="BodyText"/>
        <w:spacing w:line="277" w:lineRule="auto"/>
        <w:rPr/>
      </w:pPr>
      <w:r>
        <w:pict>
          <v:shape id="_x0000_s698" style="position:absolute;margin-left:491.92pt;margin-top:44.1055pt;mso-position-vertical-relative:page;mso-position-horizontal-relative:page;width:119.4pt;height:18.85pt;z-index:2518773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700" style="position:absolute;margin-left:491.92pt;margin-top:472.067pt;mso-position-vertical-relative:text;mso-position-horizontal-relative:text;width:119.4pt;height:18.85pt;z-index:251873280;rotation:330;" fillcolor="#404040" filled="true" stroked="false" type="#_x0000_t136">
            <v:fill opacity="0.400000"/>
            <v:textpath style="font-family:&quot;SimSun&quot;;font-size:20;v-text-kern:t;mso-text-shadow:auto" string="仅供内部审核"/>
          </v:shape>
        </w:pict>
      </w:r>
      <w:r>
        <w:pict>
          <v:shape id="_x0000_s702" style="position:absolute;margin-left:86.92pt;margin-top:472.067pt;mso-position-vertical-relative:text;mso-position-horizontal-relative:text;width:119.4pt;height:18.85pt;z-index:251874304;rotation:330;" fillcolor="#404040" filled="true" stroked="false" type="#_x0000_t136">
            <v:fill opacity="0.400000"/>
            <v:textpath style="font-family:&quot;SimSun&quot;;font-size:20;v-text-kern:t;mso-text-shadow:auto" string="仅供内部审核"/>
          </v:shape>
        </w:pict>
      </w:r>
      <w:r>
        <w:pict>
          <v:shape id="_x0000_s704" style="position:absolute;margin-left:-13.08pt;margin-top:228.067pt;mso-position-vertical-relative:text;mso-position-horizontal-relative:text;width:119.4pt;height:18.85pt;z-index:251875328;rotation:330;" fillcolor="#404040" filled="true" stroked="false" type="#_x0000_t136">
            <v:fill opacity="0.400000"/>
            <v:textpath style="font-family:&quot;SimSun&quot;;font-size:20;v-text-kern:t;mso-text-shadow:auto" string="仅供内部审核"/>
          </v:shape>
        </w:pict>
      </w:r>
      <w:r>
        <w:pict>
          <v:shape id="_x0000_s706" style="position:absolute;margin-left:391.92pt;margin-top:228.067pt;mso-position-vertical-relative:text;mso-position-horizontal-relative:text;width:119.4pt;height:18.85pt;z-index:251876352;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6" name="IM 86"/>
            <wp:cNvGraphicFramePr/>
            <a:graphic>
              <a:graphicData uri="http://schemas.openxmlformats.org/drawingml/2006/picture">
                <pic:pic>
                  <pic:nvPicPr>
                    <pic:cNvPr id="86" name="IM 86"/>
                    <pic:cNvPicPr/>
                  </pic:nvPicPr>
                  <pic:blipFill>
                    <a:blip r:embed="rId123"/>
                    <a:stretch>
                      <a:fillRect/>
                    </a:stretch>
                  </pic:blipFill>
                  <pic:spPr>
                    <a:xfrm rot="0">
                      <a:off x="0" y="0"/>
                      <a:ext cx="5045993" cy="6281747"/>
                    </a:xfrm>
                    <a:prstGeom prst="rect">
                      <a:avLst/>
                    </a:prstGeom>
                  </pic:spPr>
                </pic:pic>
              </a:graphicData>
            </a:graphic>
          </wp:inline>
        </w:drawing>
      </w:r>
    </w:p>
    <w:p>
      <w:pPr>
        <w:spacing w:line="9893" w:lineRule="exact"/>
        <w:sectPr>
          <w:footerReference w:type="default" r:id="rId122"/>
          <w:pgSz w:w="11900" w:h="16840"/>
          <w:pgMar w:top="642" w:right="0" w:bottom="340" w:left="0" w:header="326" w:footer="111" w:gutter="0"/>
        </w:sectPr>
        <w:rPr/>
      </w:pPr>
    </w:p>
    <w:p>
      <w:pPr>
        <w:pStyle w:val="BodyText"/>
        <w:spacing w:line="277" w:lineRule="auto"/>
        <w:rPr/>
      </w:pPr>
      <w:r>
        <w:pict>
          <v:shape id="_x0000_s708" style="position:absolute;margin-left:491.92pt;margin-top:44.1055pt;mso-position-vertical-relative:page;mso-position-horizontal-relative:page;width:119.4pt;height:18.85pt;z-index:2518794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94"/>
        <w:spacing w:line="9893" w:lineRule="exact"/>
        <w:rPr/>
      </w:pPr>
      <w:r>
        <w:pict>
          <v:shape id="_x0000_s710" style="position:absolute;margin-left:-13.08pt;margin-top:228.067pt;mso-position-vertical-relative:text;mso-position-horizontal-relative:text;width:119.4pt;height:18.85pt;z-index:251878400;rotation:330;" fillcolor="#404040" filled="true" stroked="false" type="#_x0000_t136">
            <v:fill opacity="0.400000"/>
            <v:textpath style="font-family:&quot;SimSun&quot;;font-size:20;v-text-kern:t;mso-text-shadow:auto" string="仅供内部审核"/>
          </v:shape>
        </w:pict>
      </w:r>
      <w:r>
        <w:pict>
          <v:shape id="_x0000_s712" style="position:absolute;margin-left:491.92pt;margin-top:472.067pt;mso-position-vertical-relative:text;mso-position-horizontal-relative:text;width:119.4pt;height:18.85pt;z-index:251880448;rotation:330;" fillcolor="#404040" filled="true" stroked="false" type="#_x0000_t136">
            <v:fill opacity="0.400000"/>
            <v:textpath style="font-family:&quot;SimSun&quot;;font-size:20;v-text-kern:t;mso-text-shadow:auto" string="仅供内部审核"/>
          </v:shape>
        </w:pict>
      </w:r>
      <w:r>
        <w:pict>
          <v:shape id="_x0000_s714" style="position:absolute;margin-left:86.92pt;margin-top:472.067pt;mso-position-vertical-relative:text;mso-position-horizontal-relative:text;width:119.4pt;height:18.85pt;z-index:251881472;rotation:330;" fillcolor="#404040" filled="true" stroked="false" type="#_x0000_t136">
            <v:fill opacity="0.400000"/>
            <v:textpath style="font-family:&quot;SimSun&quot;;font-size:20;v-text-kern:t;mso-text-shadow:auto" string="仅供内部审核"/>
          </v:shape>
        </w:pict>
      </w:r>
      <w:r>
        <w:pict>
          <v:shape id="_x0000_s716" style="position:absolute;margin-left:391.92pt;margin-top:228.067pt;mso-position-vertical-relative:text;mso-position-horizontal-relative:text;width:119.4pt;height:18.85pt;z-index:251882496;rotation:330;" fillcolor="#404040" filled="true" stroked="false" type="#_x0000_t136">
            <v:fill opacity="0.400000"/>
            <v:textpath style="font-family:&quot;SimSun&quot;;font-size:20;v-text-kern:t;mso-text-shadow:auto" string="仅供内部审核"/>
          </v:shape>
        </w:pict>
      </w:r>
      <w:r>
        <w:rPr>
          <w:position w:val="-197"/>
        </w:rPr>
        <w:drawing>
          <wp:inline distT="0" distB="0" distL="0" distR="0">
            <wp:extent cx="5045993" cy="6281747"/>
            <wp:effectExtent l="0" t="0" r="0" b="0"/>
            <wp:docPr id="88" name="IM 88"/>
            <wp:cNvGraphicFramePr/>
            <a:graphic>
              <a:graphicData uri="http://schemas.openxmlformats.org/drawingml/2006/picture">
                <pic:pic>
                  <pic:nvPicPr>
                    <pic:cNvPr id="88" name="IM 88"/>
                    <pic:cNvPicPr/>
                  </pic:nvPicPr>
                  <pic:blipFill>
                    <a:blip r:embed="rId125"/>
                    <a:stretch>
                      <a:fillRect/>
                    </a:stretch>
                  </pic:blipFill>
                  <pic:spPr>
                    <a:xfrm rot="0">
                      <a:off x="0" y="0"/>
                      <a:ext cx="5045993" cy="6281747"/>
                    </a:xfrm>
                    <a:prstGeom prst="rect">
                      <a:avLst/>
                    </a:prstGeom>
                  </pic:spPr>
                </pic:pic>
              </a:graphicData>
            </a:graphic>
          </wp:inline>
        </w:drawing>
      </w:r>
    </w:p>
    <w:sectPr>
      <w:footerReference w:type="default" r:id="rId124"/>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-64-</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60" style="position:absolute;margin-left:-13.08pt;margin-top:28.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312.92pt;margin-top:45.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287.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638.92pt;margin-top:45.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5.0434pt;margin-top:406.395pt;mso-position-vertical-relative:page;mso-position-horizontal-relative:page;width:609.35pt;height:22.25pt;z-index:-2515752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0" style="position:absolute;margin-left:280.957pt;margin-top:406.395pt;mso-position-vertical-relative:page;mso-position-horizontal-relative:page;width:609.35pt;height:22.25pt;z-index:-25157427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72" style="position:absolute;margin-left:638.92pt;margin-top:529.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782pt;height:1pt;z-index:-25157324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76" style="position:absolute;margin-left:-13.08pt;margin-top:28.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312.92pt;margin-top:45.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287.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638.92pt;margin-top:45.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5.0434pt;margin-top:406.395pt;mso-position-vertical-relative:page;mso-position-horizontal-relative:page;width:609.35pt;height:22.25pt;z-index:-2515691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6" style="position:absolute;margin-left:280.957pt;margin-top:406.395pt;mso-position-vertical-relative:page;mso-position-horizontal-relative:page;width:609.35pt;height:22.25pt;z-index:-25156710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8" style="position:absolute;margin-left:638.92pt;margin-top:529.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782pt;height:1pt;z-index:-25156505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10" style="position:absolute;margin-left:-13.08pt;margin-top:28.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312.92pt;margin-top:45.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86.92pt;margin-top:287.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638.92pt;margin-top:45.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5.0434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0" style="position:absolute;margin-left:280.957pt;margin-top:406.395pt;mso-position-vertical-relative:page;mso-position-horizontal-relative:page;width:609.35pt;height:22.25pt;z-index:-2515496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2" style="position:absolute;margin-left:638.92pt;margin-top:529.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782pt;height:1pt;z-index:-25154764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22048;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_x0000_s268" style="position:absolute;margin-left:30pt;margin-top:29.5pt;mso-position-vertical-relative:page;mso-position-horizontal-relative:page;width:535pt;height:1pt;z-index:-2515230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550" style="position:absolute;margin-left:86.92pt;margin-top:27.7633pt;mso-position-vertical-relative:text;mso-position-horizontal-relative:text;width:119.4pt;height:18.85pt;z-index:-251514880;rotation:330;" fillcolor="#404040" filled="true" stroked="false" type="#_x0000_t136">
          <v:fill opacity="0.400000"/>
          <v:textpath style="font-family:&quot;SimSun&quot;;font-size:20;v-text-kern:t;mso-text-shadow:auto" string="仅供内部审核"/>
        </v:shape>
      </w:pict>
    </w:r>
    <w:r>
      <w:pict>
        <v:shape id="PowerPlusWaterMarkObject552" style="position:absolute;margin-left:-13.08pt;margin-top:288.10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554" style="position:absolute;margin-left:491.92pt;margin-top:44.105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556" style="position:absolute;margin-left:-13.08pt;margin-top:776.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558" style="position:absolute;margin-left:491.92pt;margin-top:532.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560"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_x0000_s562" style="position:absolute;margin-left:30pt;margin-top:29.5pt;mso-position-vertical-relative:page;mso-position-horizontal-relative:page;width:535pt;height:1pt;z-index:-2515169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1.png"/><Relationship Id="rId98" Type="http://schemas.openxmlformats.org/officeDocument/2006/relationships/footer" Target="footer51.xml"/><Relationship Id="rId97" Type="http://schemas.openxmlformats.org/officeDocument/2006/relationships/image" Target="media/image30.png"/><Relationship Id="rId96" Type="http://schemas.openxmlformats.org/officeDocument/2006/relationships/footer" Target="footer50.xml"/><Relationship Id="rId95" Type="http://schemas.openxmlformats.org/officeDocument/2006/relationships/image" Target="media/image29.png"/><Relationship Id="rId94" Type="http://schemas.openxmlformats.org/officeDocument/2006/relationships/footer" Target="footer49.xml"/><Relationship Id="rId93" Type="http://schemas.openxmlformats.org/officeDocument/2006/relationships/header" Target="header17.xml"/><Relationship Id="rId92" Type="http://schemas.openxmlformats.org/officeDocument/2006/relationships/image" Target="media/image28.png"/><Relationship Id="rId91" Type="http://schemas.openxmlformats.org/officeDocument/2006/relationships/footer" Target="footer48.xml"/><Relationship Id="rId90" Type="http://schemas.openxmlformats.org/officeDocument/2006/relationships/image" Target="media/image27.png"/><Relationship Id="rId9" Type="http://schemas.openxmlformats.org/officeDocument/2006/relationships/footer" Target="footer4.xml"/><Relationship Id="rId89" Type="http://schemas.openxmlformats.org/officeDocument/2006/relationships/footer" Target="footer47.xml"/><Relationship Id="rId88" Type="http://schemas.openxmlformats.org/officeDocument/2006/relationships/image" Target="media/image26.png"/><Relationship Id="rId87" Type="http://schemas.openxmlformats.org/officeDocument/2006/relationships/footer" Target="footer46.xml"/><Relationship Id="rId86" Type="http://schemas.openxmlformats.org/officeDocument/2006/relationships/image" Target="media/image25.png"/><Relationship Id="rId85" Type="http://schemas.openxmlformats.org/officeDocument/2006/relationships/footer" Target="footer45.xml"/><Relationship Id="rId84" Type="http://schemas.openxmlformats.org/officeDocument/2006/relationships/image" Target="media/image24.png"/><Relationship Id="rId83" Type="http://schemas.openxmlformats.org/officeDocument/2006/relationships/footer" Target="footer44.xml"/><Relationship Id="rId82" Type="http://schemas.openxmlformats.org/officeDocument/2006/relationships/image" Target="media/image23.png"/><Relationship Id="rId81" Type="http://schemas.openxmlformats.org/officeDocument/2006/relationships/footer" Target="footer43.xml"/><Relationship Id="rId80" Type="http://schemas.openxmlformats.org/officeDocument/2006/relationships/image" Target="media/image22.png"/><Relationship Id="rId8" Type="http://schemas.openxmlformats.org/officeDocument/2006/relationships/footer" Target="footer3.xml"/><Relationship Id="rId79" Type="http://schemas.openxmlformats.org/officeDocument/2006/relationships/footer" Target="footer42.xml"/><Relationship Id="rId78" Type="http://schemas.openxmlformats.org/officeDocument/2006/relationships/image" Target="media/image21.png"/><Relationship Id="rId77" Type="http://schemas.openxmlformats.org/officeDocument/2006/relationships/footer" Target="footer41.xml"/><Relationship Id="rId76" Type="http://schemas.openxmlformats.org/officeDocument/2006/relationships/image" Target="media/image20.png"/><Relationship Id="rId75" Type="http://schemas.openxmlformats.org/officeDocument/2006/relationships/footer" Target="footer40.xml"/><Relationship Id="rId74" Type="http://schemas.openxmlformats.org/officeDocument/2006/relationships/image" Target="media/image19.png"/><Relationship Id="rId73" Type="http://schemas.openxmlformats.org/officeDocument/2006/relationships/footer" Target="footer39.xml"/><Relationship Id="rId72" Type="http://schemas.openxmlformats.org/officeDocument/2006/relationships/image" Target="media/image18.png"/><Relationship Id="rId71" Type="http://schemas.openxmlformats.org/officeDocument/2006/relationships/footer" Target="footer38.xml"/><Relationship Id="rId70" Type="http://schemas.openxmlformats.org/officeDocument/2006/relationships/image" Target="media/image17.png"/><Relationship Id="rId7" Type="http://schemas.openxmlformats.org/officeDocument/2006/relationships/header" Target="header5.xml"/><Relationship Id="rId69" Type="http://schemas.openxmlformats.org/officeDocument/2006/relationships/footer" Target="footer37.xml"/><Relationship Id="rId68" Type="http://schemas.openxmlformats.org/officeDocument/2006/relationships/image" Target="media/image16.png"/><Relationship Id="rId67" Type="http://schemas.openxmlformats.org/officeDocument/2006/relationships/footer" Target="footer36.xml"/><Relationship Id="rId66" Type="http://schemas.openxmlformats.org/officeDocument/2006/relationships/image" Target="media/image15.png"/><Relationship Id="rId65" Type="http://schemas.openxmlformats.org/officeDocument/2006/relationships/footer" Target="footer35.xml"/><Relationship Id="rId64" Type="http://schemas.openxmlformats.org/officeDocument/2006/relationships/image" Target="media/image14.png"/><Relationship Id="rId63" Type="http://schemas.openxmlformats.org/officeDocument/2006/relationships/footer" Target="footer34.xml"/><Relationship Id="rId62" Type="http://schemas.openxmlformats.org/officeDocument/2006/relationships/image" Target="media/image13.png"/><Relationship Id="rId61" Type="http://schemas.openxmlformats.org/officeDocument/2006/relationships/footer" Target="footer33.xml"/><Relationship Id="rId60" Type="http://schemas.openxmlformats.org/officeDocument/2006/relationships/image" Target="media/image12.png"/><Relationship Id="rId6" Type="http://schemas.openxmlformats.org/officeDocument/2006/relationships/footer" Target="footer2.xml"/><Relationship Id="rId59" Type="http://schemas.openxmlformats.org/officeDocument/2006/relationships/footer" Target="footer32.xml"/><Relationship Id="rId58" Type="http://schemas.openxmlformats.org/officeDocument/2006/relationships/image" Target="media/image11.png"/><Relationship Id="rId57" Type="http://schemas.openxmlformats.org/officeDocument/2006/relationships/footer" Target="footer31.xml"/><Relationship Id="rId56" Type="http://schemas.openxmlformats.org/officeDocument/2006/relationships/image" Target="media/image10.png"/><Relationship Id="rId55" Type="http://schemas.openxmlformats.org/officeDocument/2006/relationships/footer" Target="footer30.xml"/><Relationship Id="rId54" Type="http://schemas.openxmlformats.org/officeDocument/2006/relationships/image" Target="media/image9.png"/><Relationship Id="rId53" Type="http://schemas.openxmlformats.org/officeDocument/2006/relationships/footer" Target="footer29.xml"/><Relationship Id="rId52" Type="http://schemas.openxmlformats.org/officeDocument/2006/relationships/image" Target="media/image8.png"/><Relationship Id="rId51" Type="http://schemas.openxmlformats.org/officeDocument/2006/relationships/footer" Target="footer28.xml"/><Relationship Id="rId50" Type="http://schemas.openxmlformats.org/officeDocument/2006/relationships/image" Target="media/image7.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6.png"/><Relationship Id="rId47" Type="http://schemas.openxmlformats.org/officeDocument/2006/relationships/footer" Target="footer26.xml"/><Relationship Id="rId46" Type="http://schemas.openxmlformats.org/officeDocument/2006/relationships/image" Target="media/image5.png"/><Relationship Id="rId45" Type="http://schemas.openxmlformats.org/officeDocument/2006/relationships/footer" Target="footer25.xml"/><Relationship Id="rId44" Type="http://schemas.openxmlformats.org/officeDocument/2006/relationships/image" Target="media/image4.png"/><Relationship Id="rId43" Type="http://schemas.openxmlformats.org/officeDocument/2006/relationships/footer" Target="footer24.xml"/><Relationship Id="rId42" Type="http://schemas.openxmlformats.org/officeDocument/2006/relationships/image" Target="media/image3.png"/><Relationship Id="rId41" Type="http://schemas.openxmlformats.org/officeDocument/2006/relationships/footer" Target="footer23.xml"/><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image" Target="media/image1.png"/><Relationship Id="rId37" Type="http://schemas.openxmlformats.org/officeDocument/2006/relationships/footer" Target="footer21.xml"/><Relationship Id="rId36" Type="http://schemas.openxmlformats.org/officeDocument/2006/relationships/header" Target="header16.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header" Target="header15.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3.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2.xml"/><Relationship Id="rId22" Type="http://schemas.openxmlformats.org/officeDocument/2006/relationships/footer" Target="footer11.xml"/><Relationship Id="rId21" Type="http://schemas.openxmlformats.org/officeDocument/2006/relationships/header" Target="head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header" Target="head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8.xml"/><Relationship Id="rId13" Type="http://schemas.openxmlformats.org/officeDocument/2006/relationships/footer" Target="footer6.xml"/><Relationship Id="rId128" Type="http://schemas.openxmlformats.org/officeDocument/2006/relationships/fontTable" Target="fontTable.xml"/><Relationship Id="rId127" Type="http://schemas.openxmlformats.org/officeDocument/2006/relationships/styles" Target="styles.xml"/><Relationship Id="rId126" Type="http://schemas.openxmlformats.org/officeDocument/2006/relationships/settings" Target="settings.xml"/><Relationship Id="rId125" Type="http://schemas.openxmlformats.org/officeDocument/2006/relationships/image" Target="media/image44.png"/><Relationship Id="rId124" Type="http://schemas.openxmlformats.org/officeDocument/2006/relationships/footer" Target="footer64.xml"/><Relationship Id="rId123" Type="http://schemas.openxmlformats.org/officeDocument/2006/relationships/image" Target="media/image43.png"/><Relationship Id="rId122" Type="http://schemas.openxmlformats.org/officeDocument/2006/relationships/footer" Target="footer63.xml"/><Relationship Id="rId121" Type="http://schemas.openxmlformats.org/officeDocument/2006/relationships/image" Target="media/image42.png"/><Relationship Id="rId120" Type="http://schemas.openxmlformats.org/officeDocument/2006/relationships/footer" Target="footer62.xml"/><Relationship Id="rId12" Type="http://schemas.openxmlformats.org/officeDocument/2006/relationships/header" Target="header7.xml"/><Relationship Id="rId119" Type="http://schemas.openxmlformats.org/officeDocument/2006/relationships/image" Target="media/image41.png"/><Relationship Id="rId118" Type="http://schemas.openxmlformats.org/officeDocument/2006/relationships/footer" Target="footer61.xml"/><Relationship Id="rId117" Type="http://schemas.openxmlformats.org/officeDocument/2006/relationships/image" Target="media/image40.png"/><Relationship Id="rId116" Type="http://schemas.openxmlformats.org/officeDocument/2006/relationships/footer" Target="footer60.xml"/><Relationship Id="rId115" Type="http://schemas.openxmlformats.org/officeDocument/2006/relationships/image" Target="media/image39.png"/><Relationship Id="rId114" Type="http://schemas.openxmlformats.org/officeDocument/2006/relationships/footer" Target="footer59.xml"/><Relationship Id="rId113" Type="http://schemas.openxmlformats.org/officeDocument/2006/relationships/image" Target="media/image38.png"/><Relationship Id="rId112" Type="http://schemas.openxmlformats.org/officeDocument/2006/relationships/footer" Target="footer58.xml"/><Relationship Id="rId111" Type="http://schemas.openxmlformats.org/officeDocument/2006/relationships/image" Target="media/image37.png"/><Relationship Id="rId110" Type="http://schemas.openxmlformats.org/officeDocument/2006/relationships/footer" Target="footer57.xml"/><Relationship Id="rId11" Type="http://schemas.openxmlformats.org/officeDocument/2006/relationships/footer" Target="footer5.xml"/><Relationship Id="rId109" Type="http://schemas.openxmlformats.org/officeDocument/2006/relationships/image" Target="media/image36.png"/><Relationship Id="rId108" Type="http://schemas.openxmlformats.org/officeDocument/2006/relationships/footer" Target="footer56.xml"/><Relationship Id="rId107" Type="http://schemas.openxmlformats.org/officeDocument/2006/relationships/image" Target="media/image35.png"/><Relationship Id="rId106" Type="http://schemas.openxmlformats.org/officeDocument/2006/relationships/footer" Target="footer55.xml"/><Relationship Id="rId105" Type="http://schemas.openxmlformats.org/officeDocument/2006/relationships/image" Target="media/image34.png"/><Relationship Id="rId104" Type="http://schemas.openxmlformats.org/officeDocument/2006/relationships/footer" Target="footer54.xml"/><Relationship Id="rId103" Type="http://schemas.openxmlformats.org/officeDocument/2006/relationships/image" Target="media/image33.png"/><Relationship Id="rId102" Type="http://schemas.openxmlformats.org/officeDocument/2006/relationships/footer" Target="footer53.xml"/><Relationship Id="rId101" Type="http://schemas.openxmlformats.org/officeDocument/2006/relationships/image" Target="media/image32.png"/><Relationship Id="rId100" Type="http://schemas.openxmlformats.org/officeDocument/2006/relationships/footer" Target="footer52.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2025-09-24T19:35:44Z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2025-09-25T10:09:17</vt:filetime>
  </property>
</Properties>
</file>