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BodyText"/>
        <w:ind w:left="4725"/>
        <w:spacing w:before="125" w:line="196" w:lineRule="auto"/>
        <w:rPr/>
      </w:pPr>
      <w:r>
        <w:rPr>
          <w:spacing w:val="-6"/>
        </w:rPr>
        <w:t>兴</w:t>
      </w:r>
      <w:r>
        <w:rPr>
          <w:spacing w:val="50"/>
        </w:rPr>
        <w:t xml:space="preserve"> </w:t>
      </w:r>
      <w:r>
        <w:rPr>
          <w:spacing w:val="-6"/>
        </w:rPr>
        <w:t>县</w:t>
      </w:r>
      <w:r>
        <w:rPr>
          <w:spacing w:val="57"/>
        </w:rPr>
        <w:t xml:space="preserve"> </w:t>
      </w:r>
      <w:r>
        <w:rPr>
          <w:spacing w:val="-6"/>
        </w:rPr>
        <w:t>审</w:t>
      </w:r>
      <w:r>
        <w:rPr>
          <w:spacing w:val="49"/>
        </w:rPr>
        <w:t xml:space="preserve"> </w:t>
      </w:r>
      <w:r>
        <w:rPr>
          <w:spacing w:val="-6"/>
        </w:rPr>
        <w:t>计</w:t>
      </w:r>
      <w:r>
        <w:rPr>
          <w:spacing w:val="58"/>
        </w:rPr>
        <w:t xml:space="preserve"> </w:t>
      </w:r>
      <w:r>
        <w:rPr>
          <w:spacing w:val="-6"/>
        </w:rPr>
        <w:t>局</w:t>
      </w:r>
    </w:p>
    <w:p>
      <w:pPr>
        <w:spacing w:line="268" w:lineRule="auto"/>
        <w:rPr>
          <w:rFonts w:ascii="Arial"/>
          <w:sz w:val="21"/>
        </w:rPr>
      </w:pPr>
      <w:r/>
    </w:p>
    <w:p>
      <w:pPr>
        <w:spacing w:line="269" w:lineRule="auto"/>
        <w:rPr>
          <w:rFonts w:ascii="Arial"/>
          <w:sz w:val="21"/>
        </w:rPr>
      </w:pPr>
      <w:r/>
    </w:p>
    <w:p>
      <w:pPr>
        <w:pStyle w:val="BodyText"/>
        <w:ind w:left="3276"/>
        <w:spacing w:before="125" w:line="536" w:lineRule="exact"/>
        <w:rPr/>
      </w:pPr>
      <w:r>
        <w:rPr>
          <w:spacing w:val="-13"/>
          <w:position w:val="6"/>
        </w:rPr>
        <w:t>2</w:t>
      </w:r>
      <w:r>
        <w:rPr>
          <w:spacing w:val="63"/>
          <w:position w:val="6"/>
        </w:rPr>
        <w:t xml:space="preserve"> </w:t>
      </w:r>
      <w:r>
        <w:rPr>
          <w:spacing w:val="-13"/>
          <w:position w:val="6"/>
        </w:rPr>
        <w:t>0</w:t>
      </w:r>
      <w:r>
        <w:rPr>
          <w:spacing w:val="54"/>
          <w:position w:val="6"/>
        </w:rPr>
        <w:t xml:space="preserve"> </w:t>
      </w:r>
      <w:r>
        <w:rPr>
          <w:spacing w:val="-13"/>
          <w:position w:val="6"/>
        </w:rPr>
        <w:t>2</w:t>
      </w:r>
      <w:r>
        <w:rPr>
          <w:spacing w:val="67"/>
          <w:position w:val="6"/>
        </w:rPr>
        <w:t xml:space="preserve"> </w:t>
      </w:r>
      <w:r>
        <w:rPr>
          <w:spacing w:val="-13"/>
          <w:position w:val="6"/>
        </w:rPr>
        <w:t>4</w:t>
      </w:r>
      <w:r>
        <w:rPr>
          <w:spacing w:val="50"/>
          <w:position w:val="6"/>
        </w:rPr>
        <w:t xml:space="preserve"> </w:t>
      </w:r>
      <w:r>
        <w:rPr>
          <w:spacing w:val="-13"/>
          <w:position w:val="6"/>
        </w:rPr>
        <w:t>年</w:t>
      </w:r>
      <w:r>
        <w:rPr>
          <w:spacing w:val="53"/>
          <w:position w:val="6"/>
        </w:rPr>
        <w:t xml:space="preserve"> </w:t>
      </w:r>
      <w:r>
        <w:rPr>
          <w:spacing w:val="-13"/>
          <w:position w:val="6"/>
        </w:rPr>
        <w:t>度</w:t>
      </w:r>
      <w:r>
        <w:rPr>
          <w:spacing w:val="52"/>
          <w:position w:val="6"/>
        </w:rPr>
        <w:t xml:space="preserve"> </w:t>
      </w:r>
      <w:r>
        <w:rPr>
          <w:spacing w:val="-13"/>
          <w:position w:val="6"/>
        </w:rPr>
        <w:t>部</w:t>
      </w:r>
      <w:r>
        <w:rPr>
          <w:spacing w:val="79"/>
          <w:position w:val="6"/>
        </w:rPr>
        <w:t xml:space="preserve"> </w:t>
      </w:r>
      <w:r>
        <w:rPr>
          <w:spacing w:val="-13"/>
          <w:position w:val="6"/>
        </w:rPr>
        <w:t>门</w:t>
      </w:r>
      <w:r>
        <w:rPr>
          <w:spacing w:val="44"/>
          <w:position w:val="6"/>
        </w:rPr>
        <w:t xml:space="preserve"> </w:t>
      </w:r>
      <w:r>
        <w:rPr>
          <w:spacing w:val="-13"/>
          <w:position w:val="6"/>
        </w:rPr>
        <w:t>预</w:t>
      </w:r>
      <w:r>
        <w:rPr>
          <w:spacing w:val="55"/>
          <w:position w:val="6"/>
        </w:rPr>
        <w:t xml:space="preserve"> </w:t>
      </w:r>
      <w:r>
        <w:rPr>
          <w:spacing w:val="-13"/>
          <w:position w:val="6"/>
        </w:rPr>
        <w:t>算</w:t>
      </w:r>
      <w:r>
        <w:rPr>
          <w:spacing w:val="46"/>
          <w:position w:val="6"/>
        </w:rPr>
        <w:t xml:space="preserve"> </w:t>
      </w:r>
      <w:r>
        <w:rPr>
          <w:spacing w:val="-13"/>
          <w:position w:val="6"/>
        </w:rPr>
        <w:t>公</w:t>
      </w:r>
      <w:r>
        <w:rPr>
          <w:spacing w:val="52"/>
          <w:position w:val="6"/>
        </w:rPr>
        <w:t xml:space="preserve"> </w:t>
      </w:r>
      <w:r>
        <w:rPr>
          <w:spacing w:val="-13"/>
          <w:position w:val="6"/>
        </w:rPr>
        <w:t>开</w:t>
      </w:r>
    </w:p>
    <w:p>
      <w:pPr>
        <w:spacing w:line="536" w:lineRule="exact"/>
        <w:sectPr>
          <w:headerReference w:type="default" r:id="rId1"/>
          <w:pgSz w:w="11900" w:h="16840"/>
          <w:pgMar w:top="400" w:right="0" w:bottom="0" w:left="0" w:header="0" w:footer="0" w:gutter="0"/>
        </w:sectPr>
        <w:rPr/>
      </w:pPr>
    </w:p>
    <w:p>
      <w:pPr>
        <w:spacing w:line="456" w:lineRule="auto"/>
        <w:rPr>
          <w:rFonts w:ascii="Arial"/>
          <w:sz w:val="21"/>
        </w:rPr>
      </w:pPr>
      <w:r/>
    </w:p>
    <w:p>
      <w:pPr>
        <w:ind w:left="5396"/>
        <w:spacing w:before="143" w:line="223" w:lineRule="auto"/>
        <w:outlineLvl w:val="0"/>
        <w:rPr>
          <w:rFonts w:ascii="FangSong" w:hAnsi="FangSong" w:eastAsia="FangSong" w:cs="FangSong"/>
          <w:sz w:val="44"/>
          <w:szCs w:val="44"/>
        </w:rPr>
      </w:pPr>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spacing w:line="267" w:lineRule="auto"/>
        <w:rPr>
          <w:rFonts w:ascii="Arial"/>
          <w:sz w:val="21"/>
        </w:rPr>
      </w:pPr>
      <w:r/>
    </w:p>
    <w:p>
      <w:pPr>
        <w:spacing w:line="268" w:lineRule="auto"/>
        <w:rPr>
          <w:rFonts w:ascii="Arial"/>
          <w:sz w:val="21"/>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348"/>
            <w:spacing w:before="85" w:line="222" w:lineRule="auto"/>
            <w:tabs>
              <w:tab w:val="right" w:leader="dot" w:pos="10579"/>
            </w:tabs>
            <w:rPr>
              <w:rFonts w:ascii="FangSong" w:hAnsi="FangSong" w:eastAsia="FangSong" w:cs="FangSong"/>
              <w:sz w:val="26"/>
              <w:szCs w:val="26"/>
            </w:rPr>
          </w:pPr>
          <w:hyperlink w:history="true" w:anchor="bookmark1">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
              </w:rPr>
              <w:t>1</w:t>
            </w:r>
          </w:hyperlink>
        </w:p>
        <w:p>
          <w:pPr>
            <w:ind w:left="1861"/>
            <w:spacing w:before="186" w:line="222" w:lineRule="auto"/>
            <w:tabs>
              <w:tab w:val="right" w:leader="dot" w:pos="10579"/>
            </w:tabs>
            <w:rPr>
              <w:rFonts w:ascii="FangSong" w:hAnsi="FangSong" w:eastAsia="FangSong" w:cs="FangSong"/>
              <w:sz w:val="26"/>
              <w:szCs w:val="26"/>
            </w:rPr>
          </w:pPr>
          <w:hyperlink w:history="true" w:anchor="bookmark2">
            <w:r>
              <w:rPr>
                <w:rFonts w:ascii="FangSong" w:hAnsi="FangSong" w:eastAsia="FangSong" w:cs="FangSong"/>
                <w:sz w:val="26"/>
                <w:szCs w:val="26"/>
                <w:spacing w:val="-7"/>
              </w:rPr>
              <w:t>一、本部门职责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rPr>
              <w:t>1</w:t>
            </w:r>
          </w:hyperlink>
        </w:p>
        <w:p>
          <w:pPr>
            <w:ind w:left="1865"/>
            <w:spacing w:before="188" w:line="222" w:lineRule="auto"/>
            <w:tabs>
              <w:tab w:val="right" w:leader="dot" w:pos="10579"/>
            </w:tabs>
            <w:rPr>
              <w:rFonts w:ascii="FangSong" w:hAnsi="FangSong" w:eastAsia="FangSong" w:cs="FangSong"/>
              <w:sz w:val="26"/>
              <w:szCs w:val="26"/>
            </w:rPr>
          </w:pPr>
          <w:hyperlink w:history="true" w:anchor="bookmark3">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rPr>
              <w:t>1</w:t>
            </w:r>
          </w:hyperlink>
        </w:p>
        <w:p>
          <w:pPr>
            <w:ind w:left="1348"/>
            <w:spacing w:before="186" w:line="222" w:lineRule="auto"/>
            <w:tabs>
              <w:tab w:val="right" w:leader="dot" w:pos="10579"/>
            </w:tabs>
            <w:rPr>
              <w:rFonts w:ascii="FangSong" w:hAnsi="FangSong" w:eastAsia="FangSong" w:cs="FangSong"/>
              <w:sz w:val="26"/>
              <w:szCs w:val="26"/>
            </w:rPr>
          </w:pPr>
          <w:hyperlink w:history="true" w:anchor="bookmark4">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2024年部门预算报表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b/>
                <w:bCs/>
                <w:spacing w:val="-3"/>
              </w:rPr>
              <w:t>3</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5">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rPr>
              <w:t>3</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6">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rPr>
              <w:t>5</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7">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5"/>
              </w:rPr>
              <w:t xml:space="preserve"> </w:t>
            </w:r>
            <w:r>
              <w:rPr>
                <w:rFonts w:ascii="FangSong" w:hAnsi="FangSong" w:eastAsia="FangSong" w:cs="FangSong"/>
                <w:sz w:val="26"/>
                <w:szCs w:val="26"/>
              </w:rPr>
              <w:t>7</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8">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rPr>
              <w:t>8</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9">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66"/>
              </w:rPr>
              <w:t xml:space="preserve"> </w:t>
            </w:r>
            <w:r>
              <w:rPr>
                <w:rFonts w:ascii="FangSong" w:hAnsi="FangSong" w:eastAsia="FangSong" w:cs="FangSong"/>
                <w:sz w:val="26"/>
                <w:szCs w:val="26"/>
                <w:spacing w:val="-8"/>
              </w:rPr>
              <w:t>10</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8"/>
              </w:rPr>
              <w:t>11</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12</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13</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2">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14</w:t>
            </w:r>
          </w:hyperlink>
        </w:p>
        <w:p>
          <w:pPr>
            <w:ind w:left="1859"/>
            <w:spacing w:before="192" w:line="222" w:lineRule="auto"/>
            <w:tabs>
              <w:tab w:val="right" w:leader="dot" w:pos="10579"/>
            </w:tabs>
            <w:rPr>
              <w:rFonts w:ascii="FangSong" w:hAnsi="FangSong" w:eastAsia="FangSong" w:cs="FangSong"/>
              <w:sz w:val="26"/>
              <w:szCs w:val="26"/>
            </w:rPr>
          </w:pPr>
          <w:hyperlink w:history="true" w:anchor="bookmark13">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14</w:t>
            </w:r>
          </w:hyperlink>
        </w:p>
        <w:p>
          <w:pPr>
            <w:ind w:left="1859"/>
            <w:spacing w:before="187" w:line="221" w:lineRule="auto"/>
            <w:tabs>
              <w:tab w:val="right" w:leader="dot" w:pos="10579"/>
            </w:tabs>
            <w:rPr>
              <w:rFonts w:ascii="FangSong" w:hAnsi="FangSong" w:eastAsia="FangSong" w:cs="FangSong"/>
              <w:sz w:val="26"/>
              <w:szCs w:val="26"/>
            </w:rPr>
          </w:pPr>
          <w:hyperlink w:history="true" w:anchor="bookmark14">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15</w:t>
            </w:r>
          </w:hyperlink>
        </w:p>
        <w:p>
          <w:pPr>
            <w:ind w:left="1859"/>
            <w:spacing w:before="189" w:line="222" w:lineRule="auto"/>
            <w:tabs>
              <w:tab w:val="right" w:leader="dot" w:pos="10579"/>
            </w:tabs>
            <w:rPr>
              <w:rFonts w:ascii="FangSong" w:hAnsi="FangSong" w:eastAsia="FangSong" w:cs="FangSong"/>
              <w:sz w:val="26"/>
              <w:szCs w:val="26"/>
            </w:rPr>
          </w:pPr>
          <w:hyperlink w:history="true" w:anchor="bookmark15">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16</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6">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17</w:t>
            </w:r>
          </w:hyperlink>
        </w:p>
        <w:p>
          <w:pPr>
            <w:ind w:left="1348"/>
            <w:spacing w:before="192" w:line="222" w:lineRule="auto"/>
            <w:tabs>
              <w:tab w:val="right" w:leader="dot" w:pos="10579"/>
            </w:tabs>
            <w:rPr>
              <w:rFonts w:ascii="FangSong" w:hAnsi="FangSong" w:eastAsia="FangSong" w:cs="FangSong"/>
              <w:sz w:val="26"/>
              <w:szCs w:val="26"/>
            </w:rPr>
          </w:pPr>
          <w:hyperlink w:history="true" w:anchor="bookmark17">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2024年度部门预算情况说明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10"/>
              </w:rPr>
              <w:t>18</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18">
            <w:r>
              <w:rPr>
                <w:rFonts w:ascii="FangSong" w:hAnsi="FangSong" w:eastAsia="FangSong" w:cs="FangSong"/>
                <w:sz w:val="26"/>
                <w:szCs w:val="26"/>
                <w:spacing w:val="-4"/>
              </w:rPr>
              <w:t>一、部门预算收支数据变动情况及原因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18</w:t>
            </w:r>
          </w:hyperlink>
        </w:p>
        <w:p>
          <w:pPr>
            <w:ind w:left="1865"/>
            <w:spacing w:before="187" w:line="222" w:lineRule="auto"/>
            <w:tabs>
              <w:tab w:val="right" w:leader="dot" w:pos="10579"/>
            </w:tabs>
            <w:rPr>
              <w:rFonts w:ascii="FangSong" w:hAnsi="FangSong" w:eastAsia="FangSong" w:cs="FangSong"/>
              <w:sz w:val="26"/>
              <w:szCs w:val="26"/>
            </w:rPr>
          </w:pPr>
          <w:hyperlink w:history="true" w:anchor="bookmark19">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18</w:t>
            </w:r>
          </w:hyperlink>
        </w:p>
        <w:p>
          <w:pPr>
            <w:ind w:left="1864"/>
            <w:spacing w:before="188" w:line="222" w:lineRule="auto"/>
            <w:tabs>
              <w:tab w:val="right" w:leader="dot" w:pos="10579"/>
            </w:tabs>
            <w:rPr>
              <w:rFonts w:ascii="FangSong" w:hAnsi="FangSong" w:eastAsia="FangSong" w:cs="FangSong"/>
              <w:sz w:val="26"/>
              <w:szCs w:val="26"/>
            </w:rPr>
          </w:pPr>
          <w:hyperlink w:history="true" w:anchor="bookmark20">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18</w:t>
            </w:r>
          </w:hyperlink>
        </w:p>
        <w:p>
          <w:pPr>
            <w:ind w:left="1887"/>
            <w:spacing w:before="187" w:line="222" w:lineRule="auto"/>
            <w:tabs>
              <w:tab w:val="right" w:leader="dot" w:pos="10579"/>
            </w:tabs>
            <w:rPr>
              <w:rFonts w:ascii="FangSong" w:hAnsi="FangSong" w:eastAsia="FangSong" w:cs="FangSong"/>
              <w:sz w:val="26"/>
              <w:szCs w:val="26"/>
            </w:rPr>
          </w:pPr>
          <w:hyperlink w:history="true" w:anchor="bookmark21">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18</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2">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18</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23">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19</w:t>
            </w:r>
          </w:hyperlink>
        </w:p>
        <w:p>
          <w:pPr>
            <w:ind w:left="1862"/>
            <w:spacing w:before="188" w:line="223" w:lineRule="auto"/>
            <w:tabs>
              <w:tab w:val="right" w:leader="dot" w:pos="10579"/>
            </w:tabs>
            <w:rPr>
              <w:rFonts w:ascii="FangSong" w:hAnsi="FangSong" w:eastAsia="FangSong" w:cs="FangSong"/>
              <w:sz w:val="26"/>
              <w:szCs w:val="26"/>
            </w:rPr>
          </w:pPr>
          <w:hyperlink w:history="true" w:anchor="bookmark24">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19</w:t>
            </w:r>
          </w:hyperlink>
        </w:p>
        <w:p>
          <w:pPr>
            <w:ind w:left="1856"/>
            <w:spacing w:before="185" w:line="221" w:lineRule="auto"/>
            <w:tabs>
              <w:tab w:val="right" w:leader="dot" w:pos="10579"/>
            </w:tabs>
            <w:rPr>
              <w:rFonts w:ascii="FangSong" w:hAnsi="FangSong" w:eastAsia="FangSong" w:cs="FangSong"/>
              <w:sz w:val="26"/>
              <w:szCs w:val="26"/>
            </w:rPr>
          </w:pPr>
          <w:hyperlink w:history="true" w:anchor="bookmark25">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20</w:t>
            </w:r>
          </w:hyperlink>
        </w:p>
        <w:p>
          <w:pPr>
            <w:ind w:left="1866"/>
            <w:spacing w:before="190" w:line="222" w:lineRule="auto"/>
            <w:tabs>
              <w:tab w:val="right" w:leader="dot" w:pos="10579"/>
            </w:tabs>
            <w:rPr>
              <w:rFonts w:ascii="FangSong" w:hAnsi="FangSong" w:eastAsia="FangSong" w:cs="FangSong"/>
              <w:sz w:val="26"/>
              <w:szCs w:val="26"/>
            </w:rPr>
          </w:pPr>
          <w:hyperlink w:history="true" w:anchor="bookmark26">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spacing w:val="-4"/>
              </w:rPr>
              <w:t>20</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7">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97"/>
              </w:rPr>
              <w:t xml:space="preserve"> </w:t>
            </w:r>
            <w:r>
              <w:rPr>
                <w:rFonts w:ascii="FangSong" w:hAnsi="FangSong" w:eastAsia="FangSong" w:cs="FangSong"/>
                <w:sz w:val="26"/>
                <w:szCs w:val="26"/>
                <w:spacing w:val="-4"/>
              </w:rPr>
              <w:t>20</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26"/>
          <w:szCs w:val="26"/>
        </w:rPr>
      </w:pPr>
    </w:p>
    <w:p>
      <w:pPr>
        <w:spacing w:line="254" w:lineRule="auto"/>
        <w:rPr>
          <w:rFonts w:ascii="Arial"/>
          <w:sz w:val="21"/>
        </w:rPr>
      </w:pPr>
      <w:r/>
    </w:p>
    <w:p>
      <w:pPr>
        <w:spacing w:line="255" w:lineRule="auto"/>
        <w:rPr>
          <w:rFonts w:ascii="Arial"/>
          <w:sz w:val="21"/>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864"/>
            <w:spacing w:before="84" w:line="222" w:lineRule="auto"/>
            <w:tabs>
              <w:tab w:val="right" w:leader="dot" w:pos="10579"/>
            </w:tabs>
            <w:rPr>
              <w:rFonts w:ascii="FangSong" w:hAnsi="FangSong" w:eastAsia="FangSong" w:cs="FangSong"/>
              <w:sz w:val="26"/>
              <w:szCs w:val="26"/>
            </w:rPr>
          </w:pPr>
          <w:bookmarkStart w:name="bookmark28" w:id="1"/>
          <w:bookmarkEnd w:id="1"/>
          <w:bookmarkStart w:name="bookmark4" w:id="2"/>
          <w:bookmarkEnd w:id="2"/>
          <w:hyperlink w:history="true" w:anchor="bookmark29">
            <w:r>
              <w:rPr>
                <w:rFonts w:ascii="FangSong" w:hAnsi="FangSong" w:eastAsia="FangSong" w:cs="FangSong"/>
                <w:sz w:val="26"/>
                <w:szCs w:val="26"/>
                <w:spacing w:val="-4"/>
              </w:rPr>
              <w:t>十一、国有资产占有使用情况</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2"/>
              </w:rPr>
              <w:t xml:space="preserve"> </w:t>
            </w:r>
            <w:r>
              <w:rPr>
                <w:rFonts w:ascii="FangSong" w:hAnsi="FangSong" w:eastAsia="FangSong" w:cs="FangSong"/>
                <w:sz w:val="26"/>
                <w:szCs w:val="26"/>
                <w:spacing w:val="-4"/>
              </w:rPr>
              <w:t>27</w:t>
            </w:r>
          </w:hyperlink>
        </w:p>
        <w:p>
          <w:pPr>
            <w:ind w:left="1864"/>
            <w:spacing w:before="186" w:line="222" w:lineRule="auto"/>
            <w:tabs>
              <w:tab w:val="right" w:leader="dot" w:pos="10579"/>
            </w:tabs>
            <w:rPr>
              <w:rFonts w:ascii="FangSong" w:hAnsi="FangSong" w:eastAsia="FangSong" w:cs="FangSong"/>
              <w:sz w:val="26"/>
              <w:szCs w:val="26"/>
            </w:rPr>
          </w:pPr>
          <w:hyperlink w:history="true" w:anchor="bookmark30">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4"/>
              </w:rPr>
              <w:t>27</w:t>
            </w:r>
          </w:hyperlink>
        </w:p>
        <w:p>
          <w:pPr>
            <w:ind w:left="2377"/>
            <w:spacing w:before="188" w:line="220" w:lineRule="auto"/>
            <w:tabs>
              <w:tab w:val="right" w:leader="dot" w:pos="10579"/>
            </w:tabs>
            <w:rPr>
              <w:rFonts w:ascii="FangSong" w:hAnsi="FangSong" w:eastAsia="FangSong" w:cs="FangSong"/>
              <w:sz w:val="26"/>
              <w:szCs w:val="26"/>
            </w:rPr>
          </w:pPr>
          <w:hyperlink w:history="true" w:anchor="bookmark31">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7"/>
              </w:rPr>
              <w:t xml:space="preserve"> </w:t>
            </w:r>
            <w:r>
              <w:rPr>
                <w:rFonts w:ascii="FangSong" w:hAnsi="FangSong" w:eastAsia="FangSong" w:cs="FangSong"/>
                <w:sz w:val="26"/>
                <w:szCs w:val="26"/>
                <w:spacing w:val="-4"/>
              </w:rPr>
              <w:t>27</w:t>
            </w:r>
          </w:hyperlink>
        </w:p>
        <w:p>
          <w:pPr>
            <w:ind w:left="2377"/>
            <w:spacing w:before="189" w:line="222" w:lineRule="auto"/>
            <w:tabs>
              <w:tab w:val="right" w:leader="dot" w:pos="10579"/>
            </w:tabs>
            <w:rPr>
              <w:rFonts w:ascii="FangSong" w:hAnsi="FangSong" w:eastAsia="FangSong" w:cs="FangSong"/>
              <w:sz w:val="26"/>
              <w:szCs w:val="26"/>
            </w:rPr>
          </w:pPr>
          <w:hyperlink w:history="true" w:anchor="bookmark32">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spacing w:val="-4"/>
              </w:rPr>
              <w:t>27</w:t>
            </w:r>
          </w:hyperlink>
        </w:p>
        <w:p>
          <w:pPr>
            <w:ind w:left="1348"/>
            <w:spacing w:before="188" w:line="222" w:lineRule="auto"/>
            <w:tabs>
              <w:tab w:val="right" w:leader="dot" w:pos="10579"/>
            </w:tabs>
            <w:rPr>
              <w:rFonts w:ascii="FangSong" w:hAnsi="FangSong" w:eastAsia="FangSong" w:cs="FangSong"/>
              <w:sz w:val="26"/>
              <w:szCs w:val="26"/>
            </w:rPr>
          </w:pPr>
          <w:hyperlink w:history="true" w:anchor="bookmark33">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b/>
                <w:bCs/>
                <w:spacing w:val="-7"/>
              </w:rPr>
              <w:t>34</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26"/>
          <w:szCs w:val="26"/>
        </w:rPr>
      </w:pPr>
    </w:p>
    <w:p>
      <w:pPr>
        <w:spacing w:line="258" w:lineRule="auto"/>
        <w:rPr>
          <w:rFonts w:ascii="Arial"/>
          <w:sz w:val="21"/>
        </w:rPr>
      </w:pPr>
      <w:r/>
    </w:p>
    <w:p>
      <w:pPr>
        <w:ind w:left="5129"/>
        <w:spacing w:before="82" w:line="222" w:lineRule="auto"/>
        <w:outlineLvl w:val="0"/>
        <w:rPr>
          <w:rFonts w:ascii="SimHei" w:hAnsi="SimHei" w:eastAsia="SimHei" w:cs="SimHei"/>
          <w:sz w:val="25"/>
          <w:szCs w:val="25"/>
        </w:rPr>
      </w:pPr>
      <w:bookmarkStart w:name="bookmark1" w:id="3"/>
      <w:bookmarkEnd w:id="3"/>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1304"/>
        <w:spacing w:before="203" w:line="222" w:lineRule="auto"/>
        <w:outlineLvl w:val="1"/>
        <w:rPr>
          <w:rFonts w:ascii="SimHei" w:hAnsi="SimHei" w:eastAsia="SimHei" w:cs="SimHei"/>
          <w:sz w:val="25"/>
          <w:szCs w:val="25"/>
        </w:rPr>
      </w:pPr>
      <w:bookmarkStart w:name="bookmark2" w:id="4"/>
      <w:bookmarkEnd w:id="4"/>
      <w:r>
        <w:rPr>
          <w:rFonts w:ascii="SimHei" w:hAnsi="SimHei" w:eastAsia="SimHei" w:cs="SimHei"/>
          <w:sz w:val="25"/>
          <w:szCs w:val="25"/>
          <w:spacing w:val="-1"/>
        </w:rPr>
        <w:t>一、本部门职责</w:t>
      </w:r>
    </w:p>
    <w:p>
      <w:pPr>
        <w:ind w:left="1307"/>
        <w:spacing w:before="275" w:line="223" w:lineRule="auto"/>
        <w:rPr>
          <w:rFonts w:ascii="FangSong" w:hAnsi="FangSong" w:eastAsia="FangSong" w:cs="FangSong"/>
          <w:sz w:val="25"/>
          <w:szCs w:val="25"/>
        </w:rPr>
      </w:pPr>
      <w:r>
        <w:rPr>
          <w:rFonts w:ascii="FangSong" w:hAnsi="FangSong" w:eastAsia="FangSong" w:cs="FangSong"/>
          <w:sz w:val="25"/>
          <w:szCs w:val="25"/>
        </w:rPr>
        <w:t>（一）兴县审计局主要职能：</w:t>
      </w:r>
    </w:p>
    <w:p>
      <w:pPr>
        <w:ind w:left="1317"/>
        <w:spacing w:before="130" w:line="222" w:lineRule="auto"/>
        <w:rPr>
          <w:rFonts w:ascii="FangSong" w:hAnsi="FangSong" w:eastAsia="FangSong" w:cs="FangSong"/>
          <w:sz w:val="25"/>
          <w:szCs w:val="25"/>
        </w:rPr>
      </w:pPr>
      <w:r>
        <w:rPr>
          <w:rFonts w:ascii="FangSong" w:hAnsi="FangSong" w:eastAsia="FangSong" w:cs="FangSong"/>
          <w:sz w:val="25"/>
          <w:szCs w:val="25"/>
          <w:spacing w:val="-1"/>
        </w:rPr>
        <w:t>1、直接进行下列审计</w:t>
      </w:r>
    </w:p>
    <w:p>
      <w:pPr>
        <w:ind w:left="1306" w:right="1411" w:firstLine="1"/>
        <w:spacing w:before="129" w:line="287" w:lineRule="auto"/>
        <w:rPr>
          <w:rFonts w:ascii="FangSong" w:hAnsi="FangSong" w:eastAsia="FangSong" w:cs="FangSong"/>
          <w:sz w:val="25"/>
          <w:szCs w:val="25"/>
        </w:rPr>
      </w:pPr>
      <w:r>
        <w:rPr>
          <w:rFonts w:ascii="FangSong" w:hAnsi="FangSong" w:eastAsia="FangSong" w:cs="FangSong"/>
          <w:sz w:val="25"/>
          <w:szCs w:val="25"/>
        </w:rPr>
        <w:t>（1）县本级预算执行情况及其他财政收支；</w:t>
      </w:r>
      <w:r>
        <w:rPr>
          <w:rFonts w:ascii="FangSong" w:hAnsi="FangSong" w:eastAsia="FangSong" w:cs="FangSong"/>
          <w:sz w:val="25"/>
          <w:szCs w:val="25"/>
          <w:spacing w:val="-71"/>
        </w:rPr>
        <w:t xml:space="preserve"> </w:t>
      </w:r>
      <w:r>
        <w:rPr>
          <w:rFonts w:ascii="FangSong" w:hAnsi="FangSong" w:eastAsia="FangSong" w:cs="FangSong"/>
          <w:sz w:val="25"/>
          <w:szCs w:val="25"/>
        </w:rPr>
        <w:t>向县长提交县级财政及所属预算单位预</w:t>
      </w:r>
      <w:r>
        <w:rPr>
          <w:rFonts w:ascii="FangSong" w:hAnsi="FangSong" w:eastAsia="FangSong" w:cs="FangSong"/>
          <w:sz w:val="25"/>
          <w:szCs w:val="25"/>
          <w:spacing w:val="1"/>
        </w:rPr>
        <w:t>算执行情况的审计结果报告；受县政府委托向县人大常委会提出县级预算执行情况</w:t>
      </w:r>
      <w:r>
        <w:rPr>
          <w:rFonts w:ascii="FangSong" w:hAnsi="FangSong" w:eastAsia="FangSong" w:cs="FangSong"/>
          <w:sz w:val="25"/>
          <w:szCs w:val="25"/>
        </w:rPr>
        <w:t>和其他财政收支审计工作报告。</w:t>
      </w:r>
    </w:p>
    <w:p>
      <w:pPr>
        <w:ind w:left="1307"/>
        <w:spacing w:before="132" w:line="222" w:lineRule="auto"/>
        <w:rPr>
          <w:rFonts w:ascii="FangSong" w:hAnsi="FangSong" w:eastAsia="FangSong" w:cs="FangSong"/>
          <w:sz w:val="25"/>
          <w:szCs w:val="25"/>
        </w:rPr>
      </w:pPr>
      <w:r>
        <w:rPr>
          <w:rFonts w:ascii="FangSong" w:hAnsi="FangSong" w:eastAsia="FangSong" w:cs="FangSong"/>
          <w:sz w:val="25"/>
          <w:szCs w:val="25"/>
          <w:spacing w:val="1"/>
        </w:rPr>
        <w:t>（2）下级人民政府的预算执行情况和决算以及预算外资金的管理和使用情况。</w:t>
      </w:r>
    </w:p>
    <w:p>
      <w:pPr>
        <w:ind w:left="1306" w:right="1450" w:firstLine="1"/>
        <w:spacing w:before="130" w:line="271" w:lineRule="auto"/>
        <w:rPr>
          <w:rFonts w:ascii="FangSong" w:hAnsi="FangSong" w:eastAsia="FangSong" w:cs="FangSong"/>
          <w:sz w:val="25"/>
          <w:szCs w:val="25"/>
        </w:rPr>
      </w:pPr>
      <w:r>
        <w:rPr>
          <w:rFonts w:ascii="FangSong" w:hAnsi="FangSong" w:eastAsia="FangSong" w:cs="FangSong"/>
          <w:sz w:val="25"/>
          <w:szCs w:val="25"/>
        </w:rPr>
        <w:t>（3）与县级政府财政部门直接发生预算缴款、拨款关系的国家机关、军队、政党、</w:t>
      </w:r>
      <w:r>
        <w:rPr>
          <w:rFonts w:ascii="FangSong" w:hAnsi="FangSong" w:eastAsia="FangSong" w:cs="FangSong"/>
          <w:sz w:val="25"/>
          <w:szCs w:val="25"/>
          <w:spacing w:val="1"/>
        </w:rPr>
        <w:t>社会团体、事业单位及其下属单位的财务收支。</w:t>
      </w:r>
    </w:p>
    <w:p>
      <w:pPr>
        <w:ind w:left="1307" w:right="1411"/>
        <w:spacing w:before="131" w:line="287" w:lineRule="auto"/>
        <w:rPr>
          <w:rFonts w:ascii="FangSong" w:hAnsi="FangSong" w:eastAsia="FangSong" w:cs="FangSong"/>
          <w:sz w:val="25"/>
          <w:szCs w:val="25"/>
        </w:rPr>
      </w:pPr>
      <w:r>
        <w:rPr>
          <w:rFonts w:ascii="FangSong" w:hAnsi="FangSong" w:eastAsia="FangSong" w:cs="FangSong"/>
          <w:sz w:val="25"/>
          <w:szCs w:val="25"/>
          <w:spacing w:val="1"/>
        </w:rPr>
        <w:t>（4）上级审计机关授权审计的国有金融机构的资产、负债、损益情况。包括国家政</w:t>
      </w:r>
      <w:r>
        <w:rPr>
          <w:rFonts w:ascii="FangSong" w:hAnsi="FangSong" w:eastAsia="FangSong" w:cs="FangSong"/>
          <w:sz w:val="25"/>
          <w:szCs w:val="25"/>
          <w:spacing w:val="1"/>
        </w:rPr>
        <w:t>策性银行、国有商业银行、国有非银行金融机构、国有资产占控股地位或者主导地</w:t>
      </w:r>
      <w:r>
        <w:rPr>
          <w:rFonts w:ascii="FangSong" w:hAnsi="FangSong" w:eastAsia="FangSong" w:cs="FangSong"/>
          <w:sz w:val="25"/>
          <w:szCs w:val="25"/>
        </w:rPr>
        <w:t>位的银行或者非银行金融机构。</w:t>
      </w:r>
    </w:p>
    <w:p>
      <w:pPr>
        <w:ind w:left="1307"/>
        <w:spacing w:before="131" w:line="222" w:lineRule="auto"/>
        <w:rPr>
          <w:rFonts w:ascii="FangSong" w:hAnsi="FangSong" w:eastAsia="FangSong" w:cs="FangSong"/>
          <w:sz w:val="25"/>
          <w:szCs w:val="25"/>
        </w:rPr>
      </w:pPr>
      <w:r>
        <w:rPr>
          <w:rFonts w:ascii="FangSong" w:hAnsi="FangSong" w:eastAsia="FangSong" w:cs="FangSong"/>
          <w:sz w:val="25"/>
          <w:szCs w:val="25"/>
          <w:spacing w:val="1"/>
        </w:rPr>
        <w:t>（5）国有企业及国有控股企业的资产、负债、损益情况。</w:t>
      </w:r>
    </w:p>
    <w:p>
      <w:pPr>
        <w:ind w:left="1320" w:right="1411" w:hanging="13"/>
        <w:spacing w:before="131" w:line="272" w:lineRule="auto"/>
        <w:rPr>
          <w:rFonts w:ascii="FangSong" w:hAnsi="FangSong" w:eastAsia="FangSong" w:cs="FangSong"/>
          <w:sz w:val="25"/>
          <w:szCs w:val="25"/>
        </w:rPr>
      </w:pPr>
      <w:r>
        <w:rPr>
          <w:rFonts w:ascii="FangSong" w:hAnsi="FangSong" w:eastAsia="FangSong" w:cs="FangSong"/>
          <w:sz w:val="25"/>
          <w:szCs w:val="25"/>
          <w:spacing w:val="1"/>
        </w:rPr>
        <w:t>（6）接受上级审计机关委托或指令性任务，审计驻兴垂直管理的党政、企事业单位</w:t>
      </w:r>
      <w:r>
        <w:rPr>
          <w:rFonts w:ascii="FangSong" w:hAnsi="FangSong" w:eastAsia="FangSong" w:cs="FangSong"/>
          <w:sz w:val="25"/>
          <w:szCs w:val="25"/>
          <w:spacing w:val="-2"/>
        </w:rPr>
        <w:t>的专款或财务收支。</w:t>
      </w:r>
    </w:p>
    <w:p>
      <w:pPr>
        <w:ind w:left="1306" w:right="1411" w:firstLine="1"/>
        <w:spacing w:before="127" w:line="287" w:lineRule="auto"/>
        <w:rPr>
          <w:rFonts w:ascii="FangSong" w:hAnsi="FangSong" w:eastAsia="FangSong" w:cs="FangSong"/>
          <w:sz w:val="25"/>
          <w:szCs w:val="25"/>
        </w:rPr>
      </w:pPr>
      <w:r>
        <w:rPr>
          <w:rFonts w:ascii="FangSong" w:hAnsi="FangSong" w:eastAsia="FangSong" w:cs="FangSong"/>
          <w:sz w:val="25"/>
          <w:szCs w:val="25"/>
          <w:spacing w:val="1"/>
        </w:rPr>
        <w:t>（7）接受委托、授权审计国家重点建设项目或者县级重点建设项目（包括基本建设</w:t>
      </w:r>
      <w:r>
        <w:rPr>
          <w:rFonts w:ascii="FangSong" w:hAnsi="FangSong" w:eastAsia="FangSong" w:cs="FangSong"/>
          <w:sz w:val="25"/>
          <w:szCs w:val="25"/>
          <w:spacing w:val="1"/>
        </w:rPr>
        <w:t>项目和技术改造项目</w:t>
      </w:r>
      <w:r>
        <w:rPr>
          <w:rFonts w:ascii="FangSong" w:hAnsi="FangSong" w:eastAsia="FangSong" w:cs="FangSong"/>
          <w:sz w:val="25"/>
          <w:szCs w:val="25"/>
          <w:spacing w:val="12"/>
        </w:rPr>
        <w:t>），</w:t>
      </w:r>
      <w:r>
        <w:rPr>
          <w:rFonts w:ascii="FangSong" w:hAnsi="FangSong" w:eastAsia="FangSong" w:cs="FangSong"/>
          <w:sz w:val="25"/>
          <w:szCs w:val="25"/>
          <w:spacing w:val="1"/>
        </w:rPr>
        <w:t>预算的执行情况和决算，以及与国家建设项目直</w:t>
      </w:r>
      <w:r>
        <w:rPr>
          <w:rFonts w:ascii="FangSong" w:hAnsi="FangSong" w:eastAsia="FangSong" w:cs="FangSong"/>
          <w:sz w:val="25"/>
          <w:szCs w:val="25"/>
        </w:rPr>
        <w:t>接有关的</w:t>
      </w:r>
      <w:r>
        <w:rPr>
          <w:rFonts w:ascii="FangSong" w:hAnsi="FangSong" w:eastAsia="FangSong" w:cs="FangSong"/>
          <w:sz w:val="25"/>
          <w:szCs w:val="25"/>
          <w:spacing w:val="1"/>
        </w:rPr>
        <w:t>建设、施工、设计、采购等单位的财务收支。</w:t>
      </w:r>
    </w:p>
    <w:p>
      <w:pPr>
        <w:ind w:left="1307"/>
        <w:spacing w:before="131" w:line="224" w:lineRule="auto"/>
        <w:rPr>
          <w:rFonts w:ascii="FangSong" w:hAnsi="FangSong" w:eastAsia="FangSong" w:cs="FangSong"/>
          <w:sz w:val="25"/>
          <w:szCs w:val="25"/>
        </w:rPr>
      </w:pPr>
      <w:r>
        <w:rPr>
          <w:rFonts w:ascii="FangSong" w:hAnsi="FangSong" w:eastAsia="FangSong" w:cs="FangSong"/>
          <w:sz w:val="25"/>
          <w:szCs w:val="25"/>
          <w:spacing w:val="1"/>
        </w:rPr>
        <w:t>（8）授权审计的国际组织和外国政策援助、贷款项目的财务收支。</w:t>
      </w:r>
    </w:p>
    <w:p>
      <w:pPr>
        <w:ind w:left="1306" w:right="1663" w:firstLine="1"/>
        <w:spacing w:before="128" w:line="271" w:lineRule="auto"/>
        <w:rPr>
          <w:rFonts w:ascii="FangSong" w:hAnsi="FangSong" w:eastAsia="FangSong" w:cs="FangSong"/>
          <w:sz w:val="25"/>
          <w:szCs w:val="25"/>
        </w:rPr>
      </w:pPr>
      <w:r>
        <w:rPr>
          <w:rFonts w:ascii="FangSong" w:hAnsi="FangSong" w:eastAsia="FangSong" w:cs="FangSong"/>
          <w:sz w:val="25"/>
          <w:szCs w:val="25"/>
          <w:spacing w:val="1"/>
        </w:rPr>
        <w:t>（9）县政府部门管理的和社会团体受政府委托管理的社会保障基金、社会捐赠基</w:t>
      </w:r>
      <w:r>
        <w:rPr>
          <w:rFonts w:ascii="FangSong" w:hAnsi="FangSong" w:eastAsia="FangSong" w:cs="FangSong"/>
          <w:sz w:val="25"/>
          <w:szCs w:val="25"/>
          <w:spacing w:val="1"/>
        </w:rPr>
        <w:t>金、环境保护资金及其他有关基金、资金的财务收支。</w:t>
      </w:r>
    </w:p>
    <w:p>
      <w:pPr>
        <w:ind w:left="1307"/>
        <w:spacing w:before="132" w:line="222" w:lineRule="auto"/>
        <w:rPr>
          <w:rFonts w:ascii="FangSong" w:hAnsi="FangSong" w:eastAsia="FangSong" w:cs="FangSong"/>
          <w:sz w:val="25"/>
          <w:szCs w:val="25"/>
        </w:rPr>
      </w:pPr>
      <w:r>
        <w:rPr>
          <w:rFonts w:ascii="FangSong" w:hAnsi="FangSong" w:eastAsia="FangSong" w:cs="FangSong"/>
          <w:sz w:val="25"/>
          <w:szCs w:val="25"/>
          <w:spacing w:val="1"/>
        </w:rPr>
        <w:t>（10）其它法律、法规、规章规定应由审计局进行的审计。</w:t>
      </w:r>
    </w:p>
    <w:p>
      <w:pPr>
        <w:ind w:left="1306" w:right="1663" w:hanging="4"/>
        <w:spacing w:before="132" w:line="271" w:lineRule="auto"/>
        <w:rPr>
          <w:rFonts w:ascii="FangSong" w:hAnsi="FangSong" w:eastAsia="FangSong" w:cs="FangSong"/>
          <w:sz w:val="25"/>
          <w:szCs w:val="25"/>
        </w:rPr>
      </w:pPr>
      <w:r>
        <w:rPr>
          <w:rFonts w:ascii="FangSong" w:hAnsi="FangSong" w:eastAsia="FangSong" w:cs="FangSong"/>
          <w:sz w:val="25"/>
          <w:szCs w:val="25"/>
          <w:spacing w:val="2"/>
        </w:rPr>
        <w:t>2、对县级以下党政领导干部、县国有企业及国有</w:t>
      </w:r>
      <w:r>
        <w:rPr>
          <w:rFonts w:ascii="FangSong" w:hAnsi="FangSong" w:eastAsia="FangSong" w:cs="FangSong"/>
          <w:sz w:val="25"/>
          <w:szCs w:val="25"/>
          <w:spacing w:val="1"/>
        </w:rPr>
        <w:t>控股企业领导的任期经济责任审</w:t>
      </w:r>
      <w:r>
        <w:rPr>
          <w:rFonts w:ascii="FangSong" w:hAnsi="FangSong" w:eastAsia="FangSong" w:cs="FangSong"/>
          <w:sz w:val="25"/>
          <w:szCs w:val="25"/>
          <w:spacing w:val="-9"/>
        </w:rPr>
        <w:t>计。</w:t>
      </w:r>
    </w:p>
    <w:p>
      <w:pPr>
        <w:ind w:left="1306" w:right="1411" w:hanging="2"/>
        <w:spacing w:before="130" w:line="271" w:lineRule="auto"/>
        <w:rPr>
          <w:rFonts w:ascii="FangSong" w:hAnsi="FangSong" w:eastAsia="FangSong" w:cs="FangSong"/>
          <w:sz w:val="25"/>
          <w:szCs w:val="25"/>
        </w:rPr>
      </w:pPr>
      <w:r>
        <w:rPr>
          <w:rFonts w:ascii="FangSong" w:hAnsi="FangSong" w:eastAsia="FangSong" w:cs="FangSong"/>
          <w:sz w:val="25"/>
          <w:szCs w:val="25"/>
          <w:spacing w:val="2"/>
        </w:rPr>
        <w:t>3、审计局组织实施对贯彻执行国家的财经方针</w:t>
      </w:r>
      <w:r>
        <w:rPr>
          <w:rFonts w:ascii="FangSong" w:hAnsi="FangSong" w:eastAsia="FangSong" w:cs="FangSong"/>
          <w:sz w:val="25"/>
          <w:szCs w:val="25"/>
          <w:spacing w:val="1"/>
        </w:rPr>
        <w:t>、政策和宏观调控措施情况的行业审</w:t>
      </w:r>
      <w:r>
        <w:rPr>
          <w:rFonts w:ascii="FangSong" w:hAnsi="FangSong" w:eastAsia="FangSong" w:cs="FangSong"/>
          <w:sz w:val="25"/>
          <w:szCs w:val="25"/>
        </w:rPr>
        <w:t>计、专项审计和审计调查。</w:t>
      </w:r>
    </w:p>
    <w:p>
      <w:pPr>
        <w:ind w:left="1307" w:right="1411" w:hanging="9"/>
        <w:spacing w:before="129" w:line="272" w:lineRule="auto"/>
        <w:rPr>
          <w:rFonts w:ascii="FangSong" w:hAnsi="FangSong" w:eastAsia="FangSong" w:cs="FangSong"/>
          <w:sz w:val="25"/>
          <w:szCs w:val="25"/>
        </w:rPr>
      </w:pPr>
      <w:r>
        <w:rPr>
          <w:rFonts w:ascii="FangSong" w:hAnsi="FangSong" w:eastAsia="FangSong" w:cs="FangSong"/>
          <w:sz w:val="25"/>
          <w:szCs w:val="25"/>
          <w:spacing w:val="2"/>
        </w:rPr>
        <w:t>4、审计局与公、检、法、纪检监察及其他有关部门建立联合</w:t>
      </w:r>
      <w:r>
        <w:rPr>
          <w:rFonts w:ascii="FangSong" w:hAnsi="FangSong" w:eastAsia="FangSong" w:cs="FangSong"/>
          <w:sz w:val="25"/>
          <w:szCs w:val="25"/>
          <w:spacing w:val="1"/>
        </w:rPr>
        <w:t>办案制度，协助查处大</w:t>
      </w:r>
      <w:r>
        <w:rPr>
          <w:rFonts w:ascii="FangSong" w:hAnsi="FangSong" w:eastAsia="FangSong" w:cs="FangSong"/>
          <w:sz w:val="25"/>
          <w:szCs w:val="25"/>
          <w:spacing w:val="-4"/>
        </w:rPr>
        <w:t>案要案。</w:t>
      </w:r>
    </w:p>
    <w:p>
      <w:pPr>
        <w:ind w:left="1304"/>
        <w:spacing w:before="127" w:line="224" w:lineRule="auto"/>
        <w:rPr>
          <w:rFonts w:ascii="FangSong" w:hAnsi="FangSong" w:eastAsia="FangSong" w:cs="FangSong"/>
          <w:sz w:val="25"/>
          <w:szCs w:val="25"/>
        </w:rPr>
      </w:pPr>
      <w:r>
        <w:rPr>
          <w:rFonts w:ascii="FangSong" w:hAnsi="FangSong" w:eastAsia="FangSong" w:cs="FangSong"/>
          <w:sz w:val="25"/>
          <w:szCs w:val="25"/>
        </w:rPr>
        <w:t>5、指导监督内部审计。</w:t>
      </w:r>
    </w:p>
    <w:p>
      <w:pPr>
        <w:ind w:left="1301"/>
        <w:spacing w:before="129" w:line="224" w:lineRule="auto"/>
        <w:rPr>
          <w:rFonts w:ascii="FangSong" w:hAnsi="FangSong" w:eastAsia="FangSong" w:cs="FangSong"/>
          <w:sz w:val="25"/>
          <w:szCs w:val="25"/>
        </w:rPr>
      </w:pPr>
      <w:r>
        <w:rPr>
          <w:rFonts w:ascii="FangSong" w:hAnsi="FangSong" w:eastAsia="FangSong" w:cs="FangSong"/>
          <w:sz w:val="25"/>
          <w:szCs w:val="25"/>
          <w:spacing w:val="1"/>
        </w:rPr>
        <w:t>6、监督社会审计的审计业务质量。</w:t>
      </w:r>
    </w:p>
    <w:p>
      <w:pPr>
        <w:ind w:left="1305"/>
        <w:spacing w:before="129" w:line="224" w:lineRule="auto"/>
        <w:rPr>
          <w:rFonts w:ascii="FangSong" w:hAnsi="FangSong" w:eastAsia="FangSong" w:cs="FangSong"/>
          <w:sz w:val="25"/>
          <w:szCs w:val="25"/>
        </w:rPr>
      </w:pPr>
      <w:r>
        <w:rPr>
          <w:rFonts w:ascii="FangSong" w:hAnsi="FangSong" w:eastAsia="FangSong" w:cs="FangSong"/>
          <w:sz w:val="25"/>
          <w:szCs w:val="25"/>
        </w:rPr>
        <w:t>7、组织审计专业培训。</w:t>
      </w:r>
    </w:p>
    <w:p>
      <w:pPr>
        <w:ind w:left="1300"/>
        <w:spacing w:before="128" w:line="225" w:lineRule="auto"/>
        <w:rPr>
          <w:rFonts w:ascii="FangSong" w:hAnsi="FangSong" w:eastAsia="FangSong" w:cs="FangSong"/>
          <w:sz w:val="25"/>
          <w:szCs w:val="25"/>
        </w:rPr>
      </w:pPr>
      <w:r>
        <w:rPr>
          <w:rFonts w:ascii="FangSong" w:hAnsi="FangSong" w:eastAsia="FangSong" w:cs="FangSong"/>
          <w:sz w:val="25"/>
          <w:szCs w:val="25"/>
          <w:spacing w:val="1"/>
        </w:rPr>
        <w:t>8、承担县政府交办的其它事项。</w:t>
      </w:r>
    </w:p>
    <w:p>
      <w:pPr>
        <w:ind w:left="1304"/>
        <w:spacing w:before="273" w:line="223" w:lineRule="auto"/>
        <w:outlineLvl w:val="1"/>
        <w:rPr>
          <w:rFonts w:ascii="SimHei" w:hAnsi="SimHei" w:eastAsia="SimHei" w:cs="SimHei"/>
          <w:sz w:val="25"/>
          <w:szCs w:val="25"/>
        </w:rPr>
      </w:pPr>
      <w:bookmarkStart w:name="bookmark3" w:id="5"/>
      <w:bookmarkEnd w:id="5"/>
      <w:r>
        <w:rPr>
          <w:rFonts w:ascii="SimHei" w:hAnsi="SimHei" w:eastAsia="SimHei" w:cs="SimHei"/>
          <w:sz w:val="25"/>
          <w:szCs w:val="25"/>
        </w:rPr>
        <w:t>二、机构设置情况</w:t>
      </w:r>
    </w:p>
    <w:p>
      <w:pPr>
        <w:spacing w:line="223" w:lineRule="auto"/>
        <w:sectPr>
          <w:headerReference w:type="default" r:id="rId4"/>
          <w:footerReference w:type="default" r:id="rId5"/>
          <w:pgSz w:w="11900" w:h="16840"/>
          <w:pgMar w:top="642" w:right="0" w:bottom="340" w:left="0" w:header="326" w:footer="91" w:gutter="0"/>
        </w:sectPr>
        <w:rPr>
          <w:rFonts w:ascii="SimHei" w:hAnsi="SimHei" w:eastAsia="SimHei" w:cs="SimHei"/>
          <w:sz w:val="25"/>
          <w:szCs w:val="25"/>
        </w:rPr>
      </w:pPr>
    </w:p>
    <w:p>
      <w:pPr>
        <w:spacing w:line="389" w:lineRule="auto"/>
        <w:rPr>
          <w:rFonts w:ascii="Arial"/>
          <w:sz w:val="21"/>
        </w:rPr>
      </w:pPr>
      <w:r/>
    </w:p>
    <w:p>
      <w:pPr>
        <w:ind w:left="1306" w:right="1537" w:firstLine="6"/>
        <w:spacing w:before="82" w:line="319" w:lineRule="auto"/>
        <w:jc w:val="both"/>
        <w:rPr>
          <w:rFonts w:ascii="FangSong" w:hAnsi="FangSong" w:eastAsia="FangSong" w:cs="FangSong"/>
          <w:sz w:val="25"/>
          <w:szCs w:val="25"/>
        </w:rPr>
      </w:pPr>
      <w:bookmarkStart w:name="bookmark34" w:id="6"/>
      <w:bookmarkEnd w:id="6"/>
      <w:r>
        <w:rPr>
          <w:rFonts w:ascii="FangSong" w:hAnsi="FangSong" w:eastAsia="FangSong" w:cs="FangSong"/>
          <w:sz w:val="25"/>
          <w:szCs w:val="25"/>
          <w:spacing w:val="1"/>
        </w:rPr>
        <w:t>兴县审计局是兴县人民政府主管，负责政府各部门和所有企事业单位的财政收支审</w:t>
      </w:r>
      <w:r>
        <w:rPr>
          <w:rFonts w:ascii="FangSong" w:hAnsi="FangSong" w:eastAsia="FangSong" w:cs="FangSong"/>
          <w:sz w:val="25"/>
          <w:szCs w:val="25"/>
          <w:spacing w:val="1"/>
        </w:rPr>
        <w:t>计监督工作。内设机构有综合办公室、行政事业审计股、经贸审计股、经济责任审</w:t>
      </w:r>
      <w:r>
        <w:rPr>
          <w:rFonts w:ascii="FangSong" w:hAnsi="FangSong" w:eastAsia="FangSong" w:cs="FangSong"/>
          <w:sz w:val="25"/>
          <w:szCs w:val="25"/>
        </w:rPr>
        <w:t>计股、兴县财政审计中心。</w:t>
      </w:r>
    </w:p>
    <w:p>
      <w:pPr>
        <w:ind w:left="1306" w:right="1576"/>
        <w:spacing w:before="2" w:line="319" w:lineRule="auto"/>
        <w:jc w:val="both"/>
        <w:rPr>
          <w:rFonts w:ascii="FangSong" w:hAnsi="FangSong" w:eastAsia="FangSong" w:cs="FangSong"/>
          <w:sz w:val="25"/>
          <w:szCs w:val="25"/>
        </w:rPr>
      </w:pPr>
      <w:r>
        <w:rPr>
          <w:rFonts w:ascii="FangSong" w:hAnsi="FangSong" w:eastAsia="FangSong" w:cs="FangSong"/>
          <w:sz w:val="25"/>
          <w:szCs w:val="25"/>
        </w:rPr>
        <w:t>领导职数3人，其中：局长1人，副局长2人。全局现共有17人，其中：公务员8人、</w:t>
      </w:r>
      <w:r>
        <w:rPr>
          <w:rFonts w:ascii="FangSong" w:hAnsi="FangSong" w:eastAsia="FangSong" w:cs="FangSong"/>
          <w:sz w:val="25"/>
          <w:szCs w:val="25"/>
        </w:rPr>
        <w:t>事业人员8人、机关工人1人。</w:t>
      </w:r>
    </w:p>
    <w:p>
      <w:pPr>
        <w:spacing w:line="319" w:lineRule="auto"/>
        <w:sectPr>
          <w:headerReference w:type="default" r:id="rId6"/>
          <w:footerReference w:type="default" r:id="rId7"/>
          <w:pgSz w:w="11900" w:h="16840"/>
          <w:pgMar w:top="642" w:right="0" w:bottom="340" w:left="0" w:header="326" w:footer="91" w:gutter="0"/>
        </w:sectPr>
        <w:rPr>
          <w:rFonts w:ascii="FangSong" w:hAnsi="FangSong" w:eastAsia="FangSong" w:cs="FangSong"/>
          <w:sz w:val="25"/>
          <w:szCs w:val="25"/>
        </w:rPr>
      </w:pPr>
    </w:p>
    <w:p>
      <w:pPr>
        <w:spacing w:line="437" w:lineRule="auto"/>
        <w:rPr>
          <w:rFonts w:ascii="Arial"/>
          <w:sz w:val="21"/>
        </w:rPr>
      </w:pPr>
      <w:r/>
    </w:p>
    <w:p>
      <w:pPr>
        <w:ind w:left="4246"/>
        <w:spacing w:before="81" w:line="223" w:lineRule="auto"/>
        <w:outlineLvl w:val="0"/>
        <w:rPr>
          <w:rFonts w:ascii="SimHei" w:hAnsi="SimHei" w:eastAsia="SimHei" w:cs="SimHei"/>
          <w:sz w:val="25"/>
          <w:szCs w:val="25"/>
        </w:rPr>
      </w:pPr>
      <w:bookmarkStart w:name="bookmark4" w:id="7"/>
      <w:bookmarkEnd w:id="7"/>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2024年部门预算报表</w:t>
      </w:r>
    </w:p>
    <w:p>
      <w:pPr>
        <w:spacing w:before="201"/>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36"/>
        <w:gridCol w:w="1175"/>
        <w:gridCol w:w="2326"/>
        <w:gridCol w:w="1199"/>
        <w:gridCol w:w="1175"/>
        <w:gridCol w:w="905"/>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31"/>
              <w:spacing w:before="91" w:line="219" w:lineRule="auto"/>
              <w:outlineLvl w:val="1"/>
              <w:rPr>
                <w:rFonts w:ascii="SimSun" w:hAnsi="SimSun" w:eastAsia="SimSun" w:cs="SimSun"/>
                <w:sz w:val="24"/>
                <w:szCs w:val="24"/>
              </w:rPr>
            </w:pPr>
            <w:bookmarkStart w:name="bookmark5" w:id="8"/>
            <w:bookmarkEnd w:id="8"/>
            <w:r>
              <w:rPr>
                <w:rFonts w:ascii="SimSun" w:hAnsi="SimSun" w:eastAsia="SimSun" w:cs="SimSun"/>
                <w:sz w:val="24"/>
                <w:szCs w:val="24"/>
                <w:color w:val="212529"/>
                <w:spacing w:val="-2"/>
              </w:rPr>
              <w:t>2024年预算收支总表</w:t>
            </w:r>
          </w:p>
        </w:tc>
      </w:tr>
      <w:tr>
        <w:trPr>
          <w:trHeight w:val="421" w:hRule="atLeast"/>
        </w:trPr>
        <w:tc>
          <w:tcPr>
            <w:tcW w:w="8111" w:type="dxa"/>
            <w:vAlign w:val="top"/>
            <w:gridSpan w:val="5"/>
            <w:tcBorders>
              <w:right w:val="single" w:color="FFFFFF" w:sz="2" w:space="0"/>
              <w:top w:val="single" w:color="FFFFFF" w:sz="4" w:space="0"/>
            </w:tcBorders>
          </w:tcPr>
          <w:p>
            <w:pPr>
              <w:ind w:left="9"/>
              <w:spacing w:before="127"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905"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411" w:type="dxa"/>
            <w:vAlign w:val="top"/>
            <w:gridSpan w:val="2"/>
          </w:tcPr>
          <w:p>
            <w:pPr>
              <w:ind w:left="1527"/>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605" w:type="dxa"/>
            <w:vAlign w:val="top"/>
            <w:gridSpan w:val="4"/>
          </w:tcPr>
          <w:p>
            <w:pPr>
              <w:ind w:left="2618"/>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236" w:type="dxa"/>
            <w:vAlign w:val="top"/>
          </w:tcPr>
          <w:p>
            <w:pPr>
              <w:ind w:left="936"/>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75" w:type="dxa"/>
            <w:vAlign w:val="top"/>
          </w:tcPr>
          <w:p>
            <w:pPr>
              <w:ind w:left="313"/>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326" w:type="dxa"/>
            <w:vAlign w:val="top"/>
          </w:tcPr>
          <w:p>
            <w:pPr>
              <w:ind w:left="982"/>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99" w:type="dxa"/>
            <w:vAlign w:val="top"/>
          </w:tcPr>
          <w:p>
            <w:pPr>
              <w:ind w:left="14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175" w:type="dxa"/>
            <w:vAlign w:val="top"/>
          </w:tcPr>
          <w:p>
            <w:pPr>
              <w:ind w:left="58"/>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905" w:type="dxa"/>
            <w:vAlign w:val="top"/>
          </w:tcPr>
          <w:p>
            <w:pPr>
              <w:ind w:left="91"/>
              <w:spacing w:line="209" w:lineRule="auto"/>
              <w:rPr>
                <w:rFonts w:ascii="SimSun" w:hAnsi="SimSun" w:eastAsia="SimSun" w:cs="SimSun"/>
                <w:sz w:val="18"/>
                <w:szCs w:val="18"/>
              </w:rPr>
            </w:pPr>
            <w:r>
              <w:rPr>
                <w:rFonts w:ascii="SimSun" w:hAnsi="SimSun" w:eastAsia="SimSun" w:cs="SimSun"/>
                <w:sz w:val="18"/>
                <w:szCs w:val="18"/>
                <w:color w:val="212529"/>
                <w:spacing w:val="-3"/>
              </w:rPr>
              <w:t>上年结转</w:t>
            </w:r>
          </w:p>
          <w:p>
            <w:pPr>
              <w:ind w:left="273"/>
              <w:spacing w:line="212" w:lineRule="auto"/>
              <w:rPr>
                <w:rFonts w:ascii="SimSun" w:hAnsi="SimSun" w:eastAsia="SimSun" w:cs="SimSun"/>
                <w:sz w:val="18"/>
                <w:szCs w:val="18"/>
              </w:rPr>
            </w:pPr>
            <w:r>
              <w:rPr>
                <w:rFonts w:ascii="SimSun" w:hAnsi="SimSun" w:eastAsia="SimSun" w:cs="SimSun"/>
                <w:sz w:val="18"/>
                <w:szCs w:val="18"/>
                <w:color w:val="212529"/>
                <w:spacing w:val="-6"/>
              </w:rPr>
              <w:t>安排</w:t>
            </w:r>
          </w:p>
        </w:tc>
      </w:tr>
      <w:tr>
        <w:trPr>
          <w:trHeight w:val="422" w:hRule="atLeast"/>
        </w:trPr>
        <w:tc>
          <w:tcPr>
            <w:tcW w:w="2236"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75" w:type="dxa"/>
            <w:vAlign w:val="top"/>
          </w:tcPr>
          <w:p>
            <w:pPr>
              <w:ind w:right="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2326"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199" w:type="dxa"/>
            <w:vAlign w:val="top"/>
          </w:tcPr>
          <w:p>
            <w:pPr>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573.60</w:t>
            </w:r>
          </w:p>
        </w:tc>
        <w:tc>
          <w:tcPr>
            <w:tcW w:w="1175" w:type="dxa"/>
            <w:vAlign w:val="top"/>
          </w:tcPr>
          <w:p>
            <w:pPr>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573.60</w:t>
            </w:r>
          </w:p>
        </w:tc>
        <w:tc>
          <w:tcPr>
            <w:tcW w:w="905" w:type="dxa"/>
            <w:vAlign w:val="top"/>
          </w:tcPr>
          <w:p>
            <w:pPr>
              <w:pStyle w:val="TableText"/>
              <w:rPr/>
            </w:pPr>
            <w:r/>
          </w:p>
        </w:tc>
      </w:tr>
      <w:tr>
        <w:trPr>
          <w:trHeight w:val="421" w:hRule="atLeast"/>
        </w:trPr>
        <w:tc>
          <w:tcPr>
            <w:tcW w:w="2236"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75" w:type="dxa"/>
            <w:vAlign w:val="top"/>
          </w:tcPr>
          <w:p>
            <w:pPr>
              <w:pStyle w:val="TableText"/>
              <w:rPr/>
            </w:pPr>
            <w:r/>
          </w:p>
        </w:tc>
        <w:tc>
          <w:tcPr>
            <w:tcW w:w="2326"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75" w:type="dxa"/>
            <w:vAlign w:val="top"/>
          </w:tcPr>
          <w:p>
            <w:pPr>
              <w:pStyle w:val="TableText"/>
              <w:rPr/>
            </w:pPr>
            <w:r/>
          </w:p>
        </w:tc>
        <w:tc>
          <w:tcPr>
            <w:tcW w:w="2326"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75" w:type="dxa"/>
            <w:vAlign w:val="top"/>
          </w:tcPr>
          <w:p>
            <w:pPr>
              <w:pStyle w:val="TableText"/>
              <w:rPr/>
            </w:pPr>
            <w:r/>
          </w:p>
        </w:tc>
        <w:tc>
          <w:tcPr>
            <w:tcW w:w="2326"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75" w:type="dxa"/>
            <w:vAlign w:val="top"/>
          </w:tcPr>
          <w:p>
            <w:pPr>
              <w:pStyle w:val="TableText"/>
              <w:rPr/>
            </w:pPr>
            <w:r/>
          </w:p>
        </w:tc>
        <w:tc>
          <w:tcPr>
            <w:tcW w:w="2326"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22" w:right="156" w:hanging="16"/>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rPr>
              <w:t>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99"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175"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99"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175"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99"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175" w:type="dxa"/>
            <w:vAlign w:val="top"/>
          </w:tcPr>
          <w:p>
            <w:pPr>
              <w:ind w:right="3"/>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spacing w:before="6" w:line="208" w:lineRule="auto"/>
              <w:rPr>
                <w:rFonts w:ascii="SimSun" w:hAnsi="SimSun" w:eastAsia="SimSun" w:cs="SimSun"/>
                <w:sz w:val="18"/>
                <w:szCs w:val="18"/>
              </w:rPr>
            </w:pPr>
            <w:r>
              <w:rPr>
                <w:rFonts w:ascii="SimSun" w:hAnsi="SimSun" w:eastAsia="SimSun" w:cs="SimSun"/>
                <w:sz w:val="18"/>
                <w:szCs w:val="18"/>
                <w:color w:val="212529"/>
                <w:spacing w:val="-4"/>
              </w:rPr>
              <w:t>十九、</w:t>
            </w:r>
            <w:r>
              <w:rPr>
                <w:rFonts w:ascii="SimSun" w:hAnsi="SimSun" w:eastAsia="SimSun" w:cs="SimSun"/>
                <w:sz w:val="18"/>
                <w:szCs w:val="18"/>
                <w:color w:val="212529"/>
                <w:spacing w:val="-52"/>
              </w:rPr>
              <w:t xml:space="preserve"> </w:t>
            </w:r>
            <w:r>
              <w:rPr>
                <w:rFonts w:ascii="SimSun" w:hAnsi="SimSun" w:eastAsia="SimSun" w:cs="SimSun"/>
                <w:sz w:val="18"/>
                <w:szCs w:val="18"/>
                <w:color w:val="212529"/>
                <w:spacing w:val="-4"/>
              </w:rPr>
              <w:t>自然资源海洋气象等</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99"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175" w:type="dxa"/>
            <w:vAlign w:val="top"/>
          </w:tcPr>
          <w:p>
            <w:pPr>
              <w:ind w:right="3"/>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1"/>
              </w:rPr>
              <w:t>二十一、粮油物资储备支出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7" w:right="156" w:firstLine="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right="156"/>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spacing w:val="-4"/>
              </w:rPr>
              <w:t>理支出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2"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7"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bl>
    <w:p>
      <w:pPr>
        <w:rPr>
          <w:rFonts w:ascii="Arial"/>
          <w:sz w:val="21"/>
        </w:rPr>
      </w:pPr>
      <w:r/>
    </w:p>
    <w:p>
      <w:pPr>
        <w:sectPr>
          <w:headerReference w:type="default" r:id="rId8"/>
          <w:footerReference w:type="default" r:id="rId9"/>
          <w:pgSz w:w="11900" w:h="16840"/>
          <w:pgMar w:top="642" w:right="0" w:bottom="340" w:left="0" w:header="326" w:footer="93" w:gutter="0"/>
        </w:sectPr>
        <w:rPr>
          <w:rFonts w:ascii="Arial" w:hAnsi="Arial" w:eastAsia="Arial" w:cs="Arial"/>
          <w:sz w:val="21"/>
          <w:szCs w:val="21"/>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36"/>
        <w:gridCol w:w="1175"/>
        <w:gridCol w:w="2326"/>
        <w:gridCol w:w="1199"/>
        <w:gridCol w:w="1175"/>
        <w:gridCol w:w="905"/>
      </w:tblGrid>
      <w:tr>
        <w:trPr>
          <w:trHeight w:val="426"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11" w:line="219" w:lineRule="auto"/>
              <w:rPr>
                <w:rFonts w:ascii="SimSun" w:hAnsi="SimSun" w:eastAsia="SimSun" w:cs="SimSun"/>
                <w:sz w:val="18"/>
                <w:szCs w:val="18"/>
              </w:rPr>
            </w:pPr>
            <w:bookmarkStart w:name="bookmark35" w:id="9"/>
            <w:bookmarkEnd w:id="9"/>
            <w:r>
              <w:rPr>
                <w:rFonts w:ascii="SimSun" w:hAnsi="SimSun" w:eastAsia="SimSun" w:cs="SimSun"/>
                <w:sz w:val="18"/>
                <w:szCs w:val="18"/>
                <w:color w:val="212529"/>
                <w:spacing w:val="-2"/>
              </w:rPr>
              <w:t>二十八、债务付息支出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9"/>
              <w:spacing w:before="10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ind w:left="6" w:right="156"/>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5"/>
              </w:rPr>
              <w:t>支出</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1" w:hRule="atLeast"/>
        </w:trPr>
        <w:tc>
          <w:tcPr>
            <w:tcW w:w="2236" w:type="dxa"/>
            <w:vAlign w:val="top"/>
          </w:tcPr>
          <w:p>
            <w:pPr>
              <w:pStyle w:val="TableText"/>
              <w:rPr/>
            </w:pPr>
            <w:r/>
          </w:p>
        </w:tc>
        <w:tc>
          <w:tcPr>
            <w:tcW w:w="1175" w:type="dxa"/>
            <w:vAlign w:val="top"/>
          </w:tcPr>
          <w:p>
            <w:pPr>
              <w:pStyle w:val="TableText"/>
              <w:rPr/>
            </w:pPr>
            <w:r/>
          </w:p>
        </w:tc>
        <w:tc>
          <w:tcPr>
            <w:tcW w:w="2326" w:type="dxa"/>
            <w:vAlign w:val="top"/>
          </w:tcPr>
          <w:p>
            <w:pPr>
              <w:pStyle w:val="TableText"/>
              <w:rPr/>
            </w:pPr>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0" w:hRule="atLeast"/>
        </w:trPr>
        <w:tc>
          <w:tcPr>
            <w:tcW w:w="2236"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175"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2326"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99" w:type="dxa"/>
            <w:vAlign w:val="top"/>
          </w:tcPr>
          <w:p>
            <w:pPr>
              <w:ind w:right="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1175" w:type="dxa"/>
            <w:vAlign w:val="top"/>
          </w:tcPr>
          <w:p>
            <w:pPr>
              <w:ind w:right="3"/>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905" w:type="dxa"/>
            <w:vAlign w:val="top"/>
          </w:tcPr>
          <w:p>
            <w:pPr>
              <w:pStyle w:val="TableText"/>
              <w:rPr/>
            </w:pPr>
            <w:r/>
          </w:p>
        </w:tc>
      </w:tr>
      <w:tr>
        <w:trPr>
          <w:trHeight w:val="421" w:hRule="atLeast"/>
        </w:trPr>
        <w:tc>
          <w:tcPr>
            <w:tcW w:w="2236"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175" w:type="dxa"/>
            <w:vAlign w:val="top"/>
          </w:tcPr>
          <w:p>
            <w:pPr>
              <w:pStyle w:val="TableText"/>
              <w:rPr/>
            </w:pPr>
            <w:r/>
          </w:p>
        </w:tc>
        <w:tc>
          <w:tcPr>
            <w:tcW w:w="2326"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99" w:type="dxa"/>
            <w:vAlign w:val="top"/>
          </w:tcPr>
          <w:p>
            <w:pPr>
              <w:pStyle w:val="TableText"/>
              <w:rPr/>
            </w:pPr>
            <w:r/>
          </w:p>
        </w:tc>
        <w:tc>
          <w:tcPr>
            <w:tcW w:w="1175" w:type="dxa"/>
            <w:vAlign w:val="top"/>
          </w:tcPr>
          <w:p>
            <w:pPr>
              <w:pStyle w:val="TableText"/>
              <w:rPr/>
            </w:pPr>
            <w:r/>
          </w:p>
        </w:tc>
        <w:tc>
          <w:tcPr>
            <w:tcW w:w="905" w:type="dxa"/>
            <w:vAlign w:val="top"/>
          </w:tcPr>
          <w:p>
            <w:pPr>
              <w:pStyle w:val="TableText"/>
              <w:rPr/>
            </w:pPr>
            <w:r/>
          </w:p>
        </w:tc>
      </w:tr>
      <w:tr>
        <w:trPr>
          <w:trHeight w:val="426" w:hRule="atLeast"/>
        </w:trPr>
        <w:tc>
          <w:tcPr>
            <w:tcW w:w="2236"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75"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2326"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99"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1175" w:type="dxa"/>
            <w:vAlign w:val="top"/>
          </w:tcPr>
          <w:p>
            <w:pPr>
              <w:ind w:right="3"/>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905" w:type="dxa"/>
            <w:vAlign w:val="top"/>
          </w:tcPr>
          <w:p>
            <w:pPr>
              <w:pStyle w:val="TableText"/>
              <w:rPr/>
            </w:pPr>
            <w:r/>
          </w:p>
        </w:tc>
      </w:tr>
    </w:tbl>
    <w:p>
      <w:pPr>
        <w:rPr>
          <w:rFonts w:ascii="Arial"/>
          <w:sz w:val="21"/>
        </w:rPr>
      </w:pPr>
      <w:r/>
    </w:p>
    <w:p>
      <w:pPr>
        <w:sectPr>
          <w:headerReference w:type="default" r:id="rId6"/>
          <w:footerReference w:type="default" r:id="rId10"/>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7"/>
        <w:gridCol w:w="3311"/>
        <w:gridCol w:w="1608"/>
        <w:gridCol w:w="1392"/>
        <w:gridCol w:w="1104"/>
        <w:gridCol w:w="1356"/>
        <w:gridCol w:w="1344"/>
        <w:gridCol w:w="1080"/>
        <w:gridCol w:w="1134"/>
      </w:tblGrid>
      <w:tr>
        <w:trPr>
          <w:trHeight w:val="331" w:hRule="atLeast"/>
        </w:trPr>
        <w:tc>
          <w:tcPr>
            <w:tcW w:w="163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3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214" w:type="dxa"/>
            <w:vAlign w:val="top"/>
            <w:gridSpan w:val="2"/>
            <w:tcBorders>
              <w:left w:val="single" w:color="FFFFFF" w:sz="2" w:space="0"/>
              <w:right w:val="single" w:color="FFFFFF" w:sz="2" w:space="0"/>
              <w:bottom w:val="single" w:color="FFFFFF" w:sz="4" w:space="0"/>
              <w:top w:val="single" w:color="FFFFFF" w:sz="4" w:space="0"/>
            </w:tcBorders>
          </w:tcPr>
          <w:p>
            <w:pPr>
              <w:ind w:right="11"/>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906"/>
              <w:spacing w:before="43" w:line="209" w:lineRule="auto"/>
              <w:outlineLvl w:val="1"/>
              <w:rPr>
                <w:rFonts w:ascii="SimSun" w:hAnsi="SimSun" w:eastAsia="SimSun" w:cs="SimSun"/>
                <w:sz w:val="24"/>
                <w:szCs w:val="24"/>
              </w:rPr>
            </w:pPr>
            <w:bookmarkStart w:name="bookmark36" w:id="10"/>
            <w:bookmarkEnd w:id="10"/>
            <w:bookmarkStart w:name="bookmark6" w:id="11"/>
            <w:bookmarkEnd w:id="11"/>
            <w:r>
              <w:rPr>
                <w:rFonts w:ascii="SimSun" w:hAnsi="SimSun" w:eastAsia="SimSun" w:cs="SimSun"/>
                <w:sz w:val="24"/>
                <w:szCs w:val="24"/>
                <w:color w:val="212529"/>
                <w:spacing w:val="-2"/>
              </w:rPr>
              <w:t>2024年预算收入总表</w:t>
            </w:r>
          </w:p>
        </w:tc>
      </w:tr>
      <w:tr>
        <w:trPr>
          <w:trHeight w:val="325" w:hRule="atLeast"/>
        </w:trPr>
        <w:tc>
          <w:tcPr>
            <w:tcW w:w="4948" w:type="dxa"/>
            <w:vAlign w:val="top"/>
            <w:gridSpan w:val="2"/>
            <w:tcBorders>
              <w:top w:val="single" w:color="FFFFFF" w:sz="4" w:space="0"/>
            </w:tcBorders>
          </w:tcPr>
          <w:p>
            <w:pPr>
              <w:ind w:left="9"/>
              <w:spacing w:before="80"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608" w:type="dxa"/>
            <w:vAlign w:val="top"/>
            <w:tcBorders>
              <w:right w:val="single" w:color="FFFFFF" w:sz="2" w:space="0"/>
              <w:top w:val="single" w:color="FFFFFF" w:sz="4" w:space="0"/>
            </w:tcBorders>
          </w:tcPr>
          <w:p>
            <w:pPr>
              <w:pStyle w:val="TableText"/>
              <w:rPr/>
            </w:pPr>
            <w:r/>
          </w:p>
        </w:tc>
        <w:tc>
          <w:tcPr>
            <w:tcW w:w="1392" w:type="dxa"/>
            <w:vAlign w:val="top"/>
            <w:tcBorders>
              <w:left w:val="single" w:color="FFFFFF" w:sz="2" w:space="0"/>
              <w:right w:val="single" w:color="FFFFFF" w:sz="2" w:space="0"/>
              <w:top w:val="single" w:color="FFFFFF" w:sz="4" w:space="0"/>
            </w:tcBorders>
          </w:tcPr>
          <w:p>
            <w:pPr>
              <w:pStyle w:val="TableText"/>
              <w:rPr/>
            </w:pPr>
            <w:r/>
          </w:p>
        </w:tc>
        <w:tc>
          <w:tcPr>
            <w:tcW w:w="1104" w:type="dxa"/>
            <w:vAlign w:val="top"/>
            <w:tcBorders>
              <w:left w:val="single" w:color="FFFFFF" w:sz="2" w:space="0"/>
              <w:right w:val="single" w:color="FFFFFF" w:sz="2" w:space="0"/>
              <w:top w:val="single" w:color="FFFFFF" w:sz="4" w:space="0"/>
            </w:tcBorders>
          </w:tcPr>
          <w:p>
            <w:pPr>
              <w:pStyle w:val="TableText"/>
              <w:rPr/>
            </w:pPr>
            <w:r/>
          </w:p>
        </w:tc>
        <w:tc>
          <w:tcPr>
            <w:tcW w:w="1356" w:type="dxa"/>
            <w:vAlign w:val="top"/>
            <w:tcBorders>
              <w:left w:val="single" w:color="FFFFFF" w:sz="2" w:space="0"/>
              <w:right w:val="single" w:color="FFFFFF" w:sz="2" w:space="0"/>
              <w:top w:val="single" w:color="FFFFFF" w:sz="4" w:space="0"/>
            </w:tcBorders>
          </w:tcPr>
          <w:p>
            <w:pPr>
              <w:pStyle w:val="TableText"/>
              <w:rPr/>
            </w:pPr>
            <w:r/>
          </w:p>
        </w:tc>
        <w:tc>
          <w:tcPr>
            <w:tcW w:w="1344" w:type="dxa"/>
            <w:vAlign w:val="top"/>
            <w:tcBorders>
              <w:left w:val="single" w:color="FFFFFF" w:sz="2" w:space="0"/>
              <w:right w:val="single" w:color="FFFFFF" w:sz="2" w:space="0"/>
              <w:top w:val="single" w:color="FFFFFF" w:sz="4" w:space="0"/>
            </w:tcBorders>
          </w:tcPr>
          <w:p>
            <w:pPr>
              <w:pStyle w:val="TableText"/>
              <w:rPr/>
            </w:pPr>
            <w:r/>
          </w:p>
        </w:tc>
        <w:tc>
          <w:tcPr>
            <w:tcW w:w="2214" w:type="dxa"/>
            <w:vAlign w:val="top"/>
            <w:gridSpan w:val="2"/>
            <w:tcBorders>
              <w:left w:val="single" w:color="FFFFFF" w:sz="2" w:space="0"/>
              <w:top w:val="single" w:color="FFFFFF" w:sz="4" w:space="0"/>
            </w:tcBorders>
          </w:tcPr>
          <w:p>
            <w:pPr>
              <w:ind w:right="3"/>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6" w:hRule="atLeast"/>
        </w:trPr>
        <w:tc>
          <w:tcPr>
            <w:tcW w:w="4948" w:type="dxa"/>
            <w:vAlign w:val="top"/>
            <w:gridSpan w:val="2"/>
          </w:tcPr>
          <w:p>
            <w:pPr>
              <w:ind w:left="2293"/>
              <w:spacing w:before="6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884" w:type="dxa"/>
            <w:vAlign w:val="top"/>
            <w:gridSpan w:val="6"/>
          </w:tcPr>
          <w:p>
            <w:pPr>
              <w:ind w:left="3580"/>
              <w:spacing w:before="60"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134" w:type="dxa"/>
            <w:vAlign w:val="top"/>
            <w:vMerge w:val="restart"/>
            <w:tcBorders>
              <w:bottom w:val="nil"/>
            </w:tcBorders>
          </w:tcPr>
          <w:p>
            <w:pPr>
              <w:ind w:left="205"/>
              <w:spacing w:before="265"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637" w:type="dxa"/>
            <w:vAlign w:val="top"/>
          </w:tcPr>
          <w:p>
            <w:pPr>
              <w:ind w:left="453"/>
              <w:spacing w:before="96"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311" w:type="dxa"/>
            <w:vAlign w:val="top"/>
          </w:tcPr>
          <w:p>
            <w:pPr>
              <w:ind w:left="1289"/>
              <w:spacing w:before="96"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608" w:type="dxa"/>
            <w:vAlign w:val="top"/>
          </w:tcPr>
          <w:p>
            <w:pPr>
              <w:ind w:left="620"/>
              <w:spacing w:before="97"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2" w:type="dxa"/>
            <w:vAlign w:val="top"/>
          </w:tcPr>
          <w:p>
            <w:pPr>
              <w:ind w:left="155"/>
              <w:spacing w:before="97"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104" w:type="dxa"/>
            <w:vAlign w:val="top"/>
          </w:tcPr>
          <w:p>
            <w:pPr>
              <w:ind w:left="98"/>
              <w:spacing w:before="96"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356" w:type="dxa"/>
            <w:vAlign w:val="top"/>
          </w:tcPr>
          <w:p>
            <w:pPr>
              <w:ind w:left="63"/>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587"/>
              <w:spacing w:line="198" w:lineRule="auto"/>
              <w:rPr>
                <w:rFonts w:ascii="SimSun" w:hAnsi="SimSun" w:eastAsia="SimSun" w:cs="SimSun"/>
                <w:sz w:val="18"/>
                <w:szCs w:val="18"/>
              </w:rPr>
            </w:pPr>
            <w:r>
              <w:rPr>
                <w:rFonts w:ascii="SimSun" w:hAnsi="SimSun" w:eastAsia="SimSun" w:cs="SimSun"/>
                <w:sz w:val="18"/>
                <w:szCs w:val="18"/>
                <w:color w:val="212529"/>
              </w:rPr>
              <w:t>算</w:t>
            </w:r>
          </w:p>
        </w:tc>
        <w:tc>
          <w:tcPr>
            <w:tcW w:w="1344" w:type="dxa"/>
            <w:vAlign w:val="top"/>
          </w:tcPr>
          <w:p>
            <w:pPr>
              <w:ind w:left="41"/>
              <w:spacing w:before="1" w:line="209" w:lineRule="auto"/>
              <w:rPr>
                <w:rFonts w:ascii="SimSun" w:hAnsi="SimSun" w:eastAsia="SimSun" w:cs="SimSun"/>
                <w:sz w:val="18"/>
                <w:szCs w:val="18"/>
              </w:rPr>
            </w:pPr>
            <w:r>
              <w:rPr>
                <w:rFonts w:ascii="SimSun" w:hAnsi="SimSun" w:eastAsia="SimSun" w:cs="SimSun"/>
                <w:sz w:val="18"/>
                <w:szCs w:val="18"/>
                <w:color w:val="212529"/>
                <w:spacing w:val="-2"/>
              </w:rPr>
              <w:t>财政专户管理资</w:t>
            </w:r>
          </w:p>
          <w:p>
            <w:pPr>
              <w:ind w:left="582"/>
              <w:spacing w:line="198" w:lineRule="auto"/>
              <w:rPr>
                <w:rFonts w:ascii="SimSun" w:hAnsi="SimSun" w:eastAsia="SimSun" w:cs="SimSun"/>
                <w:sz w:val="18"/>
                <w:szCs w:val="18"/>
              </w:rPr>
            </w:pPr>
            <w:r>
              <w:rPr>
                <w:rFonts w:ascii="SimSun" w:hAnsi="SimSun" w:eastAsia="SimSun" w:cs="SimSun"/>
                <w:sz w:val="18"/>
                <w:szCs w:val="18"/>
                <w:color w:val="212529"/>
              </w:rPr>
              <w:t>金</w:t>
            </w:r>
          </w:p>
        </w:tc>
        <w:tc>
          <w:tcPr>
            <w:tcW w:w="1080" w:type="dxa"/>
            <w:vAlign w:val="top"/>
          </w:tcPr>
          <w:p>
            <w:pPr>
              <w:ind w:left="181"/>
              <w:spacing w:before="97"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134" w:type="dxa"/>
            <w:vAlign w:val="top"/>
            <w:vMerge w:val="continue"/>
            <w:tcBorders>
              <w:top w:val="nil"/>
            </w:tcBorders>
          </w:tcPr>
          <w:p>
            <w:pPr>
              <w:pStyle w:val="TableText"/>
              <w:rPr/>
            </w:pPr>
            <w:r/>
          </w:p>
        </w:tc>
      </w:tr>
      <w:tr>
        <w:trPr>
          <w:trHeight w:val="326" w:hRule="atLeast"/>
        </w:trPr>
        <w:tc>
          <w:tcPr>
            <w:tcW w:w="4948" w:type="dxa"/>
            <w:vAlign w:val="top"/>
            <w:gridSpan w:val="2"/>
          </w:tcPr>
          <w:p>
            <w:pPr>
              <w:ind w:left="2291"/>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608"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1392" w:type="dxa"/>
            <w:vAlign w:val="top"/>
          </w:tcPr>
          <w:p>
            <w:pPr>
              <w:ind w:right="6"/>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4"/>
              </w:rPr>
              <w:t>201</w:t>
            </w:r>
          </w:p>
        </w:tc>
        <w:tc>
          <w:tcPr>
            <w:tcW w:w="3311" w:type="dxa"/>
            <w:vAlign w:val="top"/>
          </w:tcPr>
          <w:p>
            <w:pPr>
              <w:ind w:left="7"/>
              <w:spacing w:before="63"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608"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573.60</w:t>
            </w:r>
          </w:p>
        </w:tc>
        <w:tc>
          <w:tcPr>
            <w:tcW w:w="1392"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573.60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20108</w:t>
            </w:r>
          </w:p>
        </w:tc>
        <w:tc>
          <w:tcPr>
            <w:tcW w:w="3311" w:type="dxa"/>
            <w:vAlign w:val="top"/>
          </w:tcPr>
          <w:p>
            <w:pPr>
              <w:ind w:left="14"/>
              <w:spacing w:before="63" w:line="219" w:lineRule="auto"/>
              <w:rPr>
                <w:rFonts w:ascii="SimSun" w:hAnsi="SimSun" w:eastAsia="SimSun" w:cs="SimSun"/>
                <w:sz w:val="18"/>
                <w:szCs w:val="18"/>
              </w:rPr>
            </w:pPr>
            <w:r>
              <w:rPr>
                <w:rFonts w:ascii="SimSun" w:hAnsi="SimSun" w:eastAsia="SimSun" w:cs="SimSun"/>
                <w:sz w:val="18"/>
                <w:szCs w:val="18"/>
                <w:color w:val="212529"/>
                <w:spacing w:val="-5"/>
              </w:rPr>
              <w:t>审计事务</w:t>
            </w:r>
          </w:p>
        </w:tc>
        <w:tc>
          <w:tcPr>
            <w:tcW w:w="1608"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552.45</w:t>
            </w:r>
          </w:p>
        </w:tc>
        <w:tc>
          <w:tcPr>
            <w:tcW w:w="1392"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552.45</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2010801</w:t>
            </w:r>
          </w:p>
        </w:tc>
        <w:tc>
          <w:tcPr>
            <w:tcW w:w="3311" w:type="dxa"/>
            <w:vAlign w:val="top"/>
          </w:tcPr>
          <w:p>
            <w:pPr>
              <w:ind w:left="7"/>
              <w:spacing w:before="63"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608"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4"/>
              </w:rPr>
              <w:t>119.08</w:t>
            </w:r>
          </w:p>
        </w:tc>
        <w:tc>
          <w:tcPr>
            <w:tcW w:w="1392" w:type="dxa"/>
            <w:vAlign w:val="top"/>
          </w:tcPr>
          <w:p>
            <w:pPr>
              <w:spacing w:before="62" w:line="239" w:lineRule="auto"/>
              <w:jc w:val="right"/>
              <w:rPr>
                <w:rFonts w:ascii="SimSun" w:hAnsi="SimSun" w:eastAsia="SimSun" w:cs="SimSun"/>
                <w:sz w:val="18"/>
                <w:szCs w:val="18"/>
              </w:rPr>
            </w:pPr>
            <w:r>
              <w:rPr>
                <w:rFonts w:ascii="SimSun" w:hAnsi="SimSun" w:eastAsia="SimSun" w:cs="SimSun"/>
                <w:sz w:val="18"/>
                <w:szCs w:val="18"/>
                <w:color w:val="212529"/>
                <w:spacing w:val="-4"/>
              </w:rPr>
              <w:t>119.08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2"/>
              <w:rPr>
                <w:rFonts w:ascii="SimSun" w:hAnsi="SimSun" w:eastAsia="SimSun" w:cs="SimSun"/>
                <w:sz w:val="18"/>
                <w:szCs w:val="18"/>
              </w:rPr>
            </w:pPr>
            <w:r>
              <w:rPr>
                <w:rFonts w:ascii="SimSun" w:hAnsi="SimSun" w:eastAsia="SimSun" w:cs="SimSun"/>
                <w:sz w:val="18"/>
                <w:szCs w:val="18"/>
                <w:color w:val="212529"/>
                <w:spacing w:val="-2"/>
              </w:rPr>
              <w:t>2010802</w:t>
            </w:r>
          </w:p>
        </w:tc>
        <w:tc>
          <w:tcPr>
            <w:tcW w:w="3311" w:type="dxa"/>
            <w:vAlign w:val="top"/>
          </w:tcPr>
          <w:p>
            <w:pPr>
              <w:ind w:left="7"/>
              <w:spacing w:before="63"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60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392"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2010804</w:t>
            </w:r>
          </w:p>
        </w:tc>
        <w:tc>
          <w:tcPr>
            <w:tcW w:w="3311" w:type="dxa"/>
            <w:vAlign w:val="top"/>
          </w:tcPr>
          <w:p>
            <w:pPr>
              <w:ind w:left="14"/>
              <w:spacing w:before="63" w:line="219" w:lineRule="auto"/>
              <w:rPr>
                <w:rFonts w:ascii="SimSun" w:hAnsi="SimSun" w:eastAsia="SimSun" w:cs="SimSun"/>
                <w:sz w:val="18"/>
                <w:szCs w:val="18"/>
              </w:rPr>
            </w:pPr>
            <w:r>
              <w:rPr>
                <w:rFonts w:ascii="SimSun" w:hAnsi="SimSun" w:eastAsia="SimSun" w:cs="SimSun"/>
                <w:sz w:val="18"/>
                <w:szCs w:val="18"/>
                <w:color w:val="212529"/>
                <w:spacing w:val="-5"/>
              </w:rPr>
              <w:t>审计业务</w:t>
            </w:r>
          </w:p>
        </w:tc>
        <w:tc>
          <w:tcPr>
            <w:tcW w:w="1608"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377.73</w:t>
            </w:r>
          </w:p>
        </w:tc>
        <w:tc>
          <w:tcPr>
            <w:tcW w:w="1392"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377.73</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2010850</w:t>
            </w:r>
          </w:p>
        </w:tc>
        <w:tc>
          <w:tcPr>
            <w:tcW w:w="3311" w:type="dxa"/>
            <w:vAlign w:val="top"/>
          </w:tcPr>
          <w:p>
            <w:pPr>
              <w:ind w:left="4"/>
              <w:spacing w:before="63"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60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392"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20109</w:t>
            </w:r>
          </w:p>
        </w:tc>
        <w:tc>
          <w:tcPr>
            <w:tcW w:w="3311"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2"/>
              </w:rPr>
              <w:t>海关事务</w:t>
            </w:r>
          </w:p>
        </w:tc>
        <w:tc>
          <w:tcPr>
            <w:tcW w:w="160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392"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2010950</w:t>
            </w:r>
          </w:p>
        </w:tc>
        <w:tc>
          <w:tcPr>
            <w:tcW w:w="3311" w:type="dxa"/>
            <w:vAlign w:val="top"/>
          </w:tcPr>
          <w:p>
            <w:pPr>
              <w:ind w:left="4"/>
              <w:spacing w:before="64"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60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392"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208</w:t>
            </w:r>
          </w:p>
        </w:tc>
        <w:tc>
          <w:tcPr>
            <w:tcW w:w="3311" w:type="dxa"/>
            <w:vAlign w:val="top"/>
          </w:tcPr>
          <w:p>
            <w:pPr>
              <w:ind w:left="6"/>
              <w:spacing w:before="63"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0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392"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w:t>
            </w:r>
          </w:p>
        </w:tc>
        <w:tc>
          <w:tcPr>
            <w:tcW w:w="3311"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60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392"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2080505</w:t>
            </w:r>
          </w:p>
        </w:tc>
        <w:tc>
          <w:tcPr>
            <w:tcW w:w="3311"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0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22.28</w:t>
            </w:r>
          </w:p>
        </w:tc>
        <w:tc>
          <w:tcPr>
            <w:tcW w:w="1392"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22.28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2080506</w:t>
            </w:r>
          </w:p>
        </w:tc>
        <w:tc>
          <w:tcPr>
            <w:tcW w:w="3311"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60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92"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2080599</w:t>
            </w:r>
          </w:p>
        </w:tc>
        <w:tc>
          <w:tcPr>
            <w:tcW w:w="3311"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608"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7.64</w:t>
            </w:r>
          </w:p>
        </w:tc>
        <w:tc>
          <w:tcPr>
            <w:tcW w:w="1392"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7.64</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210</w:t>
            </w:r>
          </w:p>
        </w:tc>
        <w:tc>
          <w:tcPr>
            <w:tcW w:w="331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0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392"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21011</w:t>
            </w:r>
          </w:p>
        </w:tc>
        <w:tc>
          <w:tcPr>
            <w:tcW w:w="3311" w:type="dxa"/>
            <w:vAlign w:val="top"/>
          </w:tcPr>
          <w:p>
            <w:pPr>
              <w:ind w:left="7"/>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608"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392"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2101101</w:t>
            </w:r>
          </w:p>
        </w:tc>
        <w:tc>
          <w:tcPr>
            <w:tcW w:w="3311" w:type="dxa"/>
            <w:vAlign w:val="top"/>
          </w:tcPr>
          <w:p>
            <w:pPr>
              <w:ind w:left="7"/>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60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4.86</w:t>
            </w:r>
          </w:p>
        </w:tc>
        <w:tc>
          <w:tcPr>
            <w:tcW w:w="1392"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4.86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311" w:type="dxa"/>
            <w:vAlign w:val="top"/>
          </w:tcPr>
          <w:p>
            <w:pPr>
              <w:ind w:left="4"/>
              <w:spacing w:before="65"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0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1392"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2101103</w:t>
            </w:r>
          </w:p>
        </w:tc>
        <w:tc>
          <w:tcPr>
            <w:tcW w:w="3311"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608"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2.24</w:t>
            </w:r>
          </w:p>
        </w:tc>
        <w:tc>
          <w:tcPr>
            <w:tcW w:w="1392"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2.24</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2101199</w:t>
            </w:r>
          </w:p>
        </w:tc>
        <w:tc>
          <w:tcPr>
            <w:tcW w:w="3311"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608"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392"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331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60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392"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6" w:hRule="atLeast"/>
        </w:trPr>
        <w:tc>
          <w:tcPr>
            <w:tcW w:w="1637"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21205</w:t>
            </w:r>
          </w:p>
        </w:tc>
        <w:tc>
          <w:tcPr>
            <w:tcW w:w="331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60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392"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31" w:hRule="atLeast"/>
        </w:trPr>
        <w:tc>
          <w:tcPr>
            <w:tcW w:w="1637"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2120501</w:t>
            </w:r>
          </w:p>
        </w:tc>
        <w:tc>
          <w:tcPr>
            <w:tcW w:w="3311"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1"/>
              </w:rPr>
              <w:t>城乡社区环境卫生</w:t>
            </w:r>
          </w:p>
        </w:tc>
        <w:tc>
          <w:tcPr>
            <w:tcW w:w="1608"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392"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bl>
    <w:p>
      <w:pPr>
        <w:rPr>
          <w:rFonts w:ascii="Arial"/>
          <w:sz w:val="21"/>
        </w:rPr>
      </w:pPr>
      <w:r/>
    </w:p>
    <w:p>
      <w:pPr>
        <w:sectPr>
          <w:headerReference w:type="default" r:id="rId11"/>
          <w:footerReference w:type="default" r:id="rId12"/>
          <w:pgSz w:w="16840" w:h="11900"/>
          <w:pgMar w:top="642" w:right="0" w:bottom="340" w:left="0" w:header="326" w:footer="93" w:gutter="0"/>
        </w:sectPr>
        <w:rPr>
          <w:rFonts w:ascii="Arial" w:hAnsi="Arial" w:eastAsia="Arial" w:cs="Arial"/>
          <w:sz w:val="21"/>
          <w:szCs w:val="21"/>
        </w:rPr>
      </w:pPr>
    </w:p>
    <w:p>
      <w:pPr>
        <w:spacing w:before="76"/>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7"/>
        <w:gridCol w:w="3311"/>
        <w:gridCol w:w="1608"/>
        <w:gridCol w:w="1392"/>
        <w:gridCol w:w="1104"/>
        <w:gridCol w:w="1356"/>
        <w:gridCol w:w="1344"/>
        <w:gridCol w:w="1080"/>
        <w:gridCol w:w="1134"/>
      </w:tblGrid>
      <w:tr>
        <w:trPr>
          <w:trHeight w:val="328" w:hRule="atLeast"/>
        </w:trPr>
        <w:tc>
          <w:tcPr>
            <w:tcW w:w="1637" w:type="dxa"/>
            <w:vAlign w:val="top"/>
          </w:tcPr>
          <w:p>
            <w:pPr>
              <w:ind w:left="11"/>
              <w:spacing w:before="63"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311" w:type="dxa"/>
            <w:vAlign w:val="top"/>
          </w:tcPr>
          <w:p>
            <w:pPr>
              <w:ind w:left="4"/>
              <w:spacing w:before="63"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08"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92"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3" w:hRule="atLeast"/>
        </w:trPr>
        <w:tc>
          <w:tcPr>
            <w:tcW w:w="1637" w:type="dxa"/>
            <w:vAlign w:val="top"/>
          </w:tcPr>
          <w:p>
            <w:pPr>
              <w:ind w:left="11"/>
              <w:spacing w:before="61"/>
              <w:rPr>
                <w:rFonts w:ascii="SimSun" w:hAnsi="SimSun" w:eastAsia="SimSun" w:cs="SimSun"/>
                <w:sz w:val="18"/>
                <w:szCs w:val="18"/>
              </w:rPr>
            </w:pPr>
            <w:r>
              <w:rPr>
                <w:rFonts w:ascii="SimSun" w:hAnsi="SimSun" w:eastAsia="SimSun" w:cs="SimSun"/>
                <w:sz w:val="18"/>
                <w:szCs w:val="18"/>
                <w:color w:val="212529"/>
                <w:spacing w:val="-2"/>
              </w:rPr>
              <w:t>22102</w:t>
            </w:r>
          </w:p>
        </w:tc>
        <w:tc>
          <w:tcPr>
            <w:tcW w:w="3311" w:type="dxa"/>
            <w:vAlign w:val="top"/>
          </w:tcPr>
          <w:p>
            <w:pPr>
              <w:ind w:left="4"/>
              <w:spacing w:before="62"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08" w:type="dxa"/>
            <w:vAlign w:val="top"/>
          </w:tcPr>
          <w:p>
            <w:pPr>
              <w:ind w:right="6"/>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92" w:type="dxa"/>
            <w:vAlign w:val="top"/>
          </w:tcPr>
          <w:p>
            <w:pPr>
              <w:ind w:right="6"/>
              <w:spacing w:before="61"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r>
        <w:trPr>
          <w:trHeight w:val="329" w:hRule="atLeast"/>
        </w:trPr>
        <w:tc>
          <w:tcPr>
            <w:tcW w:w="1637"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2210201</w:t>
            </w:r>
          </w:p>
        </w:tc>
        <w:tc>
          <w:tcPr>
            <w:tcW w:w="3311" w:type="dxa"/>
            <w:vAlign w:val="top"/>
          </w:tcPr>
          <w:p>
            <w:pPr>
              <w:ind w:left="4"/>
              <w:spacing w:before="64"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08"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92"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104" w:type="dxa"/>
            <w:vAlign w:val="top"/>
          </w:tcPr>
          <w:p>
            <w:pPr>
              <w:pStyle w:val="TableText"/>
              <w:rPr/>
            </w:pPr>
            <w:r/>
          </w:p>
        </w:tc>
        <w:tc>
          <w:tcPr>
            <w:tcW w:w="1356" w:type="dxa"/>
            <w:vAlign w:val="top"/>
          </w:tcPr>
          <w:p>
            <w:pPr>
              <w:pStyle w:val="TableText"/>
              <w:rPr/>
            </w:pPr>
            <w:r/>
          </w:p>
        </w:tc>
        <w:tc>
          <w:tcPr>
            <w:tcW w:w="1344" w:type="dxa"/>
            <w:vAlign w:val="top"/>
          </w:tcPr>
          <w:p>
            <w:pPr>
              <w:pStyle w:val="TableText"/>
              <w:rPr/>
            </w:pPr>
            <w:r/>
          </w:p>
        </w:tc>
        <w:tc>
          <w:tcPr>
            <w:tcW w:w="1080" w:type="dxa"/>
            <w:vAlign w:val="top"/>
          </w:tcPr>
          <w:p>
            <w:pPr>
              <w:pStyle w:val="TableText"/>
              <w:rPr/>
            </w:pPr>
            <w:r/>
          </w:p>
        </w:tc>
        <w:tc>
          <w:tcPr>
            <w:tcW w:w="1134" w:type="dxa"/>
            <w:vAlign w:val="top"/>
          </w:tcPr>
          <w:p>
            <w:pPr>
              <w:pStyle w:val="TableText"/>
              <w:rPr/>
            </w:pPr>
            <w:r/>
          </w:p>
        </w:tc>
      </w:tr>
    </w:tbl>
    <w:p>
      <w:pPr>
        <w:rPr>
          <w:rFonts w:ascii="Arial"/>
          <w:sz w:val="21"/>
        </w:rPr>
      </w:pPr>
      <w:r/>
    </w:p>
    <w:p>
      <w:pPr>
        <w:sectPr>
          <w:headerReference w:type="default" r:id="rId13"/>
          <w:footerReference w:type="default" r:id="rId14"/>
          <w:pgSz w:w="16840" w:h="1190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3021"/>
        <w:gridCol w:w="1427"/>
        <w:gridCol w:w="1379"/>
        <w:gridCol w:w="1385"/>
      </w:tblGrid>
      <w:tr>
        <w:trPr>
          <w:trHeight w:val="355" w:hRule="atLeast"/>
        </w:trPr>
        <w:tc>
          <w:tcPr>
            <w:tcW w:w="18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0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85" w:type="dxa"/>
            <w:vAlign w:val="top"/>
            <w:tcBorders>
              <w:left w:val="single" w:color="FFFFFF" w:sz="2" w:space="0"/>
              <w:right w:val="single" w:color="FFFFFF" w:sz="2" w:space="0"/>
              <w:bottom w:val="single" w:color="FFFFFF" w:sz="4" w:space="0"/>
              <w:top w:val="single" w:color="FFFFFF" w:sz="4" w:space="0"/>
            </w:tcBorders>
          </w:tcPr>
          <w:p>
            <w:pPr>
              <w:ind w:right="10"/>
              <w:spacing w:before="95"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31"/>
              <w:spacing w:before="55" w:line="218" w:lineRule="auto"/>
              <w:outlineLvl w:val="1"/>
              <w:rPr>
                <w:rFonts w:ascii="SimSun" w:hAnsi="SimSun" w:eastAsia="SimSun" w:cs="SimSun"/>
                <w:sz w:val="24"/>
                <w:szCs w:val="24"/>
              </w:rPr>
            </w:pPr>
            <w:bookmarkStart w:name="bookmark37" w:id="12"/>
            <w:bookmarkEnd w:id="12"/>
            <w:bookmarkStart w:name="bookmark7" w:id="13"/>
            <w:bookmarkEnd w:id="13"/>
            <w:r>
              <w:rPr>
                <w:rFonts w:ascii="SimSun" w:hAnsi="SimSun" w:eastAsia="SimSun" w:cs="SimSun"/>
                <w:sz w:val="24"/>
                <w:szCs w:val="24"/>
                <w:color w:val="212529"/>
                <w:spacing w:val="-2"/>
              </w:rPr>
              <w:t>2024年预算支出总表</w:t>
            </w:r>
          </w:p>
        </w:tc>
      </w:tr>
      <w:tr>
        <w:trPr>
          <w:trHeight w:val="349" w:hRule="atLeast"/>
        </w:trPr>
        <w:tc>
          <w:tcPr>
            <w:tcW w:w="6252" w:type="dxa"/>
            <w:vAlign w:val="top"/>
            <w:gridSpan w:val="3"/>
            <w:tcBorders>
              <w:right w:val="single" w:color="FFFFFF" w:sz="2" w:space="0"/>
              <w:top w:val="single" w:color="FFFFFF" w:sz="4" w:space="0"/>
            </w:tcBorders>
          </w:tcPr>
          <w:p>
            <w:pPr>
              <w:ind w:left="9"/>
              <w:spacing w:before="92"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379" w:type="dxa"/>
            <w:vAlign w:val="top"/>
            <w:tcBorders>
              <w:left w:val="single" w:color="FFFFFF" w:sz="2" w:space="0"/>
              <w:right w:val="single" w:color="FFFFFF" w:sz="2" w:space="0"/>
              <w:top w:val="single" w:color="FFFFFF" w:sz="4" w:space="0"/>
            </w:tcBorders>
          </w:tcPr>
          <w:p>
            <w:pPr>
              <w:pStyle w:val="TableText"/>
              <w:rPr/>
            </w:pPr>
            <w:r/>
          </w:p>
        </w:tc>
        <w:tc>
          <w:tcPr>
            <w:tcW w:w="1385" w:type="dxa"/>
            <w:vAlign w:val="top"/>
            <w:tcBorders>
              <w:left w:val="single" w:color="FFFFFF" w:sz="2" w:space="0"/>
              <w:top w:val="single" w:color="FFFFFF" w:sz="4" w:space="0"/>
            </w:tcBorders>
          </w:tcPr>
          <w:p>
            <w:pPr>
              <w:ind w:right="2"/>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49" w:hRule="atLeast"/>
        </w:trPr>
        <w:tc>
          <w:tcPr>
            <w:tcW w:w="4825" w:type="dxa"/>
            <w:vAlign w:val="top"/>
            <w:gridSpan w:val="2"/>
          </w:tcPr>
          <w:p>
            <w:pPr>
              <w:ind w:left="2232"/>
              <w:spacing w:before="72"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91" w:type="dxa"/>
            <w:vAlign w:val="top"/>
            <w:gridSpan w:val="3"/>
          </w:tcPr>
          <w:p>
            <w:pPr>
              <w:ind w:left="1553"/>
              <w:spacing w:before="73"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49" w:hRule="atLeast"/>
        </w:trPr>
        <w:tc>
          <w:tcPr>
            <w:tcW w:w="1804" w:type="dxa"/>
            <w:vAlign w:val="top"/>
          </w:tcPr>
          <w:p>
            <w:pPr>
              <w:ind w:left="537"/>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021" w:type="dxa"/>
            <w:vAlign w:val="top"/>
          </w:tcPr>
          <w:p>
            <w:pPr>
              <w:ind w:left="1145"/>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27" w:type="dxa"/>
            <w:vAlign w:val="top"/>
          </w:tcPr>
          <w:p>
            <w:pPr>
              <w:ind w:left="532"/>
              <w:spacing w:before="7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79" w:type="dxa"/>
            <w:vAlign w:val="top"/>
          </w:tcPr>
          <w:p>
            <w:pPr>
              <w:ind w:left="328"/>
              <w:spacing w:before="73"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385" w:type="dxa"/>
            <w:vAlign w:val="top"/>
          </w:tcPr>
          <w:p>
            <w:pPr>
              <w:ind w:left="333"/>
              <w:spacing w:before="73"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825" w:type="dxa"/>
            <w:vAlign w:val="top"/>
            <w:gridSpan w:val="2"/>
          </w:tcPr>
          <w:p>
            <w:pPr>
              <w:ind w:left="2230"/>
              <w:spacing w:before="7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27" w:type="dxa"/>
            <w:vAlign w:val="top"/>
          </w:tcPr>
          <w:p>
            <w:pPr>
              <w:ind w:right="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1379"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262.74</w:t>
            </w:r>
          </w:p>
        </w:tc>
        <w:tc>
          <w:tcPr>
            <w:tcW w:w="1385" w:type="dxa"/>
            <w:vAlign w:val="top"/>
          </w:tcPr>
          <w:p>
            <w:pPr>
              <w:ind w:right="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464.61</w:t>
            </w:r>
          </w:p>
        </w:tc>
      </w:tr>
      <w:tr>
        <w:trPr>
          <w:trHeight w:val="349" w:hRule="atLeast"/>
        </w:trPr>
        <w:tc>
          <w:tcPr>
            <w:tcW w:w="1804"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4"/>
              </w:rPr>
              <w:t>201</w:t>
            </w:r>
          </w:p>
        </w:tc>
        <w:tc>
          <w:tcPr>
            <w:tcW w:w="3021" w:type="dxa"/>
            <w:vAlign w:val="top"/>
          </w:tcPr>
          <w:p>
            <w:pPr>
              <w:ind w:left="8"/>
              <w:spacing w:before="75"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27" w:type="dxa"/>
            <w:vAlign w:val="top"/>
          </w:tcPr>
          <w:p>
            <w:pPr>
              <w:spacing w:before="74" w:line="239" w:lineRule="auto"/>
              <w:jc w:val="right"/>
              <w:rPr>
                <w:rFonts w:ascii="SimSun" w:hAnsi="SimSun" w:eastAsia="SimSun" w:cs="SimSun"/>
                <w:sz w:val="18"/>
                <w:szCs w:val="18"/>
              </w:rPr>
            </w:pPr>
            <w:r>
              <w:rPr>
                <w:rFonts w:ascii="SimSun" w:hAnsi="SimSun" w:eastAsia="SimSun" w:cs="SimSun"/>
                <w:sz w:val="18"/>
                <w:szCs w:val="18"/>
                <w:color w:val="212529"/>
                <w:spacing w:val="-3"/>
              </w:rPr>
              <w:t>573.60</w:t>
            </w:r>
          </w:p>
        </w:tc>
        <w:tc>
          <w:tcPr>
            <w:tcW w:w="1379"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4"/>
              </w:rPr>
              <w:t>188.87</w:t>
            </w:r>
          </w:p>
        </w:tc>
        <w:tc>
          <w:tcPr>
            <w:tcW w:w="1385" w:type="dxa"/>
            <w:vAlign w:val="top"/>
          </w:tcPr>
          <w:p>
            <w:pPr>
              <w:ind w:right="8"/>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384.73</w:t>
            </w:r>
          </w:p>
        </w:tc>
      </w:tr>
      <w:tr>
        <w:trPr>
          <w:trHeight w:val="350" w:hRule="atLeast"/>
        </w:trPr>
        <w:tc>
          <w:tcPr>
            <w:tcW w:w="1804"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20108</w:t>
            </w:r>
          </w:p>
        </w:tc>
        <w:tc>
          <w:tcPr>
            <w:tcW w:w="3021" w:type="dxa"/>
            <w:vAlign w:val="top"/>
          </w:tcPr>
          <w:p>
            <w:pPr>
              <w:ind w:left="14"/>
              <w:spacing w:before="76" w:line="219" w:lineRule="auto"/>
              <w:rPr>
                <w:rFonts w:ascii="SimSun" w:hAnsi="SimSun" w:eastAsia="SimSun" w:cs="SimSun"/>
                <w:sz w:val="18"/>
                <w:szCs w:val="18"/>
              </w:rPr>
            </w:pPr>
            <w:r>
              <w:rPr>
                <w:rFonts w:ascii="SimSun" w:hAnsi="SimSun" w:eastAsia="SimSun" w:cs="SimSun"/>
                <w:sz w:val="18"/>
                <w:szCs w:val="18"/>
                <w:color w:val="212529"/>
                <w:spacing w:val="-5"/>
              </w:rPr>
              <w:t>审计事务</w:t>
            </w:r>
          </w:p>
        </w:tc>
        <w:tc>
          <w:tcPr>
            <w:tcW w:w="1427" w:type="dxa"/>
            <w:vAlign w:val="top"/>
          </w:tcPr>
          <w:p>
            <w:pPr>
              <w:spacing w:before="75" w:line="239" w:lineRule="auto"/>
              <w:jc w:val="right"/>
              <w:rPr>
                <w:rFonts w:ascii="SimSun" w:hAnsi="SimSun" w:eastAsia="SimSun" w:cs="SimSun"/>
                <w:sz w:val="18"/>
                <w:szCs w:val="18"/>
              </w:rPr>
            </w:pPr>
            <w:r>
              <w:rPr>
                <w:rFonts w:ascii="SimSun" w:hAnsi="SimSun" w:eastAsia="SimSun" w:cs="SimSun"/>
                <w:sz w:val="18"/>
                <w:szCs w:val="18"/>
                <w:color w:val="212529"/>
                <w:spacing w:val="-3"/>
              </w:rPr>
              <w:t>552.45</w:t>
            </w:r>
          </w:p>
        </w:tc>
        <w:tc>
          <w:tcPr>
            <w:tcW w:w="1379" w:type="dxa"/>
            <w:vAlign w:val="top"/>
          </w:tcPr>
          <w:p>
            <w:pPr>
              <w:ind w:right="3"/>
              <w:spacing w:before="75" w:line="239" w:lineRule="auto"/>
              <w:jc w:val="right"/>
              <w:rPr>
                <w:rFonts w:ascii="SimSun" w:hAnsi="SimSun" w:eastAsia="SimSun" w:cs="SimSun"/>
                <w:sz w:val="18"/>
                <w:szCs w:val="18"/>
              </w:rPr>
            </w:pPr>
            <w:r>
              <w:rPr>
                <w:rFonts w:ascii="SimSun" w:hAnsi="SimSun" w:eastAsia="SimSun" w:cs="SimSun"/>
                <w:sz w:val="18"/>
                <w:szCs w:val="18"/>
                <w:color w:val="212529"/>
                <w:spacing w:val="-4"/>
              </w:rPr>
              <w:t>167.72</w:t>
            </w:r>
          </w:p>
        </w:tc>
        <w:tc>
          <w:tcPr>
            <w:tcW w:w="1385" w:type="dxa"/>
            <w:vAlign w:val="top"/>
          </w:tcPr>
          <w:p>
            <w:pPr>
              <w:ind w:right="8"/>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384.73</w:t>
            </w:r>
          </w:p>
        </w:tc>
      </w:tr>
      <w:tr>
        <w:trPr>
          <w:trHeight w:val="350" w:hRule="atLeast"/>
        </w:trPr>
        <w:tc>
          <w:tcPr>
            <w:tcW w:w="1804"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2010801</w:t>
            </w:r>
          </w:p>
        </w:tc>
        <w:tc>
          <w:tcPr>
            <w:tcW w:w="3021" w:type="dxa"/>
            <w:vAlign w:val="top"/>
          </w:tcPr>
          <w:p>
            <w:pPr>
              <w:ind w:left="8"/>
              <w:spacing w:before="76"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427"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119.08</w:t>
            </w:r>
          </w:p>
        </w:tc>
        <w:tc>
          <w:tcPr>
            <w:tcW w:w="1379"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119.08</w:t>
            </w:r>
          </w:p>
        </w:tc>
        <w:tc>
          <w:tcPr>
            <w:tcW w:w="1385" w:type="dxa"/>
            <w:vAlign w:val="top"/>
          </w:tcPr>
          <w:p>
            <w:pPr>
              <w:pStyle w:val="TableText"/>
              <w:rPr/>
            </w:pPr>
            <w:r/>
          </w:p>
        </w:tc>
      </w:tr>
      <w:tr>
        <w:trPr>
          <w:trHeight w:val="350" w:hRule="atLeast"/>
        </w:trPr>
        <w:tc>
          <w:tcPr>
            <w:tcW w:w="1804"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2010802</w:t>
            </w:r>
          </w:p>
        </w:tc>
        <w:tc>
          <w:tcPr>
            <w:tcW w:w="3021" w:type="dxa"/>
            <w:vAlign w:val="top"/>
          </w:tcPr>
          <w:p>
            <w:pPr>
              <w:ind w:left="8"/>
              <w:spacing w:before="76"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427"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379" w:type="dxa"/>
            <w:vAlign w:val="top"/>
          </w:tcPr>
          <w:p>
            <w:pPr>
              <w:pStyle w:val="TableText"/>
              <w:rPr/>
            </w:pPr>
            <w:r/>
          </w:p>
        </w:tc>
        <w:tc>
          <w:tcPr>
            <w:tcW w:w="1385"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r>
        <w:trPr>
          <w:trHeight w:val="350" w:hRule="atLeast"/>
        </w:trPr>
        <w:tc>
          <w:tcPr>
            <w:tcW w:w="1804"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2010804</w:t>
            </w:r>
          </w:p>
        </w:tc>
        <w:tc>
          <w:tcPr>
            <w:tcW w:w="3021" w:type="dxa"/>
            <w:vAlign w:val="top"/>
          </w:tcPr>
          <w:p>
            <w:pPr>
              <w:ind w:left="14"/>
              <w:spacing w:before="76" w:line="219" w:lineRule="auto"/>
              <w:rPr>
                <w:rFonts w:ascii="SimSun" w:hAnsi="SimSun" w:eastAsia="SimSun" w:cs="SimSun"/>
                <w:sz w:val="18"/>
                <w:szCs w:val="18"/>
              </w:rPr>
            </w:pPr>
            <w:r>
              <w:rPr>
                <w:rFonts w:ascii="SimSun" w:hAnsi="SimSun" w:eastAsia="SimSun" w:cs="SimSun"/>
                <w:sz w:val="18"/>
                <w:szCs w:val="18"/>
                <w:color w:val="212529"/>
                <w:spacing w:val="-5"/>
              </w:rPr>
              <w:t>审计业务</w:t>
            </w:r>
          </w:p>
        </w:tc>
        <w:tc>
          <w:tcPr>
            <w:tcW w:w="1427" w:type="dxa"/>
            <w:vAlign w:val="top"/>
          </w:tcPr>
          <w:p>
            <w:pPr>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377.73</w:t>
            </w:r>
          </w:p>
        </w:tc>
        <w:tc>
          <w:tcPr>
            <w:tcW w:w="1379" w:type="dxa"/>
            <w:vAlign w:val="top"/>
          </w:tcPr>
          <w:p>
            <w:pPr>
              <w:pStyle w:val="TableText"/>
              <w:rPr/>
            </w:pPr>
            <w:r/>
          </w:p>
        </w:tc>
        <w:tc>
          <w:tcPr>
            <w:tcW w:w="1385" w:type="dxa"/>
            <w:vAlign w:val="top"/>
          </w:tcPr>
          <w:p>
            <w:pPr>
              <w:ind w:right="2"/>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377.73</w:t>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2010850</w:t>
            </w:r>
          </w:p>
        </w:tc>
        <w:tc>
          <w:tcPr>
            <w:tcW w:w="3021" w:type="dxa"/>
            <w:vAlign w:val="top"/>
          </w:tcPr>
          <w:p>
            <w:pPr>
              <w:ind w:left="5"/>
              <w:spacing w:before="76"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427"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379" w:type="dxa"/>
            <w:vAlign w:val="top"/>
          </w:tcPr>
          <w:p>
            <w:pPr>
              <w:ind w:right="3"/>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20109</w:t>
            </w:r>
          </w:p>
        </w:tc>
        <w:tc>
          <w:tcPr>
            <w:tcW w:w="3021" w:type="dxa"/>
            <w:vAlign w:val="top"/>
          </w:tcPr>
          <w:p>
            <w:pPr>
              <w:ind w:left="4"/>
              <w:spacing w:before="76" w:line="219" w:lineRule="auto"/>
              <w:rPr>
                <w:rFonts w:ascii="SimSun" w:hAnsi="SimSun" w:eastAsia="SimSun" w:cs="SimSun"/>
                <w:sz w:val="18"/>
                <w:szCs w:val="18"/>
              </w:rPr>
            </w:pPr>
            <w:r>
              <w:rPr>
                <w:rFonts w:ascii="SimSun" w:hAnsi="SimSun" w:eastAsia="SimSun" w:cs="SimSun"/>
                <w:sz w:val="18"/>
                <w:szCs w:val="18"/>
                <w:color w:val="212529"/>
                <w:spacing w:val="-2"/>
              </w:rPr>
              <w:t>海关事务</w:t>
            </w:r>
          </w:p>
        </w:tc>
        <w:tc>
          <w:tcPr>
            <w:tcW w:w="1427"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379" w:type="dxa"/>
            <w:vAlign w:val="top"/>
          </w:tcPr>
          <w:p>
            <w:pPr>
              <w:ind w:right="9"/>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2010950</w:t>
            </w:r>
          </w:p>
        </w:tc>
        <w:tc>
          <w:tcPr>
            <w:tcW w:w="3021" w:type="dxa"/>
            <w:vAlign w:val="top"/>
          </w:tcPr>
          <w:p>
            <w:pPr>
              <w:ind w:left="5"/>
              <w:spacing w:before="76"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427"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379" w:type="dxa"/>
            <w:vAlign w:val="top"/>
          </w:tcPr>
          <w:p>
            <w:pPr>
              <w:ind w:right="3"/>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4"/>
              </w:rPr>
              <w:t>208</w:t>
            </w:r>
          </w:p>
        </w:tc>
        <w:tc>
          <w:tcPr>
            <w:tcW w:w="3021" w:type="dxa"/>
            <w:vAlign w:val="top"/>
          </w:tcPr>
          <w:p>
            <w:pPr>
              <w:ind w:left="6"/>
              <w:spacing w:before="76"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27"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379" w:type="dxa"/>
            <w:vAlign w:val="top"/>
          </w:tcPr>
          <w:p>
            <w:pPr>
              <w:ind w:right="9"/>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w:t>
            </w:r>
          </w:p>
        </w:tc>
        <w:tc>
          <w:tcPr>
            <w:tcW w:w="3021"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27"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379" w:type="dxa"/>
            <w:vAlign w:val="top"/>
          </w:tcPr>
          <w:p>
            <w:pPr>
              <w:ind w:right="9"/>
              <w:spacing w:before="76"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2080505</w:t>
            </w:r>
          </w:p>
        </w:tc>
        <w:tc>
          <w:tcPr>
            <w:tcW w:w="3021" w:type="dxa"/>
            <w:vAlign w:val="top"/>
          </w:tcPr>
          <w:p>
            <w:pPr>
              <w:ind w:left="4"/>
              <w:spacing w:before="76"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27"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22.28</w:t>
            </w:r>
          </w:p>
        </w:tc>
        <w:tc>
          <w:tcPr>
            <w:tcW w:w="1379" w:type="dxa"/>
            <w:vAlign w:val="top"/>
          </w:tcPr>
          <w:p>
            <w:pPr>
              <w:ind w:right="3"/>
              <w:spacing w:before="76" w:line="239" w:lineRule="auto"/>
              <w:jc w:val="right"/>
              <w:rPr>
                <w:rFonts w:ascii="SimSun" w:hAnsi="SimSun" w:eastAsia="SimSun" w:cs="SimSun"/>
                <w:sz w:val="18"/>
                <w:szCs w:val="18"/>
              </w:rPr>
            </w:pPr>
            <w:r>
              <w:rPr>
                <w:rFonts w:ascii="SimSun" w:hAnsi="SimSun" w:eastAsia="SimSun" w:cs="SimSun"/>
                <w:sz w:val="18"/>
                <w:szCs w:val="18"/>
                <w:color w:val="212529"/>
                <w:spacing w:val="-2"/>
              </w:rPr>
              <w:t>22.28</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2080506</w:t>
            </w:r>
          </w:p>
        </w:tc>
        <w:tc>
          <w:tcPr>
            <w:tcW w:w="3021" w:type="dxa"/>
            <w:vAlign w:val="top"/>
          </w:tcPr>
          <w:p>
            <w:pPr>
              <w:ind w:left="4"/>
              <w:spacing w:before="76"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27" w:type="dxa"/>
            <w:vAlign w:val="top"/>
          </w:tcPr>
          <w:p>
            <w:pPr>
              <w:ind w:right="4"/>
              <w:spacing w:before="76"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79" w:type="dxa"/>
            <w:vAlign w:val="top"/>
          </w:tcPr>
          <w:p>
            <w:pPr>
              <w:ind w:right="3"/>
              <w:spacing w:before="76"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2080599</w:t>
            </w:r>
          </w:p>
        </w:tc>
        <w:tc>
          <w:tcPr>
            <w:tcW w:w="3021"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427"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7.64</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7.64</w:t>
            </w:r>
          </w:p>
        </w:tc>
        <w:tc>
          <w:tcPr>
            <w:tcW w:w="1385" w:type="dxa"/>
            <w:vAlign w:val="top"/>
          </w:tcPr>
          <w:p>
            <w:pPr>
              <w:pStyle w:val="TableText"/>
              <w:rPr/>
            </w:pPr>
            <w:r/>
          </w:p>
        </w:tc>
      </w:tr>
      <w:tr>
        <w:trPr>
          <w:trHeight w:val="350" w:hRule="atLeast"/>
        </w:trPr>
        <w:tc>
          <w:tcPr>
            <w:tcW w:w="1804"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4"/>
              </w:rPr>
              <w:t>210</w:t>
            </w:r>
          </w:p>
        </w:tc>
        <w:tc>
          <w:tcPr>
            <w:tcW w:w="3021"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27"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379"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385" w:type="dxa"/>
            <w:vAlign w:val="top"/>
          </w:tcPr>
          <w:p>
            <w:pPr>
              <w:pStyle w:val="TableText"/>
              <w:rPr/>
            </w:pPr>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w:t>
            </w:r>
          </w:p>
        </w:tc>
        <w:tc>
          <w:tcPr>
            <w:tcW w:w="3021" w:type="dxa"/>
            <w:vAlign w:val="top"/>
          </w:tcPr>
          <w:p>
            <w:pPr>
              <w:ind w:left="8"/>
              <w:spacing w:before="77"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27"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379"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385" w:type="dxa"/>
            <w:vAlign w:val="top"/>
          </w:tcPr>
          <w:p>
            <w:pPr>
              <w:pStyle w:val="TableText"/>
              <w:rPr/>
            </w:pPr>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2101101</w:t>
            </w:r>
          </w:p>
        </w:tc>
        <w:tc>
          <w:tcPr>
            <w:tcW w:w="3021" w:type="dxa"/>
            <w:vAlign w:val="top"/>
          </w:tcPr>
          <w:p>
            <w:pPr>
              <w:ind w:left="8"/>
              <w:spacing w:before="77"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27"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4.86</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4.86</w:t>
            </w:r>
          </w:p>
        </w:tc>
        <w:tc>
          <w:tcPr>
            <w:tcW w:w="1385" w:type="dxa"/>
            <w:vAlign w:val="top"/>
          </w:tcPr>
          <w:p>
            <w:pPr>
              <w:pStyle w:val="TableText"/>
              <w:rPr/>
            </w:pPr>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2101102</w:t>
            </w:r>
          </w:p>
        </w:tc>
        <w:tc>
          <w:tcPr>
            <w:tcW w:w="3021" w:type="dxa"/>
            <w:vAlign w:val="top"/>
          </w:tcPr>
          <w:p>
            <w:pPr>
              <w:ind w:left="5"/>
              <w:spacing w:before="77"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27"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4.20</w:t>
            </w:r>
          </w:p>
        </w:tc>
        <w:tc>
          <w:tcPr>
            <w:tcW w:w="1385" w:type="dxa"/>
            <w:vAlign w:val="top"/>
          </w:tcPr>
          <w:p>
            <w:pPr>
              <w:pStyle w:val="TableText"/>
              <w:rPr/>
            </w:pPr>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2101103</w:t>
            </w:r>
          </w:p>
        </w:tc>
        <w:tc>
          <w:tcPr>
            <w:tcW w:w="3021" w:type="dxa"/>
            <w:vAlign w:val="top"/>
          </w:tcPr>
          <w:p>
            <w:pPr>
              <w:ind w:left="11"/>
              <w:spacing w:before="7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27"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2.24</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2.24</w:t>
            </w:r>
          </w:p>
        </w:tc>
        <w:tc>
          <w:tcPr>
            <w:tcW w:w="1385" w:type="dxa"/>
            <w:vAlign w:val="top"/>
          </w:tcPr>
          <w:p>
            <w:pPr>
              <w:pStyle w:val="TableText"/>
              <w:rPr/>
            </w:pPr>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2101199</w:t>
            </w:r>
          </w:p>
        </w:tc>
        <w:tc>
          <w:tcPr>
            <w:tcW w:w="3021" w:type="dxa"/>
            <w:vAlign w:val="top"/>
          </w:tcPr>
          <w:p>
            <w:pPr>
              <w:ind w:left="6"/>
              <w:spacing w:before="77"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27"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37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385" w:type="dxa"/>
            <w:vAlign w:val="top"/>
          </w:tcPr>
          <w:p>
            <w:pPr>
              <w:pStyle w:val="TableText"/>
              <w:rPr/>
            </w:pPr>
            <w:r/>
          </w:p>
        </w:tc>
      </w:tr>
      <w:tr>
        <w:trPr>
          <w:trHeight w:val="350" w:hRule="atLeast"/>
        </w:trPr>
        <w:tc>
          <w:tcPr>
            <w:tcW w:w="1804" w:type="dxa"/>
            <w:vAlign w:val="top"/>
          </w:tcPr>
          <w:p>
            <w:pPr>
              <w:ind w:left="11"/>
              <w:spacing w:before="77"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3021" w:type="dxa"/>
            <w:vAlign w:val="top"/>
          </w:tcPr>
          <w:p>
            <w:pPr>
              <w:ind w:left="5"/>
              <w:spacing w:before="78"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427"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379" w:type="dxa"/>
            <w:vAlign w:val="top"/>
          </w:tcPr>
          <w:p>
            <w:pPr>
              <w:pStyle w:val="TableText"/>
              <w:rPr/>
            </w:pPr>
            <w:r/>
          </w:p>
        </w:tc>
        <w:tc>
          <w:tcPr>
            <w:tcW w:w="1385" w:type="dxa"/>
            <w:vAlign w:val="top"/>
          </w:tcPr>
          <w:p>
            <w:pPr>
              <w:ind w:right="1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21205</w:t>
            </w:r>
          </w:p>
        </w:tc>
        <w:tc>
          <w:tcPr>
            <w:tcW w:w="3021" w:type="dxa"/>
            <w:vAlign w:val="top"/>
          </w:tcPr>
          <w:p>
            <w:pPr>
              <w:ind w:left="5"/>
              <w:spacing w:before="78"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427"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379" w:type="dxa"/>
            <w:vAlign w:val="top"/>
          </w:tcPr>
          <w:p>
            <w:pPr>
              <w:pStyle w:val="TableText"/>
              <w:rPr/>
            </w:pPr>
            <w:r/>
          </w:p>
        </w:tc>
        <w:tc>
          <w:tcPr>
            <w:tcW w:w="1385" w:type="dxa"/>
            <w:vAlign w:val="top"/>
          </w:tcPr>
          <w:p>
            <w:pPr>
              <w:ind w:right="1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2120501</w:t>
            </w:r>
          </w:p>
        </w:tc>
        <w:tc>
          <w:tcPr>
            <w:tcW w:w="3021" w:type="dxa"/>
            <w:vAlign w:val="top"/>
          </w:tcPr>
          <w:p>
            <w:pPr>
              <w:ind w:left="5"/>
              <w:spacing w:before="78"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427"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379" w:type="dxa"/>
            <w:vAlign w:val="top"/>
          </w:tcPr>
          <w:p>
            <w:pPr>
              <w:pStyle w:val="TableText"/>
              <w:rPr/>
            </w:pPr>
            <w:r/>
          </w:p>
        </w:tc>
        <w:tc>
          <w:tcPr>
            <w:tcW w:w="1385"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r>
      <w:tr>
        <w:trPr>
          <w:trHeight w:val="350" w:hRule="atLeast"/>
        </w:trPr>
        <w:tc>
          <w:tcPr>
            <w:tcW w:w="1804" w:type="dxa"/>
            <w:vAlign w:val="top"/>
          </w:tcPr>
          <w:p>
            <w:pPr>
              <w:ind w:left="11"/>
              <w:spacing w:before="78"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021"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27"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79"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85" w:type="dxa"/>
            <w:vAlign w:val="top"/>
          </w:tcPr>
          <w:p>
            <w:pPr>
              <w:pStyle w:val="TableText"/>
              <w:rPr/>
            </w:pPr>
            <w:r/>
          </w:p>
        </w:tc>
      </w:tr>
      <w:tr>
        <w:trPr>
          <w:trHeight w:val="350" w:hRule="atLeast"/>
        </w:trPr>
        <w:tc>
          <w:tcPr>
            <w:tcW w:w="1804"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22102</w:t>
            </w:r>
          </w:p>
        </w:tc>
        <w:tc>
          <w:tcPr>
            <w:tcW w:w="3021"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27"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79"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85" w:type="dxa"/>
            <w:vAlign w:val="top"/>
          </w:tcPr>
          <w:p>
            <w:pPr>
              <w:pStyle w:val="TableText"/>
              <w:rPr/>
            </w:pPr>
            <w:r/>
          </w:p>
        </w:tc>
      </w:tr>
      <w:tr>
        <w:trPr>
          <w:trHeight w:val="355" w:hRule="atLeast"/>
        </w:trPr>
        <w:tc>
          <w:tcPr>
            <w:tcW w:w="1804"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2210201</w:t>
            </w:r>
          </w:p>
        </w:tc>
        <w:tc>
          <w:tcPr>
            <w:tcW w:w="3021" w:type="dxa"/>
            <w:vAlign w:val="top"/>
          </w:tcPr>
          <w:p>
            <w:pPr>
              <w:ind w:left="4"/>
              <w:spacing w:before="78"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27"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79"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85" w:type="dxa"/>
            <w:vAlign w:val="top"/>
          </w:tcPr>
          <w:p>
            <w:pPr>
              <w:pStyle w:val="TableText"/>
              <w:rPr/>
            </w:pPr>
            <w:r/>
          </w:p>
        </w:tc>
      </w:tr>
    </w:tbl>
    <w:p>
      <w:pPr>
        <w:rPr>
          <w:rFonts w:ascii="Arial"/>
          <w:sz w:val="21"/>
        </w:rPr>
      </w:pPr>
      <w:r/>
    </w:p>
    <w:p>
      <w:pPr>
        <w:sectPr>
          <w:headerReference w:type="default" r:id="rId15"/>
          <w:footerReference w:type="default" r:id="rId16"/>
          <w:pgSz w:w="11900" w:h="16840"/>
          <w:pgMar w:top="642" w:right="0" w:bottom="340" w:left="0" w:header="326" w:footer="90"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41"/>
        <w:gridCol w:w="1079"/>
        <w:gridCol w:w="1930"/>
        <w:gridCol w:w="1079"/>
        <w:gridCol w:w="1115"/>
        <w:gridCol w:w="863"/>
        <w:gridCol w:w="1109"/>
      </w:tblGrid>
      <w:tr>
        <w:trPr>
          <w:trHeight w:val="427" w:hRule="atLeast"/>
        </w:trPr>
        <w:tc>
          <w:tcPr>
            <w:tcW w:w="184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3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7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72"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91"/>
              <w:spacing w:before="91" w:line="219" w:lineRule="auto"/>
              <w:outlineLvl w:val="1"/>
              <w:rPr>
                <w:rFonts w:ascii="SimSun" w:hAnsi="SimSun" w:eastAsia="SimSun" w:cs="SimSun"/>
                <w:sz w:val="24"/>
                <w:szCs w:val="24"/>
              </w:rPr>
            </w:pPr>
            <w:bookmarkStart w:name="bookmark8" w:id="14"/>
            <w:bookmarkEnd w:id="14"/>
            <w:r>
              <w:rPr>
                <w:rFonts w:ascii="SimSun" w:hAnsi="SimSun" w:eastAsia="SimSun" w:cs="SimSun"/>
                <w:sz w:val="24"/>
                <w:szCs w:val="24"/>
                <w:color w:val="212529"/>
                <w:spacing w:val="-2"/>
              </w:rPr>
              <w:t>2024年财政拨款收支总表</w:t>
            </w:r>
          </w:p>
        </w:tc>
      </w:tr>
      <w:tr>
        <w:trPr>
          <w:trHeight w:val="421" w:hRule="atLeast"/>
        </w:trPr>
        <w:tc>
          <w:tcPr>
            <w:tcW w:w="7907" w:type="dxa"/>
            <w:vAlign w:val="top"/>
            <w:gridSpan w:val="6"/>
            <w:tcBorders>
              <w:right w:val="single" w:color="FFFFFF" w:sz="2" w:space="0"/>
              <w:top w:val="single" w:color="FFFFFF" w:sz="4" w:space="0"/>
            </w:tcBorders>
          </w:tcPr>
          <w:p>
            <w:pPr>
              <w:ind w:left="9"/>
              <w:spacing w:before="127"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109"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20" w:type="dxa"/>
            <w:vAlign w:val="top"/>
            <w:gridSpan w:val="2"/>
          </w:tcPr>
          <w:p>
            <w:pPr>
              <w:ind w:left="1281"/>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096" w:type="dxa"/>
            <w:vAlign w:val="top"/>
            <w:gridSpan w:val="5"/>
          </w:tcPr>
          <w:p>
            <w:pPr>
              <w:ind w:left="2863"/>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841" w:type="dxa"/>
            <w:vAlign w:val="top"/>
            <w:vMerge w:val="restart"/>
            <w:tcBorders>
              <w:bottom w:val="nil"/>
            </w:tcBorders>
          </w:tcPr>
          <w:p>
            <w:pPr>
              <w:pStyle w:val="TableText"/>
              <w:spacing w:line="263" w:lineRule="auto"/>
              <w:rPr/>
            </w:pPr>
            <w:r/>
          </w:p>
          <w:p>
            <w:pPr>
              <w:ind w:left="738"/>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079" w:type="dxa"/>
            <w:vAlign w:val="top"/>
            <w:vMerge w:val="restart"/>
            <w:tcBorders>
              <w:bottom w:val="nil"/>
            </w:tcBorders>
          </w:tcPr>
          <w:p>
            <w:pPr>
              <w:pStyle w:val="TableText"/>
              <w:spacing w:line="264" w:lineRule="auto"/>
              <w:rPr/>
            </w:pPr>
            <w:r/>
          </w:p>
          <w:p>
            <w:pPr>
              <w:ind w:left="354"/>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930" w:type="dxa"/>
            <w:vAlign w:val="top"/>
            <w:vMerge w:val="restart"/>
            <w:tcBorders>
              <w:bottom w:val="nil"/>
            </w:tcBorders>
          </w:tcPr>
          <w:p>
            <w:pPr>
              <w:pStyle w:val="TableText"/>
              <w:spacing w:line="263" w:lineRule="auto"/>
              <w:rPr/>
            </w:pPr>
            <w:r/>
          </w:p>
          <w:p>
            <w:pPr>
              <w:ind w:left="782"/>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166" w:type="dxa"/>
            <w:vAlign w:val="top"/>
            <w:gridSpan w:val="4"/>
          </w:tcPr>
          <w:p>
            <w:pPr>
              <w:ind w:left="190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841" w:type="dxa"/>
            <w:vAlign w:val="top"/>
            <w:vMerge w:val="continue"/>
            <w:tcBorders>
              <w:top w:val="nil"/>
            </w:tcBorders>
          </w:tcPr>
          <w:p>
            <w:pPr>
              <w:pStyle w:val="TableText"/>
              <w:rPr/>
            </w:pPr>
            <w:r/>
          </w:p>
        </w:tc>
        <w:tc>
          <w:tcPr>
            <w:tcW w:w="1079" w:type="dxa"/>
            <w:vAlign w:val="top"/>
            <w:vMerge w:val="continue"/>
            <w:tcBorders>
              <w:top w:val="nil"/>
            </w:tcBorders>
          </w:tcPr>
          <w:p>
            <w:pPr>
              <w:pStyle w:val="TableText"/>
              <w:rPr/>
            </w:pPr>
            <w:r/>
          </w:p>
        </w:tc>
        <w:tc>
          <w:tcPr>
            <w:tcW w:w="1930" w:type="dxa"/>
            <w:vAlign w:val="top"/>
            <w:vMerge w:val="continue"/>
            <w:tcBorders>
              <w:top w:val="nil"/>
            </w:tcBorders>
          </w:tcPr>
          <w:p>
            <w:pPr>
              <w:pStyle w:val="TableText"/>
              <w:rPr/>
            </w:pPr>
            <w:r/>
          </w:p>
        </w:tc>
        <w:tc>
          <w:tcPr>
            <w:tcW w:w="1079" w:type="dxa"/>
            <w:vAlign w:val="top"/>
          </w:tcPr>
          <w:p>
            <w:pPr>
              <w:ind w:left="361"/>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115" w:type="dxa"/>
            <w:vAlign w:val="top"/>
          </w:tcPr>
          <w:p>
            <w:pPr>
              <w:ind w:left="18"/>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863" w:type="dxa"/>
            <w:vAlign w:val="top"/>
          </w:tcPr>
          <w:p>
            <w:pPr>
              <w:ind w:left="70"/>
              <w:spacing w:line="209" w:lineRule="auto"/>
              <w:rPr>
                <w:rFonts w:ascii="SimSun" w:hAnsi="SimSun" w:eastAsia="SimSun" w:cs="SimSun"/>
                <w:sz w:val="18"/>
                <w:szCs w:val="18"/>
              </w:rPr>
            </w:pPr>
            <w:r>
              <w:rPr>
                <w:rFonts w:ascii="SimSun" w:hAnsi="SimSun" w:eastAsia="SimSun" w:cs="SimSun"/>
                <w:sz w:val="18"/>
                <w:szCs w:val="18"/>
                <w:color w:val="212529"/>
                <w:spacing w:val="-2"/>
              </w:rPr>
              <w:t>政府性基</w:t>
            </w:r>
          </w:p>
          <w:p>
            <w:pPr>
              <w:ind w:left="162"/>
              <w:spacing w:line="212" w:lineRule="auto"/>
              <w:rPr>
                <w:rFonts w:ascii="SimSun" w:hAnsi="SimSun" w:eastAsia="SimSun" w:cs="SimSun"/>
                <w:sz w:val="18"/>
                <w:szCs w:val="18"/>
              </w:rPr>
            </w:pPr>
            <w:r>
              <w:rPr>
                <w:rFonts w:ascii="SimSun" w:hAnsi="SimSun" w:eastAsia="SimSun" w:cs="SimSun"/>
                <w:sz w:val="18"/>
                <w:szCs w:val="18"/>
                <w:color w:val="212529"/>
                <w:spacing w:val="-4"/>
              </w:rPr>
              <w:t>金预算</w:t>
            </w:r>
          </w:p>
        </w:tc>
        <w:tc>
          <w:tcPr>
            <w:tcW w:w="1109" w:type="dxa"/>
            <w:vAlign w:val="top"/>
          </w:tcPr>
          <w:p>
            <w:pPr>
              <w:ind w:left="29"/>
              <w:spacing w:line="209" w:lineRule="auto"/>
              <w:rPr>
                <w:rFonts w:ascii="SimSun" w:hAnsi="SimSun" w:eastAsia="SimSun" w:cs="SimSun"/>
                <w:sz w:val="18"/>
                <w:szCs w:val="18"/>
              </w:rPr>
            </w:pPr>
            <w:r>
              <w:rPr>
                <w:rFonts w:ascii="SimSun" w:hAnsi="SimSun" w:eastAsia="SimSun" w:cs="SimSun"/>
                <w:sz w:val="18"/>
                <w:szCs w:val="18"/>
                <w:color w:val="212529"/>
                <w:spacing w:val="-5"/>
              </w:rPr>
              <w:t>国有资本经营</w:t>
            </w:r>
          </w:p>
          <w:p>
            <w:pPr>
              <w:ind w:left="373"/>
              <w:spacing w:line="212" w:lineRule="auto"/>
              <w:rPr>
                <w:rFonts w:ascii="SimSun" w:hAnsi="SimSun" w:eastAsia="SimSun" w:cs="SimSun"/>
                <w:sz w:val="18"/>
                <w:szCs w:val="18"/>
              </w:rPr>
            </w:pPr>
            <w:r>
              <w:rPr>
                <w:rFonts w:ascii="SimSun" w:hAnsi="SimSun" w:eastAsia="SimSun" w:cs="SimSun"/>
                <w:sz w:val="18"/>
                <w:szCs w:val="18"/>
                <w:color w:val="212529"/>
                <w:spacing w:val="-5"/>
              </w:rPr>
              <w:t>预算</w:t>
            </w:r>
          </w:p>
        </w:tc>
      </w:tr>
      <w:tr>
        <w:trPr>
          <w:trHeight w:val="422" w:hRule="atLeast"/>
        </w:trPr>
        <w:tc>
          <w:tcPr>
            <w:tcW w:w="1841"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9" w:type="dxa"/>
            <w:vAlign w:val="top"/>
          </w:tcPr>
          <w:p>
            <w:pPr>
              <w:ind w:right="3"/>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1930"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079"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573.60</w:t>
            </w:r>
          </w:p>
        </w:tc>
        <w:tc>
          <w:tcPr>
            <w:tcW w:w="1115"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573.60</w:t>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79" w:type="dxa"/>
            <w:vAlign w:val="top"/>
          </w:tcPr>
          <w:p>
            <w:pPr>
              <w:pStyle w:val="TableText"/>
              <w:rPr/>
            </w:pPr>
            <w:r/>
          </w:p>
        </w:tc>
        <w:tc>
          <w:tcPr>
            <w:tcW w:w="1930"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9" w:type="dxa"/>
            <w:vAlign w:val="top"/>
          </w:tcPr>
          <w:p>
            <w:pPr>
              <w:pStyle w:val="TableText"/>
              <w:rPr/>
            </w:pPr>
            <w:r/>
          </w:p>
        </w:tc>
        <w:tc>
          <w:tcPr>
            <w:tcW w:w="1930"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5" w:right="122"/>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3"/>
              </w:rPr>
              <w:t>媒支出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2"/>
              <w:spacing w:before="4" w:line="209" w:lineRule="auto"/>
              <w:rPr>
                <w:rFonts w:ascii="SimSun" w:hAnsi="SimSun" w:eastAsia="SimSun" w:cs="SimSun"/>
                <w:sz w:val="18"/>
                <w:szCs w:val="18"/>
              </w:rPr>
            </w:pPr>
            <w:r>
              <w:rPr>
                <w:rFonts w:ascii="SimSun" w:hAnsi="SimSun" w:eastAsia="SimSun" w:cs="SimSun"/>
                <w:sz w:val="18"/>
                <w:szCs w:val="18"/>
                <w:color w:val="212529"/>
                <w:spacing w:val="-2"/>
              </w:rPr>
              <w:t>八、社会保障和就业支</w:t>
            </w:r>
            <w:r>
              <w:rPr>
                <w:rFonts w:ascii="SimSun" w:hAnsi="SimSun" w:eastAsia="SimSun" w:cs="SimSun"/>
                <w:sz w:val="18"/>
                <w:szCs w:val="18"/>
                <w:color w:val="212529"/>
              </w:rPr>
              <w:t>出</w:t>
            </w:r>
          </w:p>
        </w:tc>
        <w:tc>
          <w:tcPr>
            <w:tcW w:w="1079"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115" w:type="dxa"/>
            <w:vAlign w:val="top"/>
          </w:tcPr>
          <w:p>
            <w:pPr>
              <w:ind w:right="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0"/>
              <w:spacing w:before="111"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079"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11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079"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11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3" w:right="122" w:hanging="7"/>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spacing w:val="-5"/>
              </w:rPr>
              <w:t>息等支出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20" w:right="122"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1" w:right="122" w:hanging="5"/>
              <w:spacing w:before="4" w:line="209"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50"/>
              </w:rPr>
              <w:t xml:space="preserve"> </w:t>
            </w:r>
            <w:r>
              <w:rPr>
                <w:rFonts w:ascii="SimSun" w:hAnsi="SimSun" w:eastAsia="SimSun" w:cs="SimSun"/>
                <w:sz w:val="18"/>
                <w:szCs w:val="18"/>
                <w:color w:val="212529"/>
                <w:spacing w:val="-5"/>
              </w:rPr>
              <w:t>自然资源海洋气</w:t>
            </w:r>
            <w:r>
              <w:rPr>
                <w:rFonts w:ascii="SimSun" w:hAnsi="SimSun" w:eastAsia="SimSun" w:cs="SimSun"/>
                <w:sz w:val="18"/>
                <w:szCs w:val="18"/>
                <w:color w:val="212529"/>
                <w:spacing w:val="-4"/>
              </w:rPr>
              <w:t>象等支出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079"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115"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right="122" w:firstLine="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spacing w:val="-5"/>
              </w:rPr>
              <w:t>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7" w:right="122" w:firstLine="1"/>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3"/>
              </w:rPr>
              <w:t>预算支出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10" w:right="122" w:hanging="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二十三、灾害防治及应</w:t>
            </w:r>
            <w:r>
              <w:rPr>
                <w:rFonts w:ascii="SimSun" w:hAnsi="SimSun" w:eastAsia="SimSun" w:cs="SimSun"/>
                <w:sz w:val="18"/>
                <w:szCs w:val="18"/>
                <w:color w:val="212529"/>
                <w:spacing w:val="-3"/>
              </w:rPr>
              <w:t>急管理支出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7"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8"/>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bl>
    <w:p>
      <w:pPr>
        <w:rPr>
          <w:rFonts w:ascii="Arial"/>
          <w:sz w:val="21"/>
        </w:rPr>
      </w:pPr>
      <w:r/>
    </w:p>
    <w:p>
      <w:pPr>
        <w:sectPr>
          <w:headerReference w:type="default" r:id="rId17"/>
          <w:footerReference w:type="default" r:id="rId18"/>
          <w:pgSz w:w="11900" w:h="16840"/>
          <w:pgMar w:top="642" w:right="0" w:bottom="340" w:left="0" w:header="326" w:footer="93" w:gutter="0"/>
        </w:sectPr>
        <w:rPr>
          <w:rFonts w:ascii="Arial" w:hAnsi="Arial" w:eastAsia="Arial" w:cs="Arial"/>
          <w:sz w:val="21"/>
          <w:szCs w:val="21"/>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41"/>
        <w:gridCol w:w="1079"/>
        <w:gridCol w:w="1930"/>
        <w:gridCol w:w="1079"/>
        <w:gridCol w:w="1115"/>
        <w:gridCol w:w="863"/>
        <w:gridCol w:w="1109"/>
      </w:tblGrid>
      <w:tr>
        <w:trPr>
          <w:trHeight w:val="427"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6" w:right="122" w:firstLine="2"/>
              <w:spacing w:before="3" w:line="212" w:lineRule="auto"/>
              <w:rPr>
                <w:rFonts w:ascii="SimSun" w:hAnsi="SimSun" w:eastAsia="SimSun" w:cs="SimSun"/>
                <w:sz w:val="18"/>
                <w:szCs w:val="18"/>
              </w:rPr>
            </w:pPr>
            <w:bookmarkStart w:name="bookmark38" w:id="15"/>
            <w:bookmarkEnd w:id="15"/>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5"/>
              </w:rPr>
              <w:t>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ind w:left="5" w:right="122"/>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3"/>
              </w:rPr>
              <w:t>排的支出</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375"/>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079" w:type="dxa"/>
            <w:vAlign w:val="top"/>
          </w:tcPr>
          <w:p>
            <w:pPr>
              <w:ind w:left="266"/>
              <w:spacing w:before="108" w:line="239" w:lineRule="auto"/>
              <w:rPr>
                <w:rFonts w:ascii="SimSun" w:hAnsi="SimSun" w:eastAsia="SimSun" w:cs="SimSun"/>
                <w:sz w:val="18"/>
                <w:szCs w:val="18"/>
              </w:rPr>
            </w:pPr>
            <w:r>
              <w:rPr>
                <w:rFonts w:ascii="SimSun" w:hAnsi="SimSun" w:eastAsia="SimSun" w:cs="SimSun"/>
                <w:sz w:val="18"/>
                <w:szCs w:val="18"/>
                <w:color w:val="212529"/>
                <w:spacing w:val="-2"/>
              </w:rPr>
              <w:t>727.36</w:t>
            </w:r>
          </w:p>
        </w:tc>
        <w:tc>
          <w:tcPr>
            <w:tcW w:w="1930" w:type="dxa"/>
            <w:vAlign w:val="top"/>
          </w:tcPr>
          <w:p>
            <w:pPr>
              <w:ind w:left="420"/>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079" w:type="dxa"/>
            <w:vAlign w:val="top"/>
          </w:tcPr>
          <w:p>
            <w:pPr>
              <w:ind w:left="270"/>
              <w:spacing w:before="108" w:line="239" w:lineRule="auto"/>
              <w:rPr>
                <w:rFonts w:ascii="SimSun" w:hAnsi="SimSun" w:eastAsia="SimSun" w:cs="SimSun"/>
                <w:sz w:val="18"/>
                <w:szCs w:val="18"/>
              </w:rPr>
            </w:pPr>
            <w:r>
              <w:rPr>
                <w:rFonts w:ascii="SimSun" w:hAnsi="SimSun" w:eastAsia="SimSun" w:cs="SimSun"/>
                <w:sz w:val="18"/>
                <w:szCs w:val="18"/>
                <w:color w:val="212529"/>
                <w:spacing w:val="-2"/>
              </w:rPr>
              <w:t>727.36</w:t>
            </w:r>
          </w:p>
        </w:tc>
        <w:tc>
          <w:tcPr>
            <w:tcW w:w="1115" w:type="dxa"/>
            <w:vAlign w:val="top"/>
          </w:tcPr>
          <w:p>
            <w:pPr>
              <w:ind w:left="290"/>
              <w:spacing w:before="108" w:line="239" w:lineRule="auto"/>
              <w:rPr>
                <w:rFonts w:ascii="SimSun" w:hAnsi="SimSun" w:eastAsia="SimSun" w:cs="SimSun"/>
                <w:sz w:val="18"/>
                <w:szCs w:val="18"/>
              </w:rPr>
            </w:pPr>
            <w:r>
              <w:rPr>
                <w:rFonts w:ascii="SimSun" w:hAnsi="SimSun" w:eastAsia="SimSun" w:cs="SimSun"/>
                <w:sz w:val="18"/>
                <w:szCs w:val="18"/>
                <w:color w:val="212529"/>
                <w:spacing w:val="-2"/>
              </w:rPr>
              <w:t>727.36</w:t>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079" w:type="dxa"/>
            <w:vAlign w:val="top"/>
          </w:tcPr>
          <w:p>
            <w:pPr>
              <w:pStyle w:val="TableText"/>
              <w:rPr/>
            </w:pPr>
            <w:r/>
          </w:p>
        </w:tc>
        <w:tc>
          <w:tcPr>
            <w:tcW w:w="1930"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2" w:hRule="atLeast"/>
        </w:trPr>
        <w:tc>
          <w:tcPr>
            <w:tcW w:w="1841"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1" w:hRule="atLeast"/>
        </w:trPr>
        <w:tc>
          <w:tcPr>
            <w:tcW w:w="1841" w:type="dxa"/>
            <w:vAlign w:val="top"/>
          </w:tcPr>
          <w:p>
            <w:pPr>
              <w:pStyle w:val="TableText"/>
              <w:rPr/>
            </w:pPr>
            <w:r/>
          </w:p>
        </w:tc>
        <w:tc>
          <w:tcPr>
            <w:tcW w:w="1079" w:type="dxa"/>
            <w:vAlign w:val="top"/>
          </w:tcPr>
          <w:p>
            <w:pPr>
              <w:pStyle w:val="TableText"/>
              <w:rPr/>
            </w:pPr>
            <w:r/>
          </w:p>
        </w:tc>
        <w:tc>
          <w:tcPr>
            <w:tcW w:w="1930" w:type="dxa"/>
            <w:vAlign w:val="top"/>
          </w:tcPr>
          <w:p>
            <w:pPr>
              <w:pStyle w:val="TableText"/>
              <w:rPr/>
            </w:pPr>
            <w:r/>
          </w:p>
        </w:tc>
        <w:tc>
          <w:tcPr>
            <w:tcW w:w="1079" w:type="dxa"/>
            <w:vAlign w:val="top"/>
          </w:tcPr>
          <w:p>
            <w:pPr>
              <w:pStyle w:val="TableText"/>
              <w:rPr/>
            </w:pPr>
            <w:r/>
          </w:p>
        </w:tc>
        <w:tc>
          <w:tcPr>
            <w:tcW w:w="1115" w:type="dxa"/>
            <w:vAlign w:val="top"/>
          </w:tcPr>
          <w:p>
            <w:pPr>
              <w:pStyle w:val="TableText"/>
              <w:rPr/>
            </w:pPr>
            <w:r/>
          </w:p>
        </w:tc>
        <w:tc>
          <w:tcPr>
            <w:tcW w:w="863" w:type="dxa"/>
            <w:vAlign w:val="top"/>
          </w:tcPr>
          <w:p>
            <w:pPr>
              <w:pStyle w:val="TableText"/>
              <w:rPr/>
            </w:pPr>
            <w:r/>
          </w:p>
        </w:tc>
        <w:tc>
          <w:tcPr>
            <w:tcW w:w="1109" w:type="dxa"/>
            <w:vAlign w:val="top"/>
          </w:tcPr>
          <w:p>
            <w:pPr>
              <w:pStyle w:val="TableText"/>
              <w:rPr/>
            </w:pPr>
            <w:r/>
          </w:p>
        </w:tc>
      </w:tr>
      <w:tr>
        <w:trPr>
          <w:trHeight w:val="427" w:hRule="atLeast"/>
        </w:trPr>
        <w:tc>
          <w:tcPr>
            <w:tcW w:w="1841" w:type="dxa"/>
            <w:vAlign w:val="top"/>
          </w:tcPr>
          <w:p>
            <w:pPr>
              <w:ind w:left="561"/>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079" w:type="dxa"/>
            <w:vAlign w:val="top"/>
          </w:tcPr>
          <w:p>
            <w:pPr>
              <w:ind w:left="266"/>
              <w:spacing w:before="114" w:line="239" w:lineRule="auto"/>
              <w:rPr>
                <w:rFonts w:ascii="SimSun" w:hAnsi="SimSun" w:eastAsia="SimSun" w:cs="SimSun"/>
                <w:sz w:val="18"/>
                <w:szCs w:val="18"/>
              </w:rPr>
            </w:pPr>
            <w:r>
              <w:rPr>
                <w:rFonts w:ascii="SimSun" w:hAnsi="SimSun" w:eastAsia="SimSun" w:cs="SimSun"/>
                <w:sz w:val="18"/>
                <w:szCs w:val="18"/>
                <w:color w:val="212529"/>
                <w:spacing w:val="-2"/>
              </w:rPr>
              <w:t>727.36</w:t>
            </w:r>
          </w:p>
        </w:tc>
        <w:tc>
          <w:tcPr>
            <w:tcW w:w="1930" w:type="dxa"/>
            <w:vAlign w:val="top"/>
          </w:tcPr>
          <w:p>
            <w:pPr>
              <w:ind w:left="600"/>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079" w:type="dxa"/>
            <w:vAlign w:val="top"/>
          </w:tcPr>
          <w:p>
            <w:pPr>
              <w:ind w:left="270"/>
              <w:spacing w:before="114" w:line="239" w:lineRule="auto"/>
              <w:rPr>
                <w:rFonts w:ascii="SimSun" w:hAnsi="SimSun" w:eastAsia="SimSun" w:cs="SimSun"/>
                <w:sz w:val="18"/>
                <w:szCs w:val="18"/>
              </w:rPr>
            </w:pPr>
            <w:r>
              <w:rPr>
                <w:rFonts w:ascii="SimSun" w:hAnsi="SimSun" w:eastAsia="SimSun" w:cs="SimSun"/>
                <w:sz w:val="18"/>
                <w:szCs w:val="18"/>
                <w:color w:val="212529"/>
                <w:spacing w:val="-2"/>
              </w:rPr>
              <w:t>727.36</w:t>
            </w:r>
          </w:p>
        </w:tc>
        <w:tc>
          <w:tcPr>
            <w:tcW w:w="1115" w:type="dxa"/>
            <w:vAlign w:val="top"/>
          </w:tcPr>
          <w:p>
            <w:pPr>
              <w:ind w:left="290"/>
              <w:spacing w:before="114" w:line="239" w:lineRule="auto"/>
              <w:rPr>
                <w:rFonts w:ascii="SimSun" w:hAnsi="SimSun" w:eastAsia="SimSun" w:cs="SimSun"/>
                <w:sz w:val="18"/>
                <w:szCs w:val="18"/>
              </w:rPr>
            </w:pPr>
            <w:r>
              <w:rPr>
                <w:rFonts w:ascii="SimSun" w:hAnsi="SimSun" w:eastAsia="SimSun" w:cs="SimSun"/>
                <w:sz w:val="18"/>
                <w:szCs w:val="18"/>
                <w:color w:val="212529"/>
                <w:spacing w:val="-2"/>
              </w:rPr>
              <w:t>727.36</w:t>
            </w:r>
          </w:p>
        </w:tc>
        <w:tc>
          <w:tcPr>
            <w:tcW w:w="863" w:type="dxa"/>
            <w:vAlign w:val="top"/>
          </w:tcPr>
          <w:p>
            <w:pPr>
              <w:pStyle w:val="TableText"/>
              <w:rPr/>
            </w:pPr>
            <w:r/>
          </w:p>
        </w:tc>
        <w:tc>
          <w:tcPr>
            <w:tcW w:w="1109" w:type="dxa"/>
            <w:vAlign w:val="top"/>
          </w:tcPr>
          <w:p>
            <w:pPr>
              <w:pStyle w:val="TableText"/>
              <w:rPr/>
            </w:pPr>
            <w:r/>
          </w:p>
        </w:tc>
      </w:tr>
    </w:tbl>
    <w:p>
      <w:pPr>
        <w:rPr>
          <w:rFonts w:ascii="Arial"/>
          <w:sz w:val="21"/>
        </w:rPr>
      </w:pPr>
      <w:r/>
    </w:p>
    <w:p>
      <w:pPr>
        <w:sectPr>
          <w:headerReference w:type="default" r:id="rId19"/>
          <w:footerReference w:type="default" r:id="rId20"/>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60"/>
        <w:gridCol w:w="2985"/>
        <w:gridCol w:w="1523"/>
        <w:gridCol w:w="1403"/>
        <w:gridCol w:w="1445"/>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5"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71"/>
              <w:spacing w:before="43" w:line="209" w:lineRule="auto"/>
              <w:outlineLvl w:val="1"/>
              <w:rPr>
                <w:rFonts w:ascii="SimSun" w:hAnsi="SimSun" w:eastAsia="SimSun" w:cs="SimSun"/>
                <w:sz w:val="24"/>
                <w:szCs w:val="24"/>
              </w:rPr>
            </w:pPr>
            <w:bookmarkStart w:name="bookmark39" w:id="16"/>
            <w:bookmarkEnd w:id="16"/>
            <w:bookmarkStart w:name="bookmark9" w:id="17"/>
            <w:bookmarkEnd w:id="17"/>
            <w:r>
              <w:rPr>
                <w:rFonts w:ascii="SimSun" w:hAnsi="SimSun" w:eastAsia="SimSun" w:cs="SimSun"/>
                <w:sz w:val="24"/>
                <w:szCs w:val="24"/>
                <w:color w:val="212529"/>
                <w:spacing w:val="-1"/>
              </w:rPr>
              <w:t>2024年一般公共预算支出预算表（不含上年结转）</w:t>
            </w:r>
          </w:p>
        </w:tc>
      </w:tr>
      <w:tr>
        <w:trPr>
          <w:trHeight w:val="325" w:hRule="atLeast"/>
        </w:trPr>
        <w:tc>
          <w:tcPr>
            <w:tcW w:w="7571" w:type="dxa"/>
            <w:vAlign w:val="top"/>
            <w:gridSpan w:val="4"/>
            <w:tcBorders>
              <w:right w:val="single" w:color="FFFFFF" w:sz="2" w:space="0"/>
              <w:top w:val="single" w:color="FFFFFF" w:sz="4" w:space="0"/>
            </w:tcBorders>
          </w:tcPr>
          <w:p>
            <w:pPr>
              <w:ind w:left="9"/>
              <w:spacing w:before="80"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445"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645" w:type="dxa"/>
            <w:vAlign w:val="top"/>
            <w:gridSpan w:val="2"/>
          </w:tcPr>
          <w:p>
            <w:pPr>
              <w:ind w:left="2142"/>
              <w:spacing w:before="6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371" w:type="dxa"/>
            <w:vAlign w:val="top"/>
            <w:gridSpan w:val="3"/>
          </w:tcPr>
          <w:p>
            <w:pPr>
              <w:ind w:left="1643"/>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1660" w:type="dxa"/>
            <w:vAlign w:val="top"/>
          </w:tcPr>
          <w:p>
            <w:pPr>
              <w:ind w:left="465"/>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2985" w:type="dxa"/>
            <w:vAlign w:val="top"/>
          </w:tcPr>
          <w:p>
            <w:pPr>
              <w:ind w:left="1127"/>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23" w:type="dxa"/>
            <w:vAlign w:val="top"/>
          </w:tcPr>
          <w:p>
            <w:pPr>
              <w:ind w:left="580"/>
              <w:spacing w:before="6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03" w:type="dxa"/>
            <w:vAlign w:val="top"/>
          </w:tcPr>
          <w:p>
            <w:pPr>
              <w:ind w:left="340"/>
              <w:spacing w:before="61"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45" w:type="dxa"/>
            <w:vAlign w:val="top"/>
          </w:tcPr>
          <w:p>
            <w:pPr>
              <w:ind w:left="363"/>
              <w:spacing w:before="61"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5" w:hRule="atLeast"/>
        </w:trPr>
        <w:tc>
          <w:tcPr>
            <w:tcW w:w="4645" w:type="dxa"/>
            <w:vAlign w:val="top"/>
            <w:gridSpan w:val="2"/>
          </w:tcPr>
          <w:p>
            <w:pPr>
              <w:ind w:left="2140"/>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23" w:type="dxa"/>
            <w:vAlign w:val="top"/>
          </w:tcPr>
          <w:p>
            <w:pPr>
              <w:ind w:right="5"/>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727.36</w:t>
            </w:r>
          </w:p>
        </w:tc>
        <w:tc>
          <w:tcPr>
            <w:tcW w:w="1403" w:type="dxa"/>
            <w:vAlign w:val="top"/>
          </w:tcPr>
          <w:p>
            <w:pPr>
              <w:ind w:right="3"/>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262.74</w:t>
            </w:r>
          </w:p>
        </w:tc>
        <w:tc>
          <w:tcPr>
            <w:tcW w:w="1445" w:type="dxa"/>
            <w:vAlign w:val="top"/>
          </w:tcPr>
          <w:p>
            <w:pPr>
              <w:ind w:right="8"/>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464.61</w:t>
            </w:r>
          </w:p>
        </w:tc>
      </w:tr>
      <w:tr>
        <w:trPr>
          <w:trHeight w:val="326" w:hRule="atLeast"/>
        </w:trPr>
        <w:tc>
          <w:tcPr>
            <w:tcW w:w="166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201</w:t>
            </w:r>
          </w:p>
        </w:tc>
        <w:tc>
          <w:tcPr>
            <w:tcW w:w="2985"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573.60</w:t>
            </w:r>
          </w:p>
        </w:tc>
        <w:tc>
          <w:tcPr>
            <w:tcW w:w="140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188.87</w:t>
            </w:r>
          </w:p>
        </w:tc>
        <w:tc>
          <w:tcPr>
            <w:tcW w:w="1445"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384.73</w:t>
            </w:r>
          </w:p>
        </w:tc>
      </w:tr>
      <w:tr>
        <w:trPr>
          <w:trHeight w:val="326" w:hRule="atLeast"/>
        </w:trPr>
        <w:tc>
          <w:tcPr>
            <w:tcW w:w="166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20108</w:t>
            </w:r>
          </w:p>
        </w:tc>
        <w:tc>
          <w:tcPr>
            <w:tcW w:w="2985" w:type="dxa"/>
            <w:vAlign w:val="top"/>
          </w:tcPr>
          <w:p>
            <w:pPr>
              <w:ind w:left="14"/>
              <w:spacing w:before="64" w:line="219" w:lineRule="auto"/>
              <w:rPr>
                <w:rFonts w:ascii="SimSun" w:hAnsi="SimSun" w:eastAsia="SimSun" w:cs="SimSun"/>
                <w:sz w:val="18"/>
                <w:szCs w:val="18"/>
              </w:rPr>
            </w:pPr>
            <w:r>
              <w:rPr>
                <w:rFonts w:ascii="SimSun" w:hAnsi="SimSun" w:eastAsia="SimSun" w:cs="SimSun"/>
                <w:sz w:val="18"/>
                <w:szCs w:val="18"/>
                <w:color w:val="212529"/>
                <w:spacing w:val="-5"/>
              </w:rPr>
              <w:t>审计事务</w:t>
            </w:r>
          </w:p>
        </w:tc>
        <w:tc>
          <w:tcPr>
            <w:tcW w:w="152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552.45</w:t>
            </w:r>
          </w:p>
        </w:tc>
        <w:tc>
          <w:tcPr>
            <w:tcW w:w="1403"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167.72</w:t>
            </w:r>
          </w:p>
        </w:tc>
        <w:tc>
          <w:tcPr>
            <w:tcW w:w="1445"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384.73</w:t>
            </w:r>
          </w:p>
        </w:tc>
      </w:tr>
      <w:tr>
        <w:trPr>
          <w:trHeight w:val="326" w:hRule="atLeast"/>
        </w:trPr>
        <w:tc>
          <w:tcPr>
            <w:tcW w:w="166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2010801</w:t>
            </w:r>
          </w:p>
        </w:tc>
        <w:tc>
          <w:tcPr>
            <w:tcW w:w="2985" w:type="dxa"/>
            <w:vAlign w:val="top"/>
          </w:tcPr>
          <w:p>
            <w:pPr>
              <w:ind w:left="8"/>
              <w:spacing w:before="64"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119.08</w:t>
            </w:r>
          </w:p>
        </w:tc>
        <w:tc>
          <w:tcPr>
            <w:tcW w:w="140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119.08</w:t>
            </w:r>
          </w:p>
        </w:tc>
        <w:tc>
          <w:tcPr>
            <w:tcW w:w="1445" w:type="dxa"/>
            <w:vAlign w:val="top"/>
          </w:tcPr>
          <w:p>
            <w:pPr>
              <w:pStyle w:val="TableText"/>
              <w:rPr/>
            </w:pPr>
            <w:r/>
          </w:p>
        </w:tc>
      </w:tr>
      <w:tr>
        <w:trPr>
          <w:trHeight w:val="326" w:hRule="atLeast"/>
        </w:trPr>
        <w:tc>
          <w:tcPr>
            <w:tcW w:w="166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2010802</w:t>
            </w:r>
          </w:p>
        </w:tc>
        <w:tc>
          <w:tcPr>
            <w:tcW w:w="2985"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一般行政管理事务</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7.00</w:t>
            </w:r>
          </w:p>
        </w:tc>
        <w:tc>
          <w:tcPr>
            <w:tcW w:w="1403" w:type="dxa"/>
            <w:vAlign w:val="top"/>
          </w:tcPr>
          <w:p>
            <w:pPr>
              <w:pStyle w:val="TableText"/>
              <w:rPr/>
            </w:pPr>
            <w:r/>
          </w:p>
        </w:tc>
        <w:tc>
          <w:tcPr>
            <w:tcW w:w="1445"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r>
      <w:tr>
        <w:trPr>
          <w:trHeight w:val="326" w:hRule="atLeast"/>
        </w:trPr>
        <w:tc>
          <w:tcPr>
            <w:tcW w:w="166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2010804</w:t>
            </w:r>
          </w:p>
        </w:tc>
        <w:tc>
          <w:tcPr>
            <w:tcW w:w="2985" w:type="dxa"/>
            <w:vAlign w:val="top"/>
          </w:tcPr>
          <w:p>
            <w:pPr>
              <w:ind w:left="14"/>
              <w:spacing w:before="64" w:line="219" w:lineRule="auto"/>
              <w:rPr>
                <w:rFonts w:ascii="SimSun" w:hAnsi="SimSun" w:eastAsia="SimSun" w:cs="SimSun"/>
                <w:sz w:val="18"/>
                <w:szCs w:val="18"/>
              </w:rPr>
            </w:pPr>
            <w:r>
              <w:rPr>
                <w:rFonts w:ascii="SimSun" w:hAnsi="SimSun" w:eastAsia="SimSun" w:cs="SimSun"/>
                <w:sz w:val="18"/>
                <w:szCs w:val="18"/>
                <w:color w:val="212529"/>
                <w:spacing w:val="-5"/>
              </w:rPr>
              <w:t>审计业务</w:t>
            </w:r>
          </w:p>
        </w:tc>
        <w:tc>
          <w:tcPr>
            <w:tcW w:w="1523"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377.73</w:t>
            </w:r>
          </w:p>
        </w:tc>
        <w:tc>
          <w:tcPr>
            <w:tcW w:w="1403" w:type="dxa"/>
            <w:vAlign w:val="top"/>
          </w:tcPr>
          <w:p>
            <w:pPr>
              <w:pStyle w:val="TableText"/>
              <w:rPr/>
            </w:pPr>
            <w:r/>
          </w:p>
        </w:tc>
        <w:tc>
          <w:tcPr>
            <w:tcW w:w="1445"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377.73</w:t>
            </w:r>
          </w:p>
        </w:tc>
      </w:tr>
      <w:tr>
        <w:trPr>
          <w:trHeight w:val="326" w:hRule="atLeast"/>
        </w:trPr>
        <w:tc>
          <w:tcPr>
            <w:tcW w:w="166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2010850</w:t>
            </w:r>
          </w:p>
        </w:tc>
        <w:tc>
          <w:tcPr>
            <w:tcW w:w="2985" w:type="dxa"/>
            <w:vAlign w:val="top"/>
          </w:tcPr>
          <w:p>
            <w:pPr>
              <w:ind w:left="5"/>
              <w:spacing w:before="64"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403"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48.64</w:t>
            </w:r>
          </w:p>
        </w:tc>
        <w:tc>
          <w:tcPr>
            <w:tcW w:w="1445" w:type="dxa"/>
            <w:vAlign w:val="top"/>
          </w:tcPr>
          <w:p>
            <w:pPr>
              <w:pStyle w:val="TableText"/>
              <w:rPr/>
            </w:pPr>
            <w:r/>
          </w:p>
        </w:tc>
      </w:tr>
      <w:tr>
        <w:trPr>
          <w:trHeight w:val="326" w:hRule="atLeast"/>
        </w:trPr>
        <w:tc>
          <w:tcPr>
            <w:tcW w:w="166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20109</w:t>
            </w:r>
          </w:p>
        </w:tc>
        <w:tc>
          <w:tcPr>
            <w:tcW w:w="2985"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2"/>
              </w:rPr>
              <w:t>海关事务</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403"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445" w:type="dxa"/>
            <w:vAlign w:val="top"/>
          </w:tcPr>
          <w:p>
            <w:pPr>
              <w:pStyle w:val="TableText"/>
              <w:rPr/>
            </w:pPr>
            <w:r/>
          </w:p>
        </w:tc>
      </w:tr>
      <w:tr>
        <w:trPr>
          <w:trHeight w:val="326" w:hRule="atLeast"/>
        </w:trPr>
        <w:tc>
          <w:tcPr>
            <w:tcW w:w="166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2010950</w:t>
            </w:r>
          </w:p>
        </w:tc>
        <w:tc>
          <w:tcPr>
            <w:tcW w:w="2985" w:type="dxa"/>
            <w:vAlign w:val="top"/>
          </w:tcPr>
          <w:p>
            <w:pPr>
              <w:ind w:left="5"/>
              <w:spacing w:before="64"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403"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21.15</w:t>
            </w:r>
          </w:p>
        </w:tc>
        <w:tc>
          <w:tcPr>
            <w:tcW w:w="1445" w:type="dxa"/>
            <w:vAlign w:val="top"/>
          </w:tcPr>
          <w:p>
            <w:pPr>
              <w:pStyle w:val="TableText"/>
              <w:rPr/>
            </w:pPr>
            <w:r/>
          </w:p>
        </w:tc>
      </w:tr>
      <w:tr>
        <w:trPr>
          <w:trHeight w:val="326" w:hRule="atLeast"/>
        </w:trPr>
        <w:tc>
          <w:tcPr>
            <w:tcW w:w="166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208</w:t>
            </w:r>
          </w:p>
        </w:tc>
        <w:tc>
          <w:tcPr>
            <w:tcW w:w="2985"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403"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445" w:type="dxa"/>
            <w:vAlign w:val="top"/>
          </w:tcPr>
          <w:p>
            <w:pPr>
              <w:pStyle w:val="TableText"/>
              <w:rPr/>
            </w:pPr>
            <w:r/>
          </w:p>
        </w:tc>
      </w:tr>
      <w:tr>
        <w:trPr>
          <w:trHeight w:val="326" w:hRule="atLeast"/>
        </w:trPr>
        <w:tc>
          <w:tcPr>
            <w:tcW w:w="166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w:t>
            </w:r>
          </w:p>
        </w:tc>
        <w:tc>
          <w:tcPr>
            <w:tcW w:w="2985" w:type="dxa"/>
            <w:vAlign w:val="top"/>
          </w:tcPr>
          <w:p>
            <w:pPr>
              <w:ind w:left="8"/>
              <w:spacing w:before="65"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403"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39.92</w:t>
            </w:r>
          </w:p>
        </w:tc>
        <w:tc>
          <w:tcPr>
            <w:tcW w:w="1445" w:type="dxa"/>
            <w:vAlign w:val="top"/>
          </w:tcPr>
          <w:p>
            <w:pPr>
              <w:pStyle w:val="TableText"/>
              <w:rPr/>
            </w:pPr>
            <w:r/>
          </w:p>
        </w:tc>
      </w:tr>
      <w:tr>
        <w:trPr>
          <w:trHeight w:val="325" w:hRule="atLeast"/>
        </w:trPr>
        <w:tc>
          <w:tcPr>
            <w:tcW w:w="166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2080505</w:t>
            </w:r>
          </w:p>
        </w:tc>
        <w:tc>
          <w:tcPr>
            <w:tcW w:w="2985"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23"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22.28</w:t>
            </w:r>
          </w:p>
        </w:tc>
        <w:tc>
          <w:tcPr>
            <w:tcW w:w="1403"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22.28</w:t>
            </w:r>
          </w:p>
        </w:tc>
        <w:tc>
          <w:tcPr>
            <w:tcW w:w="1445" w:type="dxa"/>
            <w:vAlign w:val="top"/>
          </w:tcPr>
          <w:p>
            <w:pPr>
              <w:pStyle w:val="TableText"/>
              <w:rPr/>
            </w:pPr>
            <w:r/>
          </w:p>
        </w:tc>
      </w:tr>
      <w:tr>
        <w:trPr>
          <w:trHeight w:val="326" w:hRule="atLeast"/>
        </w:trPr>
        <w:tc>
          <w:tcPr>
            <w:tcW w:w="166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2080506</w:t>
            </w:r>
          </w:p>
        </w:tc>
        <w:tc>
          <w:tcPr>
            <w:tcW w:w="2985"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523" w:type="dxa"/>
            <w:vAlign w:val="top"/>
          </w:tcPr>
          <w:p>
            <w:pPr>
              <w:ind w:right="5"/>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403"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445" w:type="dxa"/>
            <w:vAlign w:val="top"/>
          </w:tcPr>
          <w:p>
            <w:pPr>
              <w:pStyle w:val="TableText"/>
              <w:rPr/>
            </w:pPr>
            <w:r/>
          </w:p>
        </w:tc>
      </w:tr>
      <w:tr>
        <w:trPr>
          <w:trHeight w:val="326" w:hRule="atLeast"/>
        </w:trPr>
        <w:tc>
          <w:tcPr>
            <w:tcW w:w="166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2080599</w:t>
            </w:r>
          </w:p>
        </w:tc>
        <w:tc>
          <w:tcPr>
            <w:tcW w:w="2985"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52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7.64</w:t>
            </w:r>
          </w:p>
        </w:tc>
        <w:tc>
          <w:tcPr>
            <w:tcW w:w="1403"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4"/>
              </w:rPr>
              <w:t>7.64</w:t>
            </w:r>
          </w:p>
        </w:tc>
        <w:tc>
          <w:tcPr>
            <w:tcW w:w="1445" w:type="dxa"/>
            <w:vAlign w:val="top"/>
          </w:tcPr>
          <w:p>
            <w:pPr>
              <w:pStyle w:val="TableText"/>
              <w:rPr/>
            </w:pPr>
            <w:r/>
          </w:p>
        </w:tc>
      </w:tr>
      <w:tr>
        <w:trPr>
          <w:trHeight w:val="326" w:hRule="atLeast"/>
        </w:trPr>
        <w:tc>
          <w:tcPr>
            <w:tcW w:w="166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210</w:t>
            </w:r>
          </w:p>
        </w:tc>
        <w:tc>
          <w:tcPr>
            <w:tcW w:w="2985" w:type="dxa"/>
            <w:vAlign w:val="top"/>
          </w:tcPr>
          <w:p>
            <w:pPr>
              <w:ind w:left="6"/>
              <w:spacing w:before="66"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403"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445" w:type="dxa"/>
            <w:vAlign w:val="top"/>
          </w:tcPr>
          <w:p>
            <w:pPr>
              <w:pStyle w:val="TableText"/>
              <w:rPr/>
            </w:pPr>
            <w:r/>
          </w:p>
        </w:tc>
      </w:tr>
      <w:tr>
        <w:trPr>
          <w:trHeight w:val="326" w:hRule="atLeast"/>
        </w:trPr>
        <w:tc>
          <w:tcPr>
            <w:tcW w:w="166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2985"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403"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5"/>
              </w:rPr>
              <w:t>11.36</w:t>
            </w:r>
          </w:p>
        </w:tc>
        <w:tc>
          <w:tcPr>
            <w:tcW w:w="1445" w:type="dxa"/>
            <w:vAlign w:val="top"/>
          </w:tcPr>
          <w:p>
            <w:pPr>
              <w:pStyle w:val="TableText"/>
              <w:rPr/>
            </w:pPr>
            <w:r/>
          </w:p>
        </w:tc>
      </w:tr>
      <w:tr>
        <w:trPr>
          <w:trHeight w:val="326" w:hRule="atLeast"/>
        </w:trPr>
        <w:tc>
          <w:tcPr>
            <w:tcW w:w="166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2101101</w:t>
            </w:r>
          </w:p>
        </w:tc>
        <w:tc>
          <w:tcPr>
            <w:tcW w:w="2985"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4.86</w:t>
            </w:r>
          </w:p>
        </w:tc>
        <w:tc>
          <w:tcPr>
            <w:tcW w:w="140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4.86</w:t>
            </w:r>
          </w:p>
        </w:tc>
        <w:tc>
          <w:tcPr>
            <w:tcW w:w="1445" w:type="dxa"/>
            <w:vAlign w:val="top"/>
          </w:tcPr>
          <w:p>
            <w:pPr>
              <w:pStyle w:val="TableText"/>
              <w:rPr/>
            </w:pPr>
            <w:r/>
          </w:p>
        </w:tc>
      </w:tr>
      <w:tr>
        <w:trPr>
          <w:trHeight w:val="326" w:hRule="atLeast"/>
        </w:trPr>
        <w:tc>
          <w:tcPr>
            <w:tcW w:w="166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2101102</w:t>
            </w:r>
          </w:p>
        </w:tc>
        <w:tc>
          <w:tcPr>
            <w:tcW w:w="2985"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4.20</w:t>
            </w:r>
          </w:p>
        </w:tc>
        <w:tc>
          <w:tcPr>
            <w:tcW w:w="140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4.20</w:t>
            </w:r>
          </w:p>
        </w:tc>
        <w:tc>
          <w:tcPr>
            <w:tcW w:w="1445" w:type="dxa"/>
            <w:vAlign w:val="top"/>
          </w:tcPr>
          <w:p>
            <w:pPr>
              <w:pStyle w:val="TableText"/>
              <w:rPr/>
            </w:pPr>
            <w:r/>
          </w:p>
        </w:tc>
      </w:tr>
      <w:tr>
        <w:trPr>
          <w:trHeight w:val="326" w:hRule="atLeast"/>
        </w:trPr>
        <w:tc>
          <w:tcPr>
            <w:tcW w:w="166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2101103</w:t>
            </w:r>
          </w:p>
        </w:tc>
        <w:tc>
          <w:tcPr>
            <w:tcW w:w="2985"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2.24</w:t>
            </w:r>
          </w:p>
        </w:tc>
        <w:tc>
          <w:tcPr>
            <w:tcW w:w="140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4"/>
              </w:rPr>
              <w:t>2.24</w:t>
            </w:r>
          </w:p>
        </w:tc>
        <w:tc>
          <w:tcPr>
            <w:tcW w:w="1445" w:type="dxa"/>
            <w:vAlign w:val="top"/>
          </w:tcPr>
          <w:p>
            <w:pPr>
              <w:pStyle w:val="TableText"/>
              <w:rPr/>
            </w:pPr>
            <w:r/>
          </w:p>
        </w:tc>
      </w:tr>
      <w:tr>
        <w:trPr>
          <w:trHeight w:val="326" w:hRule="atLeast"/>
        </w:trPr>
        <w:tc>
          <w:tcPr>
            <w:tcW w:w="166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2101199</w:t>
            </w:r>
          </w:p>
        </w:tc>
        <w:tc>
          <w:tcPr>
            <w:tcW w:w="2985" w:type="dxa"/>
            <w:vAlign w:val="top"/>
          </w:tcPr>
          <w:p>
            <w:pPr>
              <w:ind w:left="6"/>
              <w:spacing w:before="66"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52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403"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0.06</w:t>
            </w:r>
          </w:p>
        </w:tc>
        <w:tc>
          <w:tcPr>
            <w:tcW w:w="1445" w:type="dxa"/>
            <w:vAlign w:val="top"/>
          </w:tcPr>
          <w:p>
            <w:pPr>
              <w:pStyle w:val="TableText"/>
              <w:rPr/>
            </w:pPr>
            <w:r/>
          </w:p>
        </w:tc>
      </w:tr>
      <w:tr>
        <w:trPr>
          <w:trHeight w:val="326" w:hRule="atLeast"/>
        </w:trPr>
        <w:tc>
          <w:tcPr>
            <w:tcW w:w="1660"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212</w:t>
            </w:r>
          </w:p>
        </w:tc>
        <w:tc>
          <w:tcPr>
            <w:tcW w:w="2985" w:type="dxa"/>
            <w:vAlign w:val="top"/>
          </w:tcPr>
          <w:p>
            <w:pPr>
              <w:ind w:left="5"/>
              <w:spacing w:before="67" w:line="219" w:lineRule="auto"/>
              <w:rPr>
                <w:rFonts w:ascii="SimSun" w:hAnsi="SimSun" w:eastAsia="SimSun" w:cs="SimSun"/>
                <w:sz w:val="18"/>
                <w:szCs w:val="18"/>
              </w:rPr>
            </w:pPr>
            <w:r>
              <w:rPr>
                <w:rFonts w:ascii="SimSun" w:hAnsi="SimSun" w:eastAsia="SimSun" w:cs="SimSun"/>
                <w:sz w:val="18"/>
                <w:szCs w:val="18"/>
                <w:color w:val="212529"/>
                <w:spacing w:val="-2"/>
              </w:rPr>
              <w:t>城乡社区支出</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403" w:type="dxa"/>
            <w:vAlign w:val="top"/>
          </w:tcPr>
          <w:p>
            <w:pPr>
              <w:pStyle w:val="TableText"/>
              <w:rPr/>
            </w:pPr>
            <w:r/>
          </w:p>
        </w:tc>
        <w:tc>
          <w:tcPr>
            <w:tcW w:w="1445" w:type="dxa"/>
            <w:vAlign w:val="top"/>
          </w:tcPr>
          <w:p>
            <w:pPr>
              <w:ind w:right="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r>
      <w:tr>
        <w:trPr>
          <w:trHeight w:val="326" w:hRule="atLeast"/>
        </w:trPr>
        <w:tc>
          <w:tcPr>
            <w:tcW w:w="166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21205</w:t>
            </w:r>
          </w:p>
        </w:tc>
        <w:tc>
          <w:tcPr>
            <w:tcW w:w="2985" w:type="dxa"/>
            <w:vAlign w:val="top"/>
          </w:tcPr>
          <w:p>
            <w:pPr>
              <w:ind w:left="5"/>
              <w:spacing w:before="67"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403" w:type="dxa"/>
            <w:vAlign w:val="top"/>
          </w:tcPr>
          <w:p>
            <w:pPr>
              <w:pStyle w:val="TableText"/>
              <w:rPr/>
            </w:pPr>
            <w:r/>
          </w:p>
        </w:tc>
        <w:tc>
          <w:tcPr>
            <w:tcW w:w="1445" w:type="dxa"/>
            <w:vAlign w:val="top"/>
          </w:tcPr>
          <w:p>
            <w:pPr>
              <w:ind w:right="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r>
      <w:tr>
        <w:trPr>
          <w:trHeight w:val="326" w:hRule="atLeast"/>
        </w:trPr>
        <w:tc>
          <w:tcPr>
            <w:tcW w:w="166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2120501</w:t>
            </w:r>
          </w:p>
        </w:tc>
        <w:tc>
          <w:tcPr>
            <w:tcW w:w="2985" w:type="dxa"/>
            <w:vAlign w:val="top"/>
          </w:tcPr>
          <w:p>
            <w:pPr>
              <w:ind w:left="5"/>
              <w:spacing w:before="67" w:line="219" w:lineRule="auto"/>
              <w:rPr>
                <w:rFonts w:ascii="SimSun" w:hAnsi="SimSun" w:eastAsia="SimSun" w:cs="SimSun"/>
                <w:sz w:val="18"/>
                <w:szCs w:val="18"/>
              </w:rPr>
            </w:pPr>
            <w:r>
              <w:rPr>
                <w:rFonts w:ascii="SimSun" w:hAnsi="SimSun" w:eastAsia="SimSun" w:cs="SimSun"/>
                <w:sz w:val="18"/>
                <w:szCs w:val="18"/>
                <w:color w:val="212529"/>
                <w:spacing w:val="-2"/>
              </w:rPr>
              <w:t>城乡社区环境卫生</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403" w:type="dxa"/>
            <w:vAlign w:val="top"/>
          </w:tcPr>
          <w:p>
            <w:pPr>
              <w:pStyle w:val="TableText"/>
              <w:rPr/>
            </w:pPr>
            <w:r/>
          </w:p>
        </w:tc>
        <w:tc>
          <w:tcPr>
            <w:tcW w:w="1445" w:type="dxa"/>
            <w:vAlign w:val="top"/>
          </w:tcPr>
          <w:p>
            <w:pPr>
              <w:ind w:right="8"/>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r>
      <w:tr>
        <w:trPr>
          <w:trHeight w:val="326" w:hRule="atLeast"/>
        </w:trPr>
        <w:tc>
          <w:tcPr>
            <w:tcW w:w="1660" w:type="dxa"/>
            <w:vAlign w:val="top"/>
          </w:tcPr>
          <w:p>
            <w:pPr>
              <w:ind w:left="11"/>
              <w:spacing w:before="67"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2985"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403"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445" w:type="dxa"/>
            <w:vAlign w:val="top"/>
          </w:tcPr>
          <w:p>
            <w:pPr>
              <w:pStyle w:val="TableText"/>
              <w:rPr/>
            </w:pPr>
            <w:r/>
          </w:p>
        </w:tc>
      </w:tr>
      <w:tr>
        <w:trPr>
          <w:trHeight w:val="326" w:hRule="atLeast"/>
        </w:trPr>
        <w:tc>
          <w:tcPr>
            <w:tcW w:w="166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2985" w:type="dxa"/>
            <w:vAlign w:val="top"/>
          </w:tcPr>
          <w:p>
            <w:pPr>
              <w:ind w:left="4"/>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23"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403"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445" w:type="dxa"/>
            <w:vAlign w:val="top"/>
          </w:tcPr>
          <w:p>
            <w:pPr>
              <w:pStyle w:val="TableText"/>
              <w:rPr/>
            </w:pPr>
            <w:r/>
          </w:p>
        </w:tc>
      </w:tr>
      <w:tr>
        <w:trPr>
          <w:trHeight w:val="331" w:hRule="atLeast"/>
        </w:trPr>
        <w:tc>
          <w:tcPr>
            <w:tcW w:w="166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2985" w:type="dxa"/>
            <w:vAlign w:val="top"/>
          </w:tcPr>
          <w:p>
            <w:pPr>
              <w:ind w:left="4"/>
              <w:spacing w:before="67"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23" w:type="dxa"/>
            <w:vAlign w:val="top"/>
          </w:tcPr>
          <w:p>
            <w:pPr>
              <w:ind w:right="5"/>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403" w:type="dxa"/>
            <w:vAlign w:val="top"/>
          </w:tcPr>
          <w:p>
            <w:pPr>
              <w:ind w:right="3"/>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445" w:type="dxa"/>
            <w:vAlign w:val="top"/>
          </w:tcPr>
          <w:p>
            <w:pPr>
              <w:pStyle w:val="TableText"/>
              <w:rPr/>
            </w:pPr>
            <w:r/>
          </w:p>
        </w:tc>
      </w:tr>
    </w:tbl>
    <w:p>
      <w:pPr>
        <w:rPr>
          <w:rFonts w:ascii="Arial"/>
          <w:sz w:val="21"/>
        </w:rPr>
      </w:pPr>
      <w:r/>
    </w:p>
    <w:p>
      <w:pPr>
        <w:sectPr>
          <w:headerReference w:type="default" r:id="rId21"/>
          <w:footerReference w:type="default" r:id="rId22"/>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8968"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67"/>
        <w:gridCol w:w="2158"/>
        <w:gridCol w:w="1367"/>
        <w:gridCol w:w="1307"/>
        <w:gridCol w:w="1169"/>
      </w:tblGrid>
      <w:tr>
        <w:trPr>
          <w:trHeight w:val="331"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4" w:line="226" w:lineRule="auto"/>
              <w:jc w:val="right"/>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left="1007"/>
              <w:spacing w:before="43" w:line="209" w:lineRule="auto"/>
              <w:rPr>
                <w:rFonts w:ascii="SimSun" w:hAnsi="SimSun" w:eastAsia="SimSun" w:cs="SimSun"/>
                <w:sz w:val="24"/>
                <w:szCs w:val="24"/>
              </w:rPr>
            </w:pPr>
            <w:bookmarkStart w:name="bookmark40" w:id="18"/>
            <w:bookmarkEnd w:id="18"/>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492" w:type="dxa"/>
            <w:vAlign w:val="top"/>
            <w:gridSpan w:val="3"/>
            <w:tcBorders>
              <w:right w:val="single" w:color="FFFFFF" w:sz="2" w:space="0"/>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307" w:type="dxa"/>
            <w:vAlign w:val="top"/>
            <w:tcBorders>
              <w:left w:val="single" w:color="FFFFFF" w:sz="2" w:space="0"/>
              <w:right w:val="single" w:color="FFFFFF" w:sz="2" w:space="0"/>
              <w:top w:val="single" w:color="FFFFFF" w:sz="4" w:space="0"/>
            </w:tcBorders>
          </w:tcPr>
          <w:p>
            <w:pPr>
              <w:pStyle w:val="TableText"/>
              <w:rPr/>
            </w:pPr>
            <w:r/>
          </w:p>
        </w:tc>
        <w:tc>
          <w:tcPr>
            <w:tcW w:w="1169"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2967" w:type="dxa"/>
            <w:vAlign w:val="top"/>
            <w:vMerge w:val="restart"/>
            <w:tcBorders>
              <w:bottom w:val="nil"/>
            </w:tcBorders>
          </w:tcPr>
          <w:p>
            <w:pPr>
              <w:ind w:left="401"/>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158" w:type="dxa"/>
            <w:vAlign w:val="top"/>
            <w:vMerge w:val="restart"/>
            <w:tcBorders>
              <w:bottom w:val="nil"/>
            </w:tcBorders>
          </w:tcPr>
          <w:p>
            <w:pPr>
              <w:ind w:left="85"/>
              <w:spacing w:before="121" w:line="209" w:lineRule="auto"/>
              <w:rPr>
                <w:rFonts w:ascii="SimSun" w:hAnsi="SimSun" w:eastAsia="SimSun" w:cs="SimSun"/>
                <w:sz w:val="18"/>
                <w:szCs w:val="18"/>
              </w:rPr>
            </w:pPr>
            <w:r>
              <w:rPr>
                <w:rFonts w:ascii="SimSun" w:hAnsi="SimSun" w:eastAsia="SimSun" w:cs="SimSun"/>
                <w:sz w:val="18"/>
                <w:szCs w:val="18"/>
                <w:color w:val="212529"/>
                <w:spacing w:val="-1"/>
              </w:rPr>
              <w:t>政府预算支出经济科目名</w:t>
            </w:r>
          </w:p>
          <w:p>
            <w:pPr>
              <w:ind w:left="984"/>
              <w:spacing w:line="220" w:lineRule="auto"/>
              <w:rPr>
                <w:rFonts w:ascii="SimSun" w:hAnsi="SimSun" w:eastAsia="SimSun" w:cs="SimSun"/>
                <w:sz w:val="18"/>
                <w:szCs w:val="18"/>
              </w:rPr>
            </w:pPr>
            <w:r>
              <w:rPr>
                <w:rFonts w:ascii="SimSun" w:hAnsi="SimSun" w:eastAsia="SimSun" w:cs="SimSun"/>
                <w:sz w:val="18"/>
                <w:szCs w:val="18"/>
                <w:color w:val="212529"/>
              </w:rPr>
              <w:t>称</w:t>
            </w:r>
          </w:p>
        </w:tc>
        <w:tc>
          <w:tcPr>
            <w:tcW w:w="3843" w:type="dxa"/>
            <w:vAlign w:val="top"/>
            <w:gridSpan w:val="3"/>
          </w:tcPr>
          <w:p>
            <w:pPr>
              <w:ind w:left="1379"/>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2967" w:type="dxa"/>
            <w:vAlign w:val="top"/>
            <w:vMerge w:val="continue"/>
            <w:tcBorders>
              <w:top w:val="nil"/>
            </w:tcBorders>
          </w:tcPr>
          <w:p>
            <w:pPr>
              <w:pStyle w:val="TableText"/>
              <w:rPr/>
            </w:pPr>
            <w:r/>
          </w:p>
        </w:tc>
        <w:tc>
          <w:tcPr>
            <w:tcW w:w="2158" w:type="dxa"/>
            <w:vAlign w:val="top"/>
            <w:vMerge w:val="continue"/>
            <w:tcBorders>
              <w:top w:val="nil"/>
            </w:tcBorders>
          </w:tcPr>
          <w:p>
            <w:pPr>
              <w:pStyle w:val="TableText"/>
              <w:rPr/>
            </w:pPr>
            <w:r/>
          </w:p>
        </w:tc>
        <w:tc>
          <w:tcPr>
            <w:tcW w:w="1367" w:type="dxa"/>
            <w:vAlign w:val="top"/>
          </w:tcPr>
          <w:p>
            <w:pPr>
              <w:ind w:left="502"/>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07" w:type="dxa"/>
            <w:vAlign w:val="top"/>
          </w:tcPr>
          <w:p>
            <w:pPr>
              <w:ind w:left="293"/>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169" w:type="dxa"/>
            <w:vAlign w:val="top"/>
          </w:tcPr>
          <w:p>
            <w:pPr>
              <w:ind w:left="227"/>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5" w:hRule="atLeast"/>
        </w:trPr>
        <w:tc>
          <w:tcPr>
            <w:tcW w:w="5125" w:type="dxa"/>
            <w:vAlign w:val="top"/>
            <w:gridSpan w:val="2"/>
          </w:tcPr>
          <w:p>
            <w:pPr>
              <w:ind w:left="2375"/>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67" w:type="dxa"/>
            <w:vAlign w:val="top"/>
          </w:tcPr>
          <w:p>
            <w:pPr>
              <w:ind w:right="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262.74</w:t>
            </w:r>
          </w:p>
        </w:tc>
        <w:tc>
          <w:tcPr>
            <w:tcW w:w="1307" w:type="dxa"/>
            <w:vAlign w:val="top"/>
          </w:tcPr>
          <w:p>
            <w:pPr>
              <w:ind w:right="3"/>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240.29</w:t>
            </w:r>
          </w:p>
        </w:tc>
        <w:tc>
          <w:tcPr>
            <w:tcW w:w="1169" w:type="dxa"/>
            <w:vAlign w:val="top"/>
          </w:tcPr>
          <w:p>
            <w:pPr>
              <w:ind w:right="1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22.45</w:t>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158" w:type="dxa"/>
            <w:vAlign w:val="top"/>
          </w:tcPr>
          <w:p>
            <w:pPr>
              <w:pStyle w:val="TableText"/>
              <w:rPr/>
            </w:pPr>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223.84</w:t>
            </w:r>
          </w:p>
        </w:tc>
        <w:tc>
          <w:tcPr>
            <w:tcW w:w="130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223.84</w:t>
            </w:r>
          </w:p>
        </w:tc>
        <w:tc>
          <w:tcPr>
            <w:tcW w:w="1169" w:type="dxa"/>
            <w:vAlign w:val="top"/>
          </w:tcPr>
          <w:p>
            <w:pPr>
              <w:pStyle w:val="TableText"/>
              <w:rPr/>
            </w:pPr>
            <w:r/>
          </w:p>
        </w:tc>
      </w:tr>
      <w:tr>
        <w:trPr>
          <w:trHeight w:val="326" w:hRule="atLeast"/>
        </w:trPr>
        <w:tc>
          <w:tcPr>
            <w:tcW w:w="2967"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42.42</w:t>
            </w:r>
          </w:p>
        </w:tc>
        <w:tc>
          <w:tcPr>
            <w:tcW w:w="1307"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42.42</w:t>
            </w:r>
          </w:p>
        </w:tc>
        <w:tc>
          <w:tcPr>
            <w:tcW w:w="1169" w:type="dxa"/>
            <w:vAlign w:val="top"/>
          </w:tcPr>
          <w:p>
            <w:pPr>
              <w:pStyle w:val="TableText"/>
              <w:rPr/>
            </w:pPr>
            <w:r/>
          </w:p>
        </w:tc>
      </w:tr>
      <w:tr>
        <w:trPr>
          <w:trHeight w:val="326" w:hRule="atLeast"/>
        </w:trPr>
        <w:tc>
          <w:tcPr>
            <w:tcW w:w="2967"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38.33</w:t>
            </w:r>
          </w:p>
        </w:tc>
        <w:tc>
          <w:tcPr>
            <w:tcW w:w="1307"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38.33</w:t>
            </w:r>
          </w:p>
        </w:tc>
        <w:tc>
          <w:tcPr>
            <w:tcW w:w="1169" w:type="dxa"/>
            <w:vAlign w:val="top"/>
          </w:tcPr>
          <w:p>
            <w:pPr>
              <w:pStyle w:val="TableText"/>
              <w:rPr/>
            </w:pPr>
            <w:r/>
          </w:p>
        </w:tc>
      </w:tr>
      <w:tr>
        <w:trPr>
          <w:trHeight w:val="326" w:hRule="atLeast"/>
        </w:trPr>
        <w:tc>
          <w:tcPr>
            <w:tcW w:w="2967"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33.14</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33.14</w:t>
            </w:r>
          </w:p>
        </w:tc>
        <w:tc>
          <w:tcPr>
            <w:tcW w:w="1169" w:type="dxa"/>
            <w:vAlign w:val="top"/>
          </w:tcPr>
          <w:p>
            <w:pPr>
              <w:pStyle w:val="TableText"/>
              <w:rPr/>
            </w:pPr>
            <w:r/>
          </w:p>
        </w:tc>
      </w:tr>
      <w:tr>
        <w:trPr>
          <w:trHeight w:val="326" w:hRule="atLeast"/>
        </w:trPr>
        <w:tc>
          <w:tcPr>
            <w:tcW w:w="2967"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6.49</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6.49</w:t>
            </w:r>
          </w:p>
        </w:tc>
        <w:tc>
          <w:tcPr>
            <w:tcW w:w="1169" w:type="dxa"/>
            <w:vAlign w:val="top"/>
          </w:tcPr>
          <w:p>
            <w:pPr>
              <w:pStyle w:val="TableText"/>
              <w:rPr/>
            </w:pPr>
            <w:r/>
          </w:p>
        </w:tc>
      </w:tr>
      <w:tr>
        <w:trPr>
          <w:trHeight w:val="326" w:hRule="atLeast"/>
        </w:trPr>
        <w:tc>
          <w:tcPr>
            <w:tcW w:w="2967"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5"/>
              </w:rPr>
              <w:t>奖金</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7.77</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4"/>
              </w:rPr>
              <w:t>7.77</w:t>
            </w:r>
          </w:p>
        </w:tc>
        <w:tc>
          <w:tcPr>
            <w:tcW w:w="1169" w:type="dxa"/>
            <w:vAlign w:val="top"/>
          </w:tcPr>
          <w:p>
            <w:pPr>
              <w:pStyle w:val="TableText"/>
              <w:rPr/>
            </w:pPr>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24.76</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24.76</w:t>
            </w:r>
          </w:p>
        </w:tc>
        <w:tc>
          <w:tcPr>
            <w:tcW w:w="1169" w:type="dxa"/>
            <w:vAlign w:val="top"/>
          </w:tcPr>
          <w:p>
            <w:pPr>
              <w:pStyle w:val="TableText"/>
              <w:rPr/>
            </w:pPr>
            <w:r/>
          </w:p>
        </w:tc>
      </w:tr>
      <w:tr>
        <w:trPr>
          <w:trHeight w:val="326" w:hRule="atLeast"/>
        </w:trPr>
        <w:tc>
          <w:tcPr>
            <w:tcW w:w="2967"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11.95</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11.95</w:t>
            </w:r>
          </w:p>
        </w:tc>
        <w:tc>
          <w:tcPr>
            <w:tcW w:w="1169" w:type="dxa"/>
            <w:vAlign w:val="top"/>
          </w:tcPr>
          <w:p>
            <w:pPr>
              <w:pStyle w:val="TableText"/>
              <w:rPr/>
            </w:pPr>
            <w:r/>
          </w:p>
        </w:tc>
      </w:tr>
      <w:tr>
        <w:trPr>
          <w:trHeight w:val="326" w:hRule="atLeast"/>
        </w:trPr>
        <w:tc>
          <w:tcPr>
            <w:tcW w:w="2967"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10.33</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10.33</w:t>
            </w:r>
          </w:p>
        </w:tc>
        <w:tc>
          <w:tcPr>
            <w:tcW w:w="1169" w:type="dxa"/>
            <w:vAlign w:val="top"/>
          </w:tcPr>
          <w:p>
            <w:pPr>
              <w:pStyle w:val="TableText"/>
              <w:rPr/>
            </w:pPr>
            <w:r/>
          </w:p>
        </w:tc>
      </w:tr>
      <w:tr>
        <w:trPr>
          <w:trHeight w:val="326" w:hRule="atLeast"/>
        </w:trPr>
        <w:tc>
          <w:tcPr>
            <w:tcW w:w="2967" w:type="dxa"/>
            <w:vAlign w:val="top"/>
          </w:tcPr>
          <w:p>
            <w:pPr>
              <w:ind w:left="7"/>
              <w:spacing w:before="65" w:line="219" w:lineRule="auto"/>
              <w:rPr>
                <w:rFonts w:ascii="SimSun" w:hAnsi="SimSun" w:eastAsia="SimSun" w:cs="SimSun"/>
                <w:sz w:val="18"/>
                <w:szCs w:val="18"/>
              </w:rPr>
            </w:pPr>
            <w:r>
              <w:rPr>
                <w:rFonts w:ascii="SimSun" w:hAnsi="SimSun" w:eastAsia="SimSun" w:cs="SimSun"/>
                <w:sz w:val="18"/>
                <w:szCs w:val="18"/>
                <w:color w:val="212529"/>
                <w:spacing w:val="-2"/>
              </w:rPr>
              <w:t>职业年金缴费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169" w:type="dxa"/>
            <w:vAlign w:val="top"/>
          </w:tcPr>
          <w:p>
            <w:pPr>
              <w:pStyle w:val="TableText"/>
              <w:rPr/>
            </w:pPr>
            <w:r/>
          </w:p>
        </w:tc>
      </w:tr>
      <w:tr>
        <w:trPr>
          <w:trHeight w:val="325" w:hRule="atLeast"/>
        </w:trPr>
        <w:tc>
          <w:tcPr>
            <w:tcW w:w="2967"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4.86</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4.86</w:t>
            </w:r>
          </w:p>
        </w:tc>
        <w:tc>
          <w:tcPr>
            <w:tcW w:w="1169" w:type="dxa"/>
            <w:vAlign w:val="top"/>
          </w:tcPr>
          <w:p>
            <w:pPr>
              <w:pStyle w:val="TableText"/>
              <w:rPr/>
            </w:pPr>
            <w:r/>
          </w:p>
        </w:tc>
      </w:tr>
      <w:tr>
        <w:trPr>
          <w:trHeight w:val="326" w:hRule="atLeast"/>
        </w:trPr>
        <w:tc>
          <w:tcPr>
            <w:tcW w:w="2967" w:type="dxa"/>
            <w:vAlign w:val="top"/>
          </w:tcPr>
          <w:p>
            <w:pPr>
              <w:ind w:left="7"/>
              <w:spacing w:before="66"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158"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4.20</w:t>
            </w:r>
          </w:p>
        </w:tc>
        <w:tc>
          <w:tcPr>
            <w:tcW w:w="130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4.20</w:t>
            </w:r>
          </w:p>
        </w:tc>
        <w:tc>
          <w:tcPr>
            <w:tcW w:w="1169" w:type="dxa"/>
            <w:vAlign w:val="top"/>
          </w:tcPr>
          <w:p>
            <w:pPr>
              <w:pStyle w:val="TableText"/>
              <w:rPr/>
            </w:pPr>
            <w:r/>
          </w:p>
        </w:tc>
      </w:tr>
      <w:tr>
        <w:trPr>
          <w:trHeight w:val="326" w:hRule="atLeast"/>
        </w:trPr>
        <w:tc>
          <w:tcPr>
            <w:tcW w:w="2967" w:type="dxa"/>
            <w:vAlign w:val="top"/>
          </w:tcPr>
          <w:p>
            <w:pPr>
              <w:ind w:left="14"/>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公务员医疗补助缴费</w:t>
            </w:r>
          </w:p>
        </w:tc>
        <w:tc>
          <w:tcPr>
            <w:tcW w:w="2158" w:type="dxa"/>
            <w:vAlign w:val="top"/>
          </w:tcPr>
          <w:p>
            <w:pPr>
              <w:ind w:left="8"/>
              <w:spacing w:before="66"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3"/>
              </w:rPr>
              <w:t>2.24</w:t>
            </w:r>
          </w:p>
        </w:tc>
        <w:tc>
          <w:tcPr>
            <w:tcW w:w="1307" w:type="dxa"/>
            <w:vAlign w:val="top"/>
          </w:tcPr>
          <w:p>
            <w:pPr>
              <w:spacing w:before="66" w:line="238" w:lineRule="auto"/>
              <w:jc w:val="right"/>
              <w:rPr>
                <w:rFonts w:ascii="SimSun" w:hAnsi="SimSun" w:eastAsia="SimSun" w:cs="SimSun"/>
                <w:sz w:val="18"/>
                <w:szCs w:val="18"/>
              </w:rPr>
            </w:pPr>
            <w:r>
              <w:rPr>
                <w:rFonts w:ascii="SimSun" w:hAnsi="SimSun" w:eastAsia="SimSun" w:cs="SimSun"/>
                <w:sz w:val="18"/>
                <w:szCs w:val="18"/>
                <w:color w:val="212529"/>
                <w:spacing w:val="-4"/>
              </w:rPr>
              <w:t>2.24</w:t>
            </w:r>
          </w:p>
        </w:tc>
        <w:tc>
          <w:tcPr>
            <w:tcW w:w="1169" w:type="dxa"/>
            <w:vAlign w:val="top"/>
          </w:tcPr>
          <w:p>
            <w:pPr>
              <w:pStyle w:val="TableText"/>
              <w:rPr/>
            </w:pPr>
            <w:r/>
          </w:p>
        </w:tc>
      </w:tr>
      <w:tr>
        <w:trPr>
          <w:trHeight w:val="326" w:hRule="atLeast"/>
        </w:trPr>
        <w:tc>
          <w:tcPr>
            <w:tcW w:w="2967" w:type="dxa"/>
            <w:vAlign w:val="top"/>
          </w:tcPr>
          <w:p>
            <w:pPr>
              <w:ind w:left="8"/>
              <w:spacing w:before="66"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158" w:type="dxa"/>
            <w:vAlign w:val="top"/>
          </w:tcPr>
          <w:p>
            <w:pPr>
              <w:ind w:left="8"/>
              <w:spacing w:before="66"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0.48</w:t>
            </w:r>
          </w:p>
        </w:tc>
        <w:tc>
          <w:tcPr>
            <w:tcW w:w="130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0.48</w:t>
            </w:r>
          </w:p>
        </w:tc>
        <w:tc>
          <w:tcPr>
            <w:tcW w:w="1169" w:type="dxa"/>
            <w:vAlign w:val="top"/>
          </w:tcPr>
          <w:p>
            <w:pPr>
              <w:pStyle w:val="TableText"/>
              <w:rPr/>
            </w:pPr>
            <w:r/>
          </w:p>
        </w:tc>
      </w:tr>
      <w:tr>
        <w:trPr>
          <w:trHeight w:val="326" w:hRule="atLeast"/>
        </w:trPr>
        <w:tc>
          <w:tcPr>
            <w:tcW w:w="2967"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158" w:type="dxa"/>
            <w:vAlign w:val="top"/>
          </w:tcPr>
          <w:p>
            <w:pPr>
              <w:ind w:left="7"/>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307"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22.60</w:t>
            </w:r>
          </w:p>
        </w:tc>
        <w:tc>
          <w:tcPr>
            <w:tcW w:w="1169" w:type="dxa"/>
            <w:vAlign w:val="top"/>
          </w:tcPr>
          <w:p>
            <w:pPr>
              <w:pStyle w:val="TableText"/>
              <w:rPr/>
            </w:pPr>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15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4.27</w:t>
            </w:r>
          </w:p>
        </w:tc>
        <w:tc>
          <w:tcPr>
            <w:tcW w:w="130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4.27</w:t>
            </w:r>
          </w:p>
        </w:tc>
        <w:tc>
          <w:tcPr>
            <w:tcW w:w="1169" w:type="dxa"/>
            <w:vAlign w:val="top"/>
          </w:tcPr>
          <w:p>
            <w:pPr>
              <w:pStyle w:val="TableText"/>
              <w:rPr/>
            </w:pPr>
            <w:r/>
          </w:p>
        </w:tc>
      </w:tr>
      <w:tr>
        <w:trPr>
          <w:trHeight w:val="326" w:hRule="atLeast"/>
        </w:trPr>
        <w:tc>
          <w:tcPr>
            <w:tcW w:w="2967"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158" w:type="dxa"/>
            <w:vAlign w:val="top"/>
          </w:tcPr>
          <w:p>
            <w:pPr>
              <w:pStyle w:val="TableText"/>
              <w:rPr/>
            </w:pPr>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22.45</w:t>
            </w:r>
          </w:p>
        </w:tc>
        <w:tc>
          <w:tcPr>
            <w:tcW w:w="1307" w:type="dxa"/>
            <w:vAlign w:val="top"/>
          </w:tcPr>
          <w:p>
            <w:pPr>
              <w:pStyle w:val="TableText"/>
              <w:rPr/>
            </w:pPr>
            <w:r/>
          </w:p>
        </w:tc>
        <w:tc>
          <w:tcPr>
            <w:tcW w:w="1169" w:type="dxa"/>
            <w:vAlign w:val="top"/>
          </w:tcPr>
          <w:p>
            <w:pPr>
              <w:ind w:right="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22.45</w:t>
            </w:r>
          </w:p>
        </w:tc>
      </w:tr>
      <w:tr>
        <w:trPr>
          <w:trHeight w:val="326" w:hRule="atLeast"/>
        </w:trPr>
        <w:tc>
          <w:tcPr>
            <w:tcW w:w="2967" w:type="dxa"/>
            <w:vAlign w:val="top"/>
          </w:tcPr>
          <w:p>
            <w:pPr>
              <w:ind w:left="12"/>
              <w:spacing w:before="66" w:line="219" w:lineRule="auto"/>
              <w:rPr>
                <w:rFonts w:ascii="SimSun" w:hAnsi="SimSun" w:eastAsia="SimSun" w:cs="SimSun"/>
                <w:sz w:val="18"/>
                <w:szCs w:val="18"/>
              </w:rPr>
            </w:pPr>
            <w:r>
              <w:rPr>
                <w:rFonts w:ascii="SimSun" w:hAnsi="SimSun" w:eastAsia="SimSun" w:cs="SimSun"/>
                <w:sz w:val="18"/>
                <w:szCs w:val="18"/>
                <w:color w:val="212529"/>
                <w:spacing w:val="-4"/>
              </w:rPr>
              <w:t>办公费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5.65</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5.65</w:t>
            </w:r>
          </w:p>
        </w:tc>
      </w:tr>
      <w:tr>
        <w:trPr>
          <w:trHeight w:val="326" w:hRule="atLeast"/>
        </w:trPr>
        <w:tc>
          <w:tcPr>
            <w:tcW w:w="2967" w:type="dxa"/>
            <w:vAlign w:val="top"/>
          </w:tcPr>
          <w:p>
            <w:pPr>
              <w:ind w:left="11"/>
              <w:spacing w:before="67"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158"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2.79</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2.79</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158"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4.87</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4.87</w:t>
            </w:r>
          </w:p>
        </w:tc>
      </w:tr>
      <w:tr>
        <w:trPr>
          <w:trHeight w:val="326" w:hRule="atLeast"/>
        </w:trPr>
        <w:tc>
          <w:tcPr>
            <w:tcW w:w="2967" w:type="dxa"/>
            <w:vAlign w:val="top"/>
          </w:tcPr>
          <w:p>
            <w:pPr>
              <w:ind w:left="14"/>
              <w:spacing w:before="67"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2158" w:type="dxa"/>
            <w:vAlign w:val="top"/>
          </w:tcPr>
          <w:p>
            <w:pPr>
              <w:ind w:left="12"/>
              <w:spacing w:before="67"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r>
      <w:tr>
        <w:trPr>
          <w:trHeight w:val="326" w:hRule="atLeast"/>
        </w:trPr>
        <w:tc>
          <w:tcPr>
            <w:tcW w:w="2967" w:type="dxa"/>
            <w:vAlign w:val="top"/>
          </w:tcPr>
          <w:p>
            <w:pPr>
              <w:ind w:left="8"/>
              <w:spacing w:before="68" w:line="219" w:lineRule="auto"/>
              <w:rPr>
                <w:rFonts w:ascii="SimSun" w:hAnsi="SimSun" w:eastAsia="SimSun" w:cs="SimSun"/>
                <w:sz w:val="18"/>
                <w:szCs w:val="18"/>
              </w:rPr>
            </w:pPr>
            <w:r>
              <w:rPr>
                <w:rFonts w:ascii="SimSun" w:hAnsi="SimSun" w:eastAsia="SimSun" w:cs="SimSun"/>
                <w:sz w:val="18"/>
                <w:szCs w:val="18"/>
                <w:color w:val="212529"/>
                <w:spacing w:val="-2"/>
              </w:rPr>
              <w:t>其他交通费用</w:t>
            </w:r>
          </w:p>
        </w:tc>
        <w:tc>
          <w:tcPr>
            <w:tcW w:w="2158"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7.14</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7.14</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对个人和家庭的补助</w:t>
            </w:r>
          </w:p>
        </w:tc>
        <w:tc>
          <w:tcPr>
            <w:tcW w:w="2158" w:type="dxa"/>
            <w:vAlign w:val="top"/>
          </w:tcPr>
          <w:p>
            <w:pPr>
              <w:pStyle w:val="TableText"/>
              <w:rPr/>
            </w:pPr>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16.45</w:t>
            </w:r>
          </w:p>
        </w:tc>
        <w:tc>
          <w:tcPr>
            <w:tcW w:w="1307"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16.45</w:t>
            </w:r>
          </w:p>
        </w:tc>
        <w:tc>
          <w:tcPr>
            <w:tcW w:w="1169" w:type="dxa"/>
            <w:vAlign w:val="top"/>
          </w:tcPr>
          <w:p>
            <w:pPr>
              <w:pStyle w:val="TableText"/>
              <w:rPr/>
            </w:pPr>
            <w:r/>
          </w:p>
        </w:tc>
      </w:tr>
      <w:tr>
        <w:trPr>
          <w:trHeight w:val="326" w:hRule="atLeast"/>
        </w:trPr>
        <w:tc>
          <w:tcPr>
            <w:tcW w:w="2967"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退休费</w:t>
            </w:r>
          </w:p>
        </w:tc>
        <w:tc>
          <w:tcPr>
            <w:tcW w:w="2158"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3"/>
              </w:rPr>
              <w:t>离退休费</w:t>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15.48</w:t>
            </w:r>
          </w:p>
        </w:tc>
        <w:tc>
          <w:tcPr>
            <w:tcW w:w="1307"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15.48</w:t>
            </w:r>
          </w:p>
        </w:tc>
        <w:tc>
          <w:tcPr>
            <w:tcW w:w="1169" w:type="dxa"/>
            <w:vAlign w:val="top"/>
          </w:tcPr>
          <w:p>
            <w:pPr>
              <w:pStyle w:val="TableText"/>
              <w:rPr/>
            </w:pPr>
            <w:r/>
          </w:p>
        </w:tc>
      </w:tr>
      <w:tr>
        <w:trPr>
          <w:trHeight w:val="331"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215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1367" w:type="dxa"/>
            <w:vAlign w:val="top"/>
          </w:tcPr>
          <w:p>
            <w:pPr>
              <w:spacing w:before="68" w:line="238" w:lineRule="auto"/>
              <w:jc w:val="right"/>
              <w:rPr>
                <w:rFonts w:ascii="SimSun" w:hAnsi="SimSun" w:eastAsia="SimSun" w:cs="SimSun"/>
                <w:sz w:val="18"/>
                <w:szCs w:val="18"/>
              </w:rPr>
            </w:pPr>
            <w:r>
              <w:rPr>
                <w:rFonts w:ascii="SimSun" w:hAnsi="SimSun" w:eastAsia="SimSun" w:cs="SimSun"/>
                <w:sz w:val="18"/>
                <w:szCs w:val="18"/>
                <w:color w:val="212529"/>
                <w:spacing w:val="-3"/>
              </w:rPr>
              <w:t>0.97</w:t>
            </w:r>
          </w:p>
        </w:tc>
        <w:tc>
          <w:tcPr>
            <w:tcW w:w="1307" w:type="dxa"/>
            <w:vAlign w:val="top"/>
          </w:tcPr>
          <w:p>
            <w:pPr>
              <w:spacing w:before="68" w:line="238" w:lineRule="auto"/>
              <w:jc w:val="right"/>
              <w:rPr>
                <w:rFonts w:ascii="SimSun" w:hAnsi="SimSun" w:eastAsia="SimSun" w:cs="SimSun"/>
                <w:sz w:val="18"/>
                <w:szCs w:val="18"/>
              </w:rPr>
            </w:pPr>
            <w:r>
              <w:rPr>
                <w:rFonts w:ascii="SimSun" w:hAnsi="SimSun" w:eastAsia="SimSun" w:cs="SimSun"/>
                <w:sz w:val="18"/>
                <w:szCs w:val="18"/>
                <w:color w:val="212529"/>
                <w:spacing w:val="-3"/>
              </w:rPr>
              <w:t>0.97</w:t>
            </w:r>
          </w:p>
        </w:tc>
        <w:tc>
          <w:tcPr>
            <w:tcW w:w="1169" w:type="dxa"/>
            <w:vAlign w:val="top"/>
          </w:tcPr>
          <w:p>
            <w:pPr>
              <w:pStyle w:val="TableText"/>
              <w:rPr/>
            </w:pPr>
            <w:r/>
          </w:p>
        </w:tc>
      </w:tr>
    </w:tbl>
    <w:p>
      <w:pPr>
        <w:rPr>
          <w:rFonts w:ascii="Arial"/>
          <w:sz w:val="21"/>
        </w:rPr>
      </w:pPr>
      <w:r/>
    </w:p>
    <w:p>
      <w:pPr>
        <w:sectPr>
          <w:headerReference w:type="default" r:id="rId23"/>
          <w:footerReference w:type="default" r:id="rId24"/>
          <w:pgSz w:w="11900" w:h="16840"/>
          <w:pgMar w:top="642" w:right="0" w:bottom="340" w:left="0" w:header="326" w:footer="91"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4748"/>
        <w:gridCol w:w="1960"/>
      </w:tblGrid>
      <w:tr>
        <w:trPr>
          <w:trHeight w:val="426" w:hRule="atLeast"/>
        </w:trPr>
        <w:tc>
          <w:tcPr>
            <w:tcW w:w="23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7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60"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1" w:id="19"/>
            <w:bookmarkEnd w:id="19"/>
            <w:bookmarkStart w:name="bookmark10" w:id="20"/>
            <w:bookmarkEnd w:id="20"/>
            <w:r>
              <w:rPr>
                <w:rFonts w:ascii="SimSun" w:hAnsi="SimSun" w:eastAsia="SimSun" w:cs="SimSun"/>
                <w:sz w:val="24"/>
                <w:szCs w:val="24"/>
                <w:color w:val="212529"/>
                <w:spacing w:val="-1"/>
              </w:rPr>
              <w:t>2024年政府性基金预算收入表（不含上年结转）</w:t>
            </w:r>
          </w:p>
        </w:tc>
      </w:tr>
      <w:tr>
        <w:trPr>
          <w:trHeight w:val="421" w:hRule="atLeast"/>
        </w:trPr>
        <w:tc>
          <w:tcPr>
            <w:tcW w:w="7056" w:type="dxa"/>
            <w:vAlign w:val="top"/>
            <w:gridSpan w:val="2"/>
            <w:tcBorders>
              <w:left w:val="single" w:color="FFFFFF" w:sz="2" w:space="0"/>
              <w:right w:val="single" w:color="FFFFFF" w:sz="2" w:space="0"/>
              <w:top w:val="single" w:color="FFFFFF" w:sz="4" w:space="0"/>
            </w:tcBorders>
          </w:tcPr>
          <w:p>
            <w:pPr>
              <w:ind w:left="12"/>
              <w:spacing w:before="129"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9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7056" w:type="dxa"/>
            <w:vAlign w:val="top"/>
            <w:gridSpan w:val="2"/>
          </w:tcPr>
          <w:p>
            <w:pPr>
              <w:ind w:left="3348"/>
              <w:spacing w:before="10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960" w:type="dxa"/>
            <w:vAlign w:val="top"/>
            <w:vMerge w:val="restart"/>
            <w:tcBorders>
              <w:bottom w:val="nil"/>
            </w:tcBorders>
          </w:tcPr>
          <w:p>
            <w:pPr>
              <w:pStyle w:val="TableText"/>
              <w:spacing w:line="265" w:lineRule="auto"/>
              <w:rPr/>
            </w:pPr>
            <w:r/>
          </w:p>
          <w:p>
            <w:pPr>
              <w:ind w:left="166"/>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308" w:type="dxa"/>
            <w:vAlign w:val="top"/>
          </w:tcPr>
          <w:p>
            <w:pPr>
              <w:ind w:left="615"/>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748" w:type="dxa"/>
            <w:vAlign w:val="top"/>
          </w:tcPr>
          <w:p>
            <w:pPr>
              <w:ind w:left="2010"/>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960" w:type="dxa"/>
            <w:vAlign w:val="top"/>
            <w:vMerge w:val="continue"/>
            <w:tcBorders>
              <w:top w:val="nil"/>
            </w:tcBorders>
          </w:tcPr>
          <w:p>
            <w:pPr>
              <w:pStyle w:val="TableText"/>
              <w:rPr/>
            </w:pPr>
            <w:r/>
          </w:p>
        </w:tc>
      </w:tr>
      <w:tr>
        <w:trPr>
          <w:trHeight w:val="421" w:hRule="atLeast"/>
        </w:trPr>
        <w:tc>
          <w:tcPr>
            <w:tcW w:w="7056" w:type="dxa"/>
            <w:vAlign w:val="top"/>
            <w:gridSpan w:val="2"/>
          </w:tcPr>
          <w:p>
            <w:pPr>
              <w:ind w:left="334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960" w:type="dxa"/>
            <w:vAlign w:val="top"/>
          </w:tcPr>
          <w:p>
            <w:pPr>
              <w:pStyle w:val="TableText"/>
              <w:rPr/>
            </w:pPr>
            <w:r/>
          </w:p>
        </w:tc>
      </w:tr>
      <w:tr>
        <w:trPr>
          <w:trHeight w:val="421" w:hRule="atLeast"/>
        </w:trPr>
        <w:tc>
          <w:tcPr>
            <w:tcW w:w="2308" w:type="dxa"/>
            <w:vAlign w:val="top"/>
          </w:tcPr>
          <w:p>
            <w:pPr>
              <w:pStyle w:val="TableText"/>
              <w:rPr/>
            </w:pPr>
            <w:r/>
          </w:p>
        </w:tc>
        <w:tc>
          <w:tcPr>
            <w:tcW w:w="4748" w:type="dxa"/>
            <w:vAlign w:val="top"/>
          </w:tcPr>
          <w:p>
            <w:pPr>
              <w:pStyle w:val="TableText"/>
              <w:rPr/>
            </w:pPr>
            <w:r/>
          </w:p>
        </w:tc>
        <w:tc>
          <w:tcPr>
            <w:tcW w:w="1960" w:type="dxa"/>
            <w:vAlign w:val="top"/>
          </w:tcPr>
          <w:p>
            <w:pPr>
              <w:pStyle w:val="TableText"/>
              <w:rPr/>
            </w:pPr>
            <w:r/>
          </w:p>
        </w:tc>
      </w:tr>
      <w:tr>
        <w:trPr>
          <w:trHeight w:val="426" w:hRule="atLeast"/>
        </w:trPr>
        <w:tc>
          <w:tcPr>
            <w:tcW w:w="9016" w:type="dxa"/>
            <w:vAlign w:val="top"/>
            <w:gridSpan w:val="3"/>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rPr>
          <w:rFonts w:ascii="Arial"/>
          <w:sz w:val="21"/>
        </w:rPr>
      </w:pPr>
      <w:r/>
    </w:p>
    <w:p>
      <w:pPr>
        <w:sectPr>
          <w:headerReference w:type="default" r:id="rId6"/>
          <w:footerReference w:type="default" r:id="rId25"/>
          <w:pgSz w:w="11900" w:h="16840"/>
          <w:pgMar w:top="642" w:right="0" w:bottom="340" w:left="0" w:header="326" w:footer="91"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3489"/>
        <w:gridCol w:w="1127"/>
        <w:gridCol w:w="1139"/>
        <w:gridCol w:w="1193"/>
      </w:tblGrid>
      <w:tr>
        <w:trPr>
          <w:trHeight w:val="426" w:hRule="atLeast"/>
        </w:trPr>
        <w:tc>
          <w:tcPr>
            <w:tcW w:w="20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8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93"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2" w:id="21"/>
            <w:bookmarkEnd w:id="21"/>
            <w:bookmarkStart w:name="bookmark11" w:id="22"/>
            <w:bookmarkEnd w:id="22"/>
            <w:r>
              <w:rPr>
                <w:rFonts w:ascii="SimSun" w:hAnsi="SimSun" w:eastAsia="SimSun" w:cs="SimSun"/>
                <w:sz w:val="24"/>
                <w:szCs w:val="24"/>
                <w:color w:val="212529"/>
                <w:spacing w:val="-1"/>
              </w:rPr>
              <w:t>2024年政府性基金预算支出表（不含上年结转）</w:t>
            </w:r>
          </w:p>
        </w:tc>
      </w:tr>
      <w:tr>
        <w:trPr>
          <w:trHeight w:val="420" w:hRule="atLeast"/>
        </w:trPr>
        <w:tc>
          <w:tcPr>
            <w:tcW w:w="5557" w:type="dxa"/>
            <w:vAlign w:val="top"/>
            <w:gridSpan w:val="2"/>
            <w:tcBorders>
              <w:left w:val="single" w:color="FFFFFF" w:sz="2" w:space="0"/>
              <w:right w:val="single" w:color="FFFFFF" w:sz="2" w:space="0"/>
              <w:top w:val="single" w:color="FFFFFF" w:sz="4" w:space="0"/>
            </w:tcBorders>
          </w:tcPr>
          <w:p>
            <w:pPr>
              <w:ind w:left="12"/>
              <w:spacing w:before="129"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127" w:type="dxa"/>
            <w:vAlign w:val="top"/>
            <w:tcBorders>
              <w:left w:val="single" w:color="FFFFFF" w:sz="2" w:space="0"/>
              <w:right w:val="single" w:color="FFFFFF" w:sz="2" w:space="0"/>
              <w:top w:val="single" w:color="FFFFFF" w:sz="4" w:space="0"/>
            </w:tcBorders>
          </w:tcPr>
          <w:p>
            <w:pPr>
              <w:pStyle w:val="TableText"/>
              <w:rPr/>
            </w:pPr>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193"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068" w:type="dxa"/>
            <w:vAlign w:val="top"/>
          </w:tcPr>
          <w:p>
            <w:pPr>
              <w:ind w:left="66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489" w:type="dxa"/>
            <w:vAlign w:val="top"/>
          </w:tcPr>
          <w:p>
            <w:pPr>
              <w:ind w:left="137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127" w:type="dxa"/>
            <w:vAlign w:val="top"/>
          </w:tcPr>
          <w:p>
            <w:pPr>
              <w:ind w:left="382"/>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ind w:left="208"/>
              <w:spacing w:before="110"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193" w:type="dxa"/>
            <w:vAlign w:val="top"/>
          </w:tcPr>
          <w:p>
            <w:pPr>
              <w:ind w:left="237"/>
              <w:spacing w:before="110"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557" w:type="dxa"/>
            <w:vAlign w:val="top"/>
            <w:gridSpan w:val="2"/>
          </w:tcPr>
          <w:p>
            <w:pPr>
              <w:ind w:left="259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1" w:hRule="atLeast"/>
        </w:trPr>
        <w:tc>
          <w:tcPr>
            <w:tcW w:w="2068" w:type="dxa"/>
            <w:vAlign w:val="top"/>
          </w:tcPr>
          <w:p>
            <w:pPr>
              <w:pStyle w:val="TableText"/>
              <w:rPr/>
            </w:pPr>
            <w:r/>
          </w:p>
        </w:tc>
        <w:tc>
          <w:tcPr>
            <w:tcW w:w="3489" w:type="dxa"/>
            <w:vAlign w:val="top"/>
          </w:tcPr>
          <w:p>
            <w:pPr>
              <w:pStyle w:val="TableText"/>
              <w:rPr/>
            </w:pPr>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6" w:hRule="atLeast"/>
        </w:trPr>
        <w:tc>
          <w:tcPr>
            <w:tcW w:w="9016" w:type="dxa"/>
            <w:vAlign w:val="top"/>
            <w:gridSpan w:val="5"/>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rPr>
          <w:rFonts w:ascii="Arial"/>
          <w:sz w:val="21"/>
        </w:rPr>
      </w:pPr>
      <w:r/>
    </w:p>
    <w:p>
      <w:pPr>
        <w:sectPr>
          <w:footerReference w:type="default" r:id="rId26"/>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27"/>
        <w:gridCol w:w="935"/>
        <w:gridCol w:w="935"/>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right="10"/>
              <w:spacing w:before="252" w:line="203" w:lineRule="auto"/>
              <w:jc w:val="right"/>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31"/>
              <w:spacing w:before="90" w:line="219" w:lineRule="auto"/>
              <w:outlineLvl w:val="1"/>
              <w:rPr>
                <w:rFonts w:ascii="SimSun" w:hAnsi="SimSun" w:eastAsia="SimSun" w:cs="SimSun"/>
                <w:sz w:val="24"/>
                <w:szCs w:val="24"/>
              </w:rPr>
            </w:pPr>
            <w:bookmarkStart w:name="bookmark43" w:id="23"/>
            <w:bookmarkEnd w:id="23"/>
            <w:bookmarkStart w:name="bookmark12" w:id="24"/>
            <w:bookmarkEnd w:id="24"/>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2"/>
              <w:spacing w:before="128"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013" w:type="dxa"/>
            <w:vAlign w:val="top"/>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59" w:type="dxa"/>
            <w:vAlign w:val="top"/>
            <w:gridSpan w:val="3"/>
          </w:tcPr>
          <w:p>
            <w:pPr>
              <w:ind w:left="992"/>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57" w:type="dxa"/>
            <w:vAlign w:val="top"/>
            <w:gridSpan w:val="5"/>
          </w:tcPr>
          <w:p>
            <w:pPr>
              <w:ind w:left="1741"/>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24" w:type="dxa"/>
            <w:vAlign w:val="top"/>
            <w:gridSpan w:val="2"/>
          </w:tcPr>
          <w:p>
            <w:pPr>
              <w:ind w:left="1230"/>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35" w:type="dxa"/>
            <w:vAlign w:val="top"/>
            <w:vMerge w:val="restart"/>
            <w:tcBorders>
              <w:bottom w:val="nil"/>
            </w:tcBorders>
          </w:tcPr>
          <w:p>
            <w:pPr>
              <w:ind w:left="29"/>
              <w:spacing w:before="218"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17"/>
              <w:spacing w:line="219" w:lineRule="auto"/>
              <w:rPr>
                <w:rFonts w:ascii="SimSun" w:hAnsi="SimSun" w:eastAsia="SimSun" w:cs="SimSun"/>
                <w:sz w:val="18"/>
                <w:szCs w:val="18"/>
              </w:rPr>
            </w:pPr>
            <w:r>
              <w:rPr>
                <w:rFonts w:ascii="SimSun" w:hAnsi="SimSun" w:eastAsia="SimSun" w:cs="SimSun"/>
                <w:sz w:val="18"/>
                <w:szCs w:val="18"/>
                <w:color w:val="212529"/>
                <w:spacing w:val="-3"/>
              </w:rPr>
              <w:t>营收入预算</w:t>
            </w:r>
          </w:p>
        </w:tc>
        <w:tc>
          <w:tcPr>
            <w:tcW w:w="935" w:type="dxa"/>
            <w:vAlign w:val="top"/>
            <w:vMerge w:val="restart"/>
            <w:tcBorders>
              <w:bottom w:val="nil"/>
            </w:tcBorders>
          </w:tcPr>
          <w:p>
            <w:pPr>
              <w:pStyle w:val="TableText"/>
              <w:spacing w:line="265" w:lineRule="auto"/>
              <w:rPr/>
            </w:pPr>
            <w:r/>
          </w:p>
          <w:p>
            <w:pPr>
              <w:ind w:left="103"/>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44"/>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30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101"/>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4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1727" w:type="dxa"/>
            <w:vAlign w:val="top"/>
          </w:tcPr>
          <w:p>
            <w:pPr>
              <w:ind w:left="496"/>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35" w:type="dxa"/>
            <w:vAlign w:val="top"/>
            <w:vMerge w:val="continue"/>
            <w:tcBorders>
              <w:top w:val="nil"/>
            </w:tcBorders>
          </w:tcPr>
          <w:p>
            <w:pPr>
              <w:pStyle w:val="TableText"/>
              <w:rPr/>
            </w:pPr>
            <w:r/>
          </w:p>
        </w:tc>
        <w:tc>
          <w:tcPr>
            <w:tcW w:w="935"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24" w:type="dxa"/>
            <w:vAlign w:val="top"/>
            <w:gridSpan w:val="2"/>
          </w:tcPr>
          <w:p>
            <w:pPr>
              <w:ind w:left="12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27" w:type="dxa"/>
            <w:vAlign w:val="top"/>
          </w:tcPr>
          <w:p>
            <w:pPr>
              <w:pStyle w:val="TableText"/>
              <w:rPr/>
            </w:pPr>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71"/>
        <w:gridCol w:w="1474"/>
        <w:gridCol w:w="1391"/>
        <w:gridCol w:w="1295"/>
        <w:gridCol w:w="1385"/>
      </w:tblGrid>
      <w:tr>
        <w:trPr>
          <w:trHeight w:val="427" w:hRule="atLeast"/>
        </w:trPr>
        <w:tc>
          <w:tcPr>
            <w:tcW w:w="34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7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85"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111"/>
              <w:spacing w:before="91" w:line="219" w:lineRule="auto"/>
              <w:outlineLvl w:val="1"/>
              <w:rPr>
                <w:rFonts w:ascii="SimSun" w:hAnsi="SimSun" w:eastAsia="SimSun" w:cs="SimSun"/>
                <w:sz w:val="24"/>
                <w:szCs w:val="24"/>
              </w:rPr>
            </w:pPr>
            <w:bookmarkStart w:name="bookmark13" w:id="25"/>
            <w:bookmarkEnd w:id="25"/>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336" w:type="dxa"/>
            <w:vAlign w:val="top"/>
            <w:gridSpan w:val="3"/>
            <w:tcBorders>
              <w:left w:val="single" w:color="FFFFFF" w:sz="2" w:space="0"/>
              <w:right w:val="single" w:color="FFFFFF" w:sz="2" w:space="0"/>
              <w:top w:val="single" w:color="FFFFFF" w:sz="4" w:space="0"/>
            </w:tcBorders>
          </w:tcPr>
          <w:p>
            <w:pPr>
              <w:ind w:left="12"/>
              <w:spacing w:before="127"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295" w:type="dxa"/>
            <w:vAlign w:val="top"/>
            <w:tcBorders>
              <w:left w:val="single" w:color="FFFFFF" w:sz="2" w:space="0"/>
              <w:right w:val="single" w:color="FFFFFF" w:sz="2" w:space="0"/>
              <w:top w:val="single" w:color="FFFFFF" w:sz="4" w:space="0"/>
            </w:tcBorders>
          </w:tcPr>
          <w:p>
            <w:pPr>
              <w:pStyle w:val="TableText"/>
              <w:rPr/>
            </w:pPr>
            <w:r/>
          </w:p>
        </w:tc>
        <w:tc>
          <w:tcPr>
            <w:tcW w:w="1385" w:type="dxa"/>
            <w:vAlign w:val="top"/>
            <w:tcBorders>
              <w:left w:val="single" w:color="FFFFFF" w:sz="2" w:space="0"/>
              <w:right w:val="single" w:color="FFFFFF" w:sz="2" w:space="0"/>
              <w:top w:val="single" w:color="FFFFFF" w:sz="4" w:space="0"/>
            </w:tcBorders>
          </w:tcPr>
          <w:p>
            <w:pPr>
              <w:ind w:right="11"/>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471" w:type="dxa"/>
            <w:vAlign w:val="top"/>
            <w:vMerge w:val="restart"/>
            <w:tcBorders>
              <w:bottom w:val="nil"/>
            </w:tcBorders>
          </w:tcPr>
          <w:p>
            <w:pPr>
              <w:pStyle w:val="TableText"/>
              <w:spacing w:line="263" w:lineRule="auto"/>
              <w:rPr/>
            </w:pPr>
            <w:r/>
          </w:p>
          <w:p>
            <w:pPr>
              <w:ind w:left="1554"/>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545" w:type="dxa"/>
            <w:vAlign w:val="top"/>
            <w:gridSpan w:val="4"/>
          </w:tcPr>
          <w:p>
            <w:pPr>
              <w:ind w:left="222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471" w:type="dxa"/>
            <w:vAlign w:val="top"/>
            <w:vMerge w:val="continue"/>
            <w:tcBorders>
              <w:top w:val="nil"/>
            </w:tcBorders>
          </w:tcPr>
          <w:p>
            <w:pPr>
              <w:pStyle w:val="TableText"/>
              <w:rPr/>
            </w:pPr>
            <w:r/>
          </w:p>
        </w:tc>
        <w:tc>
          <w:tcPr>
            <w:tcW w:w="1474" w:type="dxa"/>
            <w:vAlign w:val="top"/>
          </w:tcPr>
          <w:p>
            <w:pPr>
              <w:ind w:left="553"/>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1" w:type="dxa"/>
            <w:vAlign w:val="top"/>
          </w:tcPr>
          <w:p>
            <w:pPr>
              <w:ind w:left="156"/>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95" w:type="dxa"/>
            <w:vAlign w:val="top"/>
          </w:tcPr>
          <w:p>
            <w:pPr>
              <w:ind w:left="16"/>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385" w:type="dxa"/>
            <w:vAlign w:val="top"/>
          </w:tcPr>
          <w:p>
            <w:pPr>
              <w:ind w:left="77"/>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601"/>
              <w:spacing w:line="211" w:lineRule="auto"/>
              <w:rPr>
                <w:rFonts w:ascii="SimSun" w:hAnsi="SimSun" w:eastAsia="SimSun" w:cs="SimSun"/>
                <w:sz w:val="18"/>
                <w:szCs w:val="18"/>
              </w:rPr>
            </w:pPr>
            <w:r>
              <w:rPr>
                <w:rFonts w:ascii="SimSun" w:hAnsi="SimSun" w:eastAsia="SimSun" w:cs="SimSun"/>
                <w:sz w:val="18"/>
                <w:szCs w:val="18"/>
                <w:color w:val="212529"/>
              </w:rPr>
              <w:t>算</w:t>
            </w:r>
          </w:p>
        </w:tc>
      </w:tr>
      <w:tr>
        <w:trPr>
          <w:trHeight w:val="421" w:hRule="atLeast"/>
        </w:trPr>
        <w:tc>
          <w:tcPr>
            <w:tcW w:w="3471" w:type="dxa"/>
            <w:vAlign w:val="top"/>
          </w:tcPr>
          <w:p>
            <w:pPr>
              <w:ind w:left="1031"/>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1292"/>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2" w:hRule="atLeast"/>
        </w:trPr>
        <w:tc>
          <w:tcPr>
            <w:tcW w:w="3471" w:type="dxa"/>
            <w:vAlign w:val="top"/>
          </w:tcPr>
          <w:p>
            <w:pPr>
              <w:ind w:left="842"/>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474"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9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1016"/>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835"/>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474"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9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295" w:type="dxa"/>
            <w:vAlign w:val="top"/>
          </w:tcPr>
          <w:p>
            <w:pPr>
              <w:pStyle w:val="TableText"/>
              <w:rPr/>
            </w:pPr>
            <w:r/>
          </w:p>
        </w:tc>
        <w:tc>
          <w:tcPr>
            <w:tcW w:w="1385" w:type="dxa"/>
            <w:vAlign w:val="top"/>
          </w:tcPr>
          <w:p>
            <w:pPr>
              <w:pStyle w:val="TableText"/>
              <w:rPr/>
            </w:pPr>
            <w:r/>
          </w:p>
        </w:tc>
      </w:tr>
      <w:tr>
        <w:trPr>
          <w:trHeight w:val="427" w:hRule="atLeast"/>
        </w:trPr>
        <w:tc>
          <w:tcPr>
            <w:tcW w:w="3471" w:type="dxa"/>
            <w:vAlign w:val="top"/>
          </w:tcPr>
          <w:p>
            <w:pPr>
              <w:ind w:left="1552"/>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74"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9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295" w:type="dxa"/>
            <w:vAlign w:val="top"/>
          </w:tcPr>
          <w:p>
            <w:pPr>
              <w:pStyle w:val="TableText"/>
              <w:rPr/>
            </w:pPr>
            <w:r/>
          </w:p>
        </w:tc>
        <w:tc>
          <w:tcPr>
            <w:tcW w:w="1385" w:type="dxa"/>
            <w:vAlign w:val="top"/>
          </w:tcPr>
          <w:p>
            <w:pPr>
              <w:pStyle w:val="TableText"/>
              <w:rPr/>
            </w:pPr>
            <w:r/>
          </w:p>
        </w:tc>
      </w:tr>
    </w:tbl>
    <w:p>
      <w:pPr>
        <w:rPr>
          <w:rFonts w:ascii="Arial"/>
          <w:sz w:val="21"/>
        </w:rPr>
      </w:pPr>
      <w:r/>
    </w:p>
    <w:p>
      <w:pPr>
        <w:sectPr>
          <w:headerReference w:type="default" r:id="rId27"/>
          <w:footerReference w:type="default" r:id="rId28"/>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7"/>
        <w:gridCol w:w="1463"/>
        <w:gridCol w:w="1559"/>
        <w:gridCol w:w="1391"/>
        <w:gridCol w:w="1576"/>
      </w:tblGrid>
      <w:tr>
        <w:trPr>
          <w:trHeight w:val="426" w:hRule="atLeast"/>
        </w:trPr>
        <w:tc>
          <w:tcPr>
            <w:tcW w:w="30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3" w:type="dxa"/>
            <w:vAlign w:val="top"/>
            <w:tcBorders>
              <w:left w:val="single" w:color="FFFFFF" w:sz="2" w:space="0"/>
              <w:right w:val="single" w:color="FFFFFF" w:sz="2" w:space="0"/>
              <w:bottom w:val="single" w:color="FFFFFF" w:sz="4" w:space="0"/>
              <w:top w:val="nil"/>
            </w:tcBorders>
          </w:tcPr>
          <w:p>
            <w:pPr>
              <w:pStyle w:val="TableText"/>
              <w:rPr/>
            </w:pPr>
            <w:r/>
          </w:p>
        </w:tc>
        <w:tc>
          <w:tcPr>
            <w:tcW w:w="15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76" w:type="dxa"/>
            <w:vAlign w:val="top"/>
            <w:tcBorders>
              <w:left w:val="single" w:color="FFFFFF" w:sz="2" w:space="0"/>
              <w:right w:val="single" w:color="FFFFFF" w:sz="2" w:space="0"/>
              <w:bottom w:val="single" w:color="FFFFFF" w:sz="4" w:space="0"/>
              <w:top w:val="single" w:color="FFFFFF" w:sz="4" w:space="0"/>
            </w:tcBorders>
          </w:tcPr>
          <w:p>
            <w:pPr>
              <w:ind w:right="4"/>
              <w:spacing w:before="1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51"/>
              <w:spacing w:before="91" w:line="219" w:lineRule="auto"/>
              <w:outlineLvl w:val="1"/>
              <w:rPr>
                <w:rFonts w:ascii="SimSun" w:hAnsi="SimSun" w:eastAsia="SimSun" w:cs="SimSun"/>
                <w:sz w:val="24"/>
                <w:szCs w:val="24"/>
              </w:rPr>
            </w:pPr>
            <w:bookmarkStart w:name="bookmark44" w:id="26"/>
            <w:bookmarkEnd w:id="26"/>
            <w:bookmarkStart w:name="bookmark14" w:id="27"/>
            <w:bookmarkEnd w:id="27"/>
            <w:r>
              <w:rPr>
                <w:rFonts w:ascii="SimSun" w:hAnsi="SimSun" w:eastAsia="SimSun" w:cs="SimSun"/>
                <w:sz w:val="24"/>
                <w:szCs w:val="24"/>
                <w:color w:val="212529"/>
                <w:spacing w:val="-1"/>
              </w:rPr>
              <w:t>2024年财政拨款安排机关运行经费预算表</w:t>
            </w:r>
          </w:p>
        </w:tc>
      </w:tr>
      <w:tr>
        <w:trPr>
          <w:trHeight w:val="420" w:hRule="atLeast"/>
        </w:trPr>
        <w:tc>
          <w:tcPr>
            <w:tcW w:w="3027" w:type="dxa"/>
            <w:vAlign w:val="top"/>
            <w:tcBorders>
              <w:left w:val="single" w:color="FFFFFF" w:sz="2" w:space="0"/>
              <w:right w:val="single" w:color="FFFFFF" w:sz="2" w:space="0"/>
              <w:top w:val="single" w:color="FFFFFF" w:sz="4" w:space="0"/>
            </w:tcBorders>
          </w:tcPr>
          <w:p>
            <w:pPr>
              <w:ind w:left="12"/>
              <w:spacing w:before="129"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463" w:type="dxa"/>
            <w:vAlign w:val="top"/>
            <w:tcBorders>
              <w:left w:val="single" w:color="FFFFFF" w:sz="2" w:space="0"/>
              <w:right w:val="single" w:color="FFFFFF" w:sz="2" w:space="0"/>
              <w:top w:val="single" w:color="FFFFFF" w:sz="4" w:space="0"/>
            </w:tcBorders>
          </w:tcPr>
          <w:p>
            <w:pPr>
              <w:pStyle w:val="TableText"/>
              <w:rPr/>
            </w:pPr>
            <w:r/>
          </w:p>
        </w:tc>
        <w:tc>
          <w:tcPr>
            <w:tcW w:w="1559" w:type="dxa"/>
            <w:vAlign w:val="top"/>
            <w:tcBorders>
              <w:left w:val="single" w:color="FFFFFF" w:sz="2" w:space="0"/>
              <w:right w:val="single" w:color="FFFFFF" w:sz="2" w:space="0"/>
              <w:top w:val="single" w:color="FFFFFF" w:sz="4" w:space="0"/>
            </w:tcBorders>
          </w:tcPr>
          <w:p>
            <w:pPr>
              <w:pStyle w:val="TableText"/>
              <w:rPr/>
            </w:pPr>
            <w:r/>
          </w:p>
        </w:tc>
        <w:tc>
          <w:tcPr>
            <w:tcW w:w="1391" w:type="dxa"/>
            <w:vAlign w:val="top"/>
            <w:tcBorders>
              <w:left w:val="single" w:color="FFFFFF" w:sz="2" w:space="0"/>
              <w:right w:val="single" w:color="FFFFFF" w:sz="2" w:space="0"/>
              <w:top w:val="single" w:color="FFFFFF" w:sz="4" w:space="0"/>
            </w:tcBorders>
          </w:tcPr>
          <w:p>
            <w:pPr>
              <w:pStyle w:val="TableText"/>
              <w:rPr/>
            </w:pPr>
            <w:r/>
          </w:p>
        </w:tc>
        <w:tc>
          <w:tcPr>
            <w:tcW w:w="1576"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027" w:type="dxa"/>
            <w:vAlign w:val="top"/>
            <w:vMerge w:val="restart"/>
            <w:tcBorders>
              <w:bottom w:val="nil"/>
            </w:tcBorders>
          </w:tcPr>
          <w:p>
            <w:pPr>
              <w:pStyle w:val="TableText"/>
              <w:spacing w:line="266" w:lineRule="auto"/>
              <w:rPr/>
            </w:pPr>
            <w:r/>
          </w:p>
          <w:p>
            <w:pPr>
              <w:ind w:left="1150"/>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5989" w:type="dxa"/>
            <w:vAlign w:val="top"/>
            <w:gridSpan w:val="4"/>
          </w:tcPr>
          <w:p>
            <w:pPr>
              <w:ind w:left="2541"/>
              <w:spacing w:before="111"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3027" w:type="dxa"/>
            <w:vAlign w:val="top"/>
            <w:vMerge w:val="continue"/>
            <w:tcBorders>
              <w:top w:val="nil"/>
            </w:tcBorders>
          </w:tcPr>
          <w:p>
            <w:pPr>
              <w:pStyle w:val="TableText"/>
              <w:rPr/>
            </w:pPr>
            <w:r/>
          </w:p>
        </w:tc>
        <w:tc>
          <w:tcPr>
            <w:tcW w:w="1463" w:type="dxa"/>
            <w:vAlign w:val="top"/>
          </w:tcPr>
          <w:p>
            <w:pPr>
              <w:ind w:left="547"/>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59" w:type="dxa"/>
            <w:vAlign w:val="top"/>
          </w:tcPr>
          <w:p>
            <w:pPr>
              <w:ind w:left="239"/>
              <w:spacing w:before="112"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91" w:type="dxa"/>
            <w:vAlign w:val="top"/>
          </w:tcPr>
          <w:p>
            <w:pPr>
              <w:ind w:left="63"/>
              <w:spacing w:before="111"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576" w:type="dxa"/>
            <w:vAlign w:val="top"/>
          </w:tcPr>
          <w:p>
            <w:pPr>
              <w:ind w:left="82"/>
              <w:spacing w:before="111"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3027" w:type="dxa"/>
            <w:vAlign w:val="top"/>
          </w:tcPr>
          <w:p>
            <w:pPr>
              <w:ind w:left="1151"/>
              <w:spacing w:before="113"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463"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22.45</w:t>
            </w:r>
          </w:p>
        </w:tc>
        <w:tc>
          <w:tcPr>
            <w:tcW w:w="1559"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22.45</w:t>
            </w:r>
          </w:p>
        </w:tc>
        <w:tc>
          <w:tcPr>
            <w:tcW w:w="1391" w:type="dxa"/>
            <w:vAlign w:val="top"/>
          </w:tcPr>
          <w:p>
            <w:pPr>
              <w:pStyle w:val="TableText"/>
              <w:rPr/>
            </w:pPr>
            <w:r/>
          </w:p>
        </w:tc>
        <w:tc>
          <w:tcPr>
            <w:tcW w:w="1576" w:type="dxa"/>
            <w:vAlign w:val="top"/>
          </w:tcPr>
          <w:p>
            <w:pPr>
              <w:pStyle w:val="TableText"/>
              <w:rPr/>
            </w:pPr>
            <w:r/>
          </w:p>
        </w:tc>
      </w:tr>
      <w:tr>
        <w:trPr>
          <w:trHeight w:val="426" w:hRule="atLeast"/>
        </w:trPr>
        <w:tc>
          <w:tcPr>
            <w:tcW w:w="3027" w:type="dxa"/>
            <w:vAlign w:val="top"/>
          </w:tcPr>
          <w:p>
            <w:pPr>
              <w:ind w:left="12"/>
              <w:spacing w:before="114" w:line="220" w:lineRule="auto"/>
              <w:rPr>
                <w:rFonts w:ascii="SimSun" w:hAnsi="SimSun" w:eastAsia="SimSun" w:cs="SimSun"/>
                <w:sz w:val="18"/>
                <w:szCs w:val="18"/>
              </w:rPr>
            </w:pPr>
            <w:r>
              <w:rPr>
                <w:rFonts w:ascii="SimSun" w:hAnsi="SimSun" w:eastAsia="SimSun" w:cs="SimSun"/>
                <w:sz w:val="18"/>
                <w:szCs w:val="18"/>
                <w:color w:val="212529"/>
                <w:spacing w:val="-3"/>
              </w:rPr>
              <w:t>兴县审计局</w:t>
            </w:r>
          </w:p>
        </w:tc>
        <w:tc>
          <w:tcPr>
            <w:tcW w:w="1463"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22.45</w:t>
            </w:r>
          </w:p>
        </w:tc>
        <w:tc>
          <w:tcPr>
            <w:tcW w:w="1559"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22.45</w:t>
            </w:r>
          </w:p>
        </w:tc>
        <w:tc>
          <w:tcPr>
            <w:tcW w:w="1391" w:type="dxa"/>
            <w:vAlign w:val="top"/>
          </w:tcPr>
          <w:p>
            <w:pPr>
              <w:pStyle w:val="TableText"/>
              <w:rPr/>
            </w:pPr>
            <w:r/>
          </w:p>
        </w:tc>
        <w:tc>
          <w:tcPr>
            <w:tcW w:w="1576" w:type="dxa"/>
            <w:vAlign w:val="top"/>
          </w:tcPr>
          <w:p>
            <w:pPr>
              <w:pStyle w:val="TableText"/>
              <w:rPr/>
            </w:pPr>
            <w:r/>
          </w:p>
        </w:tc>
      </w:tr>
    </w:tbl>
    <w:p>
      <w:pPr>
        <w:rPr>
          <w:rFonts w:ascii="Arial"/>
          <w:sz w:val="21"/>
        </w:rPr>
      </w:pPr>
      <w:r/>
    </w:p>
    <w:p>
      <w:pPr>
        <w:sectPr>
          <w:headerReference w:type="default" r:id="rId6"/>
          <w:footerReference w:type="default" r:id="rId29"/>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28"/>
        <w:gridCol w:w="1271"/>
        <w:gridCol w:w="1283"/>
        <w:gridCol w:w="659"/>
        <w:gridCol w:w="1127"/>
        <w:gridCol w:w="1103"/>
        <w:gridCol w:w="845"/>
      </w:tblGrid>
      <w:tr>
        <w:trPr>
          <w:trHeight w:val="427" w:hRule="atLeast"/>
        </w:trPr>
        <w:tc>
          <w:tcPr>
            <w:tcW w:w="27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6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48"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1"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2591"/>
              <w:spacing w:before="90" w:line="219" w:lineRule="auto"/>
              <w:outlineLvl w:val="1"/>
              <w:rPr>
                <w:rFonts w:ascii="SimSun" w:hAnsi="SimSun" w:eastAsia="SimSun" w:cs="SimSun"/>
                <w:sz w:val="24"/>
                <w:szCs w:val="24"/>
              </w:rPr>
            </w:pPr>
            <w:bookmarkStart w:name="bookmark45" w:id="28"/>
            <w:bookmarkEnd w:id="28"/>
            <w:bookmarkStart w:name="bookmark15" w:id="29"/>
            <w:bookmarkEnd w:id="29"/>
            <w:r>
              <w:rPr>
                <w:rFonts w:ascii="SimSun" w:hAnsi="SimSun" w:eastAsia="SimSun" w:cs="SimSun"/>
                <w:sz w:val="24"/>
                <w:szCs w:val="24"/>
                <w:color w:val="212529"/>
                <w:spacing w:val="-1"/>
              </w:rPr>
              <w:t>2024年项目支出预算表（本年预算）</w:t>
            </w:r>
          </w:p>
        </w:tc>
      </w:tr>
      <w:tr>
        <w:trPr>
          <w:trHeight w:val="421" w:hRule="atLeast"/>
        </w:trPr>
        <w:tc>
          <w:tcPr>
            <w:tcW w:w="7068" w:type="dxa"/>
            <w:vAlign w:val="top"/>
            <w:gridSpan w:val="5"/>
            <w:tcBorders>
              <w:left w:val="single" w:color="FFFFFF" w:sz="2" w:space="0"/>
              <w:top w:val="single" w:color="FFFFFF" w:sz="4" w:space="0"/>
            </w:tcBorders>
          </w:tcPr>
          <w:p>
            <w:pPr>
              <w:ind w:left="12"/>
              <w:spacing w:before="128"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948" w:type="dxa"/>
            <w:vAlign w:val="top"/>
            <w:gridSpan w:val="2"/>
            <w:tcBorders>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728" w:type="dxa"/>
            <w:vAlign w:val="top"/>
            <w:vMerge w:val="restart"/>
            <w:tcBorders>
              <w:bottom w:val="nil"/>
            </w:tcBorders>
          </w:tcPr>
          <w:p>
            <w:pPr>
              <w:pStyle w:val="TableText"/>
              <w:spacing w:line="360" w:lineRule="auto"/>
              <w:rPr/>
            </w:pPr>
            <w:r/>
          </w:p>
          <w:p>
            <w:pPr>
              <w:ind w:left="1002"/>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271" w:type="dxa"/>
            <w:vAlign w:val="top"/>
            <w:vMerge w:val="restart"/>
            <w:tcBorders>
              <w:bottom w:val="nil"/>
            </w:tcBorders>
          </w:tcPr>
          <w:p>
            <w:pPr>
              <w:pStyle w:val="TableText"/>
              <w:spacing w:line="359" w:lineRule="auto"/>
              <w:rPr/>
            </w:pPr>
            <w:r/>
          </w:p>
          <w:p>
            <w:pPr>
              <w:ind w:left="450"/>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069" w:type="dxa"/>
            <w:vAlign w:val="top"/>
            <w:gridSpan w:val="3"/>
          </w:tcPr>
          <w:p>
            <w:pPr>
              <w:ind w:left="903"/>
              <w:spacing w:before="109"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1103" w:type="dxa"/>
            <w:vAlign w:val="top"/>
            <w:vMerge w:val="restart"/>
            <w:tcBorders>
              <w:bottom w:val="nil"/>
            </w:tcBorders>
          </w:tcPr>
          <w:p>
            <w:pPr>
              <w:pStyle w:val="TableText"/>
              <w:spacing w:line="252" w:lineRule="auto"/>
              <w:rPr/>
            </w:pPr>
            <w:r/>
          </w:p>
          <w:p>
            <w:pPr>
              <w:ind w:left="378" w:right="10" w:hanging="367"/>
              <w:spacing w:before="59" w:line="215" w:lineRule="auto"/>
              <w:rPr>
                <w:rFonts w:ascii="SimSun" w:hAnsi="SimSun" w:eastAsia="SimSun" w:cs="SimSun"/>
                <w:sz w:val="18"/>
                <w:szCs w:val="18"/>
              </w:rPr>
            </w:pPr>
            <w:r>
              <w:rPr>
                <w:rFonts w:ascii="SimSun" w:hAnsi="SimSun" w:eastAsia="SimSun" w:cs="SimSun"/>
                <w:sz w:val="18"/>
                <w:szCs w:val="18"/>
                <w:color w:val="212529"/>
                <w:spacing w:val="-2"/>
              </w:rPr>
              <w:t>财政专户管理</w:t>
            </w:r>
            <w:r>
              <w:rPr>
                <w:rFonts w:ascii="SimSun" w:hAnsi="SimSun" w:eastAsia="SimSun" w:cs="SimSun"/>
                <w:sz w:val="18"/>
                <w:szCs w:val="18"/>
                <w:color w:val="212529"/>
                <w:spacing w:val="-9"/>
              </w:rPr>
              <w:t>资金</w:t>
            </w:r>
          </w:p>
        </w:tc>
        <w:tc>
          <w:tcPr>
            <w:tcW w:w="845" w:type="dxa"/>
            <w:vAlign w:val="top"/>
            <w:vMerge w:val="restart"/>
            <w:tcBorders>
              <w:bottom w:val="nil"/>
            </w:tcBorders>
          </w:tcPr>
          <w:p>
            <w:pPr>
              <w:pStyle w:val="TableText"/>
              <w:spacing w:line="360" w:lineRule="auto"/>
              <w:rPr/>
            </w:pPr>
            <w:r/>
          </w:p>
          <w:p>
            <w:pPr>
              <w:ind w:left="61"/>
              <w:spacing w:before="5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613" w:hRule="atLeast"/>
        </w:trPr>
        <w:tc>
          <w:tcPr>
            <w:tcW w:w="2728" w:type="dxa"/>
            <w:vAlign w:val="top"/>
            <w:vMerge w:val="continue"/>
            <w:tcBorders>
              <w:top w:val="nil"/>
            </w:tcBorders>
          </w:tcPr>
          <w:p>
            <w:pPr>
              <w:pStyle w:val="TableText"/>
              <w:rPr/>
            </w:pPr>
            <w:r/>
          </w:p>
        </w:tc>
        <w:tc>
          <w:tcPr>
            <w:tcW w:w="1271" w:type="dxa"/>
            <w:vAlign w:val="top"/>
            <w:vMerge w:val="continue"/>
            <w:tcBorders>
              <w:top w:val="nil"/>
            </w:tcBorders>
          </w:tcPr>
          <w:p>
            <w:pPr>
              <w:pStyle w:val="TableText"/>
              <w:rPr/>
            </w:pPr>
            <w:r/>
          </w:p>
        </w:tc>
        <w:tc>
          <w:tcPr>
            <w:tcW w:w="1283" w:type="dxa"/>
            <w:vAlign w:val="top"/>
          </w:tcPr>
          <w:p>
            <w:pPr>
              <w:ind w:left="100"/>
              <w:spacing w:before="205"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659" w:type="dxa"/>
            <w:vAlign w:val="top"/>
          </w:tcPr>
          <w:p>
            <w:pPr>
              <w:ind w:left="55"/>
              <w:spacing w:before="1" w:line="209" w:lineRule="auto"/>
              <w:rPr>
                <w:rFonts w:ascii="SimSun" w:hAnsi="SimSun" w:eastAsia="SimSun" w:cs="SimSun"/>
                <w:sz w:val="18"/>
                <w:szCs w:val="18"/>
              </w:rPr>
            </w:pPr>
            <w:r>
              <w:rPr>
                <w:rFonts w:ascii="SimSun" w:hAnsi="SimSun" w:eastAsia="SimSun" w:cs="SimSun"/>
                <w:sz w:val="18"/>
                <w:szCs w:val="18"/>
                <w:color w:val="212529"/>
                <w:spacing w:val="-3"/>
              </w:rPr>
              <w:t>政府性</w:t>
            </w:r>
          </w:p>
          <w:p>
            <w:pPr>
              <w:ind w:left="56"/>
              <w:spacing w:line="209" w:lineRule="auto"/>
              <w:rPr>
                <w:rFonts w:ascii="SimSun" w:hAnsi="SimSun" w:eastAsia="SimSun" w:cs="SimSun"/>
                <w:sz w:val="18"/>
                <w:szCs w:val="18"/>
              </w:rPr>
            </w:pPr>
            <w:r>
              <w:rPr>
                <w:rFonts w:ascii="SimSun" w:hAnsi="SimSun" w:eastAsia="SimSun" w:cs="SimSun"/>
                <w:sz w:val="18"/>
                <w:szCs w:val="18"/>
                <w:color w:val="212529"/>
                <w:spacing w:val="-3"/>
              </w:rPr>
              <w:t>基金预</w:t>
            </w:r>
          </w:p>
          <w:p>
            <w:pPr>
              <w:ind w:left="238"/>
              <w:spacing w:line="198" w:lineRule="auto"/>
              <w:rPr>
                <w:rFonts w:ascii="SimSun" w:hAnsi="SimSun" w:eastAsia="SimSun" w:cs="SimSun"/>
                <w:sz w:val="18"/>
                <w:szCs w:val="18"/>
              </w:rPr>
            </w:pPr>
            <w:r>
              <w:rPr>
                <w:rFonts w:ascii="SimSun" w:hAnsi="SimSun" w:eastAsia="SimSun" w:cs="SimSun"/>
                <w:sz w:val="18"/>
                <w:szCs w:val="18"/>
                <w:color w:val="212529"/>
              </w:rPr>
              <w:t>算</w:t>
            </w:r>
          </w:p>
        </w:tc>
        <w:tc>
          <w:tcPr>
            <w:tcW w:w="1127" w:type="dxa"/>
            <w:vAlign w:val="top"/>
          </w:tcPr>
          <w:p>
            <w:pPr>
              <w:ind w:left="382" w:right="23" w:hanging="343"/>
              <w:spacing w:before="97" w:line="214" w:lineRule="auto"/>
              <w:rPr>
                <w:rFonts w:ascii="SimSun" w:hAnsi="SimSun" w:eastAsia="SimSun" w:cs="SimSun"/>
                <w:sz w:val="18"/>
                <w:szCs w:val="18"/>
              </w:rPr>
            </w:pPr>
            <w:r>
              <w:rPr>
                <w:rFonts w:ascii="SimSun" w:hAnsi="SimSun" w:eastAsia="SimSun" w:cs="SimSun"/>
                <w:sz w:val="18"/>
                <w:szCs w:val="18"/>
                <w:color w:val="212529"/>
                <w:spacing w:val="-5"/>
              </w:rPr>
              <w:t>国有资本经营</w:t>
            </w:r>
            <w:r>
              <w:rPr>
                <w:rFonts w:ascii="SimSun" w:hAnsi="SimSun" w:eastAsia="SimSun" w:cs="SimSun"/>
                <w:sz w:val="18"/>
                <w:szCs w:val="18"/>
                <w:color w:val="212529"/>
                <w:spacing w:val="-5"/>
              </w:rPr>
              <w:t>预算</w:t>
            </w:r>
          </w:p>
        </w:tc>
        <w:tc>
          <w:tcPr>
            <w:tcW w:w="1103" w:type="dxa"/>
            <w:vAlign w:val="top"/>
            <w:vMerge w:val="continue"/>
            <w:tcBorders>
              <w:top w:val="nil"/>
            </w:tcBorders>
          </w:tcPr>
          <w:p>
            <w:pPr>
              <w:pStyle w:val="TableText"/>
              <w:rPr/>
            </w:pPr>
            <w:r/>
          </w:p>
        </w:tc>
        <w:tc>
          <w:tcPr>
            <w:tcW w:w="845" w:type="dxa"/>
            <w:vAlign w:val="top"/>
            <w:vMerge w:val="continue"/>
            <w:tcBorders>
              <w:top w:val="nil"/>
            </w:tcBorders>
          </w:tcPr>
          <w:p>
            <w:pPr>
              <w:pStyle w:val="TableText"/>
              <w:rPr/>
            </w:pPr>
            <w:r/>
          </w:p>
        </w:tc>
      </w:tr>
      <w:tr>
        <w:trPr>
          <w:trHeight w:val="421" w:hRule="atLeast"/>
        </w:trPr>
        <w:tc>
          <w:tcPr>
            <w:tcW w:w="2728" w:type="dxa"/>
            <w:vAlign w:val="top"/>
          </w:tcPr>
          <w:p>
            <w:pPr>
              <w:ind w:left="1330"/>
              <w:spacing w:before="110" w:line="241" w:lineRule="auto"/>
              <w:rPr>
                <w:rFonts w:ascii="SimSun" w:hAnsi="SimSun" w:eastAsia="SimSun" w:cs="SimSun"/>
                <w:sz w:val="18"/>
                <w:szCs w:val="18"/>
              </w:rPr>
            </w:pPr>
            <w:r>
              <w:rPr>
                <w:rFonts w:ascii="SimSun" w:hAnsi="SimSun" w:eastAsia="SimSun" w:cs="SimSun"/>
                <w:sz w:val="18"/>
                <w:szCs w:val="18"/>
                <w:color w:val="212529"/>
              </w:rPr>
              <w:t>1</w:t>
            </w:r>
          </w:p>
        </w:tc>
        <w:tc>
          <w:tcPr>
            <w:tcW w:w="1271" w:type="dxa"/>
            <w:vAlign w:val="top"/>
          </w:tcPr>
          <w:p>
            <w:pPr>
              <w:ind w:left="590"/>
              <w:spacing w:before="110" w:line="241" w:lineRule="auto"/>
              <w:rPr>
                <w:rFonts w:ascii="SimSun" w:hAnsi="SimSun" w:eastAsia="SimSun" w:cs="SimSun"/>
                <w:sz w:val="18"/>
                <w:szCs w:val="18"/>
              </w:rPr>
            </w:pPr>
            <w:r>
              <w:rPr>
                <w:rFonts w:ascii="SimSun" w:hAnsi="SimSun" w:eastAsia="SimSun" w:cs="SimSun"/>
                <w:sz w:val="18"/>
                <w:szCs w:val="18"/>
                <w:color w:val="212529"/>
              </w:rPr>
              <w:t>2</w:t>
            </w:r>
          </w:p>
        </w:tc>
        <w:tc>
          <w:tcPr>
            <w:tcW w:w="1283" w:type="dxa"/>
            <w:vAlign w:val="top"/>
          </w:tcPr>
          <w:p>
            <w:pPr>
              <w:ind w:left="598"/>
              <w:spacing w:before="109"/>
              <w:rPr>
                <w:rFonts w:ascii="SimSun" w:hAnsi="SimSun" w:eastAsia="SimSun" w:cs="SimSun"/>
                <w:sz w:val="18"/>
                <w:szCs w:val="18"/>
              </w:rPr>
            </w:pPr>
            <w:r>
              <w:rPr>
                <w:rFonts w:ascii="SimSun" w:hAnsi="SimSun" w:eastAsia="SimSun" w:cs="SimSun"/>
                <w:sz w:val="18"/>
                <w:szCs w:val="18"/>
                <w:color w:val="212529"/>
              </w:rPr>
              <w:t>3</w:t>
            </w:r>
          </w:p>
        </w:tc>
        <w:tc>
          <w:tcPr>
            <w:tcW w:w="659" w:type="dxa"/>
            <w:vAlign w:val="top"/>
          </w:tcPr>
          <w:p>
            <w:pPr>
              <w:ind w:left="283"/>
              <w:spacing w:before="110" w:line="241" w:lineRule="auto"/>
              <w:rPr>
                <w:rFonts w:ascii="SimSun" w:hAnsi="SimSun" w:eastAsia="SimSun" w:cs="SimSun"/>
                <w:sz w:val="18"/>
                <w:szCs w:val="18"/>
              </w:rPr>
            </w:pPr>
            <w:r>
              <w:rPr>
                <w:rFonts w:ascii="SimSun" w:hAnsi="SimSun" w:eastAsia="SimSun" w:cs="SimSun"/>
                <w:sz w:val="18"/>
                <w:szCs w:val="18"/>
                <w:color w:val="212529"/>
              </w:rPr>
              <w:t>4</w:t>
            </w:r>
          </w:p>
        </w:tc>
        <w:tc>
          <w:tcPr>
            <w:tcW w:w="1127" w:type="dxa"/>
            <w:vAlign w:val="top"/>
          </w:tcPr>
          <w:p>
            <w:pPr>
              <w:ind w:left="523"/>
              <w:spacing w:before="109"/>
              <w:rPr>
                <w:rFonts w:ascii="SimSun" w:hAnsi="SimSun" w:eastAsia="SimSun" w:cs="SimSun"/>
                <w:sz w:val="18"/>
                <w:szCs w:val="18"/>
              </w:rPr>
            </w:pPr>
            <w:r>
              <w:rPr>
                <w:rFonts w:ascii="SimSun" w:hAnsi="SimSun" w:eastAsia="SimSun" w:cs="SimSun"/>
                <w:sz w:val="18"/>
                <w:szCs w:val="18"/>
                <w:color w:val="212529"/>
              </w:rPr>
              <w:t>5</w:t>
            </w:r>
          </w:p>
        </w:tc>
        <w:tc>
          <w:tcPr>
            <w:tcW w:w="1103" w:type="dxa"/>
            <w:vAlign w:val="top"/>
          </w:tcPr>
          <w:p>
            <w:pPr>
              <w:ind w:left="510"/>
              <w:spacing w:before="109"/>
              <w:rPr>
                <w:rFonts w:ascii="SimSun" w:hAnsi="SimSun" w:eastAsia="SimSun" w:cs="SimSun"/>
                <w:sz w:val="18"/>
                <w:szCs w:val="18"/>
              </w:rPr>
            </w:pPr>
            <w:r>
              <w:rPr>
                <w:rFonts w:ascii="SimSun" w:hAnsi="SimSun" w:eastAsia="SimSun" w:cs="SimSun"/>
                <w:sz w:val="18"/>
                <w:szCs w:val="18"/>
                <w:color w:val="212529"/>
              </w:rPr>
              <w:t>6</w:t>
            </w:r>
          </w:p>
        </w:tc>
        <w:tc>
          <w:tcPr>
            <w:tcW w:w="845" w:type="dxa"/>
            <w:vAlign w:val="top"/>
          </w:tcPr>
          <w:p>
            <w:pPr>
              <w:ind w:left="382"/>
              <w:spacing w:before="109"/>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2728" w:type="dxa"/>
            <w:vAlign w:val="top"/>
          </w:tcPr>
          <w:p>
            <w:pPr>
              <w:ind w:left="12"/>
              <w:spacing w:before="111" w:line="220" w:lineRule="auto"/>
              <w:rPr>
                <w:rFonts w:ascii="SimSun" w:hAnsi="SimSun" w:eastAsia="SimSun" w:cs="SimSun"/>
                <w:sz w:val="18"/>
                <w:szCs w:val="18"/>
              </w:rPr>
            </w:pPr>
            <w:r>
              <w:rPr>
                <w:rFonts w:ascii="SimSun" w:hAnsi="SimSun" w:eastAsia="SimSun" w:cs="SimSun"/>
                <w:sz w:val="18"/>
                <w:szCs w:val="18"/>
                <w:color w:val="212529"/>
                <w:spacing w:val="-3"/>
              </w:rPr>
              <w:t>兴县审计局</w:t>
            </w:r>
          </w:p>
        </w:tc>
        <w:tc>
          <w:tcPr>
            <w:tcW w:w="1271"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464.61</w:t>
            </w:r>
          </w:p>
        </w:tc>
        <w:tc>
          <w:tcPr>
            <w:tcW w:w="1283"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464.61</w:t>
            </w:r>
          </w:p>
        </w:tc>
        <w:tc>
          <w:tcPr>
            <w:tcW w:w="659" w:type="dxa"/>
            <w:vAlign w:val="top"/>
          </w:tcPr>
          <w:p>
            <w:pPr>
              <w:pStyle w:val="TableText"/>
              <w:rPr/>
            </w:pPr>
            <w:r/>
          </w:p>
        </w:tc>
        <w:tc>
          <w:tcPr>
            <w:tcW w:w="1127" w:type="dxa"/>
            <w:vAlign w:val="top"/>
          </w:tcPr>
          <w:p>
            <w:pPr>
              <w:pStyle w:val="TableText"/>
              <w:rPr/>
            </w:pPr>
            <w:r/>
          </w:p>
        </w:tc>
        <w:tc>
          <w:tcPr>
            <w:tcW w:w="1103" w:type="dxa"/>
            <w:vAlign w:val="top"/>
          </w:tcPr>
          <w:p>
            <w:pPr>
              <w:pStyle w:val="TableText"/>
              <w:rPr/>
            </w:pPr>
            <w:r/>
          </w:p>
        </w:tc>
        <w:tc>
          <w:tcPr>
            <w:tcW w:w="845" w:type="dxa"/>
            <w:vAlign w:val="top"/>
          </w:tcPr>
          <w:p>
            <w:pPr>
              <w:pStyle w:val="TableText"/>
              <w:rPr/>
            </w:pPr>
            <w:r/>
          </w:p>
        </w:tc>
      </w:tr>
      <w:tr>
        <w:trPr>
          <w:trHeight w:val="421" w:hRule="atLeast"/>
        </w:trPr>
        <w:tc>
          <w:tcPr>
            <w:tcW w:w="2728" w:type="dxa"/>
            <w:vAlign w:val="top"/>
          </w:tcPr>
          <w:p>
            <w:pPr>
              <w:ind w:left="192"/>
              <w:spacing w:before="111" w:line="220" w:lineRule="auto"/>
              <w:rPr>
                <w:rFonts w:ascii="SimSun" w:hAnsi="SimSun" w:eastAsia="SimSun" w:cs="SimSun"/>
                <w:sz w:val="18"/>
                <w:szCs w:val="18"/>
              </w:rPr>
            </w:pPr>
            <w:r>
              <w:rPr>
                <w:rFonts w:ascii="SimSun" w:hAnsi="SimSun" w:eastAsia="SimSun" w:cs="SimSun"/>
                <w:sz w:val="18"/>
                <w:szCs w:val="18"/>
                <w:color w:val="212529"/>
                <w:spacing w:val="-3"/>
              </w:rPr>
              <w:t>兴县审计局</w:t>
            </w:r>
          </w:p>
        </w:tc>
        <w:tc>
          <w:tcPr>
            <w:tcW w:w="1271"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464.61</w:t>
            </w:r>
          </w:p>
        </w:tc>
        <w:tc>
          <w:tcPr>
            <w:tcW w:w="1283"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464.61</w:t>
            </w:r>
          </w:p>
        </w:tc>
        <w:tc>
          <w:tcPr>
            <w:tcW w:w="659" w:type="dxa"/>
            <w:vAlign w:val="top"/>
          </w:tcPr>
          <w:p>
            <w:pPr>
              <w:pStyle w:val="TableText"/>
              <w:rPr/>
            </w:pPr>
            <w:r/>
          </w:p>
        </w:tc>
        <w:tc>
          <w:tcPr>
            <w:tcW w:w="1127" w:type="dxa"/>
            <w:vAlign w:val="top"/>
          </w:tcPr>
          <w:p>
            <w:pPr>
              <w:pStyle w:val="TableText"/>
              <w:rPr/>
            </w:pPr>
            <w:r/>
          </w:p>
        </w:tc>
        <w:tc>
          <w:tcPr>
            <w:tcW w:w="1103" w:type="dxa"/>
            <w:vAlign w:val="top"/>
          </w:tcPr>
          <w:p>
            <w:pPr>
              <w:pStyle w:val="TableText"/>
              <w:rPr/>
            </w:pPr>
            <w:r/>
          </w:p>
        </w:tc>
        <w:tc>
          <w:tcPr>
            <w:tcW w:w="845" w:type="dxa"/>
            <w:vAlign w:val="top"/>
          </w:tcPr>
          <w:p>
            <w:pPr>
              <w:pStyle w:val="TableText"/>
              <w:rPr/>
            </w:pPr>
            <w:r/>
          </w:p>
        </w:tc>
      </w:tr>
      <w:tr>
        <w:trPr>
          <w:trHeight w:val="422" w:hRule="atLeast"/>
        </w:trPr>
        <w:tc>
          <w:tcPr>
            <w:tcW w:w="2728" w:type="dxa"/>
            <w:vAlign w:val="top"/>
          </w:tcPr>
          <w:p>
            <w:pPr>
              <w:ind w:left="372"/>
              <w:spacing w:before="112" w:line="220" w:lineRule="auto"/>
              <w:rPr>
                <w:rFonts w:ascii="SimSun" w:hAnsi="SimSun" w:eastAsia="SimSun" w:cs="SimSun"/>
                <w:sz w:val="18"/>
                <w:szCs w:val="18"/>
              </w:rPr>
            </w:pPr>
            <w:r>
              <w:rPr>
                <w:rFonts w:ascii="SimSun" w:hAnsi="SimSun" w:eastAsia="SimSun" w:cs="SimSun"/>
                <w:sz w:val="18"/>
                <w:szCs w:val="18"/>
                <w:color w:val="212529"/>
                <w:spacing w:val="-2"/>
              </w:rPr>
              <w:t>兴县审计局创卫工作经费</w:t>
            </w:r>
          </w:p>
        </w:tc>
        <w:tc>
          <w:tcPr>
            <w:tcW w:w="1271"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1283"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79.88</w:t>
            </w:r>
          </w:p>
        </w:tc>
        <w:tc>
          <w:tcPr>
            <w:tcW w:w="659" w:type="dxa"/>
            <w:vAlign w:val="top"/>
          </w:tcPr>
          <w:p>
            <w:pPr>
              <w:pStyle w:val="TableText"/>
              <w:rPr/>
            </w:pPr>
            <w:r/>
          </w:p>
        </w:tc>
        <w:tc>
          <w:tcPr>
            <w:tcW w:w="1127" w:type="dxa"/>
            <w:vAlign w:val="top"/>
          </w:tcPr>
          <w:p>
            <w:pPr>
              <w:pStyle w:val="TableText"/>
              <w:rPr/>
            </w:pPr>
            <w:r/>
          </w:p>
        </w:tc>
        <w:tc>
          <w:tcPr>
            <w:tcW w:w="1103" w:type="dxa"/>
            <w:vAlign w:val="top"/>
          </w:tcPr>
          <w:p>
            <w:pPr>
              <w:pStyle w:val="TableText"/>
              <w:rPr/>
            </w:pPr>
            <w:r/>
          </w:p>
        </w:tc>
        <w:tc>
          <w:tcPr>
            <w:tcW w:w="845" w:type="dxa"/>
            <w:vAlign w:val="top"/>
          </w:tcPr>
          <w:p>
            <w:pPr>
              <w:pStyle w:val="TableText"/>
              <w:rPr/>
            </w:pPr>
            <w:r/>
          </w:p>
        </w:tc>
      </w:tr>
      <w:tr>
        <w:trPr>
          <w:trHeight w:val="421" w:hRule="atLeast"/>
        </w:trPr>
        <w:tc>
          <w:tcPr>
            <w:tcW w:w="2728" w:type="dxa"/>
            <w:vAlign w:val="top"/>
          </w:tcPr>
          <w:p>
            <w:pPr>
              <w:ind w:right="16"/>
              <w:spacing w:before="112" w:line="220" w:lineRule="auto"/>
              <w:jc w:val="right"/>
              <w:rPr>
                <w:rFonts w:ascii="SimSun" w:hAnsi="SimSun" w:eastAsia="SimSun" w:cs="SimSun"/>
                <w:sz w:val="18"/>
                <w:szCs w:val="18"/>
              </w:rPr>
            </w:pPr>
            <w:r>
              <w:rPr>
                <w:rFonts w:ascii="SimSun" w:hAnsi="SimSun" w:eastAsia="SimSun" w:cs="SimSun"/>
                <w:sz w:val="18"/>
                <w:szCs w:val="18"/>
                <w:color w:val="212529"/>
                <w:spacing w:val="-2"/>
              </w:rPr>
              <w:t>中央对地方审计专项补助经费</w:t>
            </w:r>
          </w:p>
        </w:tc>
        <w:tc>
          <w:tcPr>
            <w:tcW w:w="1271"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1283"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7.00</w:t>
            </w:r>
          </w:p>
        </w:tc>
        <w:tc>
          <w:tcPr>
            <w:tcW w:w="659" w:type="dxa"/>
            <w:vAlign w:val="top"/>
          </w:tcPr>
          <w:p>
            <w:pPr>
              <w:pStyle w:val="TableText"/>
              <w:rPr/>
            </w:pPr>
            <w:r/>
          </w:p>
        </w:tc>
        <w:tc>
          <w:tcPr>
            <w:tcW w:w="1127" w:type="dxa"/>
            <w:vAlign w:val="top"/>
          </w:tcPr>
          <w:p>
            <w:pPr>
              <w:pStyle w:val="TableText"/>
              <w:rPr/>
            </w:pPr>
            <w:r/>
          </w:p>
        </w:tc>
        <w:tc>
          <w:tcPr>
            <w:tcW w:w="1103" w:type="dxa"/>
            <w:vAlign w:val="top"/>
          </w:tcPr>
          <w:p>
            <w:pPr>
              <w:pStyle w:val="TableText"/>
              <w:rPr/>
            </w:pPr>
            <w:r/>
          </w:p>
        </w:tc>
        <w:tc>
          <w:tcPr>
            <w:tcW w:w="845" w:type="dxa"/>
            <w:vAlign w:val="top"/>
          </w:tcPr>
          <w:p>
            <w:pPr>
              <w:pStyle w:val="TableText"/>
              <w:rPr/>
            </w:pPr>
            <w:r/>
          </w:p>
        </w:tc>
      </w:tr>
      <w:tr>
        <w:trPr>
          <w:trHeight w:val="421" w:hRule="atLeast"/>
        </w:trPr>
        <w:tc>
          <w:tcPr>
            <w:tcW w:w="2728" w:type="dxa"/>
            <w:vAlign w:val="top"/>
          </w:tcPr>
          <w:p>
            <w:pPr>
              <w:ind w:left="364"/>
              <w:spacing w:before="113" w:line="220" w:lineRule="auto"/>
              <w:rPr>
                <w:rFonts w:ascii="SimSun" w:hAnsi="SimSun" w:eastAsia="SimSun" w:cs="SimSun"/>
                <w:sz w:val="18"/>
                <w:szCs w:val="18"/>
              </w:rPr>
            </w:pPr>
            <w:r>
              <w:rPr>
                <w:rFonts w:ascii="SimSun" w:hAnsi="SimSun" w:eastAsia="SimSun" w:cs="SimSun"/>
                <w:sz w:val="18"/>
                <w:szCs w:val="18"/>
                <w:color w:val="212529"/>
                <w:spacing w:val="-1"/>
              </w:rPr>
              <w:t>H审计评审尾欠款</w:t>
            </w:r>
          </w:p>
        </w:tc>
        <w:tc>
          <w:tcPr>
            <w:tcW w:w="1271"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277.73</w:t>
            </w:r>
          </w:p>
        </w:tc>
        <w:tc>
          <w:tcPr>
            <w:tcW w:w="1283"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277.73</w:t>
            </w:r>
          </w:p>
        </w:tc>
        <w:tc>
          <w:tcPr>
            <w:tcW w:w="659" w:type="dxa"/>
            <w:vAlign w:val="top"/>
          </w:tcPr>
          <w:p>
            <w:pPr>
              <w:pStyle w:val="TableText"/>
              <w:rPr/>
            </w:pPr>
            <w:r/>
          </w:p>
        </w:tc>
        <w:tc>
          <w:tcPr>
            <w:tcW w:w="1127" w:type="dxa"/>
            <w:vAlign w:val="top"/>
          </w:tcPr>
          <w:p>
            <w:pPr>
              <w:pStyle w:val="TableText"/>
              <w:rPr/>
            </w:pPr>
            <w:r/>
          </w:p>
        </w:tc>
        <w:tc>
          <w:tcPr>
            <w:tcW w:w="1103" w:type="dxa"/>
            <w:vAlign w:val="top"/>
          </w:tcPr>
          <w:p>
            <w:pPr>
              <w:pStyle w:val="TableText"/>
              <w:rPr/>
            </w:pPr>
            <w:r/>
          </w:p>
        </w:tc>
        <w:tc>
          <w:tcPr>
            <w:tcW w:w="845" w:type="dxa"/>
            <w:vAlign w:val="top"/>
          </w:tcPr>
          <w:p>
            <w:pPr>
              <w:pStyle w:val="TableText"/>
              <w:rPr/>
            </w:pPr>
            <w:r/>
          </w:p>
        </w:tc>
      </w:tr>
      <w:tr>
        <w:trPr>
          <w:trHeight w:val="427" w:hRule="atLeast"/>
        </w:trPr>
        <w:tc>
          <w:tcPr>
            <w:tcW w:w="2728" w:type="dxa"/>
            <w:vAlign w:val="top"/>
          </w:tcPr>
          <w:p>
            <w:pPr>
              <w:ind w:left="364"/>
              <w:spacing w:before="114" w:line="220" w:lineRule="auto"/>
              <w:rPr>
                <w:rFonts w:ascii="SimSun" w:hAnsi="SimSun" w:eastAsia="SimSun" w:cs="SimSun"/>
                <w:sz w:val="18"/>
                <w:szCs w:val="18"/>
              </w:rPr>
            </w:pPr>
            <w:r>
              <w:rPr>
                <w:rFonts w:ascii="SimSun" w:hAnsi="SimSun" w:eastAsia="SimSun" w:cs="SimSun"/>
                <w:sz w:val="18"/>
                <w:szCs w:val="18"/>
                <w:color w:val="212529"/>
                <w:spacing w:val="-1"/>
              </w:rPr>
              <w:t>H审计评审费</w:t>
            </w:r>
          </w:p>
        </w:tc>
        <w:tc>
          <w:tcPr>
            <w:tcW w:w="1271"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1283"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4"/>
              </w:rPr>
              <w:t>100.00</w:t>
            </w:r>
          </w:p>
        </w:tc>
        <w:tc>
          <w:tcPr>
            <w:tcW w:w="659" w:type="dxa"/>
            <w:vAlign w:val="top"/>
          </w:tcPr>
          <w:p>
            <w:pPr>
              <w:pStyle w:val="TableText"/>
              <w:rPr/>
            </w:pPr>
            <w:r/>
          </w:p>
        </w:tc>
        <w:tc>
          <w:tcPr>
            <w:tcW w:w="1127" w:type="dxa"/>
            <w:vAlign w:val="top"/>
          </w:tcPr>
          <w:p>
            <w:pPr>
              <w:pStyle w:val="TableText"/>
              <w:rPr/>
            </w:pPr>
            <w:r/>
          </w:p>
        </w:tc>
        <w:tc>
          <w:tcPr>
            <w:tcW w:w="1103" w:type="dxa"/>
            <w:vAlign w:val="top"/>
          </w:tcPr>
          <w:p>
            <w:pPr>
              <w:pStyle w:val="TableText"/>
              <w:rPr/>
            </w:pPr>
            <w:r/>
          </w:p>
        </w:tc>
        <w:tc>
          <w:tcPr>
            <w:tcW w:w="845" w:type="dxa"/>
            <w:vAlign w:val="top"/>
          </w:tcPr>
          <w:p>
            <w:pPr>
              <w:pStyle w:val="TableText"/>
              <w:rPr/>
            </w:pPr>
            <w:r/>
          </w:p>
        </w:tc>
      </w:tr>
    </w:tbl>
    <w:p>
      <w:pPr>
        <w:rPr>
          <w:rFonts w:ascii="Arial"/>
          <w:sz w:val="21"/>
        </w:rPr>
      </w:pPr>
      <w:r/>
    </w:p>
    <w:p>
      <w:pPr>
        <w:sectPr>
          <w:headerReference w:type="default" r:id="rId19"/>
          <w:footerReference w:type="default" r:id="rId30"/>
          <w:pgSz w:w="11900" w:h="16840"/>
          <w:pgMar w:top="642" w:right="0" w:bottom="340" w:left="0" w:header="326" w:footer="93" w:gutter="0"/>
        </w:sectPr>
        <w:rPr>
          <w:rFonts w:ascii="Arial" w:hAnsi="Arial" w:eastAsia="Arial" w:cs="Arial"/>
          <w:sz w:val="21"/>
          <w:szCs w:val="21"/>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058"/>
        <w:gridCol w:w="1139"/>
        <w:gridCol w:w="1259"/>
        <w:gridCol w:w="1211"/>
        <w:gridCol w:w="1349"/>
      </w:tblGrid>
      <w:tr>
        <w:trPr>
          <w:trHeight w:val="426" w:hRule="atLeast"/>
        </w:trPr>
        <w:tc>
          <w:tcPr>
            <w:tcW w:w="40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91"/>
              <w:spacing w:before="92" w:line="219" w:lineRule="auto"/>
              <w:outlineLvl w:val="1"/>
              <w:rPr>
                <w:rFonts w:ascii="SimSun" w:hAnsi="SimSun" w:eastAsia="SimSun" w:cs="SimSun"/>
                <w:sz w:val="24"/>
                <w:szCs w:val="24"/>
              </w:rPr>
            </w:pPr>
            <w:bookmarkStart w:name="bookmark46" w:id="30"/>
            <w:bookmarkEnd w:id="30"/>
            <w:bookmarkStart w:name="bookmark16" w:id="31"/>
            <w:bookmarkEnd w:id="31"/>
            <w:r>
              <w:rPr>
                <w:rFonts w:ascii="SimSun" w:hAnsi="SimSun" w:eastAsia="SimSun" w:cs="SimSun"/>
                <w:sz w:val="24"/>
                <w:szCs w:val="24"/>
                <w:color w:val="212529"/>
                <w:spacing w:val="-1"/>
              </w:rPr>
              <w:t>2024年项目支出预算表（上年结转）</w:t>
            </w:r>
          </w:p>
        </w:tc>
      </w:tr>
      <w:tr>
        <w:trPr>
          <w:trHeight w:val="421" w:hRule="atLeast"/>
        </w:trPr>
        <w:tc>
          <w:tcPr>
            <w:tcW w:w="7667" w:type="dxa"/>
            <w:vAlign w:val="top"/>
            <w:gridSpan w:val="4"/>
            <w:tcBorders>
              <w:left w:val="single" w:color="FFFFFF" w:sz="2" w:space="0"/>
              <w:right w:val="single" w:color="FFFFFF" w:sz="2" w:space="0"/>
              <w:top w:val="single" w:color="FFFFFF" w:sz="4" w:space="0"/>
            </w:tcBorders>
          </w:tcPr>
          <w:p>
            <w:pPr>
              <w:ind w:left="12"/>
              <w:spacing w:before="129" w:line="227" w:lineRule="auto"/>
              <w:rPr>
                <w:rFonts w:ascii="SimSun" w:hAnsi="SimSun" w:eastAsia="SimSun" w:cs="SimSun"/>
                <w:sz w:val="15"/>
                <w:szCs w:val="15"/>
              </w:rPr>
            </w:pPr>
            <w:r>
              <w:rPr>
                <w:rFonts w:ascii="SimSun" w:hAnsi="SimSun" w:eastAsia="SimSun" w:cs="SimSun"/>
                <w:sz w:val="15"/>
                <w:szCs w:val="15"/>
                <w:color w:val="212529"/>
                <w:spacing w:val="5"/>
              </w:rPr>
              <w:t>部门名称：兴县审计局</w:t>
            </w:r>
          </w:p>
        </w:tc>
        <w:tc>
          <w:tcPr>
            <w:tcW w:w="1349" w:type="dxa"/>
            <w:vAlign w:val="top"/>
            <w:tcBorders>
              <w:left w:val="single" w:color="FFFFFF" w:sz="2" w:space="0"/>
              <w:right w:val="single" w:color="FFFFFF" w:sz="2" w:space="0"/>
              <w:top w:val="single" w:color="FFFFFF" w:sz="4" w:space="0"/>
            </w:tcBorders>
          </w:tcPr>
          <w:p>
            <w:pPr>
              <w:ind w:right="5"/>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4058" w:type="dxa"/>
            <w:vAlign w:val="top"/>
            <w:vMerge w:val="restart"/>
            <w:tcBorders>
              <w:bottom w:val="nil"/>
            </w:tcBorders>
          </w:tcPr>
          <w:p>
            <w:pPr>
              <w:pStyle w:val="TableText"/>
              <w:spacing w:line="265" w:lineRule="auto"/>
              <w:rPr/>
            </w:pPr>
            <w:r/>
          </w:p>
          <w:p>
            <w:pPr>
              <w:ind w:left="1668"/>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139" w:type="dxa"/>
            <w:vAlign w:val="top"/>
            <w:vMerge w:val="restart"/>
            <w:tcBorders>
              <w:bottom w:val="nil"/>
            </w:tcBorders>
          </w:tcPr>
          <w:p>
            <w:pPr>
              <w:pStyle w:val="TableText"/>
              <w:spacing w:line="265" w:lineRule="auto"/>
              <w:rPr/>
            </w:pPr>
            <w:r/>
          </w:p>
          <w:p>
            <w:pPr>
              <w:ind w:left="386"/>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819" w:type="dxa"/>
            <w:vAlign w:val="top"/>
            <w:gridSpan w:val="3"/>
          </w:tcPr>
          <w:p>
            <w:pPr>
              <w:ind w:left="1277"/>
              <w:spacing w:before="110"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1" w:hRule="atLeast"/>
        </w:trPr>
        <w:tc>
          <w:tcPr>
            <w:tcW w:w="4058" w:type="dxa"/>
            <w:vAlign w:val="top"/>
            <w:vMerge w:val="continue"/>
            <w:tcBorders>
              <w:top w:val="nil"/>
            </w:tcBorders>
          </w:tcPr>
          <w:p>
            <w:pPr>
              <w:pStyle w:val="TableText"/>
              <w:rPr/>
            </w:pPr>
            <w:r/>
          </w:p>
        </w:tc>
        <w:tc>
          <w:tcPr>
            <w:tcW w:w="1139" w:type="dxa"/>
            <w:vAlign w:val="top"/>
            <w:vMerge w:val="continue"/>
            <w:tcBorders>
              <w:top w:val="nil"/>
            </w:tcBorders>
          </w:tcPr>
          <w:p>
            <w:pPr>
              <w:pStyle w:val="TableText"/>
              <w:rPr/>
            </w:pPr>
            <w:r/>
          </w:p>
        </w:tc>
        <w:tc>
          <w:tcPr>
            <w:tcW w:w="1259" w:type="dxa"/>
            <w:vAlign w:val="top"/>
          </w:tcPr>
          <w:p>
            <w:pPr>
              <w:ind w:left="90"/>
              <w:spacing w:before="111"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11" w:type="dxa"/>
            <w:vAlign w:val="top"/>
          </w:tcPr>
          <w:p>
            <w:pPr>
              <w:ind w:left="154"/>
              <w:spacing w:before="3"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426"/>
              <w:spacing w:line="209"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349" w:type="dxa"/>
            <w:vAlign w:val="top"/>
          </w:tcPr>
          <w:p>
            <w:pPr>
              <w:ind w:left="329"/>
              <w:spacing w:before="3" w:line="209" w:lineRule="auto"/>
              <w:rPr>
                <w:rFonts w:ascii="SimSun" w:hAnsi="SimSun" w:eastAsia="SimSun" w:cs="SimSun"/>
                <w:sz w:val="18"/>
                <w:szCs w:val="18"/>
              </w:rPr>
            </w:pPr>
            <w:r>
              <w:rPr>
                <w:rFonts w:ascii="SimSun" w:hAnsi="SimSun" w:eastAsia="SimSun" w:cs="SimSun"/>
                <w:sz w:val="18"/>
                <w:szCs w:val="18"/>
                <w:color w:val="212529"/>
                <w:spacing w:val="-7"/>
              </w:rPr>
              <w:t>国有资本</w:t>
            </w:r>
          </w:p>
          <w:p>
            <w:pPr>
              <w:ind w:left="313"/>
              <w:spacing w:line="209" w:lineRule="auto"/>
              <w:rPr>
                <w:rFonts w:ascii="SimSun" w:hAnsi="SimSun" w:eastAsia="SimSun" w:cs="SimSun"/>
                <w:sz w:val="18"/>
                <w:szCs w:val="18"/>
              </w:rPr>
            </w:pPr>
            <w:r>
              <w:rPr>
                <w:rFonts w:ascii="SimSun" w:hAnsi="SimSun" w:eastAsia="SimSun" w:cs="SimSun"/>
                <w:sz w:val="18"/>
                <w:szCs w:val="18"/>
                <w:color w:val="212529"/>
                <w:spacing w:val="-3"/>
              </w:rPr>
              <w:t>经营预算</w:t>
            </w:r>
          </w:p>
        </w:tc>
      </w:tr>
      <w:tr>
        <w:trPr>
          <w:trHeight w:val="421" w:hRule="atLeast"/>
        </w:trPr>
        <w:tc>
          <w:tcPr>
            <w:tcW w:w="4058" w:type="dxa"/>
            <w:vAlign w:val="top"/>
          </w:tcPr>
          <w:p>
            <w:pPr>
              <w:ind w:left="1996"/>
              <w:spacing w:before="112" w:line="241" w:lineRule="auto"/>
              <w:rPr>
                <w:rFonts w:ascii="SimSun" w:hAnsi="SimSun" w:eastAsia="SimSun" w:cs="SimSun"/>
                <w:sz w:val="18"/>
                <w:szCs w:val="18"/>
              </w:rPr>
            </w:pPr>
            <w:r>
              <w:rPr>
                <w:rFonts w:ascii="SimSun" w:hAnsi="SimSun" w:eastAsia="SimSun" w:cs="SimSun"/>
                <w:sz w:val="18"/>
                <w:szCs w:val="18"/>
                <w:color w:val="212529"/>
              </w:rPr>
              <w:t>1</w:t>
            </w:r>
          </w:p>
        </w:tc>
        <w:tc>
          <w:tcPr>
            <w:tcW w:w="1139" w:type="dxa"/>
            <w:vAlign w:val="top"/>
          </w:tcPr>
          <w:p>
            <w:pPr>
              <w:ind w:left="526"/>
              <w:spacing w:before="112" w:line="241" w:lineRule="auto"/>
              <w:rPr>
                <w:rFonts w:ascii="SimSun" w:hAnsi="SimSun" w:eastAsia="SimSun" w:cs="SimSun"/>
                <w:sz w:val="18"/>
                <w:szCs w:val="18"/>
              </w:rPr>
            </w:pPr>
            <w:r>
              <w:rPr>
                <w:rFonts w:ascii="SimSun" w:hAnsi="SimSun" w:eastAsia="SimSun" w:cs="SimSun"/>
                <w:sz w:val="18"/>
                <w:szCs w:val="18"/>
                <w:color w:val="212529"/>
              </w:rPr>
              <w:t>2</w:t>
            </w:r>
          </w:p>
        </w:tc>
        <w:tc>
          <w:tcPr>
            <w:tcW w:w="1259" w:type="dxa"/>
            <w:vAlign w:val="top"/>
          </w:tcPr>
          <w:p>
            <w:pPr>
              <w:ind w:left="589"/>
              <w:spacing w:before="111"/>
              <w:rPr>
                <w:rFonts w:ascii="SimSun" w:hAnsi="SimSun" w:eastAsia="SimSun" w:cs="SimSun"/>
                <w:sz w:val="18"/>
                <w:szCs w:val="18"/>
              </w:rPr>
            </w:pPr>
            <w:r>
              <w:rPr>
                <w:rFonts w:ascii="SimSun" w:hAnsi="SimSun" w:eastAsia="SimSun" w:cs="SimSun"/>
                <w:sz w:val="18"/>
                <w:szCs w:val="18"/>
                <w:color w:val="212529"/>
              </w:rPr>
              <w:t>3</w:t>
            </w:r>
          </w:p>
        </w:tc>
        <w:tc>
          <w:tcPr>
            <w:tcW w:w="1211" w:type="dxa"/>
            <w:vAlign w:val="top"/>
          </w:tcPr>
          <w:p>
            <w:pPr>
              <w:ind w:left="562"/>
              <w:spacing w:before="112" w:line="241" w:lineRule="auto"/>
              <w:rPr>
                <w:rFonts w:ascii="SimSun" w:hAnsi="SimSun" w:eastAsia="SimSun" w:cs="SimSun"/>
                <w:sz w:val="18"/>
                <w:szCs w:val="18"/>
              </w:rPr>
            </w:pPr>
            <w:r>
              <w:rPr>
                <w:rFonts w:ascii="SimSun" w:hAnsi="SimSun" w:eastAsia="SimSun" w:cs="SimSun"/>
                <w:sz w:val="18"/>
                <w:szCs w:val="18"/>
                <w:color w:val="212529"/>
              </w:rPr>
              <w:t>4</w:t>
            </w:r>
          </w:p>
        </w:tc>
        <w:tc>
          <w:tcPr>
            <w:tcW w:w="1349" w:type="dxa"/>
            <w:vAlign w:val="top"/>
          </w:tcPr>
          <w:p>
            <w:pPr>
              <w:ind w:left="633"/>
              <w:spacing w:before="111"/>
              <w:rPr>
                <w:rFonts w:ascii="SimSun" w:hAnsi="SimSun" w:eastAsia="SimSun" w:cs="SimSun"/>
                <w:sz w:val="18"/>
                <w:szCs w:val="18"/>
              </w:rPr>
            </w:pPr>
            <w:r>
              <w:rPr>
                <w:rFonts w:ascii="SimSun" w:hAnsi="SimSun" w:eastAsia="SimSun" w:cs="SimSun"/>
                <w:sz w:val="18"/>
                <w:szCs w:val="18"/>
                <w:color w:val="212529"/>
              </w:rPr>
              <w:t>5</w:t>
            </w:r>
          </w:p>
        </w:tc>
      </w:tr>
      <w:tr>
        <w:trPr>
          <w:trHeight w:val="421" w:hRule="atLeast"/>
        </w:trPr>
        <w:tc>
          <w:tcPr>
            <w:tcW w:w="4058" w:type="dxa"/>
            <w:vAlign w:val="top"/>
          </w:tcPr>
          <w:p>
            <w:pPr>
              <w:pStyle w:val="TableText"/>
              <w:rPr/>
            </w:pPr>
            <w:r/>
          </w:p>
        </w:tc>
        <w:tc>
          <w:tcPr>
            <w:tcW w:w="1139" w:type="dxa"/>
            <w:vAlign w:val="top"/>
          </w:tcPr>
          <w:p>
            <w:pPr>
              <w:pStyle w:val="TableText"/>
              <w:rPr/>
            </w:pPr>
            <w:r/>
          </w:p>
        </w:tc>
        <w:tc>
          <w:tcPr>
            <w:tcW w:w="1259" w:type="dxa"/>
            <w:vAlign w:val="top"/>
          </w:tcPr>
          <w:p>
            <w:pPr>
              <w:pStyle w:val="TableText"/>
              <w:rPr/>
            </w:pPr>
            <w:r/>
          </w:p>
        </w:tc>
        <w:tc>
          <w:tcPr>
            <w:tcW w:w="1211" w:type="dxa"/>
            <w:vAlign w:val="top"/>
          </w:tcPr>
          <w:p>
            <w:pPr>
              <w:pStyle w:val="TableText"/>
              <w:rPr/>
            </w:pPr>
            <w:r/>
          </w:p>
        </w:tc>
        <w:tc>
          <w:tcPr>
            <w:tcW w:w="1349" w:type="dxa"/>
            <w:vAlign w:val="top"/>
          </w:tcPr>
          <w:p>
            <w:pPr>
              <w:pStyle w:val="TableText"/>
              <w:rPr/>
            </w:pPr>
            <w:r/>
          </w:p>
        </w:tc>
      </w:tr>
      <w:tr>
        <w:trPr>
          <w:trHeight w:val="426" w:hRule="atLeast"/>
        </w:trPr>
        <w:tc>
          <w:tcPr>
            <w:tcW w:w="4058" w:type="dxa"/>
            <w:vAlign w:val="top"/>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c>
          <w:tcPr>
            <w:tcW w:w="1139" w:type="dxa"/>
            <w:vAlign w:val="top"/>
            <w:tcBorders>
              <w:left w:val="single" w:color="FFFFFF" w:sz="2" w:space="0"/>
              <w:right w:val="single" w:color="FFFFFF" w:sz="2" w:space="0"/>
              <w:bottom w:val="single" w:color="FFFFFF" w:sz="4" w:space="0"/>
            </w:tcBorders>
          </w:tcPr>
          <w:p>
            <w:pPr>
              <w:pStyle w:val="TableText"/>
              <w:rPr/>
            </w:pPr>
            <w:r/>
          </w:p>
        </w:tc>
        <w:tc>
          <w:tcPr>
            <w:tcW w:w="1259" w:type="dxa"/>
            <w:vAlign w:val="top"/>
            <w:tcBorders>
              <w:left w:val="single" w:color="FFFFFF" w:sz="2" w:space="0"/>
              <w:right w:val="single" w:color="FFFFFF" w:sz="2" w:space="0"/>
              <w:bottom w:val="single" w:color="FFFFFF" w:sz="4" w:space="0"/>
            </w:tcBorders>
          </w:tcPr>
          <w:p>
            <w:pPr>
              <w:pStyle w:val="TableText"/>
              <w:rPr/>
            </w:pPr>
            <w:r/>
          </w:p>
        </w:tc>
        <w:tc>
          <w:tcPr>
            <w:tcW w:w="1211" w:type="dxa"/>
            <w:vAlign w:val="top"/>
            <w:tcBorders>
              <w:left w:val="single" w:color="FFFFFF" w:sz="2" w:space="0"/>
              <w:right w:val="single" w:color="FFFFFF" w:sz="2" w:space="0"/>
              <w:bottom w:val="single" w:color="FFFFFF" w:sz="4" w:space="0"/>
            </w:tcBorders>
          </w:tcPr>
          <w:p>
            <w:pPr>
              <w:pStyle w:val="TableText"/>
              <w:rPr/>
            </w:pPr>
            <w:r/>
          </w:p>
        </w:tc>
        <w:tc>
          <w:tcPr>
            <w:tcW w:w="1349"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headerReference w:type="default" r:id="rId6"/>
          <w:footerReference w:type="default" r:id="rId31"/>
          <w:pgSz w:w="11900" w:h="16840"/>
          <w:pgMar w:top="642" w:right="0" w:bottom="340" w:left="0" w:header="326" w:footer="91" w:gutter="0"/>
        </w:sectPr>
        <w:rPr>
          <w:rFonts w:ascii="Arial" w:hAnsi="Arial" w:eastAsia="Arial" w:cs="Arial"/>
          <w:sz w:val="21"/>
          <w:szCs w:val="21"/>
        </w:rPr>
      </w:pPr>
    </w:p>
    <w:p>
      <w:pPr>
        <w:spacing w:line="290" w:lineRule="auto"/>
        <w:rPr>
          <w:rFonts w:ascii="Arial"/>
          <w:sz w:val="21"/>
        </w:rPr>
      </w:pPr>
      <w:r/>
    </w:p>
    <w:p>
      <w:pPr>
        <w:spacing w:line="290" w:lineRule="auto"/>
        <w:rPr>
          <w:rFonts w:ascii="Arial"/>
          <w:sz w:val="21"/>
        </w:rPr>
      </w:pPr>
      <w:r/>
    </w:p>
    <w:p>
      <w:pPr>
        <w:ind w:left="3868"/>
        <w:spacing w:before="82" w:line="222" w:lineRule="auto"/>
        <w:outlineLvl w:val="0"/>
        <w:rPr>
          <w:rFonts w:ascii="SimHei" w:hAnsi="SimHei" w:eastAsia="SimHei" w:cs="SimHei"/>
          <w:sz w:val="25"/>
          <w:szCs w:val="25"/>
        </w:rPr>
      </w:pPr>
      <w:bookmarkStart w:name="bookmark17" w:id="32"/>
      <w:bookmarkEnd w:id="32"/>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2024年度部门预算情况说明</w:t>
      </w:r>
    </w:p>
    <w:p>
      <w:pPr>
        <w:spacing w:line="300" w:lineRule="auto"/>
        <w:rPr>
          <w:rFonts w:ascii="Arial"/>
          <w:sz w:val="21"/>
        </w:rPr>
      </w:pPr>
      <w:r/>
    </w:p>
    <w:p>
      <w:pPr>
        <w:ind w:left="1298"/>
        <w:spacing w:before="81" w:line="223" w:lineRule="auto"/>
        <w:outlineLvl w:val="1"/>
        <w:rPr>
          <w:rFonts w:ascii="SimHei" w:hAnsi="SimHei" w:eastAsia="SimHei" w:cs="SimHei"/>
          <w:sz w:val="25"/>
          <w:szCs w:val="25"/>
        </w:rPr>
      </w:pPr>
      <w:bookmarkStart w:name="bookmark18" w:id="33"/>
      <w:bookmarkEnd w:id="33"/>
      <w:r>
        <w:rPr>
          <w:rFonts w:ascii="SimHei" w:hAnsi="SimHei" w:eastAsia="SimHei" w:cs="SimHei"/>
          <w:sz w:val="25"/>
          <w:szCs w:val="25"/>
          <w:spacing w:val="1"/>
        </w:rPr>
        <w:t>一、部门预算收支数据变动情况及原因</w:t>
      </w:r>
    </w:p>
    <w:p>
      <w:pPr>
        <w:ind w:left="1806"/>
        <w:spacing w:before="130" w:line="223" w:lineRule="auto"/>
        <w:rPr>
          <w:rFonts w:ascii="FangSong" w:hAnsi="FangSong" w:eastAsia="FangSong" w:cs="FangSong"/>
          <w:sz w:val="25"/>
          <w:szCs w:val="25"/>
        </w:rPr>
      </w:pPr>
      <w:r>
        <w:rPr>
          <w:rFonts w:ascii="FangSong" w:hAnsi="FangSong" w:eastAsia="FangSong" w:cs="FangSong"/>
          <w:sz w:val="25"/>
          <w:szCs w:val="25"/>
          <w:spacing w:val="1"/>
        </w:rPr>
        <w:t>2024年度兴县审计局预算收入总计727.36万元，其中：本年收入727.36万元，</w:t>
      </w:r>
    </w:p>
    <w:p>
      <w:pPr>
        <w:ind w:left="1306" w:right="1513" w:firstLine="2"/>
        <w:spacing w:before="129" w:line="319" w:lineRule="auto"/>
        <w:rPr>
          <w:rFonts w:ascii="FangSong" w:hAnsi="FangSong" w:eastAsia="FangSong" w:cs="FangSong"/>
          <w:sz w:val="25"/>
          <w:szCs w:val="25"/>
        </w:rPr>
      </w:pPr>
      <w:r>
        <w:rPr>
          <w:rFonts w:ascii="FangSong" w:hAnsi="FangSong" w:eastAsia="FangSong" w:cs="FangSong"/>
          <w:sz w:val="25"/>
          <w:szCs w:val="25"/>
          <w:spacing w:val="-1"/>
        </w:rPr>
        <w:t>上年结转0万元，</w:t>
      </w:r>
      <w:r>
        <w:rPr>
          <w:rFonts w:ascii="FangSong" w:hAnsi="FangSong" w:eastAsia="FangSong" w:cs="FangSong"/>
          <w:sz w:val="25"/>
          <w:szCs w:val="25"/>
          <w:spacing w:val="-57"/>
        </w:rPr>
        <w:t xml:space="preserve"> </w:t>
      </w:r>
      <w:r>
        <w:rPr>
          <w:rFonts w:ascii="FangSong" w:hAnsi="FangSong" w:eastAsia="FangSong" w:cs="FangSong"/>
          <w:sz w:val="25"/>
          <w:szCs w:val="25"/>
          <w:spacing w:val="-1"/>
        </w:rPr>
        <w:t>比上年减少42.79万元</w:t>
      </w:r>
      <w:r>
        <w:rPr>
          <w:rFonts w:ascii="FangSong" w:hAnsi="FangSong" w:eastAsia="FangSong" w:cs="FangSong"/>
          <w:sz w:val="25"/>
          <w:szCs w:val="25"/>
          <w:spacing w:val="49"/>
        </w:rPr>
        <w:t xml:space="preserve"> </w:t>
      </w:r>
      <w:r>
        <w:rPr>
          <w:rFonts w:ascii="FangSong" w:hAnsi="FangSong" w:eastAsia="FangSong" w:cs="FangSong"/>
          <w:sz w:val="25"/>
          <w:szCs w:val="25"/>
          <w:spacing w:val="-1"/>
        </w:rPr>
        <w:t>，下降5.56%，主要原因是本年政府投资结</w:t>
      </w:r>
      <w:r>
        <w:rPr>
          <w:rFonts w:ascii="FangSong" w:hAnsi="FangSong" w:eastAsia="FangSong" w:cs="FangSong"/>
          <w:sz w:val="25"/>
          <w:szCs w:val="25"/>
          <w:spacing w:val="1"/>
        </w:rPr>
        <w:t>算审计业务基本结束，还有以前年度尾欠款未付清。；本年部门预算支出总计</w:t>
      </w:r>
    </w:p>
    <w:p>
      <w:pPr>
        <w:ind w:left="1308" w:right="1405" w:hanging="3"/>
        <w:spacing w:before="1" w:line="319" w:lineRule="auto"/>
        <w:rPr>
          <w:rFonts w:ascii="FangSong" w:hAnsi="FangSong" w:eastAsia="FangSong" w:cs="FangSong"/>
          <w:sz w:val="25"/>
          <w:szCs w:val="25"/>
        </w:rPr>
      </w:pPr>
      <w:r>
        <w:rPr>
          <w:rFonts w:ascii="FangSong" w:hAnsi="FangSong" w:eastAsia="FangSong" w:cs="FangSong"/>
          <w:sz w:val="25"/>
          <w:szCs w:val="25"/>
        </w:rPr>
        <w:t>727.36万元，其中：本年预算安排727.36万元，上年结转0万元，</w:t>
      </w:r>
      <w:r>
        <w:rPr>
          <w:rFonts w:ascii="FangSong" w:hAnsi="FangSong" w:eastAsia="FangSong" w:cs="FangSong"/>
          <w:sz w:val="25"/>
          <w:szCs w:val="25"/>
          <w:spacing w:val="-62"/>
        </w:rPr>
        <w:t xml:space="preserve"> </w:t>
      </w:r>
      <w:r>
        <w:rPr>
          <w:rFonts w:ascii="FangSong" w:hAnsi="FangSong" w:eastAsia="FangSong" w:cs="FangSong"/>
          <w:sz w:val="25"/>
          <w:szCs w:val="25"/>
        </w:rPr>
        <w:t>比上年减少42.79</w:t>
      </w:r>
      <w:r>
        <w:rPr>
          <w:rFonts w:ascii="FangSong" w:hAnsi="FangSong" w:eastAsia="FangSong" w:cs="FangSong"/>
          <w:sz w:val="25"/>
          <w:szCs w:val="25"/>
          <w:spacing w:val="2"/>
        </w:rPr>
        <w:t>万元，下降5.56%，主要原因是本年政府</w:t>
      </w:r>
      <w:r>
        <w:rPr>
          <w:rFonts w:ascii="FangSong" w:hAnsi="FangSong" w:eastAsia="FangSong" w:cs="FangSong"/>
          <w:sz w:val="25"/>
          <w:szCs w:val="25"/>
          <w:spacing w:val="1"/>
        </w:rPr>
        <w:t>投资结算审计业务基本结束，还有以前年度</w:t>
      </w:r>
      <w:r>
        <w:rPr>
          <w:rFonts w:ascii="FangSong" w:hAnsi="FangSong" w:eastAsia="FangSong" w:cs="FangSong"/>
          <w:sz w:val="25"/>
          <w:szCs w:val="25"/>
          <w:spacing w:val="-2"/>
        </w:rPr>
        <w:t>尾欠款未付清。</w:t>
      </w:r>
    </w:p>
    <w:p>
      <w:pPr>
        <w:ind w:left="1298"/>
        <w:spacing w:line="222" w:lineRule="auto"/>
        <w:outlineLvl w:val="1"/>
        <w:rPr>
          <w:rFonts w:ascii="SimHei" w:hAnsi="SimHei" w:eastAsia="SimHei" w:cs="SimHei"/>
          <w:sz w:val="25"/>
          <w:szCs w:val="25"/>
        </w:rPr>
      </w:pPr>
      <w:bookmarkStart w:name="bookmark19" w:id="34"/>
      <w:bookmarkEnd w:id="34"/>
      <w:r>
        <w:rPr>
          <w:rFonts w:ascii="SimHei" w:hAnsi="SimHei" w:eastAsia="SimHei" w:cs="SimHei"/>
          <w:sz w:val="25"/>
          <w:szCs w:val="25"/>
        </w:rPr>
        <w:t>二、收入预算情况说明</w:t>
      </w:r>
    </w:p>
    <w:p>
      <w:pPr>
        <w:ind w:left="1806"/>
        <w:spacing w:before="131" w:line="223" w:lineRule="auto"/>
        <w:rPr>
          <w:rFonts w:ascii="FangSong" w:hAnsi="FangSong" w:eastAsia="FangSong" w:cs="FangSong"/>
          <w:sz w:val="25"/>
          <w:szCs w:val="25"/>
        </w:rPr>
      </w:pPr>
      <w:r>
        <w:rPr>
          <w:rFonts w:ascii="FangSong" w:hAnsi="FangSong" w:eastAsia="FangSong" w:cs="FangSong"/>
          <w:sz w:val="25"/>
          <w:szCs w:val="25"/>
          <w:spacing w:val="1"/>
        </w:rPr>
        <w:t>2024年度兴县审计局预算收入727.36万元，主要包括一般公共预算拨款收入</w:t>
      </w:r>
    </w:p>
    <w:p>
      <w:pPr>
        <w:ind w:left="1301" w:right="1399" w:firstLine="4"/>
        <w:spacing w:before="131" w:line="318" w:lineRule="auto"/>
        <w:rPr>
          <w:rFonts w:ascii="FangSong" w:hAnsi="FangSong" w:eastAsia="FangSong" w:cs="FangSong"/>
          <w:sz w:val="25"/>
          <w:szCs w:val="25"/>
        </w:rPr>
      </w:pPr>
      <w:r>
        <w:rPr>
          <w:rFonts w:ascii="FangSong" w:hAnsi="FangSong" w:eastAsia="FangSong" w:cs="FangSong"/>
          <w:sz w:val="25"/>
          <w:szCs w:val="25"/>
          <w:spacing w:val="-2"/>
        </w:rPr>
        <w:t>727.36万元，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占100.00%；政府性基金</w:t>
      </w:r>
      <w:r>
        <w:rPr>
          <w:rFonts w:ascii="FangSong" w:hAnsi="FangSong" w:eastAsia="FangSong" w:cs="FangSong"/>
          <w:sz w:val="25"/>
          <w:szCs w:val="25"/>
          <w:spacing w:val="-3"/>
        </w:rPr>
        <w:t>预算拨款收入0万元，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占0%；</w:t>
      </w:r>
      <w:r>
        <w:rPr>
          <w:rFonts w:ascii="FangSong" w:hAnsi="FangSong" w:eastAsia="FangSong" w:cs="FangSong"/>
          <w:sz w:val="25"/>
          <w:szCs w:val="25"/>
          <w:spacing w:val="-71"/>
        </w:rPr>
        <w:t xml:space="preserve"> </w:t>
      </w:r>
      <w:r>
        <w:rPr>
          <w:rFonts w:ascii="FangSong" w:hAnsi="FangSong" w:eastAsia="FangSong" w:cs="FangSong"/>
          <w:sz w:val="25"/>
          <w:szCs w:val="25"/>
          <w:spacing w:val="-3"/>
        </w:rPr>
        <w:t>国有资本经营预</w:t>
      </w:r>
      <w:r>
        <w:rPr>
          <w:rFonts w:ascii="FangSong" w:hAnsi="FangSong" w:eastAsia="FangSong" w:cs="FangSong"/>
          <w:sz w:val="25"/>
          <w:szCs w:val="25"/>
          <w:spacing w:val="-3"/>
        </w:rPr>
        <w:t>算拨款收入0万元，</w:t>
      </w:r>
      <w:r>
        <w:rPr>
          <w:rFonts w:ascii="FangSong" w:hAnsi="FangSong" w:eastAsia="FangSong" w:cs="FangSong"/>
          <w:sz w:val="25"/>
          <w:szCs w:val="25"/>
          <w:spacing w:val="-55"/>
        </w:rPr>
        <w:t xml:space="preserve"> </w:t>
      </w:r>
      <w:r>
        <w:rPr>
          <w:rFonts w:ascii="FangSong" w:hAnsi="FangSong" w:eastAsia="FangSong" w:cs="FangSong"/>
          <w:sz w:val="25"/>
          <w:szCs w:val="25"/>
          <w:spacing w:val="-3"/>
        </w:rPr>
        <w:t>占0%；财政专户管理资金收入0万元，</w:t>
      </w:r>
      <w:r>
        <w:rPr>
          <w:rFonts w:ascii="FangSong" w:hAnsi="FangSong" w:eastAsia="FangSong" w:cs="FangSong"/>
          <w:sz w:val="25"/>
          <w:szCs w:val="25"/>
          <w:spacing w:val="-63"/>
        </w:rPr>
        <w:t xml:space="preserve"> </w:t>
      </w:r>
      <w:r>
        <w:rPr>
          <w:rFonts w:ascii="FangSong" w:hAnsi="FangSong" w:eastAsia="FangSong" w:cs="FangSong"/>
          <w:sz w:val="25"/>
          <w:szCs w:val="25"/>
          <w:spacing w:val="-3"/>
        </w:rPr>
        <w:t>占0%；单位资金0万元，</w:t>
      </w:r>
      <w:r>
        <w:rPr>
          <w:rFonts w:ascii="FangSong" w:hAnsi="FangSong" w:eastAsia="FangSong" w:cs="FangSong"/>
          <w:sz w:val="25"/>
          <w:szCs w:val="25"/>
          <w:spacing w:val="-64"/>
        </w:rPr>
        <w:t xml:space="preserve"> </w:t>
      </w:r>
      <w:r>
        <w:rPr>
          <w:rFonts w:ascii="FangSong" w:hAnsi="FangSong" w:eastAsia="FangSong" w:cs="FangSong"/>
          <w:sz w:val="25"/>
          <w:szCs w:val="25"/>
          <w:spacing w:val="-3"/>
        </w:rPr>
        <w:t>占</w:t>
      </w:r>
      <w:r>
        <w:rPr>
          <w:rFonts w:ascii="FangSong" w:hAnsi="FangSong" w:eastAsia="FangSong" w:cs="FangSong"/>
          <w:sz w:val="25"/>
          <w:szCs w:val="25"/>
          <w:spacing w:val="-4"/>
        </w:rPr>
        <w:t>0%；上年结转0万元，</w:t>
      </w:r>
      <w:r>
        <w:rPr>
          <w:rFonts w:ascii="FangSong" w:hAnsi="FangSong" w:eastAsia="FangSong" w:cs="FangSong"/>
          <w:sz w:val="25"/>
          <w:szCs w:val="25"/>
          <w:spacing w:val="-55"/>
        </w:rPr>
        <w:t xml:space="preserve"> </w:t>
      </w:r>
      <w:r>
        <w:rPr>
          <w:rFonts w:ascii="FangSong" w:hAnsi="FangSong" w:eastAsia="FangSong" w:cs="FangSong"/>
          <w:sz w:val="25"/>
          <w:szCs w:val="25"/>
          <w:spacing w:val="-4"/>
        </w:rPr>
        <w:t>占0%。</w:t>
      </w:r>
    </w:p>
    <w:p>
      <w:pPr>
        <w:spacing w:line="342" w:lineRule="auto"/>
        <w:rPr>
          <w:rFonts w:ascii="Arial"/>
          <w:sz w:val="21"/>
        </w:rPr>
      </w:pPr>
      <w:r/>
    </w:p>
    <w:p>
      <w:pPr>
        <w:ind w:firstLine="3404"/>
        <w:spacing w:before="1" w:line="3266" w:lineRule="exact"/>
        <w:rPr/>
      </w:pPr>
      <w:r>
        <w:rPr>
          <w:position w:val="-65"/>
        </w:rPr>
        <w:drawing>
          <wp:inline distT="0" distB="0" distL="0" distR="0">
            <wp:extent cx="2609084" cy="2073780"/>
            <wp:effectExtent l="0" t="0" r="0" b="0"/>
            <wp:docPr id="2" name="IM 2"/>
            <wp:cNvGraphicFramePr/>
            <a:graphic>
              <a:graphicData uri="http://schemas.openxmlformats.org/drawingml/2006/picture">
                <pic:pic>
                  <pic:nvPicPr>
                    <pic:cNvPr id="2" name="IM 2"/>
                    <pic:cNvPicPr/>
                  </pic:nvPicPr>
                  <pic:blipFill>
                    <a:blip r:embed="rId34"/>
                    <a:stretch>
                      <a:fillRect/>
                    </a:stretch>
                  </pic:blipFill>
                  <pic:spPr>
                    <a:xfrm rot="0">
                      <a:off x="0" y="0"/>
                      <a:ext cx="2609084" cy="2073780"/>
                    </a:xfrm>
                    <a:prstGeom prst="rect">
                      <a:avLst/>
                    </a:prstGeom>
                  </pic:spPr>
                </pic:pic>
              </a:graphicData>
            </a:graphic>
          </wp:inline>
        </w:drawing>
      </w:r>
    </w:p>
    <w:p>
      <w:pPr>
        <w:spacing w:line="314" w:lineRule="auto"/>
        <w:rPr>
          <w:rFonts w:ascii="Arial"/>
          <w:sz w:val="21"/>
        </w:rPr>
      </w:pPr>
      <w:r/>
    </w:p>
    <w:p>
      <w:pPr>
        <w:spacing w:line="314" w:lineRule="auto"/>
        <w:rPr>
          <w:rFonts w:ascii="Arial"/>
          <w:sz w:val="21"/>
        </w:rPr>
      </w:pPr>
      <w:r/>
    </w:p>
    <w:p>
      <w:pPr>
        <w:ind w:left="1299"/>
        <w:spacing w:before="82" w:line="222" w:lineRule="auto"/>
        <w:outlineLvl w:val="1"/>
        <w:rPr>
          <w:rFonts w:ascii="SimHei" w:hAnsi="SimHei" w:eastAsia="SimHei" w:cs="SimHei"/>
          <w:sz w:val="25"/>
          <w:szCs w:val="25"/>
        </w:rPr>
      </w:pPr>
      <w:r>
        <w:pict>
          <v:shape id="_x0000_s260" style="position:absolute;margin-left:86.92pt;margin-top:-38.741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bookmarkStart w:name="bookmark20" w:id="35"/>
      <w:bookmarkEnd w:id="35"/>
      <w:r>
        <w:rPr>
          <w:rFonts w:ascii="SimHei" w:hAnsi="SimHei" w:eastAsia="SimHei" w:cs="SimHei"/>
          <w:sz w:val="25"/>
          <w:szCs w:val="25"/>
        </w:rPr>
        <w:t>三、支出预算情况说明</w:t>
      </w:r>
    </w:p>
    <w:p>
      <w:pPr>
        <w:ind w:left="1304" w:right="1789" w:firstLine="502"/>
        <w:spacing w:before="131" w:line="319" w:lineRule="auto"/>
        <w:rPr>
          <w:rFonts w:ascii="FangSong" w:hAnsi="FangSong" w:eastAsia="FangSong" w:cs="FangSong"/>
          <w:sz w:val="25"/>
          <w:szCs w:val="25"/>
        </w:rPr>
      </w:pPr>
      <w:r>
        <w:rPr>
          <w:rFonts w:ascii="FangSong" w:hAnsi="FangSong" w:eastAsia="FangSong" w:cs="FangSong"/>
          <w:sz w:val="25"/>
          <w:szCs w:val="25"/>
        </w:rPr>
        <w:t>2024年度兴县审计局支出预算727.36万元，其中：基本支出26</w:t>
      </w:r>
      <w:r>
        <w:rPr>
          <w:rFonts w:ascii="FangSong" w:hAnsi="FangSong" w:eastAsia="FangSong" w:cs="FangSong"/>
          <w:sz w:val="25"/>
          <w:szCs w:val="25"/>
          <w:spacing w:val="-1"/>
        </w:rPr>
        <w:t>2.74万元，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w:t>
      </w:r>
      <w:r>
        <w:rPr>
          <w:rFonts w:ascii="FangSong" w:hAnsi="FangSong" w:eastAsia="FangSong" w:cs="FangSong"/>
          <w:sz w:val="25"/>
          <w:szCs w:val="25"/>
          <w:spacing w:val="-2"/>
        </w:rPr>
        <w:t>36.12%；项目支出464.61万元，</w:t>
      </w:r>
      <w:r>
        <w:rPr>
          <w:rFonts w:ascii="FangSong" w:hAnsi="FangSong" w:eastAsia="FangSong" w:cs="FangSong"/>
          <w:sz w:val="25"/>
          <w:szCs w:val="25"/>
          <w:spacing w:val="-48"/>
        </w:rPr>
        <w:t xml:space="preserve"> </w:t>
      </w:r>
      <w:r>
        <w:rPr>
          <w:rFonts w:ascii="FangSong" w:hAnsi="FangSong" w:eastAsia="FangSong" w:cs="FangSong"/>
          <w:sz w:val="25"/>
          <w:szCs w:val="25"/>
          <w:spacing w:val="-2"/>
        </w:rPr>
        <w:t>占63.88%。</w:t>
      </w:r>
    </w:p>
    <w:p>
      <w:pPr>
        <w:ind w:left="1314"/>
        <w:spacing w:before="1" w:line="222" w:lineRule="auto"/>
        <w:outlineLvl w:val="1"/>
        <w:rPr>
          <w:rFonts w:ascii="SimHei" w:hAnsi="SimHei" w:eastAsia="SimHei" w:cs="SimHei"/>
          <w:sz w:val="25"/>
          <w:szCs w:val="25"/>
        </w:rPr>
      </w:pPr>
      <w:bookmarkStart w:name="bookmark21" w:id="36"/>
      <w:bookmarkEnd w:id="36"/>
      <w:r>
        <w:rPr>
          <w:rFonts w:ascii="SimHei" w:hAnsi="SimHei" w:eastAsia="SimHei" w:cs="SimHei"/>
          <w:sz w:val="25"/>
          <w:szCs w:val="25"/>
        </w:rPr>
        <w:t>四、财政拨款收支预算总体情况说明</w:t>
      </w:r>
    </w:p>
    <w:p>
      <w:pPr>
        <w:ind w:left="1306" w:right="1448" w:firstLine="500"/>
        <w:spacing w:before="132" w:line="318" w:lineRule="auto"/>
        <w:rPr>
          <w:rFonts w:ascii="FangSong" w:hAnsi="FangSong" w:eastAsia="FangSong" w:cs="FangSong"/>
          <w:sz w:val="25"/>
          <w:szCs w:val="25"/>
        </w:rPr>
      </w:pPr>
      <w:r>
        <w:rPr>
          <w:rFonts w:ascii="FangSong" w:hAnsi="FangSong" w:eastAsia="FangSong" w:cs="FangSong"/>
          <w:sz w:val="25"/>
          <w:szCs w:val="25"/>
          <w:spacing w:val="1"/>
        </w:rPr>
        <w:t>2024年度兴县审计局财政拨款收支总预算727.36万元。其中：一般公共预算拨</w:t>
      </w:r>
      <w:r>
        <w:rPr>
          <w:rFonts w:ascii="FangSong" w:hAnsi="FangSong" w:eastAsia="FangSong" w:cs="FangSong"/>
          <w:sz w:val="25"/>
          <w:szCs w:val="25"/>
          <w:spacing w:val="-2"/>
        </w:rPr>
        <w:t>款727.36万元，政府性基金预算拨款0万元，</w:t>
      </w:r>
      <w:r>
        <w:rPr>
          <w:rFonts w:ascii="FangSong" w:hAnsi="FangSong" w:eastAsia="FangSong" w:cs="FangSong"/>
          <w:sz w:val="25"/>
          <w:szCs w:val="25"/>
          <w:spacing w:val="-59"/>
        </w:rPr>
        <w:t xml:space="preserve"> </w:t>
      </w:r>
      <w:r>
        <w:rPr>
          <w:rFonts w:ascii="FangSong" w:hAnsi="FangSong" w:eastAsia="FangSong" w:cs="FangSong"/>
          <w:sz w:val="25"/>
          <w:szCs w:val="25"/>
          <w:spacing w:val="-2"/>
        </w:rPr>
        <w:t>国有资本经营预算拨款0万元。</w:t>
      </w:r>
      <w:r>
        <w:rPr>
          <w:rFonts w:ascii="FangSong" w:hAnsi="FangSong" w:eastAsia="FangSong" w:cs="FangSong"/>
          <w:sz w:val="25"/>
          <w:szCs w:val="25"/>
          <w:spacing w:val="33"/>
        </w:rPr>
        <w:t xml:space="preserve"> </w:t>
      </w:r>
      <w:r>
        <w:rPr>
          <w:rFonts w:ascii="FangSong" w:hAnsi="FangSong" w:eastAsia="FangSong" w:cs="FangSong"/>
          <w:sz w:val="25"/>
          <w:szCs w:val="25"/>
          <w:spacing w:val="-2"/>
        </w:rPr>
        <w:t>其中：</w:t>
      </w:r>
      <w:r>
        <w:rPr>
          <w:rFonts w:ascii="FangSong" w:hAnsi="FangSong" w:eastAsia="FangSong" w:cs="FangSong"/>
          <w:sz w:val="25"/>
          <w:szCs w:val="25"/>
          <w:spacing w:val="2"/>
        </w:rPr>
        <w:t>当年拨款收入727.36万元，上年结转收</w:t>
      </w:r>
      <w:r>
        <w:rPr>
          <w:rFonts w:ascii="FangSong" w:hAnsi="FangSong" w:eastAsia="FangSong" w:cs="FangSong"/>
          <w:sz w:val="25"/>
          <w:szCs w:val="25"/>
          <w:spacing w:val="1"/>
        </w:rPr>
        <w:t>入0万元。支出包括：一般公共服务支出</w:t>
      </w:r>
    </w:p>
    <w:p>
      <w:pPr>
        <w:ind w:left="1306" w:right="1525" w:hanging="2"/>
        <w:spacing w:before="3" w:line="319" w:lineRule="auto"/>
        <w:rPr>
          <w:rFonts w:ascii="FangSong" w:hAnsi="FangSong" w:eastAsia="FangSong" w:cs="FangSong"/>
          <w:sz w:val="25"/>
          <w:szCs w:val="25"/>
        </w:rPr>
      </w:pPr>
      <w:r>
        <w:rPr>
          <w:rFonts w:ascii="FangSong" w:hAnsi="FangSong" w:eastAsia="FangSong" w:cs="FangSong"/>
          <w:sz w:val="25"/>
          <w:szCs w:val="25"/>
          <w:spacing w:val="2"/>
        </w:rPr>
        <w:t>573.60万元、社会保障和就业支出39.92万元</w:t>
      </w:r>
      <w:r>
        <w:rPr>
          <w:rFonts w:ascii="FangSong" w:hAnsi="FangSong" w:eastAsia="FangSong" w:cs="FangSong"/>
          <w:sz w:val="25"/>
          <w:szCs w:val="25"/>
          <w:spacing w:val="1"/>
        </w:rPr>
        <w:t>、卫生健康支出11.36万元、城乡社区</w:t>
      </w:r>
      <w:r>
        <w:rPr>
          <w:rFonts w:ascii="FangSong" w:hAnsi="FangSong" w:eastAsia="FangSong" w:cs="FangSong"/>
          <w:sz w:val="25"/>
          <w:szCs w:val="25"/>
          <w:spacing w:val="1"/>
        </w:rPr>
        <w:t>支出79.88万元、住房保障支出22.60万元等。</w:t>
      </w:r>
    </w:p>
    <w:p>
      <w:pPr>
        <w:ind w:left="1306"/>
        <w:spacing w:before="1" w:line="222" w:lineRule="auto"/>
        <w:outlineLvl w:val="1"/>
        <w:rPr>
          <w:rFonts w:ascii="SimHei" w:hAnsi="SimHei" w:eastAsia="SimHei" w:cs="SimHei"/>
          <w:sz w:val="25"/>
          <w:szCs w:val="25"/>
        </w:rPr>
      </w:pPr>
      <w:bookmarkStart w:name="bookmark22" w:id="37"/>
      <w:bookmarkEnd w:id="37"/>
      <w:r>
        <w:rPr>
          <w:rFonts w:ascii="SimHei" w:hAnsi="SimHei" w:eastAsia="SimHei" w:cs="SimHei"/>
          <w:sz w:val="25"/>
          <w:szCs w:val="25"/>
        </w:rPr>
        <w:t>五、一般公共预算支出情况说明</w:t>
      </w:r>
    </w:p>
    <w:p>
      <w:pPr>
        <w:spacing w:line="222" w:lineRule="auto"/>
        <w:sectPr>
          <w:headerReference w:type="default" r:id="rId32"/>
          <w:footerReference w:type="default" r:id="rId33"/>
          <w:pgSz w:w="11900" w:h="16840"/>
          <w:pgMar w:top="642" w:right="0" w:bottom="340" w:left="0" w:header="326" w:footer="93" w:gutter="0"/>
        </w:sectPr>
        <w:rPr>
          <w:rFonts w:ascii="SimHei" w:hAnsi="SimHei" w:eastAsia="SimHei" w:cs="SimHei"/>
          <w:sz w:val="25"/>
          <w:szCs w:val="25"/>
        </w:rPr>
      </w:pPr>
    </w:p>
    <w:p>
      <w:pPr>
        <w:spacing w:line="330" w:lineRule="auto"/>
        <w:rPr>
          <w:rFonts w:ascii="Arial"/>
          <w:sz w:val="21"/>
        </w:rPr>
      </w:pPr>
      <w:r/>
    </w:p>
    <w:p>
      <w:pPr>
        <w:ind w:left="1812"/>
        <w:spacing w:before="8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ind w:left="1324" w:right="1537" w:firstLine="481"/>
        <w:spacing w:before="130" w:line="319" w:lineRule="auto"/>
        <w:rPr>
          <w:rFonts w:ascii="FangSong" w:hAnsi="FangSong" w:eastAsia="FangSong" w:cs="FangSong"/>
          <w:sz w:val="25"/>
          <w:szCs w:val="25"/>
        </w:rPr>
      </w:pPr>
      <w:r>
        <w:rPr>
          <w:rFonts w:ascii="FangSong" w:hAnsi="FangSong" w:eastAsia="FangSong" w:cs="FangSong"/>
          <w:sz w:val="25"/>
          <w:szCs w:val="25"/>
          <w:spacing w:val="1"/>
        </w:rPr>
        <w:t>2024年度兴县审计局一般公共预算当年支出727.36万元,比上年减少42.79万元</w:t>
      </w:r>
      <w:r>
        <w:rPr>
          <w:rFonts w:ascii="FangSong" w:hAnsi="FangSong" w:eastAsia="FangSong" w:cs="FangSong"/>
          <w:sz w:val="25"/>
          <w:szCs w:val="25"/>
          <w:spacing w:val="13"/>
        </w:rPr>
        <w:t xml:space="preserve"> </w:t>
      </w:r>
      <w:r>
        <w:rPr>
          <w:rFonts w:ascii="FangSong" w:hAnsi="FangSong" w:eastAsia="FangSong" w:cs="FangSong"/>
          <w:sz w:val="25"/>
          <w:szCs w:val="25"/>
          <w:spacing w:val="-12"/>
        </w:rPr>
        <w:t>,</w:t>
      </w:r>
      <w:r>
        <w:rPr>
          <w:rFonts w:ascii="FangSong" w:hAnsi="FangSong" w:eastAsia="FangSong" w:cs="FangSong"/>
          <w:sz w:val="25"/>
          <w:szCs w:val="25"/>
          <w:spacing w:val="82"/>
        </w:rPr>
        <w:t xml:space="preserve"> </w:t>
      </w:r>
      <w:r>
        <w:rPr>
          <w:rFonts w:ascii="FangSong" w:hAnsi="FangSong" w:eastAsia="FangSong" w:cs="FangSong"/>
          <w:sz w:val="25"/>
          <w:szCs w:val="25"/>
          <w:spacing w:val="-12"/>
        </w:rPr>
        <w:t>下降5.56%。</w:t>
      </w:r>
    </w:p>
    <w:p>
      <w:pPr>
        <w:ind w:left="1812"/>
        <w:spacing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1806"/>
        <w:spacing w:before="130" w:line="223" w:lineRule="auto"/>
        <w:rPr>
          <w:rFonts w:ascii="FangSong" w:hAnsi="FangSong" w:eastAsia="FangSong" w:cs="FangSong"/>
          <w:sz w:val="25"/>
          <w:szCs w:val="25"/>
        </w:rPr>
      </w:pPr>
      <w:r>
        <w:rPr>
          <w:rFonts w:ascii="FangSong" w:hAnsi="FangSong" w:eastAsia="FangSong" w:cs="FangSong"/>
          <w:sz w:val="25"/>
          <w:szCs w:val="25"/>
          <w:spacing w:val="2"/>
        </w:rPr>
        <w:t>2024年度兴县审计局一般公共预算当年支出727.36万元,主要用于以下方面：一</w:t>
      </w:r>
    </w:p>
    <w:p>
      <w:pPr>
        <w:ind w:left="1304" w:right="2161" w:firstLine="3"/>
        <w:spacing w:before="130" w:line="319" w:lineRule="auto"/>
        <w:rPr>
          <w:rFonts w:ascii="FangSong" w:hAnsi="FangSong" w:eastAsia="FangSong" w:cs="FangSong"/>
          <w:sz w:val="25"/>
          <w:szCs w:val="25"/>
        </w:rPr>
      </w:pPr>
      <w:r>
        <w:rPr>
          <w:rFonts w:ascii="FangSong" w:hAnsi="FangSong" w:eastAsia="FangSong" w:cs="FangSong"/>
          <w:sz w:val="25"/>
          <w:szCs w:val="25"/>
          <w:spacing w:val="-2"/>
        </w:rPr>
        <w:t>般公共服务支出573.60万元，</w:t>
      </w:r>
      <w:r>
        <w:rPr>
          <w:rFonts w:ascii="FangSong" w:hAnsi="FangSong" w:eastAsia="FangSong" w:cs="FangSong"/>
          <w:sz w:val="25"/>
          <w:szCs w:val="25"/>
          <w:spacing w:val="-48"/>
        </w:rPr>
        <w:t xml:space="preserve"> </w:t>
      </w:r>
      <w:r>
        <w:rPr>
          <w:rFonts w:ascii="FangSong" w:hAnsi="FangSong" w:eastAsia="FangSong" w:cs="FangSong"/>
          <w:sz w:val="25"/>
          <w:szCs w:val="25"/>
          <w:spacing w:val="-2"/>
        </w:rPr>
        <w:t>占78.86%；社会保障和就业支出39.92万元，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w:t>
      </w:r>
      <w:r>
        <w:rPr>
          <w:rFonts w:ascii="FangSong" w:hAnsi="FangSong" w:eastAsia="FangSong" w:cs="FangSong"/>
          <w:sz w:val="25"/>
          <w:szCs w:val="25"/>
        </w:rPr>
        <w:t>5.49%；卫生健康支出11.36万元，</w:t>
      </w:r>
      <w:r>
        <w:rPr>
          <w:rFonts w:ascii="FangSong" w:hAnsi="FangSong" w:eastAsia="FangSong" w:cs="FangSong"/>
          <w:sz w:val="25"/>
          <w:szCs w:val="25"/>
          <w:spacing w:val="-54"/>
        </w:rPr>
        <w:t xml:space="preserve"> </w:t>
      </w:r>
      <w:r>
        <w:rPr>
          <w:rFonts w:ascii="FangSong" w:hAnsi="FangSong" w:eastAsia="FangSong" w:cs="FangSong"/>
          <w:sz w:val="25"/>
          <w:szCs w:val="25"/>
        </w:rPr>
        <w:t>占1.56%；城乡社区支出79.88万元，</w:t>
      </w:r>
      <w:r>
        <w:rPr>
          <w:rFonts w:ascii="FangSong" w:hAnsi="FangSong" w:eastAsia="FangSong" w:cs="FangSong"/>
          <w:sz w:val="25"/>
          <w:szCs w:val="25"/>
          <w:spacing w:val="-63"/>
        </w:rPr>
        <w:t xml:space="preserve"> </w:t>
      </w:r>
      <w:r>
        <w:rPr>
          <w:rFonts w:ascii="FangSong" w:hAnsi="FangSong" w:eastAsia="FangSong" w:cs="FangSong"/>
          <w:sz w:val="25"/>
          <w:szCs w:val="25"/>
        </w:rPr>
        <w:t>占</w:t>
      </w:r>
    </w:p>
    <w:p>
      <w:pPr>
        <w:ind w:left="1317"/>
        <w:spacing w:line="222" w:lineRule="auto"/>
        <w:rPr>
          <w:rFonts w:ascii="FangSong" w:hAnsi="FangSong" w:eastAsia="FangSong" w:cs="FangSong"/>
          <w:sz w:val="25"/>
          <w:szCs w:val="25"/>
        </w:rPr>
      </w:pPr>
      <w:r>
        <w:rPr>
          <w:rFonts w:ascii="FangSong" w:hAnsi="FangSong" w:eastAsia="FangSong" w:cs="FangSong"/>
          <w:sz w:val="25"/>
          <w:szCs w:val="25"/>
          <w:spacing w:val="-1"/>
        </w:rPr>
        <w:t>10.98%；住房保障支出22.60万</w:t>
      </w:r>
      <w:r>
        <w:rPr>
          <w:rFonts w:ascii="FangSong" w:hAnsi="FangSong" w:eastAsia="FangSong" w:cs="FangSong"/>
          <w:sz w:val="25"/>
          <w:szCs w:val="25"/>
          <w:spacing w:val="-2"/>
        </w:rPr>
        <w:t>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占3.11%等。</w:t>
      </w:r>
    </w:p>
    <w:p>
      <w:pPr>
        <w:ind w:firstLine="3404"/>
        <w:spacing w:before="234" w:line="2606" w:lineRule="exact"/>
        <w:rPr/>
      </w:pPr>
      <w:r>
        <w:pict>
          <v:shape id="_x0000_s278" style="position:absolute;margin-left:391.92pt;margin-top:69.024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52"/>
        </w:rPr>
        <w:drawing>
          <wp:inline distT="0" distB="0" distL="0" distR="0">
            <wp:extent cx="2976383" cy="1654969"/>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976383" cy="1654969"/>
                    </a:xfrm>
                    <a:prstGeom prst="rect">
                      <a:avLst/>
                    </a:prstGeom>
                  </pic:spPr>
                </pic:pic>
              </a:graphicData>
            </a:graphic>
          </wp:inline>
        </w:drawing>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1307"/>
        <w:spacing w:before="82" w:line="222" w:lineRule="auto"/>
        <w:outlineLvl w:val="1"/>
        <w:rPr>
          <w:rFonts w:ascii="SimHei" w:hAnsi="SimHei" w:eastAsia="SimHei" w:cs="SimHei"/>
          <w:sz w:val="25"/>
          <w:szCs w:val="25"/>
        </w:rPr>
      </w:pPr>
      <w:bookmarkStart w:name="bookmark23" w:id="38"/>
      <w:bookmarkEnd w:id="38"/>
      <w:r>
        <w:rPr>
          <w:rFonts w:ascii="SimHei" w:hAnsi="SimHei" w:eastAsia="SimHei" w:cs="SimHei"/>
          <w:sz w:val="25"/>
          <w:szCs w:val="25"/>
        </w:rPr>
        <w:t>六、一般公共预算基本支出情况说明</w:t>
      </w:r>
    </w:p>
    <w:p>
      <w:pPr>
        <w:ind w:left="1806"/>
        <w:spacing w:before="131" w:line="223" w:lineRule="auto"/>
        <w:rPr>
          <w:rFonts w:ascii="FangSong" w:hAnsi="FangSong" w:eastAsia="FangSong" w:cs="FangSong"/>
          <w:sz w:val="25"/>
          <w:szCs w:val="25"/>
        </w:rPr>
      </w:pPr>
      <w:r>
        <w:rPr>
          <w:rFonts w:ascii="FangSong" w:hAnsi="FangSong" w:eastAsia="FangSong" w:cs="FangSong"/>
          <w:sz w:val="25"/>
          <w:szCs w:val="25"/>
          <w:spacing w:val="1"/>
        </w:rPr>
        <w:t>2024年度兴县审计局一般公共预算安排基本支出262.74万元，其中：</w:t>
      </w:r>
    </w:p>
    <w:p>
      <w:pPr>
        <w:ind w:left="1332" w:right="1537" w:firstLine="482"/>
        <w:spacing w:before="130" w:line="319" w:lineRule="auto"/>
        <w:rPr>
          <w:rFonts w:ascii="FangSong" w:hAnsi="FangSong" w:eastAsia="FangSong" w:cs="FangSong"/>
          <w:sz w:val="25"/>
          <w:szCs w:val="25"/>
        </w:rPr>
      </w:pPr>
      <w:r>
        <w:rPr>
          <w:rFonts w:ascii="FangSong" w:hAnsi="FangSong" w:eastAsia="FangSong" w:cs="FangSong"/>
          <w:sz w:val="25"/>
          <w:szCs w:val="25"/>
          <w:spacing w:val="1"/>
        </w:rPr>
        <w:t>人员经费240.29万元，主要包括：其他对个人和家庭的补助、其他工资福利支</w:t>
      </w:r>
      <w:r>
        <w:rPr>
          <w:rFonts w:ascii="FangSong" w:hAnsi="FangSong" w:eastAsia="FangSong" w:cs="FangSong"/>
          <w:sz w:val="25"/>
          <w:szCs w:val="25"/>
          <w:spacing w:val="1"/>
        </w:rPr>
        <w:t>出、公务员医疗补助缴费、其他社会保障缴费、绩效工资、基</w:t>
      </w:r>
      <w:r>
        <w:rPr>
          <w:rFonts w:ascii="FangSong" w:hAnsi="FangSong" w:eastAsia="FangSong" w:cs="FangSong"/>
          <w:sz w:val="25"/>
          <w:szCs w:val="25"/>
        </w:rPr>
        <w:t>本工资、住房公积</w:t>
      </w:r>
    </w:p>
    <w:p>
      <w:pPr>
        <w:ind w:left="1317" w:right="1537" w:hanging="11"/>
        <w:spacing w:line="319" w:lineRule="auto"/>
        <w:rPr>
          <w:rFonts w:ascii="FangSong" w:hAnsi="FangSong" w:eastAsia="FangSong" w:cs="FangSong"/>
          <w:sz w:val="25"/>
          <w:szCs w:val="25"/>
        </w:rPr>
      </w:pPr>
      <w:r>
        <w:rPr>
          <w:rFonts w:ascii="FangSong" w:hAnsi="FangSong" w:eastAsia="FangSong" w:cs="FangSong"/>
          <w:sz w:val="25"/>
          <w:szCs w:val="25"/>
          <w:spacing w:val="1"/>
        </w:rPr>
        <w:t>金、机关事业单位基本养老保险缴费、退休费、奖金、津贴补贴、职工基本医疗保</w:t>
      </w:r>
      <w:r>
        <w:rPr>
          <w:rFonts w:ascii="FangSong" w:hAnsi="FangSong" w:eastAsia="FangSong" w:cs="FangSong"/>
          <w:sz w:val="25"/>
          <w:szCs w:val="25"/>
          <w:spacing w:val="-1"/>
        </w:rPr>
        <w:t>险缴费、职业年金缴费等；</w:t>
      </w:r>
    </w:p>
    <w:p>
      <w:pPr>
        <w:ind w:left="1312" w:right="1405" w:firstLine="503"/>
        <w:spacing w:before="1" w:line="319" w:lineRule="auto"/>
        <w:rPr>
          <w:rFonts w:ascii="FangSong" w:hAnsi="FangSong" w:eastAsia="FangSong" w:cs="FangSong"/>
          <w:sz w:val="25"/>
          <w:szCs w:val="25"/>
        </w:rPr>
      </w:pPr>
      <w:r>
        <w:rPr>
          <w:rFonts w:ascii="FangSong" w:hAnsi="FangSong" w:eastAsia="FangSong" w:cs="FangSong"/>
          <w:sz w:val="25"/>
          <w:szCs w:val="25"/>
          <w:spacing w:val="1"/>
        </w:rPr>
        <w:t>公用经费22.45万元，主要包括：办公费、公务用车运行维护费、福利费、其他</w:t>
      </w:r>
      <w:r>
        <w:rPr>
          <w:rFonts w:ascii="FangSong" w:hAnsi="FangSong" w:eastAsia="FangSong" w:cs="FangSong"/>
          <w:sz w:val="25"/>
          <w:szCs w:val="25"/>
          <w:spacing w:val="-1"/>
        </w:rPr>
        <w:t>交通费用、工会经费等。</w:t>
      </w:r>
    </w:p>
    <w:p>
      <w:pPr>
        <w:ind w:left="1293"/>
        <w:spacing w:line="222" w:lineRule="auto"/>
        <w:outlineLvl w:val="1"/>
        <w:rPr>
          <w:rFonts w:ascii="SimHei" w:hAnsi="SimHei" w:eastAsia="SimHei" w:cs="SimHei"/>
          <w:sz w:val="25"/>
          <w:szCs w:val="25"/>
        </w:rPr>
      </w:pPr>
      <w:bookmarkStart w:name="bookmark24" w:id="39"/>
      <w:bookmarkEnd w:id="39"/>
      <w:r>
        <w:rPr>
          <w:rFonts w:ascii="SimHei" w:hAnsi="SimHei" w:eastAsia="SimHei" w:cs="SimHei"/>
          <w:sz w:val="25"/>
          <w:szCs w:val="25"/>
          <w:spacing w:val="1"/>
        </w:rPr>
        <w:t>七、“三公”经费增减变动原因说明</w:t>
      </w:r>
    </w:p>
    <w:p>
      <w:pPr>
        <w:ind w:left="1307" w:right="1525" w:firstLine="498"/>
        <w:spacing w:before="133" w:line="319" w:lineRule="auto"/>
        <w:jc w:val="both"/>
        <w:rPr>
          <w:rFonts w:ascii="FangSong" w:hAnsi="FangSong" w:eastAsia="FangSong" w:cs="FangSong"/>
          <w:sz w:val="25"/>
          <w:szCs w:val="25"/>
        </w:rPr>
      </w:pPr>
      <w:r>
        <w:rPr>
          <w:rFonts w:ascii="FangSong" w:hAnsi="FangSong" w:eastAsia="FangSong" w:cs="FangSong"/>
          <w:sz w:val="25"/>
          <w:szCs w:val="25"/>
          <w:spacing w:val="1"/>
        </w:rPr>
        <w:t>2024年兴县审计局财政拨款安排的“三</w:t>
      </w:r>
      <w:r>
        <w:rPr>
          <w:rFonts w:ascii="FangSong" w:hAnsi="FangSong" w:eastAsia="FangSong" w:cs="FangSong"/>
          <w:sz w:val="25"/>
          <w:szCs w:val="25"/>
        </w:rPr>
        <w:t>公</w:t>
      </w:r>
      <w:r>
        <w:rPr>
          <w:rFonts w:ascii="FangSong" w:hAnsi="FangSong" w:eastAsia="FangSong" w:cs="FangSong"/>
          <w:sz w:val="25"/>
          <w:szCs w:val="25"/>
          <w:spacing w:val="-89"/>
        </w:rPr>
        <w:t xml:space="preserve"> </w:t>
      </w:r>
      <w:r>
        <w:rPr>
          <w:rFonts w:ascii="FangSong" w:hAnsi="FangSong" w:eastAsia="FangSong" w:cs="FangSong"/>
          <w:sz w:val="25"/>
          <w:szCs w:val="25"/>
        </w:rPr>
        <w:t>”经费预算2.00万元与2023年预算数</w:t>
      </w:r>
      <w:r>
        <w:rPr>
          <w:rFonts w:ascii="FangSong" w:hAnsi="FangSong" w:eastAsia="FangSong" w:cs="FangSong"/>
          <w:sz w:val="25"/>
          <w:szCs w:val="25"/>
          <w:spacing w:val="2"/>
        </w:rPr>
        <w:t>相同。其中：因公出国（境）费0万元，与上年预算数相同；公</w:t>
      </w:r>
      <w:r>
        <w:rPr>
          <w:rFonts w:ascii="FangSong" w:hAnsi="FangSong" w:eastAsia="FangSong" w:cs="FangSong"/>
          <w:sz w:val="25"/>
          <w:szCs w:val="25"/>
          <w:spacing w:val="1"/>
        </w:rPr>
        <w:t>务接待费0万元，与</w:t>
      </w:r>
      <w:r>
        <w:rPr>
          <w:rFonts w:ascii="FangSong" w:hAnsi="FangSong" w:eastAsia="FangSong" w:cs="FangSong"/>
          <w:sz w:val="25"/>
          <w:szCs w:val="25"/>
          <w:spacing w:val="1"/>
        </w:rPr>
        <w:t>上年预算数相同；公务用车运行维护费2.00万元，与上年预算数相同；公务用车购</w:t>
      </w:r>
      <w:r>
        <w:rPr>
          <w:rFonts w:ascii="FangSong" w:hAnsi="FangSong" w:eastAsia="FangSong" w:cs="FangSong"/>
          <w:sz w:val="25"/>
          <w:szCs w:val="25"/>
        </w:rPr>
        <w:t>置费0万元，与上年预算数相同。</w:t>
      </w:r>
    </w:p>
    <w:p>
      <w:pPr>
        <w:spacing w:line="319" w:lineRule="auto"/>
        <w:sectPr>
          <w:headerReference w:type="default" r:id="rId35"/>
          <w:footerReference w:type="default" r:id="rId36"/>
          <w:pgSz w:w="11900" w:h="16840"/>
          <w:pgMar w:top="642" w:right="0" w:bottom="340" w:left="0" w:header="326" w:footer="93" w:gutter="0"/>
        </w:sectPr>
        <w:rPr>
          <w:rFonts w:ascii="FangSong" w:hAnsi="FangSong" w:eastAsia="FangSong" w:cs="FangSong"/>
          <w:sz w:val="25"/>
          <w:szCs w:val="25"/>
        </w:rPr>
      </w:pPr>
    </w:p>
    <w:p>
      <w:pPr>
        <w:spacing w:line="326" w:lineRule="auto"/>
        <w:rPr>
          <w:rFonts w:ascii="Arial"/>
          <w:sz w:val="21"/>
        </w:rPr>
      </w:pPr>
      <w:r/>
    </w:p>
    <w:p>
      <w:pPr>
        <w:spacing w:line="326" w:lineRule="auto"/>
        <w:rPr>
          <w:rFonts w:ascii="Arial"/>
          <w:sz w:val="21"/>
        </w:rPr>
      </w:pPr>
      <w:r/>
    </w:p>
    <w:p>
      <w:pPr>
        <w:ind w:firstLine="1649"/>
        <w:spacing w:line="2928" w:lineRule="exact"/>
        <w:rPr/>
      </w:pPr>
      <w:r>
        <w:rPr>
          <w:position w:val="-58"/>
        </w:rPr>
        <w:drawing>
          <wp:inline distT="0" distB="0" distL="0" distR="0">
            <wp:extent cx="5256165" cy="1859474"/>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5256165" cy="1859474"/>
                    </a:xfrm>
                    <a:prstGeom prst="rect">
                      <a:avLst/>
                    </a:prstGeom>
                  </pic:spPr>
                </pic:pic>
              </a:graphicData>
            </a:graphic>
          </wp:inline>
        </w:drawing>
      </w:r>
    </w:p>
    <w:p>
      <w:pPr>
        <w:spacing w:line="244" w:lineRule="auto"/>
        <w:rPr>
          <w:rFonts w:ascii="Arial"/>
          <w:sz w:val="21"/>
        </w:rPr>
      </w:pPr>
      <w:r/>
    </w:p>
    <w:p>
      <w:pPr>
        <w:spacing w:line="245" w:lineRule="auto"/>
        <w:rPr>
          <w:rFonts w:ascii="Arial"/>
          <w:sz w:val="21"/>
        </w:rPr>
      </w:pPr>
      <w:r/>
    </w:p>
    <w:p>
      <w:pPr>
        <w:ind w:left="1294"/>
        <w:spacing w:before="82" w:line="222" w:lineRule="auto"/>
        <w:outlineLvl w:val="1"/>
        <w:rPr>
          <w:rFonts w:ascii="SimHei" w:hAnsi="SimHei" w:eastAsia="SimHei" w:cs="SimHei"/>
          <w:sz w:val="25"/>
          <w:szCs w:val="25"/>
        </w:rPr>
      </w:pPr>
      <w:bookmarkStart w:name="bookmark25" w:id="40"/>
      <w:bookmarkEnd w:id="40"/>
      <w:r>
        <w:rPr>
          <w:rFonts w:ascii="SimHei" w:hAnsi="SimHei" w:eastAsia="SimHei" w:cs="SimHei"/>
          <w:sz w:val="25"/>
          <w:szCs w:val="25"/>
          <w:spacing w:val="1"/>
        </w:rPr>
        <w:t>八、机关运行经费增减变动原因说明</w:t>
      </w:r>
    </w:p>
    <w:p>
      <w:pPr>
        <w:ind w:left="1319" w:right="1411" w:firstLine="492"/>
        <w:spacing w:before="131" w:line="319" w:lineRule="auto"/>
        <w:rPr>
          <w:rFonts w:ascii="FangSong" w:hAnsi="FangSong" w:eastAsia="FangSong" w:cs="FangSong"/>
          <w:sz w:val="25"/>
          <w:szCs w:val="25"/>
        </w:rPr>
      </w:pPr>
      <w:r>
        <w:rPr>
          <w:rFonts w:ascii="FangSong" w:hAnsi="FangSong" w:eastAsia="FangSong" w:cs="FangSong"/>
          <w:sz w:val="25"/>
          <w:szCs w:val="25"/>
          <w:spacing w:val="1"/>
        </w:rPr>
        <w:t>本单位机关运行经费财政拨款预算22.45万元，比2023年预算减少1.32万元，下</w:t>
      </w:r>
      <w:r>
        <w:rPr>
          <w:rFonts w:ascii="FangSong" w:hAnsi="FangSong" w:eastAsia="FangSong" w:cs="FangSong"/>
          <w:sz w:val="25"/>
          <w:szCs w:val="25"/>
        </w:rPr>
        <w:t>降0.94%，原因是本年度人员无新增，去年有新增人员。</w:t>
      </w:r>
    </w:p>
    <w:p>
      <w:pPr>
        <w:ind w:left="1300"/>
        <w:spacing w:line="224" w:lineRule="auto"/>
        <w:outlineLvl w:val="1"/>
        <w:rPr>
          <w:rFonts w:ascii="SimHei" w:hAnsi="SimHei" w:eastAsia="SimHei" w:cs="SimHei"/>
          <w:sz w:val="25"/>
          <w:szCs w:val="25"/>
        </w:rPr>
      </w:pPr>
      <w:bookmarkStart w:name="bookmark26" w:id="41"/>
      <w:bookmarkEnd w:id="41"/>
      <w:r>
        <w:rPr>
          <w:rFonts w:ascii="SimHei" w:hAnsi="SimHei" w:eastAsia="SimHei" w:cs="SimHei"/>
          <w:sz w:val="25"/>
          <w:szCs w:val="25"/>
          <w:spacing w:val="-1"/>
        </w:rPr>
        <w:t>九、政府采购情况</w:t>
      </w:r>
    </w:p>
    <w:p>
      <w:pPr>
        <w:ind w:left="1307" w:right="1564" w:firstLine="498"/>
        <w:spacing w:before="128" w:line="319" w:lineRule="auto"/>
        <w:rPr>
          <w:rFonts w:ascii="FangSong" w:hAnsi="FangSong" w:eastAsia="FangSong" w:cs="FangSong"/>
          <w:sz w:val="25"/>
          <w:szCs w:val="25"/>
        </w:rPr>
      </w:pPr>
      <w:r>
        <w:rPr>
          <w:rFonts w:ascii="FangSong" w:hAnsi="FangSong" w:eastAsia="FangSong" w:cs="FangSong"/>
          <w:sz w:val="25"/>
          <w:szCs w:val="25"/>
          <w:spacing w:val="1"/>
        </w:rPr>
        <w:t>2024年兴县审计局政府采购预算总额0万元。其中：政府采</w:t>
      </w:r>
      <w:r>
        <w:rPr>
          <w:rFonts w:ascii="FangSong" w:hAnsi="FangSong" w:eastAsia="FangSong" w:cs="FangSong"/>
          <w:sz w:val="25"/>
          <w:szCs w:val="25"/>
        </w:rPr>
        <w:t>购货物预算0万元、</w:t>
      </w:r>
      <w:r>
        <w:rPr>
          <w:rFonts w:ascii="FangSong" w:hAnsi="FangSong" w:eastAsia="FangSong" w:cs="FangSong"/>
          <w:sz w:val="25"/>
          <w:szCs w:val="25"/>
          <w:spacing w:val="1"/>
        </w:rPr>
        <w:t>政府采购工程预算0万元、政府采购服务预算0万元。</w:t>
      </w:r>
    </w:p>
    <w:p>
      <w:pPr>
        <w:ind w:left="1297"/>
        <w:spacing w:line="222" w:lineRule="auto"/>
        <w:outlineLvl w:val="1"/>
        <w:rPr>
          <w:rFonts w:ascii="SimHei" w:hAnsi="SimHei" w:eastAsia="SimHei" w:cs="SimHei"/>
          <w:sz w:val="25"/>
          <w:szCs w:val="25"/>
        </w:rPr>
      </w:pPr>
      <w:bookmarkStart w:name="bookmark27" w:id="42"/>
      <w:bookmarkEnd w:id="42"/>
      <w:r>
        <w:rPr>
          <w:rFonts w:ascii="SimHei" w:hAnsi="SimHei" w:eastAsia="SimHei" w:cs="SimHei"/>
          <w:sz w:val="25"/>
          <w:szCs w:val="25"/>
        </w:rPr>
        <w:t>十、绩效管理情况</w:t>
      </w:r>
    </w:p>
    <w:p>
      <w:pPr>
        <w:ind w:left="1821"/>
        <w:spacing w:before="131"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1306" w:right="1537" w:hanging="4"/>
        <w:spacing w:before="129" w:line="319" w:lineRule="auto"/>
        <w:rPr>
          <w:rFonts w:ascii="FangSong" w:hAnsi="FangSong" w:eastAsia="FangSong" w:cs="FangSong"/>
          <w:sz w:val="25"/>
          <w:szCs w:val="25"/>
        </w:rPr>
      </w:pPr>
      <w:r>
        <w:rPr>
          <w:rFonts w:ascii="FangSong" w:hAnsi="FangSong" w:eastAsia="FangSong" w:cs="FangSong"/>
          <w:sz w:val="25"/>
          <w:szCs w:val="25"/>
          <w:spacing w:val="1"/>
        </w:rPr>
        <w:t>2024年编报单位整体绩效目标，涉及资金512.61万元。部门（单位）整体目标表公</w:t>
      </w:r>
      <w:r>
        <w:rPr>
          <w:rFonts w:ascii="FangSong" w:hAnsi="FangSong" w:eastAsia="FangSong" w:cs="FangSong"/>
          <w:sz w:val="25"/>
          <w:szCs w:val="25"/>
          <w:spacing w:val="-1"/>
        </w:rPr>
        <w:t>开情况见附件。</w:t>
      </w:r>
    </w:p>
    <w:p>
      <w:pPr>
        <w:ind w:left="1806"/>
        <w:spacing w:before="1" w:line="223" w:lineRule="auto"/>
        <w:rPr>
          <w:rFonts w:ascii="FangSong" w:hAnsi="FangSong" w:eastAsia="FangSong" w:cs="FangSong"/>
          <w:sz w:val="25"/>
          <w:szCs w:val="25"/>
        </w:rPr>
      </w:pPr>
      <w:r>
        <w:rPr>
          <w:rFonts w:ascii="FangSong" w:hAnsi="FangSong" w:eastAsia="FangSong" w:cs="FangSong"/>
          <w:sz w:val="25"/>
          <w:szCs w:val="25"/>
        </w:rPr>
        <w:t>2、项目绩效目标</w:t>
      </w:r>
    </w:p>
    <w:p>
      <w:pPr>
        <w:ind w:left="1339" w:right="1405" w:firstLine="466"/>
        <w:spacing w:before="130" w:line="318" w:lineRule="auto"/>
        <w:rPr>
          <w:rFonts w:ascii="FangSong" w:hAnsi="FangSong" w:eastAsia="FangSong" w:cs="FangSong"/>
          <w:sz w:val="25"/>
          <w:szCs w:val="25"/>
        </w:rPr>
      </w:pPr>
      <w:r>
        <w:rPr>
          <w:rFonts w:ascii="FangSong" w:hAnsi="FangSong" w:eastAsia="FangSong" w:cs="FangSong"/>
          <w:sz w:val="25"/>
          <w:szCs w:val="25"/>
          <w:spacing w:val="2"/>
        </w:rPr>
        <w:t>2024年兴县审计局纳入绩效目标管理的二级项</w:t>
      </w:r>
      <w:r>
        <w:rPr>
          <w:rFonts w:ascii="FangSong" w:hAnsi="FangSong" w:eastAsia="FangSong" w:cs="FangSong"/>
          <w:sz w:val="25"/>
          <w:szCs w:val="25"/>
          <w:spacing w:val="1"/>
        </w:rPr>
        <w:t>目7个，共计金额512.61万元。其</w:t>
      </w:r>
      <w:r>
        <w:rPr>
          <w:rFonts w:ascii="FangSong" w:hAnsi="FangSong" w:eastAsia="FangSong" w:cs="FangSong"/>
          <w:sz w:val="25"/>
          <w:szCs w:val="25"/>
          <w:spacing w:val="1"/>
        </w:rPr>
        <w:t>中：其他运转类项目5个，涉及金额425.73万元；特定目标类</w:t>
      </w:r>
      <w:r>
        <w:rPr>
          <w:rFonts w:ascii="FangSong" w:hAnsi="FangSong" w:eastAsia="FangSong" w:cs="FangSong"/>
          <w:sz w:val="25"/>
          <w:szCs w:val="25"/>
        </w:rPr>
        <w:t>项目3个，涉及金</w:t>
      </w:r>
    </w:p>
    <w:p>
      <w:pPr>
        <w:ind w:left="1306"/>
        <w:spacing w:before="3" w:line="222" w:lineRule="auto"/>
        <w:rPr>
          <w:rFonts w:ascii="FangSong" w:hAnsi="FangSong" w:eastAsia="FangSong" w:cs="FangSong"/>
          <w:sz w:val="25"/>
          <w:szCs w:val="25"/>
        </w:rPr>
      </w:pPr>
      <w:r>
        <w:rPr>
          <w:rFonts w:ascii="FangSong" w:hAnsi="FangSong" w:eastAsia="FangSong" w:cs="FangSong"/>
          <w:sz w:val="25"/>
          <w:szCs w:val="25"/>
        </w:rPr>
        <w:t>额86.88万元。公开项目绩效目标7个，涉及项目金额512.61万元，</w:t>
      </w:r>
      <w:r>
        <w:rPr>
          <w:rFonts w:ascii="FangSong" w:hAnsi="FangSong" w:eastAsia="FangSong" w:cs="FangSong"/>
          <w:sz w:val="25"/>
          <w:szCs w:val="25"/>
          <w:spacing w:val="-60"/>
        </w:rPr>
        <w:t xml:space="preserve"> </w:t>
      </w:r>
      <w:r>
        <w:rPr>
          <w:rFonts w:ascii="FangSong" w:hAnsi="FangSong" w:eastAsia="FangSong" w:cs="FangSong"/>
          <w:sz w:val="25"/>
          <w:szCs w:val="25"/>
        </w:rPr>
        <w:t>占部门（单位）</w:t>
      </w:r>
    </w:p>
    <w:p>
      <w:pPr>
        <w:ind w:left="1350" w:right="1393" w:hanging="43"/>
        <w:spacing w:before="131" w:line="319" w:lineRule="auto"/>
        <w:rPr>
          <w:rFonts w:ascii="FangSong" w:hAnsi="FangSong" w:eastAsia="FangSong" w:cs="FangSong"/>
          <w:sz w:val="25"/>
          <w:szCs w:val="25"/>
        </w:rPr>
      </w:pPr>
      <w:r>
        <w:rPr>
          <w:rFonts w:ascii="FangSong" w:hAnsi="FangSong" w:eastAsia="FangSong" w:cs="FangSong"/>
          <w:sz w:val="25"/>
          <w:szCs w:val="25"/>
          <w:spacing w:val="2"/>
        </w:rPr>
        <w:t>项目支出总额的100%。其中：其他运转类项目5个，涉及项目金</w:t>
      </w:r>
      <w:r>
        <w:rPr>
          <w:rFonts w:ascii="FangSong" w:hAnsi="FangSong" w:eastAsia="FangSong" w:cs="FangSong"/>
          <w:sz w:val="25"/>
          <w:szCs w:val="25"/>
          <w:spacing w:val="1"/>
        </w:rPr>
        <w:t>额425.73万元；特定</w:t>
      </w:r>
      <w:r>
        <w:rPr>
          <w:rFonts w:ascii="FangSong" w:hAnsi="FangSong" w:eastAsia="FangSong" w:cs="FangSong"/>
          <w:sz w:val="25"/>
          <w:szCs w:val="25"/>
          <w:spacing w:val="-1"/>
        </w:rPr>
        <w:t>目标类项目3个，涉及项目金额86.88万元。</w:t>
      </w:r>
    </w:p>
    <w:p>
      <w:pPr>
        <w:ind w:left="1812"/>
        <w:spacing w:before="1" w:line="223"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3" w:lineRule="auto"/>
        <w:sectPr>
          <w:headerReference w:type="default" r:id="rId38"/>
          <w:footerReference w:type="default" r:id="rId39"/>
          <w:pgSz w:w="11900" w:h="16840"/>
          <w:pgMar w:top="642" w:right="0" w:bottom="340" w:left="0" w:header="326" w:footer="93" w:gutter="0"/>
        </w:sectPr>
        <w:rPr>
          <w:rFonts w:ascii="FangSong" w:hAnsi="FangSong" w:eastAsia="FangSong" w:cs="FangSong"/>
          <w:sz w:val="25"/>
          <w:szCs w:val="25"/>
        </w:rPr>
      </w:pPr>
    </w:p>
    <w:p>
      <w:pPr>
        <w:spacing w:line="434" w:lineRule="auto"/>
        <w:rPr>
          <w:rFonts w:ascii="Arial"/>
          <w:sz w:val="21"/>
        </w:rPr>
      </w:pPr>
      <w:r>
        <w:pict>
          <v:shape id="_x0000_s306" style="position:absolute;margin-left:491.92pt;margin-top:44.1055pt;mso-position-vertical-relative:page;mso-position-horizontal-relative:page;width:119.4pt;height:18.85pt;z-index:251661312;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08" style="position:absolute;margin-left:-13.08pt;margin-top:234.154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310" style="position:absolute;margin-left:86.92pt;margin-top:478.154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pict>
          <v:shape id="_x0000_s312" style="position:absolute;margin-left:391.92pt;margin-top:234.154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314" style="position:absolute;margin-left:491.92pt;margin-top:478.154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6097700" cy="8544402"/>
                    </a:xfrm>
                    <a:prstGeom prst="rect">
                      <a:avLst/>
                    </a:prstGeom>
                  </pic:spPr>
                </pic:pic>
              </a:graphicData>
            </a:graphic>
          </wp:inline>
        </w:drawing>
      </w:r>
    </w:p>
    <w:p>
      <w:pPr>
        <w:spacing w:line="13455" w:lineRule="exact"/>
        <w:sectPr>
          <w:headerReference w:type="default" r:id="rId41"/>
          <w:footerReference w:type="default" r:id="rId42"/>
          <w:pgSz w:w="11900" w:h="16840"/>
          <w:pgMar w:top="642" w:right="0" w:bottom="340" w:left="0" w:header="326" w:footer="91" w:gutter="0"/>
        </w:sectPr>
        <w:rPr/>
      </w:pPr>
    </w:p>
    <w:p>
      <w:pPr>
        <w:spacing w:line="434" w:lineRule="auto"/>
        <w:rPr>
          <w:rFonts w:ascii="Arial"/>
          <w:sz w:val="21"/>
        </w:rPr>
      </w:pPr>
      <w:r>
        <w:pict>
          <v:shape id="_x0000_s316" style="position:absolute;margin-left:491.92pt;margin-top:44.1055pt;mso-position-vertical-relative:page;mso-position-horizontal-relative:page;width:119.4pt;height:18.85pt;z-index:25166950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18" style="position:absolute;margin-left:86.92pt;margin-top:478.154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320" style="position:absolute;margin-left:-13.08pt;margin-top:234.154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pict>
          <v:shape id="_x0000_s322" style="position:absolute;margin-left:491.92pt;margin-top:478.154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324" style="position:absolute;margin-left:391.92pt;margin-top:234.154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4"/>
          <w:pgSz w:w="11900" w:h="16840"/>
          <w:pgMar w:top="642" w:right="0" w:bottom="340" w:left="0" w:header="326" w:footer="91" w:gutter="0"/>
        </w:sectPr>
        <w:rPr/>
      </w:pPr>
    </w:p>
    <w:p>
      <w:pPr>
        <w:spacing w:line="434" w:lineRule="auto"/>
        <w:rPr>
          <w:rFonts w:ascii="Arial"/>
          <w:sz w:val="21"/>
        </w:rPr>
      </w:pPr>
      <w:r>
        <w:pict>
          <v:shape id="_x0000_s326" style="position:absolute;margin-left:491.92pt;margin-top:44.1055pt;mso-position-vertical-relative:page;mso-position-horizontal-relative:page;width:119.4pt;height:18.85pt;z-index:251672576;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28" style="position:absolute;margin-left:-13.08pt;margin-top:234.154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330" style="position:absolute;margin-left:86.92pt;margin-top:478.154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pict>
          <v:shape id="_x0000_s332" style="position:absolute;margin-left:491.92pt;margin-top:478.154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334" style="position:absolute;margin-left:391.92pt;margin-top:234.154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6"/>
          <w:pgSz w:w="11900" w:h="16840"/>
          <w:pgMar w:top="642" w:right="0" w:bottom="340" w:left="0" w:header="326" w:footer="93" w:gutter="0"/>
        </w:sectPr>
        <w:rPr/>
      </w:pPr>
    </w:p>
    <w:p>
      <w:pPr>
        <w:spacing w:line="434" w:lineRule="auto"/>
        <w:rPr>
          <w:rFonts w:ascii="Arial"/>
          <w:sz w:val="21"/>
        </w:rPr>
      </w:pPr>
      <w:r>
        <w:pict>
          <v:shape id="_x0000_s336" style="position:absolute;margin-left:491.92pt;margin-top:44.1055pt;mso-position-vertical-relative:page;mso-position-horizontal-relative:page;width:119.4pt;height:18.85pt;z-index:251678720;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38" style="position:absolute;margin-left:391.92pt;margin-top:234.154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340" style="position:absolute;margin-left:-13.08pt;margin-top:234.154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pict>
          <v:shape id="_x0000_s342" style="position:absolute;margin-left:86.92pt;margin-top:478.154pt;mso-position-vertical-relative:text;mso-position-horizontal-relative:text;width:119.4pt;height:18.85pt;z-index:251679744;rotation:330;" fillcolor="#404040" filled="true" stroked="false" type="#_x0000_t136">
            <v:fill opacity="0.400000"/>
            <v:textpath style="font-family:&quot;STSong&quot;;font-size:20;v-text-kern:t;mso-text-shadow:auto" string="仅供内部审核"/>
          </v:shape>
        </w:pict>
      </w:r>
      <w:r>
        <w:pict>
          <v:shape id="_x0000_s344" style="position:absolute;margin-left:491.92pt;margin-top:478.154pt;mso-position-vertical-relative:text;mso-position-horizontal-relative:text;width:119.4pt;height:18.85pt;z-index:25168076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8"/>
          <w:pgSz w:w="11900" w:h="16840"/>
          <w:pgMar w:top="642" w:right="0" w:bottom="340" w:left="0" w:header="326" w:footer="93" w:gutter="0"/>
        </w:sectPr>
        <w:rPr/>
      </w:pPr>
    </w:p>
    <w:p>
      <w:pPr>
        <w:spacing w:line="434" w:lineRule="auto"/>
        <w:rPr>
          <w:rFonts w:ascii="Arial"/>
          <w:sz w:val="21"/>
        </w:rPr>
      </w:pPr>
      <w:r>
        <w:pict>
          <v:shape id="_x0000_s346"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48" style="position:absolute;margin-left:86.92pt;margin-top:478.154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350" style="position:absolute;margin-left:391.92pt;margin-top:234.154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352" style="position:absolute;margin-left:-13.08pt;margin-top:234.154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pict>
          <v:shape id="_x0000_s354" style="position:absolute;margin-left:491.92pt;margin-top:478.154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0"/>
          <w:pgSz w:w="11900" w:h="16840"/>
          <w:pgMar w:top="642" w:right="0" w:bottom="340" w:left="0" w:header="326" w:footer="93" w:gutter="0"/>
        </w:sectPr>
        <w:rPr/>
      </w:pPr>
    </w:p>
    <w:p>
      <w:pPr>
        <w:spacing w:line="434" w:lineRule="auto"/>
        <w:rPr>
          <w:rFonts w:ascii="Arial"/>
          <w:sz w:val="21"/>
        </w:rPr>
      </w:pPr>
      <w:r>
        <w:pict>
          <v:shape id="_x0000_s356" style="position:absolute;margin-left:491.92pt;margin-top:44.1055pt;mso-position-vertical-relative:page;mso-position-horizontal-relative:page;width:119.4pt;height:18.85pt;z-index:251689984;rotation:330;" o:allowincell="f" fillcolor="#404040" filled="true" stroked="false" type="#_x0000_t136">
            <v:fill opacity="0.400000"/>
            <v:textpath style="font-family:&quot;STSong&quot;;font-size:20;v-text-kern:t;mso-text-shadow:auto" string="仅供内部审核"/>
          </v:shape>
        </w:pict>
      </w:r>
      <w:r/>
    </w:p>
    <w:p>
      <w:pPr>
        <w:ind w:firstLine="1170"/>
        <w:spacing w:before="1" w:line="13455" w:lineRule="exact"/>
        <w:rPr/>
      </w:pPr>
      <w:r>
        <w:pict>
          <v:shape id="_x0000_s358" style="position:absolute;margin-left:491.92pt;margin-top:478.154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360" style="position:absolute;margin-left:86.92pt;margin-top:478.154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pict>
          <v:shape id="_x0000_s362" style="position:absolute;margin-left:-13.08pt;margin-top:234.154pt;mso-position-vertical-relative:text;mso-position-horizontal-relative:text;width:119.4pt;height:18.85pt;z-index:251688960;rotation:330;" fillcolor="#404040" filled="true" stroked="false" type="#_x0000_t136">
            <v:fill opacity="0.400000"/>
            <v:textpath style="font-family:&quot;STSong&quot;;font-size:20;v-text-kern:t;mso-text-shadow:auto" string="仅供内部审核"/>
          </v:shape>
        </w:pict>
      </w:r>
      <w:r>
        <w:pict>
          <v:shape id="_x0000_s364" style="position:absolute;margin-left:391.92pt;margin-top:234.154pt;mso-position-vertical-relative:text;mso-position-horizontal-relative:text;width:119.4pt;height:18.85pt;z-index:251691008;rotation:330;" fillcolor="#404040" filled="true" stroked="false" type="#_x0000_t136">
            <v:fill opacity="0.400000"/>
            <v:textpath style="font-family:&quot;STSong&quot;;font-size:20;v-text-kern:t;mso-text-shadow:auto" string="仅供内部审核"/>
          </v:shape>
        </w:pict>
      </w:r>
      <w:r>
        <w:rPr>
          <w:position w:val="-269"/>
        </w:rPr>
        <w:drawing>
          <wp:inline distT="0" distB="0" distL="0" distR="0">
            <wp:extent cx="6097700" cy="8544402"/>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2"/>
          <w:pgSz w:w="11900" w:h="16840"/>
          <w:pgMar w:top="642" w:right="0" w:bottom="340" w:left="0" w:header="326" w:footer="93" w:gutter="0"/>
        </w:sectPr>
        <w:rPr/>
      </w:pPr>
    </w:p>
    <w:p>
      <w:pPr>
        <w:spacing w:line="330" w:lineRule="auto"/>
        <w:rPr>
          <w:rFonts w:ascii="Arial"/>
          <w:sz w:val="21"/>
        </w:rPr>
      </w:pPr>
      <w:r/>
    </w:p>
    <w:p>
      <w:pPr>
        <w:ind w:left="1297"/>
        <w:spacing w:before="81" w:line="223" w:lineRule="auto"/>
        <w:outlineLvl w:val="1"/>
        <w:rPr>
          <w:rFonts w:ascii="SimHei" w:hAnsi="SimHei" w:eastAsia="SimHei" w:cs="SimHei"/>
          <w:sz w:val="25"/>
          <w:szCs w:val="25"/>
        </w:rPr>
      </w:pPr>
      <w:bookmarkStart w:name="bookmark29" w:id="44"/>
      <w:bookmarkEnd w:id="44"/>
      <w:r>
        <w:rPr>
          <w:rFonts w:ascii="SimHei" w:hAnsi="SimHei" w:eastAsia="SimHei" w:cs="SimHei"/>
          <w:sz w:val="25"/>
          <w:szCs w:val="25"/>
        </w:rPr>
        <w:t>十一、国有资产占有使用情况</w:t>
      </w:r>
    </w:p>
    <w:p>
      <w:pPr>
        <w:ind w:left="1821"/>
        <w:spacing w:before="129" w:line="221" w:lineRule="auto"/>
        <w:rPr>
          <w:rFonts w:ascii="FangSong" w:hAnsi="FangSong" w:eastAsia="FangSong" w:cs="FangSong"/>
          <w:sz w:val="25"/>
          <w:szCs w:val="25"/>
        </w:rPr>
      </w:pPr>
      <w:r>
        <w:rPr>
          <w:rFonts w:ascii="FangSong" w:hAnsi="FangSong" w:eastAsia="FangSong" w:cs="FangSong"/>
          <w:sz w:val="25"/>
          <w:szCs w:val="25"/>
          <w:spacing w:val="-3"/>
        </w:rPr>
        <w:t>1、车辆情况：</w:t>
      </w:r>
    </w:p>
    <w:p>
      <w:pPr>
        <w:ind w:left="1306" w:right="1513" w:firstLine="504"/>
        <w:spacing w:before="131" w:line="319" w:lineRule="auto"/>
        <w:rPr>
          <w:rFonts w:ascii="FangSong" w:hAnsi="FangSong" w:eastAsia="FangSong" w:cs="FangSong"/>
          <w:sz w:val="25"/>
          <w:szCs w:val="25"/>
        </w:rPr>
      </w:pPr>
      <w:r>
        <w:rPr>
          <w:rFonts w:ascii="FangSong" w:hAnsi="FangSong" w:eastAsia="FangSong" w:cs="FangSong"/>
          <w:sz w:val="25"/>
          <w:szCs w:val="25"/>
        </w:rPr>
        <w:t>截至2024年6月1</w:t>
      </w:r>
      <w:r>
        <w:rPr>
          <w:rFonts w:ascii="FangSong" w:hAnsi="FangSong" w:eastAsia="FangSong" w:cs="FangSong"/>
          <w:sz w:val="25"/>
          <w:szCs w:val="25"/>
          <w:spacing w:val="-48"/>
        </w:rPr>
        <w:t xml:space="preserve"> </w:t>
      </w:r>
      <w:r>
        <w:rPr>
          <w:rFonts w:ascii="FangSong" w:hAnsi="FangSong" w:eastAsia="FangSong" w:cs="FangSong"/>
          <w:sz w:val="25"/>
          <w:szCs w:val="25"/>
        </w:rPr>
        <w:t>日，兴县审计局共有公务用车编制1辆，实有1辆，其中</w:t>
      </w:r>
      <w:r>
        <w:rPr>
          <w:rFonts w:ascii="FangSong" w:hAnsi="FangSong" w:eastAsia="FangSong" w:cs="FangSong"/>
          <w:sz w:val="25"/>
          <w:szCs w:val="25"/>
          <w:spacing w:val="-1"/>
        </w:rPr>
        <w:t>：领导</w:t>
      </w:r>
      <w:r>
        <w:rPr>
          <w:rFonts w:ascii="FangSong" w:hAnsi="FangSong" w:eastAsia="FangSong" w:cs="FangSong"/>
          <w:sz w:val="25"/>
          <w:szCs w:val="25"/>
          <w:spacing w:val="2"/>
        </w:rPr>
        <w:t>用车0辆，机要通信用车1辆，应急保障用车0辆，执法执勤用车0辆，特种专业技术</w:t>
      </w:r>
      <w:r>
        <w:rPr>
          <w:rFonts w:ascii="FangSong" w:hAnsi="FangSong" w:eastAsia="FangSong" w:cs="FangSong"/>
          <w:sz w:val="25"/>
          <w:szCs w:val="25"/>
          <w:spacing w:val="2"/>
        </w:rPr>
        <w:t>用车0辆，事业单位业务用车0辆，其他公</w:t>
      </w:r>
      <w:r>
        <w:rPr>
          <w:rFonts w:ascii="FangSong" w:hAnsi="FangSong" w:eastAsia="FangSong" w:cs="FangSong"/>
          <w:sz w:val="25"/>
          <w:szCs w:val="25"/>
          <w:spacing w:val="1"/>
        </w:rPr>
        <w:t>务用车0辆。</w:t>
      </w:r>
    </w:p>
    <w:p>
      <w:pPr>
        <w:ind w:left="1806"/>
        <w:spacing w:before="1" w:line="224" w:lineRule="auto"/>
        <w:rPr>
          <w:rFonts w:ascii="FangSong" w:hAnsi="FangSong" w:eastAsia="FangSong" w:cs="FangSong"/>
          <w:sz w:val="25"/>
          <w:szCs w:val="25"/>
        </w:rPr>
      </w:pPr>
      <w:r>
        <w:rPr>
          <w:rFonts w:ascii="FangSong" w:hAnsi="FangSong" w:eastAsia="FangSong" w:cs="FangSong"/>
          <w:sz w:val="25"/>
          <w:szCs w:val="25"/>
          <w:spacing w:val="-1"/>
        </w:rPr>
        <w:t>2、房屋情况：</w:t>
      </w:r>
    </w:p>
    <w:p>
      <w:pPr>
        <w:ind w:left="1810"/>
        <w:spacing w:before="129" w:line="224" w:lineRule="auto"/>
        <w:rPr>
          <w:rFonts w:ascii="FangSong" w:hAnsi="FangSong" w:eastAsia="FangSong" w:cs="FangSong"/>
          <w:sz w:val="25"/>
          <w:szCs w:val="25"/>
        </w:rPr>
      </w:pPr>
      <w:r>
        <w:rPr>
          <w:rFonts w:ascii="FangSong" w:hAnsi="FangSong" w:eastAsia="FangSong" w:cs="FangSong"/>
          <w:sz w:val="25"/>
          <w:szCs w:val="25"/>
          <w:spacing w:val="-1"/>
        </w:rPr>
        <w:t>截至2024年6月1</w:t>
      </w:r>
      <w:r>
        <w:rPr>
          <w:rFonts w:ascii="FangSong" w:hAnsi="FangSong" w:eastAsia="FangSong" w:cs="FangSong"/>
          <w:sz w:val="25"/>
          <w:szCs w:val="25"/>
          <w:spacing w:val="-32"/>
        </w:rPr>
        <w:t xml:space="preserve"> </w:t>
      </w:r>
      <w:r>
        <w:rPr>
          <w:rFonts w:ascii="FangSong" w:hAnsi="FangSong" w:eastAsia="FangSong" w:cs="FangSong"/>
          <w:sz w:val="25"/>
          <w:szCs w:val="25"/>
          <w:spacing w:val="-1"/>
        </w:rPr>
        <w:t>日，兴县审计局使用的办公用房建筑总面积0平方米。</w:t>
      </w:r>
    </w:p>
    <w:p>
      <w:pPr>
        <w:ind w:left="1808"/>
        <w:spacing w:before="129" w:line="223" w:lineRule="auto"/>
        <w:rPr>
          <w:rFonts w:ascii="FangSong" w:hAnsi="FangSong" w:eastAsia="FangSong" w:cs="FangSong"/>
          <w:sz w:val="25"/>
          <w:szCs w:val="25"/>
        </w:rPr>
      </w:pPr>
      <w:r>
        <w:rPr>
          <w:rFonts w:ascii="FangSong" w:hAnsi="FangSong" w:eastAsia="FangSong" w:cs="FangSong"/>
          <w:sz w:val="25"/>
          <w:szCs w:val="25"/>
        </w:rPr>
        <w:t>3、其他国有资产占有使用情况：</w:t>
      </w:r>
    </w:p>
    <w:p>
      <w:pPr>
        <w:ind w:left="1308" w:right="1777" w:firstLine="502"/>
        <w:spacing w:before="130" w:line="319" w:lineRule="auto"/>
        <w:rPr>
          <w:rFonts w:ascii="FangSong" w:hAnsi="FangSong" w:eastAsia="FangSong" w:cs="FangSong"/>
          <w:sz w:val="25"/>
          <w:szCs w:val="25"/>
        </w:rPr>
      </w:pPr>
      <w:r>
        <w:rPr>
          <w:rFonts w:ascii="FangSong" w:hAnsi="FangSong" w:eastAsia="FangSong" w:cs="FangSong"/>
          <w:sz w:val="25"/>
          <w:szCs w:val="25"/>
        </w:rPr>
        <w:t>截至2024年6月1</w:t>
      </w:r>
      <w:r>
        <w:rPr>
          <w:rFonts w:ascii="FangSong" w:hAnsi="FangSong" w:eastAsia="FangSong" w:cs="FangSong"/>
          <w:sz w:val="25"/>
          <w:szCs w:val="25"/>
          <w:spacing w:val="-48"/>
        </w:rPr>
        <w:t xml:space="preserve"> </w:t>
      </w:r>
      <w:r>
        <w:rPr>
          <w:rFonts w:ascii="FangSong" w:hAnsi="FangSong" w:eastAsia="FangSong" w:cs="FangSong"/>
          <w:sz w:val="25"/>
          <w:szCs w:val="25"/>
        </w:rPr>
        <w:t>日，兴县审计局占有使</w:t>
      </w:r>
      <w:r>
        <w:rPr>
          <w:rFonts w:ascii="FangSong" w:hAnsi="FangSong" w:eastAsia="FangSong" w:cs="FangSong"/>
          <w:sz w:val="25"/>
          <w:szCs w:val="25"/>
          <w:spacing w:val="-1"/>
        </w:rPr>
        <w:t>用价值50万元（原值）以上的通用设</w:t>
      </w:r>
      <w:r>
        <w:rPr>
          <w:rFonts w:ascii="FangSong" w:hAnsi="FangSong" w:eastAsia="FangSong" w:cs="FangSong"/>
          <w:sz w:val="25"/>
          <w:szCs w:val="25"/>
          <w:spacing w:val="1"/>
        </w:rPr>
        <w:t>备0台（套</w:t>
      </w:r>
      <w:r>
        <w:rPr>
          <w:rFonts w:ascii="FangSong" w:hAnsi="FangSong" w:eastAsia="FangSong" w:cs="FangSong"/>
          <w:sz w:val="25"/>
          <w:szCs w:val="25"/>
          <w:spacing w:val="15"/>
        </w:rPr>
        <w:t>）；</w:t>
      </w:r>
      <w:r>
        <w:rPr>
          <w:rFonts w:ascii="FangSong" w:hAnsi="FangSong" w:eastAsia="FangSong" w:cs="FangSong"/>
          <w:sz w:val="25"/>
          <w:szCs w:val="25"/>
          <w:spacing w:val="1"/>
        </w:rPr>
        <w:t>兴县审计局占有使用价值100万元（原值）以上的通用设备0台</w:t>
      </w:r>
    </w:p>
    <w:p>
      <w:pPr>
        <w:ind w:left="1307"/>
        <w:spacing w:before="1" w:line="227" w:lineRule="auto"/>
        <w:rPr>
          <w:rFonts w:ascii="FangSong" w:hAnsi="FangSong" w:eastAsia="FangSong" w:cs="FangSong"/>
          <w:sz w:val="25"/>
          <w:szCs w:val="25"/>
        </w:rPr>
      </w:pPr>
      <w:r>
        <w:rPr>
          <w:rFonts w:ascii="FangSong" w:hAnsi="FangSong" w:eastAsia="FangSong" w:cs="FangSong"/>
          <w:sz w:val="25"/>
          <w:szCs w:val="25"/>
          <w:spacing w:val="-4"/>
        </w:rPr>
        <w:t>（套）。</w:t>
      </w:r>
    </w:p>
    <w:p>
      <w:pPr>
        <w:ind w:left="1297"/>
        <w:spacing w:before="124" w:line="222" w:lineRule="auto"/>
        <w:outlineLvl w:val="1"/>
        <w:rPr>
          <w:rFonts w:ascii="SimHei" w:hAnsi="SimHei" w:eastAsia="SimHei" w:cs="SimHei"/>
          <w:sz w:val="25"/>
          <w:szCs w:val="25"/>
        </w:rPr>
      </w:pPr>
      <w:bookmarkStart w:name="bookmark30" w:id="45"/>
      <w:bookmarkEnd w:id="45"/>
      <w:r>
        <w:rPr>
          <w:rFonts w:ascii="SimHei" w:hAnsi="SimHei" w:eastAsia="SimHei" w:cs="SimHei"/>
          <w:sz w:val="25"/>
          <w:szCs w:val="25"/>
          <w:spacing w:val="-1"/>
        </w:rPr>
        <w:t>十二、其他说明</w:t>
      </w:r>
    </w:p>
    <w:p>
      <w:pPr>
        <w:ind w:left="1812"/>
        <w:spacing w:before="131" w:line="222" w:lineRule="auto"/>
        <w:outlineLvl w:val="2"/>
        <w:rPr>
          <w:rFonts w:ascii="FangSong" w:hAnsi="FangSong" w:eastAsia="FangSong" w:cs="FangSong"/>
          <w:sz w:val="25"/>
          <w:szCs w:val="25"/>
        </w:rPr>
      </w:pPr>
      <w:bookmarkStart w:name="bookmark31" w:id="46"/>
      <w:bookmarkEnd w:id="46"/>
      <w:r>
        <w:rPr>
          <w:rFonts w:ascii="FangSong" w:hAnsi="FangSong" w:eastAsia="FangSong" w:cs="FangSong"/>
          <w:sz w:val="25"/>
          <w:szCs w:val="25"/>
        </w:rPr>
        <w:t>（一）政府购买服务指导性目录</w:t>
      </w:r>
    </w:p>
    <w:p>
      <w:pPr>
        <w:ind w:left="1814"/>
        <w:spacing w:before="276" w:line="227" w:lineRule="auto"/>
        <w:rPr>
          <w:rFonts w:ascii="FangSong" w:hAnsi="FangSong" w:eastAsia="FangSong" w:cs="FangSong"/>
          <w:sz w:val="25"/>
          <w:szCs w:val="25"/>
        </w:rPr>
      </w:pPr>
      <w:r>
        <w:rPr>
          <w:rFonts w:ascii="FangSong" w:hAnsi="FangSong" w:eastAsia="FangSong" w:cs="FangSong"/>
          <w:sz w:val="25"/>
          <w:szCs w:val="25"/>
        </w:rPr>
        <w:t>无</w:t>
      </w:r>
    </w:p>
    <w:p>
      <w:pPr>
        <w:ind w:left="1812"/>
        <w:spacing w:before="269" w:line="223" w:lineRule="auto"/>
        <w:outlineLvl w:val="2"/>
        <w:rPr>
          <w:rFonts w:ascii="FangSong" w:hAnsi="FangSong" w:eastAsia="FangSong" w:cs="FangSong"/>
          <w:sz w:val="25"/>
          <w:szCs w:val="25"/>
        </w:rPr>
      </w:pPr>
      <w:bookmarkStart w:name="bookmark32" w:id="47"/>
      <w:bookmarkEnd w:id="47"/>
      <w:r>
        <w:rPr>
          <w:rFonts w:ascii="FangSong" w:hAnsi="FangSong" w:eastAsia="FangSong" w:cs="FangSong"/>
          <w:sz w:val="25"/>
          <w:szCs w:val="25"/>
          <w:spacing w:val="-2"/>
        </w:rPr>
        <w:t>（二）其他</w:t>
      </w:r>
    </w:p>
    <w:p>
      <w:pPr>
        <w:ind w:left="1814"/>
        <w:spacing w:before="273" w:line="227" w:lineRule="auto"/>
        <w:rPr>
          <w:rFonts w:ascii="FangSong" w:hAnsi="FangSong" w:eastAsia="FangSong" w:cs="FangSong"/>
          <w:sz w:val="25"/>
          <w:szCs w:val="25"/>
        </w:rPr>
      </w:pPr>
      <w:r>
        <w:rPr>
          <w:rFonts w:ascii="FangSong" w:hAnsi="FangSong" w:eastAsia="FangSong" w:cs="FangSong"/>
          <w:sz w:val="25"/>
          <w:szCs w:val="25"/>
        </w:rPr>
        <w:t>无</w:t>
      </w:r>
    </w:p>
    <w:p>
      <w:pPr>
        <w:spacing w:line="227" w:lineRule="auto"/>
        <w:sectPr>
          <w:headerReference w:type="default" r:id="rId4"/>
          <w:footerReference w:type="default" r:id="rId54"/>
          <w:pgSz w:w="11900" w:h="16840"/>
          <w:pgMar w:top="642" w:right="0" w:bottom="340" w:left="0" w:header="326" w:footer="91" w:gutter="0"/>
        </w:sectPr>
        <w:rPr>
          <w:rFonts w:ascii="FangSong" w:hAnsi="FangSong" w:eastAsia="FangSong" w:cs="FangSong"/>
          <w:sz w:val="25"/>
          <w:szCs w:val="25"/>
        </w:rPr>
      </w:pPr>
    </w:p>
    <w:p>
      <w:pPr>
        <w:spacing w:line="434" w:lineRule="auto"/>
        <w:rPr>
          <w:rFonts w:ascii="Arial"/>
          <w:sz w:val="21"/>
        </w:rPr>
      </w:pPr>
      <w:r/>
    </w:p>
    <w:p>
      <w:pPr>
        <w:ind w:firstLine="1170"/>
        <w:spacing w:before="1" w:line="11751" w:lineRule="exact"/>
        <w:rPr/>
      </w:pPr>
      <w:r>
        <w:pict>
          <v:shape id="_x0000_s378" style="position:absolute;margin-left:391.92pt;margin-top:234.154pt;mso-position-vertical-relative:text;mso-position-horizontal-relative:text;width:119.4pt;height:18.85pt;z-index:251697152;rotation:330;" fillcolor="#404040" filled="true" stroked="false" type="#_x0000_t136">
            <v:fill opacity="0.400000"/>
            <v:textpath style="font-family:&quot;STSong&quot;;font-size:20;v-text-kern:t;mso-text-shadow:auto" string="仅供内部审核"/>
          </v:shape>
        </w:pict>
      </w:r>
      <w:r>
        <w:pict>
          <v:shape id="_x0000_s380" style="position:absolute;margin-left:86.92pt;margin-top:478.154pt;mso-position-vertical-relative:text;mso-position-horizontal-relative:text;width:119.4pt;height:18.85pt;z-index:251698176;rotation:330;" fillcolor="#404040" filled="true" stroked="false" type="#_x0000_t136">
            <v:fill opacity="0.400000"/>
            <v:textpath style="font-family:&quot;STSong&quot;;font-size:20;v-text-kern:t;mso-text-shadow:auto" string="仅供内部审核"/>
          </v:shape>
        </w:pict>
      </w:r>
      <w:r>
        <w:pict>
          <v:shape id="_x0000_s382" style="position:absolute;margin-left:-13.08pt;margin-top:234.154pt;mso-position-vertical-relative:text;mso-position-horizontal-relative:text;width:119.4pt;height:18.85pt;z-index:25169920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2062"/>
            <wp:effectExtent l="0" t="0" r="0" b="0"/>
            <wp:docPr id="20" name="IM 20"/>
            <wp:cNvGraphicFramePr/>
            <a:graphic>
              <a:graphicData uri="http://schemas.openxmlformats.org/drawingml/2006/picture">
                <pic:pic>
                  <pic:nvPicPr>
                    <pic:cNvPr id="20" name="IM 20"/>
                    <pic:cNvPicPr/>
                  </pic:nvPicPr>
                  <pic:blipFill>
                    <a:blip r:embed="rId57"/>
                    <a:stretch>
                      <a:fillRect/>
                    </a:stretch>
                  </pic:blipFill>
                  <pic:spPr>
                    <a:xfrm rot="0">
                      <a:off x="0" y="0"/>
                      <a:ext cx="5335488" cy="7462062"/>
                    </a:xfrm>
                    <a:prstGeom prst="rect">
                      <a:avLst/>
                    </a:prstGeom>
                  </pic:spPr>
                </pic:pic>
              </a:graphicData>
            </a:graphic>
          </wp:inline>
        </w:drawing>
      </w:r>
    </w:p>
    <w:p>
      <w:pPr>
        <w:spacing w:line="11751" w:lineRule="exact"/>
        <w:sectPr>
          <w:headerReference w:type="default" r:id="rId55"/>
          <w:footerReference w:type="default" r:id="rId56"/>
          <w:pgSz w:w="11900" w:h="16840"/>
          <w:pgMar w:top="642" w:right="0" w:bottom="340" w:left="0" w:header="326" w:footer="93" w:gutter="0"/>
        </w:sectPr>
        <w:rPr/>
      </w:pPr>
    </w:p>
    <w:p>
      <w:pPr>
        <w:spacing w:line="434" w:lineRule="auto"/>
        <w:rPr>
          <w:rFonts w:ascii="Arial"/>
          <w:sz w:val="21"/>
        </w:rPr>
      </w:pPr>
      <w:r/>
    </w:p>
    <w:p>
      <w:pPr>
        <w:ind w:firstLine="1170"/>
        <w:spacing w:before="1" w:line="11751" w:lineRule="exact"/>
        <w:rPr/>
      </w:pPr>
      <w:r>
        <w:pict>
          <v:shape id="_x0000_s384" style="position:absolute;margin-left:391.92pt;margin-top:234.154pt;mso-position-vertical-relative:text;mso-position-horizontal-relative:text;width:119.4pt;height:18.85pt;z-index:251702272;rotation:330;" fillcolor="#404040" filled="true" stroked="false" type="#_x0000_t136">
            <v:fill opacity="0.400000"/>
            <v:textpath style="font-family:&quot;STSong&quot;;font-size:20;v-text-kern:t;mso-text-shadow:auto" string="仅供内部审核"/>
          </v:shape>
        </w:pict>
      </w:r>
      <w:r>
        <w:pict>
          <v:shape id="_x0000_s386" style="position:absolute;margin-left:-13.08pt;margin-top:234.154pt;mso-position-vertical-relative:text;mso-position-horizontal-relative:text;width:119.4pt;height:18.85pt;z-index:251703296;rotation:330;" fillcolor="#404040" filled="true" stroked="false" type="#_x0000_t136">
            <v:fill opacity="0.400000"/>
            <v:textpath style="font-family:&quot;STSong&quot;;font-size:20;v-text-kern:t;mso-text-shadow:auto" string="仅供内部审核"/>
          </v:shape>
        </w:pict>
      </w:r>
      <w:r>
        <w:pict>
          <v:shape id="_x0000_s388" style="position:absolute;margin-left:86.92pt;margin-top:478.154pt;mso-position-vertical-relative:text;mso-position-horizontal-relative:text;width:119.4pt;height:18.85pt;z-index:25170432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2062"/>
            <wp:effectExtent l="0" t="0" r="0" b="0"/>
            <wp:docPr id="22" name="IM 22"/>
            <wp:cNvGraphicFramePr/>
            <a:graphic>
              <a:graphicData uri="http://schemas.openxmlformats.org/drawingml/2006/picture">
                <pic:pic>
                  <pic:nvPicPr>
                    <pic:cNvPr id="22" name="IM 22"/>
                    <pic:cNvPicPr/>
                  </pic:nvPicPr>
                  <pic:blipFill>
                    <a:blip r:embed="rId59"/>
                    <a:stretch>
                      <a:fillRect/>
                    </a:stretch>
                  </pic:blipFill>
                  <pic:spPr>
                    <a:xfrm rot="0">
                      <a:off x="0" y="0"/>
                      <a:ext cx="5335488" cy="7462062"/>
                    </a:xfrm>
                    <a:prstGeom prst="rect">
                      <a:avLst/>
                    </a:prstGeom>
                  </pic:spPr>
                </pic:pic>
              </a:graphicData>
            </a:graphic>
          </wp:inline>
        </w:drawing>
      </w:r>
    </w:p>
    <w:p>
      <w:pPr>
        <w:spacing w:line="11751" w:lineRule="exact"/>
        <w:sectPr>
          <w:footerReference w:type="default" r:id="rId58"/>
          <w:pgSz w:w="11900" w:h="16840"/>
          <w:pgMar w:top="642" w:right="0" w:bottom="340" w:left="0" w:header="326" w:footer="93" w:gutter="0"/>
        </w:sectPr>
        <w:rPr/>
      </w:pPr>
    </w:p>
    <w:p>
      <w:pPr>
        <w:spacing w:line="434" w:lineRule="auto"/>
        <w:rPr>
          <w:rFonts w:ascii="Arial"/>
          <w:sz w:val="21"/>
        </w:rPr>
      </w:pPr>
      <w:r/>
    </w:p>
    <w:p>
      <w:pPr>
        <w:ind w:firstLine="1170"/>
        <w:spacing w:before="1" w:line="11751" w:lineRule="exact"/>
        <w:rPr/>
      </w:pPr>
      <w:r>
        <w:pict>
          <v:shape id="_x0000_s390" style="position:absolute;margin-left:86.92pt;margin-top:478.154pt;mso-position-vertical-relative:text;mso-position-horizontal-relative:text;width:119.4pt;height:18.85pt;z-index:251707392;rotation:330;" fillcolor="#404040" filled="true" stroked="false" type="#_x0000_t136">
            <v:fill opacity="0.400000"/>
            <v:textpath style="font-family:&quot;STSong&quot;;font-size:20;v-text-kern:t;mso-text-shadow:auto" string="仅供内部审核"/>
          </v:shape>
        </w:pict>
      </w:r>
      <w:r>
        <w:pict>
          <v:shape id="_x0000_s392" style="position:absolute;margin-left:-13.08pt;margin-top:234.154pt;mso-position-vertical-relative:text;mso-position-horizontal-relative:text;width:119.4pt;height:18.85pt;z-index:251708416;rotation:330;" fillcolor="#404040" filled="true" stroked="false" type="#_x0000_t136">
            <v:fill opacity="0.400000"/>
            <v:textpath style="font-family:&quot;STSong&quot;;font-size:20;v-text-kern:t;mso-text-shadow:auto" string="仅供内部审核"/>
          </v:shape>
        </w:pict>
      </w:r>
      <w:r>
        <w:pict>
          <v:shape id="_x0000_s394" style="position:absolute;margin-left:391.92pt;margin-top:234.154pt;mso-position-vertical-relative:text;mso-position-horizontal-relative:text;width:119.4pt;height:18.85pt;z-index:25170944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2062"/>
            <wp:effectExtent l="0" t="0" r="0" b="0"/>
            <wp:docPr id="24" name="IM 24"/>
            <wp:cNvGraphicFramePr/>
            <a:graphic>
              <a:graphicData uri="http://schemas.openxmlformats.org/drawingml/2006/picture">
                <pic:pic>
                  <pic:nvPicPr>
                    <pic:cNvPr id="24" name="IM 24"/>
                    <pic:cNvPicPr/>
                  </pic:nvPicPr>
                  <pic:blipFill>
                    <a:blip r:embed="rId61"/>
                    <a:stretch>
                      <a:fillRect/>
                    </a:stretch>
                  </pic:blipFill>
                  <pic:spPr>
                    <a:xfrm rot="0">
                      <a:off x="0" y="0"/>
                      <a:ext cx="5335488" cy="7462062"/>
                    </a:xfrm>
                    <a:prstGeom prst="rect">
                      <a:avLst/>
                    </a:prstGeom>
                  </pic:spPr>
                </pic:pic>
              </a:graphicData>
            </a:graphic>
          </wp:inline>
        </w:drawing>
      </w:r>
    </w:p>
    <w:p>
      <w:pPr>
        <w:spacing w:line="11751" w:lineRule="exact"/>
        <w:sectPr>
          <w:footerReference w:type="default" r:id="rId60"/>
          <w:pgSz w:w="11900" w:h="16840"/>
          <w:pgMar w:top="642" w:right="0" w:bottom="340" w:left="0" w:header="326" w:footer="93" w:gutter="0"/>
        </w:sectPr>
        <w:rPr/>
      </w:pPr>
    </w:p>
    <w:p>
      <w:pPr>
        <w:spacing w:line="434" w:lineRule="auto"/>
        <w:rPr>
          <w:rFonts w:ascii="Arial"/>
          <w:sz w:val="21"/>
        </w:rPr>
      </w:pPr>
      <w:r/>
    </w:p>
    <w:p>
      <w:pPr>
        <w:ind w:firstLine="1170"/>
        <w:spacing w:before="1" w:line="11751" w:lineRule="exact"/>
        <w:rPr/>
      </w:pPr>
      <w:r>
        <w:pict>
          <v:shape id="_x0000_s396" style="position:absolute;margin-left:-13.08pt;margin-top:234.154pt;mso-position-vertical-relative:text;mso-position-horizontal-relative:text;width:119.4pt;height:18.85pt;z-index:251712512;rotation:330;" fillcolor="#404040" filled="true" stroked="false" type="#_x0000_t136">
            <v:fill opacity="0.400000"/>
            <v:textpath style="font-family:&quot;STSong&quot;;font-size:20;v-text-kern:t;mso-text-shadow:auto" string="仅供内部审核"/>
          </v:shape>
        </w:pict>
      </w:r>
      <w:r>
        <w:pict>
          <v:shape id="_x0000_s398" style="position:absolute;margin-left:391.92pt;margin-top:234.154pt;mso-position-vertical-relative:text;mso-position-horizontal-relative:text;width:119.4pt;height:18.85pt;z-index:251713536;rotation:330;" fillcolor="#404040" filled="true" stroked="false" type="#_x0000_t136">
            <v:fill opacity="0.400000"/>
            <v:textpath style="font-family:&quot;STSong&quot;;font-size:20;v-text-kern:t;mso-text-shadow:auto" string="仅供内部审核"/>
          </v:shape>
        </w:pict>
      </w:r>
      <w:r>
        <w:pict>
          <v:shape id="_x0000_s400" style="position:absolute;margin-left:86.92pt;margin-top:478.154pt;mso-position-vertical-relative:text;mso-position-horizontal-relative:text;width:119.4pt;height:18.85pt;z-index:25171456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2062"/>
            <wp:effectExtent l="0" t="0" r="0" b="0"/>
            <wp:docPr id="26" name="IM 26"/>
            <wp:cNvGraphicFramePr/>
            <a:graphic>
              <a:graphicData uri="http://schemas.openxmlformats.org/drawingml/2006/picture">
                <pic:pic>
                  <pic:nvPicPr>
                    <pic:cNvPr id="26" name="IM 26"/>
                    <pic:cNvPicPr/>
                  </pic:nvPicPr>
                  <pic:blipFill>
                    <a:blip r:embed="rId63"/>
                    <a:stretch>
                      <a:fillRect/>
                    </a:stretch>
                  </pic:blipFill>
                  <pic:spPr>
                    <a:xfrm rot="0">
                      <a:off x="0" y="0"/>
                      <a:ext cx="5335488" cy="7462062"/>
                    </a:xfrm>
                    <a:prstGeom prst="rect">
                      <a:avLst/>
                    </a:prstGeom>
                  </pic:spPr>
                </pic:pic>
              </a:graphicData>
            </a:graphic>
          </wp:inline>
        </w:drawing>
      </w:r>
    </w:p>
    <w:p>
      <w:pPr>
        <w:spacing w:line="11751" w:lineRule="exact"/>
        <w:sectPr>
          <w:footerReference w:type="default" r:id="rId62"/>
          <w:pgSz w:w="11900" w:h="16840"/>
          <w:pgMar w:top="642" w:right="0" w:bottom="340" w:left="0" w:header="326" w:footer="93" w:gutter="0"/>
        </w:sectPr>
        <w:rPr/>
      </w:pPr>
    </w:p>
    <w:p>
      <w:pPr>
        <w:spacing w:line="434" w:lineRule="auto"/>
        <w:rPr>
          <w:rFonts w:ascii="Arial"/>
          <w:sz w:val="21"/>
        </w:rPr>
      </w:pPr>
      <w:r/>
    </w:p>
    <w:p>
      <w:pPr>
        <w:ind w:firstLine="1170"/>
        <w:spacing w:before="1" w:line="11751" w:lineRule="exact"/>
        <w:rPr/>
      </w:pPr>
      <w:r>
        <w:pict>
          <v:shape id="_x0000_s402" style="position:absolute;margin-left:-13.08pt;margin-top:234.154pt;mso-position-vertical-relative:text;mso-position-horizontal-relative:text;width:119.4pt;height:18.85pt;z-index:251717632;rotation:330;" fillcolor="#404040" filled="true" stroked="false" type="#_x0000_t136">
            <v:fill opacity="0.400000"/>
            <v:textpath style="font-family:&quot;STSong&quot;;font-size:20;v-text-kern:t;mso-text-shadow:auto" string="仅供内部审核"/>
          </v:shape>
        </w:pict>
      </w:r>
      <w:r>
        <w:pict>
          <v:shape id="_x0000_s404" style="position:absolute;margin-left:391.92pt;margin-top:234.154pt;mso-position-vertical-relative:text;mso-position-horizontal-relative:text;width:119.4pt;height:18.85pt;z-index:251718656;rotation:330;" fillcolor="#404040" filled="true" stroked="false" type="#_x0000_t136">
            <v:fill opacity="0.400000"/>
            <v:textpath style="font-family:&quot;STSong&quot;;font-size:20;v-text-kern:t;mso-text-shadow:auto" string="仅供内部审核"/>
          </v:shape>
        </w:pict>
      </w:r>
      <w:r>
        <w:pict>
          <v:shape id="_x0000_s406" style="position:absolute;margin-left:86.92pt;margin-top:478.154pt;mso-position-vertical-relative:text;mso-position-horizontal-relative:text;width:119.4pt;height:18.85pt;z-index:25171968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2062"/>
            <wp:effectExtent l="0" t="0" r="0" b="0"/>
            <wp:docPr id="28" name="IM 28"/>
            <wp:cNvGraphicFramePr/>
            <a:graphic>
              <a:graphicData uri="http://schemas.openxmlformats.org/drawingml/2006/picture">
                <pic:pic>
                  <pic:nvPicPr>
                    <pic:cNvPr id="28" name="IM 28"/>
                    <pic:cNvPicPr/>
                  </pic:nvPicPr>
                  <pic:blipFill>
                    <a:blip r:embed="rId65"/>
                    <a:stretch>
                      <a:fillRect/>
                    </a:stretch>
                  </pic:blipFill>
                  <pic:spPr>
                    <a:xfrm rot="0">
                      <a:off x="0" y="0"/>
                      <a:ext cx="5335488" cy="7462062"/>
                    </a:xfrm>
                    <a:prstGeom prst="rect">
                      <a:avLst/>
                    </a:prstGeom>
                  </pic:spPr>
                </pic:pic>
              </a:graphicData>
            </a:graphic>
          </wp:inline>
        </w:drawing>
      </w:r>
    </w:p>
    <w:p>
      <w:pPr>
        <w:spacing w:line="11751" w:lineRule="exact"/>
        <w:sectPr>
          <w:footerReference w:type="default" r:id="rId64"/>
          <w:pgSz w:w="11900" w:h="16840"/>
          <w:pgMar w:top="642" w:right="0" w:bottom="340" w:left="0" w:header="326" w:footer="93" w:gutter="0"/>
        </w:sectPr>
        <w:rPr/>
      </w:pPr>
    </w:p>
    <w:p>
      <w:pPr>
        <w:spacing w:line="434" w:lineRule="auto"/>
        <w:rPr>
          <w:rFonts w:ascii="Arial"/>
          <w:sz w:val="21"/>
        </w:rPr>
      </w:pPr>
      <w:r/>
    </w:p>
    <w:p>
      <w:pPr>
        <w:ind w:firstLine="1170"/>
        <w:spacing w:before="1" w:line="11751" w:lineRule="exact"/>
        <w:rPr/>
      </w:pPr>
      <w:r>
        <w:pict>
          <v:shape id="_x0000_s408" style="position:absolute;margin-left:-13.08pt;margin-top:234.154pt;mso-position-vertical-relative:text;mso-position-horizontal-relative:text;width:119.4pt;height:18.85pt;z-index:251722752;rotation:330;" fillcolor="#404040" filled="true" stroked="false" type="#_x0000_t136">
            <v:fill opacity="0.400000"/>
            <v:textpath style="font-family:&quot;STSong&quot;;font-size:20;v-text-kern:t;mso-text-shadow:auto" string="仅供内部审核"/>
          </v:shape>
        </w:pict>
      </w:r>
      <w:r>
        <w:pict>
          <v:shape id="_x0000_s410" style="position:absolute;margin-left:86.92pt;margin-top:478.154pt;mso-position-vertical-relative:text;mso-position-horizontal-relative:text;width:119.4pt;height:18.85pt;z-index:251723776;rotation:330;" fillcolor="#404040" filled="true" stroked="false" type="#_x0000_t136">
            <v:fill opacity="0.400000"/>
            <v:textpath style="font-family:&quot;STSong&quot;;font-size:20;v-text-kern:t;mso-text-shadow:auto" string="仅供内部审核"/>
          </v:shape>
        </w:pict>
      </w:r>
      <w:r>
        <w:pict>
          <v:shape id="_x0000_s412" style="position:absolute;margin-left:391.92pt;margin-top:234.154pt;mso-position-vertical-relative:text;mso-position-horizontal-relative:text;width:119.4pt;height:18.85pt;z-index:251724800;rotation:330;" fillcolor="#404040" filled="true" stroked="false" type="#_x0000_t136">
            <v:fill opacity="0.400000"/>
            <v:textpath style="font-family:&quot;STSong&quot;;font-size:20;v-text-kern:t;mso-text-shadow:auto" string="仅供内部审核"/>
          </v:shape>
        </w:pict>
      </w:r>
      <w:r>
        <w:rPr>
          <w:position w:val="-235"/>
        </w:rPr>
        <w:drawing>
          <wp:inline distT="0" distB="0" distL="0" distR="0">
            <wp:extent cx="5335488" cy="7462062"/>
            <wp:effectExtent l="0" t="0" r="0" b="0"/>
            <wp:docPr id="30" name="IM 30"/>
            <wp:cNvGraphicFramePr/>
            <a:graphic>
              <a:graphicData uri="http://schemas.openxmlformats.org/drawingml/2006/picture">
                <pic:pic>
                  <pic:nvPicPr>
                    <pic:cNvPr id="30" name="IM 30"/>
                    <pic:cNvPicPr/>
                  </pic:nvPicPr>
                  <pic:blipFill>
                    <a:blip r:embed="rId67"/>
                    <a:stretch>
                      <a:fillRect/>
                    </a:stretch>
                  </pic:blipFill>
                  <pic:spPr>
                    <a:xfrm rot="0">
                      <a:off x="0" y="0"/>
                      <a:ext cx="5335488" cy="7462062"/>
                    </a:xfrm>
                    <a:prstGeom prst="rect">
                      <a:avLst/>
                    </a:prstGeom>
                  </pic:spPr>
                </pic:pic>
              </a:graphicData>
            </a:graphic>
          </wp:inline>
        </w:drawing>
      </w:r>
    </w:p>
    <w:p>
      <w:pPr>
        <w:spacing w:line="11751" w:lineRule="exact"/>
        <w:sectPr>
          <w:footerReference w:type="default" r:id="rId66"/>
          <w:pgSz w:w="11900" w:h="16840"/>
          <w:pgMar w:top="642" w:right="0" w:bottom="340" w:left="0" w:header="326" w:footer="93" w:gutter="0"/>
        </w:sectPr>
        <w:rPr/>
      </w:pPr>
    </w:p>
    <w:p>
      <w:pPr>
        <w:spacing w:line="258" w:lineRule="auto"/>
        <w:rPr>
          <w:rFonts w:ascii="Arial"/>
          <w:sz w:val="21"/>
        </w:rPr>
      </w:pPr>
      <w:r/>
    </w:p>
    <w:p>
      <w:pPr>
        <w:ind w:left="4877"/>
        <w:spacing w:before="81" w:line="223" w:lineRule="auto"/>
        <w:outlineLvl w:val="0"/>
        <w:rPr>
          <w:rFonts w:ascii="SimHei" w:hAnsi="SimHei" w:eastAsia="SimHei" w:cs="SimHei"/>
          <w:sz w:val="25"/>
          <w:szCs w:val="25"/>
        </w:rPr>
      </w:pPr>
      <w:bookmarkStart w:name="bookmark33" w:id="49"/>
      <w:bookmarkEnd w:id="49"/>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1306" w:right="1537" w:firstLine="501"/>
        <w:spacing w:before="201" w:line="272"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spacing w:val="-2"/>
        </w:rPr>
        <w:t>和公用支出。</w:t>
      </w:r>
    </w:p>
    <w:p>
      <w:pPr>
        <w:ind w:left="1321" w:right="1537" w:firstLine="486"/>
        <w:spacing w:before="128"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spacing w:val="-7"/>
        </w:rPr>
        <w:t>的支出。</w:t>
      </w:r>
    </w:p>
    <w:p>
      <w:pPr>
        <w:ind w:left="1306" w:right="15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
        </w:rPr>
        <w:t>用车购置及运行费和公务接待费。其中：因公出国（境）费用反映单位公务出国</w:t>
      </w:r>
    </w:p>
    <w:p>
      <w:pPr>
        <w:ind w:left="13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1308" w:right="15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运行维护费反映单位按规定保留的公务用车燃料费、维修费、过路过桥费、保险</w:t>
      </w:r>
    </w:p>
    <w:p>
      <w:pPr>
        <w:ind w:left="1311" w:right="15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rPr>
        <w:t>公务接待（含外宾接待）支出。</w:t>
      </w:r>
    </w:p>
    <w:p>
      <w:pPr>
        <w:ind w:left="1309" w:right="15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rPr>
        <w:t>安排的基本支出中的公用经费支出。</w:t>
      </w:r>
    </w:p>
    <w:p>
      <w:pPr>
        <w:ind w:left="1307" w:right="15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
        </w:rPr>
        <w:t>场机制作用，将国家机关属于自身职责范围且适合通过市场化方式提供的服务事</w:t>
      </w:r>
    </w:p>
    <w:p>
      <w:pPr>
        <w:ind w:left="1306" w:right="1537" w:firstLine="1"/>
        <w:spacing w:before="131"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rPr>
        <w:t>和质量等情况向其支付费用的行为。</w:t>
      </w:r>
    </w:p>
    <w:p>
      <w:pPr>
        <w:ind w:left="1811"/>
        <w:spacing w:before="132" w:line="223" w:lineRule="auto"/>
        <w:rPr>
          <w:rFonts w:ascii="SimHei" w:hAnsi="SimHei" w:eastAsia="SimHei" w:cs="SimHei"/>
          <w:sz w:val="25"/>
          <w:szCs w:val="25"/>
        </w:rPr>
      </w:pPr>
      <w:r>
        <w:rPr>
          <w:rFonts w:ascii="SimHei" w:hAnsi="SimHei" w:eastAsia="SimHei" w:cs="SimHei"/>
          <w:sz w:val="25"/>
          <w:szCs w:val="25"/>
        </w:rPr>
        <w:t>六、财政专户管理资金：</w:t>
      </w:r>
    </w:p>
    <w:p>
      <w:pPr>
        <w:ind w:left="1307" w:right="1537" w:firstLine="506"/>
        <w:spacing w:before="166" w:line="319"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
        </w:rPr>
        <w:t>培养费，党校收费，教育考试考务费，函大、电大、夜大及短训班培训费等。</w:t>
      </w:r>
    </w:p>
    <w:p>
      <w:pPr>
        <w:ind w:left="1306" w:right="1537" w:firstLine="496"/>
        <w:spacing w:before="35"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spacing w:val="1"/>
        </w:rPr>
        <w:t>业收入、事业单位经营收入、上级补助收入、附属单位上缴收入、其他收入。</w:t>
      </w:r>
    </w:p>
    <w:p>
      <w:pPr>
        <w:ind w:left="1319" w:right="1537" w:firstLine="484"/>
        <w:spacing w:before="132"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spacing w:val="-10"/>
        </w:rPr>
        <w:t>资金。</w:t>
      </w:r>
    </w:p>
    <w:p>
      <w:pPr>
        <w:ind w:left="1308" w:right="1576" w:firstLine="501"/>
        <w:spacing w:before="126"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
        </w:rPr>
        <w:t>推动经济社会发展、维护国家安全、维持国家机构正常运转等方面的收支预算。</w:t>
      </w:r>
    </w:p>
    <w:p>
      <w:pPr>
        <w:ind w:left="1311" w:right="1537" w:firstLine="495"/>
        <w:spacing w:before="134"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spacing w:val="1"/>
        </w:rPr>
        <w:t>象征收、收取或者以其他方式筹集的资金，专项用于特定公共事业发展的收支预</w:t>
      </w:r>
    </w:p>
    <w:p>
      <w:pPr>
        <w:ind w:left="13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807"/>
        <w:spacing w:before="130"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807"/>
        <w:spacing w:before="131"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headerReference w:type="default" r:id="rId23"/>
      <w:footerReference w:type="default" r:id="rId68"/>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STSong">
    <w:panose1 w:val="02010600040101010101"/>
    <w:charset w:val="86"/>
    <w:family w:val="auto"/>
    <w:pitch w:val="variable"/>
    <w:sig w:usb0="00000287" w:usb1="080F0000" w:usb2="00000000" w:usb3="00000000" w:csb0="0004009F" w:csb1="DFD7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7" w:id="43"/>
    <w:bookmarkEnd w:id="43"/>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bookmarkStart w:name="bookmark48" w:id="48"/>
    <w:bookmarkEnd w:id="48"/>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54" style="position:absolute;margin-left:86.92pt;margin-top:27.7862pt;mso-position-vertical-relative:text;mso-position-horizontal-relative:text;width:119.4pt;height:18.85pt;z-index:-251572224;rotation:330;" fillcolor="#404040" filled="true" stroked="false" type="#_x0000_t136">
          <v:fill opacity="0.400000"/>
          <v:textpath style="font-family:&quot;STSong&quot;;font-size:20;v-text-kern:t;mso-text-shadow:auto" string="仅供内部审核"/>
        </v:shape>
      </w:pict>
    </w:r>
    <w:r>
      <w:pict>
        <v:shape id="PowerPlusWaterMarkObject156"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TSong&quot;;font-size:20;v-text-kern:t;mso-text-shadow:auto" string="仅供内部审核"/>
        </v:shape>
      </w:pict>
    </w:r>
    <w:r>
      <w:pict>
        <v:shape id="PowerPlusWaterMarkObject158" style="position:absolute;margin-left:491.92pt;margin-top:44.105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86.92pt;margin-top:532.106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_x0000_s170" style="position:absolute;margin-left:30pt;margin-top:29.5pt;mso-position-vertical-relative:page;mso-position-horizontal-relative:page;width:535pt;height:1pt;z-index:-2515742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2" style="position:absolute;margin-left:86.92pt;margin-top:27.7862pt;mso-position-vertical-relative:text;mso-position-horizontal-relative:text;width:119.4pt;height:18.85pt;z-index:-251563008;rotation:330;" fillcolor="#404040" filled="true" stroked="false" type="#_x0000_t136">
          <v:fill opacity="0.400000"/>
          <v:textpath style="font-family:&quot;STSong&quot;;font-size:20;v-text-kern:t;mso-text-shadow:auto" string="仅供内部审核"/>
        </v:shape>
      </w:pict>
    </w:r>
    <w:r>
      <w:pict>
        <v:shape id="PowerPlusWaterMarkObject174" style="position:absolute;margin-left:-13.08pt;margin-top:288.105pt;mso-position-vertical-relative:page;mso-position-horizontal-relative:page;width:119.4pt;height:18.85pt;z-index:-251571200;rotation:330;" o:allowincell="f" fillcolor="#404040" filled="true" stroked="false" type="#_x0000_t136">
          <v:fill opacity="0.400000"/>
          <v:textpath style="font-family:&quot;STSong&quot;;font-size:20;v-text-kern:t;mso-text-shadow:auto" string="仅供内部审核"/>
        </v:shape>
      </w:pict>
    </w:r>
    <w:r>
      <w:pict>
        <v:shape id="PowerPlusWaterMarkObject176" style="position:absolute;margin-left:491.92pt;margin-top:44.105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391.92pt;margin-top:288.10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80"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491.92pt;margin-top:532.106pt;mso-position-vertical-relative:page;mso-position-horizontal-relative:page;width:119.4pt;height:18.85pt;z-index:-251569152;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391.92pt;margin-top:776.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_x0000_s188" style="position:absolute;margin-left:30pt;margin-top:29.5pt;mso-position-vertical-relative:page;mso-position-horizontal-relative:page;width:535pt;height:1pt;z-index:-25156505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0" style="position:absolute;margin-left:86.92pt;margin-top:27.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92"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PowerPlusWaterMarkObject194"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08"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210" style="position:absolute;margin-left:-13.08pt;margin-top:288.10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12"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391.92pt;margin-top:288.10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13.08pt;margin-top:776.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_x0000_s224"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26" style="position:absolute;margin-left:86.92pt;margin-top:27.7862pt;mso-position-vertical-relative:text;mso-position-horizontal-relative:text;width:119.4pt;height:18.85pt;z-index:-251535360;rotation:330;" fillcolor="#404040" filled="true" stroked="false" type="#_x0000_t136">
          <v:fill opacity="0.400000"/>
          <v:textpath style="font-family:&quot;STSong&quot;;font-size:20;v-text-kern:t;mso-text-shadow:auto" string="仅供内部审核"/>
        </v:shape>
      </w:pict>
    </w:r>
    <w:r>
      <w:pict>
        <v:shape id="PowerPlusWaterMarkObject228" style="position:absolute;margin-left:-13.08pt;margin-top:288.10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13.08pt;margin-top:776.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491.92pt;margin-top:532.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391.92pt;margin-top:776.106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_x0000_s242"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44" style="position:absolute;margin-left:86.92pt;margin-top:27.7862pt;mso-position-vertical-relative:text;mso-position-horizontal-relative:text;width:119.4pt;height:18.85pt;z-index:-251527168;rotation:330;" fillcolor="#404040" filled="true" stroked="false" type="#_x0000_t136">
          <v:fill opacity="0.400000"/>
          <v:textpath style="font-family:&quot;STSong&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48" style="position:absolute;margin-left:491.92pt;margin-top:44.1055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_x0000_s258" style="position:absolute;margin-left:30pt;margin-top:29.5pt;mso-position-vertical-relative:page;mso-position-horizontal-relative:page;width:535pt;height:1pt;z-index:-2515292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2" style="position:absolute;margin-left:86.92pt;margin-top:27.7862pt;mso-position-vertical-relative:text;mso-position-horizontal-relative:text;width:119.4pt;height:18.85pt;z-index:-251518976;rotation:330;"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288.105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PowerPlusWaterMarkObject266" style="position:absolute;margin-left:491.92pt;margin-top:44.1055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491.92pt;margin-top:532.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_x0000_s276" style="position:absolute;margin-left:30pt;margin-top:29.5pt;mso-position-vertical-relative:page;mso-position-horizontal-relative:page;width:535pt;height:1pt;z-index:-2515210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0" style="position:absolute;margin-left:86.92pt;margin-top:27.7862pt;mso-position-vertical-relative:text;mso-position-horizontal-relative:text;width:119.4pt;height:18.85pt;z-index:-251509760;rotation:330;" fillcolor="#404040" filled="true" stroked="false" type="#_x0000_t136">
          <v:fill opacity="0.400000"/>
          <v:textpath style="font-family:&quot;STSong&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TSong&quot;;font-size:20;v-text-kern:t;mso-text-shadow:auto" string="仅供内部审核"/>
        </v:shape>
      </w:pict>
    </w:r>
    <w:r>
      <w:pict>
        <v:shape id="PowerPlusWaterMarkObject284"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13.08pt;margin-top:776.106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391.92pt;margin-top:776.106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_x0000_s296"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98" style="position:absolute;margin-left:86.92pt;margin-top:27.7862pt;mso-position-vertical-relative:text;mso-position-horizontal-relative:text;width:119.4pt;height:18.85pt;z-index:-251505664;rotation:330;" fillcolor="#404040" filled="true" stroked="false" type="#_x0000_t136">
          <v:fill opacity="0.400000"/>
          <v:textpath style="font-family:&quot;STSong&quot;;font-size:20;v-text-kern:t;mso-text-shadow:auto" string="仅供内部审核"/>
        </v:shape>
      </w:pict>
    </w:r>
    <w:r>
      <w:pict>
        <v:shape id="PowerPlusWaterMarkObject300" style="position:absolute;margin-left:-13.08pt;margin-top:776.106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302" style="position:absolute;margin-left:391.92pt;margin-top:776.106pt;mso-position-vertical-relative:page;mso-position-horizontal-relative:page;width:119.4pt;height:18.85pt;z-index:-251508736;rotation:330;" o:allowincell="f" fillcolor="#404040" filled="true" stroked="false" type="#_x0000_t136">
          <v:fill opacity="0.400000"/>
          <v:textpath style="font-family:&quot;STSong&quot;;font-size:20;v-text-kern:t;mso-text-shadow:auto" string="仅供内部审核"/>
        </v:shape>
      </w:pict>
    </w:r>
    <w:r>
      <w:pict>
        <v:shape id="_x0000_s304" style="position:absolute;margin-left:30pt;margin-top:29.5pt;mso-position-vertical-relative:page;mso-position-horizontal-relative:page;width:535pt;height:1pt;z-index:-2515066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66" style="position:absolute;margin-left:86.92pt;margin-top:27.7862pt;mso-position-vertical-relative:text;mso-position-horizontal-relative:text;width:119.4pt;height:18.85pt;z-index:-251499520;rotation:330;" fillcolor="#404040" filled="true" stroked="false" type="#_x0000_t136">
          <v:fill opacity="0.400000"/>
          <v:textpath style="font-family:&quot;STSong&quot;;font-size:20;v-text-kern:t;mso-text-shadow:auto" string="仅供内部审核"/>
        </v:shape>
      </w:pict>
    </w:r>
    <w:r>
      <w:pict>
        <v:shape id="PowerPlusWaterMarkObject368" style="position:absolute;margin-left:491.92pt;margin-top:44.105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70"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72" style="position:absolute;margin-left:491.92pt;margin-top:532.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TSong&quot;;font-size:20;v-text-kern:t;mso-text-shadow:auto" string="仅供内部审核"/>
        </v:shape>
      </w:pict>
    </w:r>
    <w:r>
      <w:pict>
        <v:shape id="_x0000_s376" style="position:absolute;margin-left:30pt;margin-top:29.5pt;mso-position-vertical-relative:page;mso-position-horizontal-relative:page;width:535pt;height:1pt;z-index:-2515015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18" style="position:absolute;margin-left:-13.08pt;margin-top:776.106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50"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TSong&quot;;font-size:20;v-text-kern:t;mso-text-shadow:auto" string="仅供内部审核"/>
        </v:shape>
      </w:pict>
    </w:r>
    <w:r>
      <w:pict>
        <v:shape id="PowerPlusWaterMarkObject54"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86.92pt;margin-top:27.7862pt;mso-position-vertical-relative:text;mso-position-horizontal-relative:text;width:119.4pt;height:18.85pt;z-index:-251625472;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兴县审计局2024年部门预算公开报告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68" style="position:absolute;margin-left:86.92pt;margin-top:27.7862pt;mso-position-vertical-relative:text;mso-position-horizontal-relative:text;width:119.4pt;height:18.85pt;z-index:-251616256;rotation:330;" fillcolor="#404040" filled="true" stroked="false" type="#_x0000_t136">
          <v:fill opacity="0.400000"/>
          <v:textpath style="font-family:&quot;STSong&quot;;font-size:20;v-text-kern:t;mso-text-shadow:auto" string="仅供内部审核"/>
        </v:shape>
      </w:pict>
    </w:r>
    <w:r>
      <w:pict>
        <v:shape id="PowerPlusWaterMarkObject70" style="position:absolute;margin-left:-13.08pt;margin-top:288.105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4448;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6" style="position:absolute;margin-left:86.92pt;margin-top:27.7862pt;mso-position-vertical-relative:text;mso-position-horizontal-relative:text;width:119.4pt;height:18.85pt;z-index:-251607040;rotation:330;" fillcolor="#404040" filled="true" stroked="false" type="#_x0000_t136">
          <v:fill opacity="0.400000"/>
          <v:textpath style="font-family:&quot;STSong&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TSong&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兴县审计局2024年部门预算公开报告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04"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pict>
        <v:shape id="PowerPlusWaterMarkObject106"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TSong&quot;;font-size:20;v-text-kern:t;mso-text-shadow:auto" string="仅供内部审核"/>
        </v:shape>
      </w:pict>
    </w:r>
    <w:r>
      <w:pict>
        <v:shape id="PowerPlusWaterMarkObject108"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0"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12"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13.08pt;margin-top:28.7862pt;mso-position-vertical-relative:text;mso-position-horizontal-relative:text;width:119.4pt;height:18.85pt;z-index:-25159884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兴县审计局2024年部门预算公开报告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0" style="position:absolute;margin-left:-13.08pt;margin-top:28.7862pt;mso-position-vertical-relative:text;mso-position-horizontal-relative:text;width:119.4pt;height:18.85pt;z-index:-251590656;rotation:330;" fillcolor="#404040" filled="true" stroked="false" type="#_x0000_t136">
          <v:fill opacity="0.400000"/>
          <v:textpath style="font-family:&quot;STSong&quot;;font-size:20;v-text-kern:t;mso-text-shadow:auto" string="仅供内部审核"/>
        </v:shape>
      </w:pict>
    </w:r>
    <w:r>
      <w:pict>
        <v:shape id="PowerPlusWaterMarkObject122" style="position:absolute;margin-left:312.92pt;margin-top:45.1055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24" style="position:absolute;margin-left:86.92pt;margin-top:287.106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26" style="position:absolute;margin-left:638.92pt;margin-top:45.1055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5.0434pt;margin-top:406.395pt;mso-position-vertical-relative:page;mso-position-horizontal-relative:page;width:609.35pt;height:22.25pt;z-index:-25159475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0"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6800;rotation:330;" o:allowincell="f" fillcolor="#404040" filled="true" stroked="false" type="#_x0000_t136">
          <v:fill opacity="0.400000"/>
          <v:textpath style="font-family:&quot;STSong&quot;;font-size:20;v-text-kern:t;mso-text-shadow:auto" string="仅供内部审核"/>
        </v:shape>
      </w:pict>
    </w:r>
    <w:r>
      <w:pict>
        <v:shape id="_x0000_s134" style="position:absolute;margin-left:30pt;margin-top:29.5pt;mso-position-vertical-relative:page;mso-position-horizontal-relative:page;width:782pt;height:1pt;z-index:-2515937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兴县审计局2024年部门预算公开报告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36" style="position:absolute;margin-left:30pt;margin-top:29.5pt;mso-position-vertical-relative:page;mso-position-horizontal-relative:page;width:535pt;height:1pt;z-index:-251583488;" o:allowincell="f" filled="false" strokecolor="#646464" strokeweight="1.00pt" coordsize="10700,20" coordorigin="0,0" path="m0,10l10700,10e">
          <v:stroke joinstyle="miter" miterlimit="10"/>
        </v:shape>
      </w:pict>
    </w:r>
    <w:r>
      <w:pict>
        <v:shape id="PowerPlusWaterMarkObject138" style="position:absolute;margin-left:-13.08pt;margin-top:288.10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PowerPlusWaterMarkObject140" style="position:absolute;margin-left:86.92pt;margin-top:532.106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42" style="position:absolute;margin-left:491.92pt;margin-top:532.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13.08pt;margin-top:776.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491.92pt;margin-top:44.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86.92pt;margin-top:27.7862pt;mso-position-vertical-relative:text;mso-position-horizontal-relative:text;width:119.4pt;height:18.85pt;z-index:-251581440;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兴县审计局2024年部门预算公开报告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TZhongsong" w:hAnsi="STZhongsong" w:eastAsia="STZhongsong" w:cs="STZhongsong"/>
      <w:sz w:val="34"/>
      <w:szCs w:val="34"/>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6.xml"/><Relationship Id="rId71" Type="http://schemas.openxmlformats.org/officeDocument/2006/relationships/fontTable" Target="fontTable.xml"/><Relationship Id="rId70" Type="http://schemas.openxmlformats.org/officeDocument/2006/relationships/styles" Target="styles.xml"/><Relationship Id="rId7" Type="http://schemas.openxmlformats.org/officeDocument/2006/relationships/footer" Target="footer2.xml"/><Relationship Id="rId69" Type="http://schemas.openxmlformats.org/officeDocument/2006/relationships/settings" Target="settings.xml"/><Relationship Id="rId68" Type="http://schemas.openxmlformats.org/officeDocument/2006/relationships/footer" Target="footer34.xml"/><Relationship Id="rId67" Type="http://schemas.openxmlformats.org/officeDocument/2006/relationships/image" Target="media/image15.png"/><Relationship Id="rId66" Type="http://schemas.openxmlformats.org/officeDocument/2006/relationships/footer" Target="footer33.xml"/><Relationship Id="rId65" Type="http://schemas.openxmlformats.org/officeDocument/2006/relationships/image" Target="media/image14.png"/><Relationship Id="rId64" Type="http://schemas.openxmlformats.org/officeDocument/2006/relationships/footer" Target="footer32.xml"/><Relationship Id="rId63" Type="http://schemas.openxmlformats.org/officeDocument/2006/relationships/image" Target="media/image13.png"/><Relationship Id="rId62" Type="http://schemas.openxmlformats.org/officeDocument/2006/relationships/footer" Target="footer31.xml"/><Relationship Id="rId61" Type="http://schemas.openxmlformats.org/officeDocument/2006/relationships/image" Target="media/image12.png"/><Relationship Id="rId60" Type="http://schemas.openxmlformats.org/officeDocument/2006/relationships/footer" Target="footer30.xml"/><Relationship Id="rId6" Type="http://schemas.openxmlformats.org/officeDocument/2006/relationships/header" Target="header5.xml"/><Relationship Id="rId59" Type="http://schemas.openxmlformats.org/officeDocument/2006/relationships/image" Target="media/image11.png"/><Relationship Id="rId58" Type="http://schemas.openxmlformats.org/officeDocument/2006/relationships/footer" Target="footer29.xml"/><Relationship Id="rId57" Type="http://schemas.openxmlformats.org/officeDocument/2006/relationships/image" Target="media/image10.png"/><Relationship Id="rId56" Type="http://schemas.openxmlformats.org/officeDocument/2006/relationships/footer" Target="footer28.xml"/><Relationship Id="rId55" Type="http://schemas.openxmlformats.org/officeDocument/2006/relationships/header" Target="header19.xml"/><Relationship Id="rId54" Type="http://schemas.openxmlformats.org/officeDocument/2006/relationships/footer" Target="footer27.xml"/><Relationship Id="rId53" Type="http://schemas.openxmlformats.org/officeDocument/2006/relationships/image" Target="media/image9.jpeg"/><Relationship Id="rId52" Type="http://schemas.openxmlformats.org/officeDocument/2006/relationships/footer" Target="footer26.xml"/><Relationship Id="rId51" Type="http://schemas.openxmlformats.org/officeDocument/2006/relationships/image" Target="media/image8.jpeg"/><Relationship Id="rId50" Type="http://schemas.openxmlformats.org/officeDocument/2006/relationships/footer" Target="footer25.xml"/><Relationship Id="rId5" Type="http://schemas.openxmlformats.org/officeDocument/2006/relationships/footer" Target="footer1.xml"/><Relationship Id="rId49" Type="http://schemas.openxmlformats.org/officeDocument/2006/relationships/image" Target="media/image7.jpeg"/><Relationship Id="rId48" Type="http://schemas.openxmlformats.org/officeDocument/2006/relationships/footer" Target="footer24.xml"/><Relationship Id="rId47" Type="http://schemas.openxmlformats.org/officeDocument/2006/relationships/image" Target="media/image6.jpeg"/><Relationship Id="rId46" Type="http://schemas.openxmlformats.org/officeDocument/2006/relationships/footer" Target="footer23.xml"/><Relationship Id="rId45" Type="http://schemas.openxmlformats.org/officeDocument/2006/relationships/image" Target="media/image5.jpeg"/><Relationship Id="rId44" Type="http://schemas.openxmlformats.org/officeDocument/2006/relationships/footer" Target="footer22.xml"/><Relationship Id="rId43" Type="http://schemas.openxmlformats.org/officeDocument/2006/relationships/image" Target="media/image4.jpeg"/><Relationship Id="rId42" Type="http://schemas.openxmlformats.org/officeDocument/2006/relationships/footer" Target="footer21.xml"/><Relationship Id="rId41" Type="http://schemas.openxmlformats.org/officeDocument/2006/relationships/header" Target="header18.xml"/><Relationship Id="rId40" Type="http://schemas.openxmlformats.org/officeDocument/2006/relationships/image" Target="media/image3.png"/><Relationship Id="rId4" Type="http://schemas.openxmlformats.org/officeDocument/2006/relationships/header" Target="header4.xml"/><Relationship Id="rId39" Type="http://schemas.openxmlformats.org/officeDocument/2006/relationships/footer" Target="footer20.xml"/><Relationship Id="rId38" Type="http://schemas.openxmlformats.org/officeDocument/2006/relationships/header" Target="header17.xml"/><Relationship Id="rId37" Type="http://schemas.openxmlformats.org/officeDocument/2006/relationships/image" Target="media/image2.png"/><Relationship Id="rId36" Type="http://schemas.openxmlformats.org/officeDocument/2006/relationships/footer" Target="footer19.xml"/><Relationship Id="rId35" Type="http://schemas.openxmlformats.org/officeDocument/2006/relationships/header" Target="header16.xml"/><Relationship Id="rId34" Type="http://schemas.openxmlformats.org/officeDocument/2006/relationships/image" Target="media/image1.png"/><Relationship Id="rId33" Type="http://schemas.openxmlformats.org/officeDocument/2006/relationships/footer" Target="footer18.xml"/><Relationship Id="rId32" Type="http://schemas.openxmlformats.org/officeDocument/2006/relationships/header" Target="header15.xml"/><Relationship Id="rId31" Type="http://schemas.openxmlformats.org/officeDocument/2006/relationships/footer" Target="footer17.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3.xml"/><Relationship Id="rId22" Type="http://schemas.openxmlformats.org/officeDocument/2006/relationships/footer" Target="footer10.xml"/><Relationship Id="rId21" Type="http://schemas.openxmlformats.org/officeDocument/2006/relationships/header" Target="header12.xml"/><Relationship Id="rId20" Type="http://schemas.openxmlformats.org/officeDocument/2006/relationships/footer" Target="footer9.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8.xml"/><Relationship Id="rId17" Type="http://schemas.openxmlformats.org/officeDocument/2006/relationships/header" Target="header10.xml"/><Relationship Id="rId16" Type="http://schemas.openxmlformats.org/officeDocument/2006/relationships/footer" Target="footer7.xml"/><Relationship Id="rId15" Type="http://schemas.openxmlformats.org/officeDocument/2006/relationships/header" Target="header9.xml"/><Relationship Id="rId14" Type="http://schemas.openxmlformats.org/officeDocument/2006/relationships/footer" Target="footer6.xml"/><Relationship Id="rId13" Type="http://schemas.openxmlformats.org/officeDocument/2006/relationships/header" Target="header8.xml"/><Relationship Id="rId12" Type="http://schemas.openxmlformats.org/officeDocument/2006/relationships/footer" Target="footer5.xml"/><Relationship Id="rId11" Type="http://schemas.openxmlformats.org/officeDocument/2006/relationships/header" Target="header7.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2025-09-25T11:23:49Z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2025-09-25T17:32:06</vt:filetime>
  </property>
</Properties>
</file>