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504"/>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9"/>
        </w:rPr>
        <w:t>中共兴县县委巡察工作办公室</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22</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22</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22</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22</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24</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6"/>
        <w:spacing w:before="282" w:line="222" w:lineRule="auto"/>
        <w:rPr>
          <w:rFonts w:ascii="FangSong" w:hAnsi="FangSong" w:eastAsia="FangSong" w:cs="FangSong"/>
          <w:sz w:val="24"/>
          <w:szCs w:val="24"/>
        </w:rPr>
      </w:pPr>
      <w:r>
        <w:rPr>
          <w:rFonts w:ascii="FangSong" w:hAnsi="FangSong" w:eastAsia="FangSong" w:cs="FangSong"/>
          <w:sz w:val="24"/>
          <w:szCs w:val="24"/>
          <w:spacing w:val="-3"/>
        </w:rPr>
        <w:t>部门主要职责</w:t>
      </w:r>
    </w:p>
    <w:p>
      <w:pPr>
        <w:ind w:left="1515"/>
        <w:spacing w:before="117" w:line="220" w:lineRule="auto"/>
        <w:rPr>
          <w:rFonts w:ascii="FangSong" w:hAnsi="FangSong" w:eastAsia="FangSong" w:cs="FangSong"/>
          <w:sz w:val="24"/>
          <w:szCs w:val="24"/>
        </w:rPr>
      </w:pPr>
      <w:r>
        <w:rPr>
          <w:rFonts w:ascii="FangSong" w:hAnsi="FangSong" w:eastAsia="FangSong" w:cs="FangSong"/>
          <w:sz w:val="24"/>
          <w:szCs w:val="24"/>
          <w:spacing w:val="-2"/>
        </w:rPr>
        <w:t>（一）传达贯彻县委和领导小组的决策部署，向领导小组报告工</w:t>
      </w:r>
      <w:r>
        <w:rPr>
          <w:rFonts w:ascii="FangSong" w:hAnsi="FangSong" w:eastAsia="FangSong" w:cs="FangSong"/>
          <w:sz w:val="24"/>
          <w:szCs w:val="24"/>
          <w:spacing w:val="-3"/>
        </w:rPr>
        <w:t>作情况；</w:t>
      </w:r>
    </w:p>
    <w:p>
      <w:pPr>
        <w:ind w:left="1515"/>
        <w:spacing w:before="119" w:line="220" w:lineRule="auto"/>
        <w:rPr>
          <w:rFonts w:ascii="FangSong" w:hAnsi="FangSong" w:eastAsia="FangSong" w:cs="FangSong"/>
          <w:sz w:val="24"/>
          <w:szCs w:val="24"/>
        </w:rPr>
      </w:pPr>
      <w:r>
        <w:rPr>
          <w:rFonts w:ascii="FangSong" w:hAnsi="FangSong" w:eastAsia="FangSong" w:cs="FangSong"/>
          <w:sz w:val="24"/>
          <w:szCs w:val="24"/>
          <w:spacing w:val="-4"/>
        </w:rPr>
        <w:t>（二）统筹、协调、指导巡察组开展工作；</w:t>
      </w:r>
    </w:p>
    <w:p>
      <w:pPr>
        <w:ind w:left="1515"/>
        <w:spacing w:before="104" w:line="220" w:lineRule="auto"/>
        <w:rPr>
          <w:rFonts w:ascii="FangSong" w:hAnsi="FangSong" w:eastAsia="FangSong" w:cs="FangSong"/>
          <w:sz w:val="24"/>
          <w:szCs w:val="24"/>
        </w:rPr>
      </w:pPr>
      <w:r>
        <w:rPr>
          <w:rFonts w:ascii="FangSong" w:hAnsi="FangSong" w:eastAsia="FangSong" w:cs="FangSong"/>
          <w:sz w:val="24"/>
          <w:szCs w:val="24"/>
          <w:spacing w:val="-4"/>
        </w:rPr>
        <w:t>（三）承担政策研究、制度建设等工作；</w:t>
      </w:r>
    </w:p>
    <w:p>
      <w:pPr>
        <w:ind w:left="1515"/>
        <w:spacing w:before="118" w:line="221" w:lineRule="auto"/>
        <w:rPr>
          <w:rFonts w:ascii="FangSong" w:hAnsi="FangSong" w:eastAsia="FangSong" w:cs="FangSong"/>
          <w:sz w:val="24"/>
          <w:szCs w:val="24"/>
        </w:rPr>
      </w:pPr>
      <w:r>
        <w:rPr>
          <w:rFonts w:ascii="FangSong" w:hAnsi="FangSong" w:eastAsia="FangSong" w:cs="FangSong"/>
          <w:sz w:val="24"/>
          <w:szCs w:val="24"/>
          <w:spacing w:val="-2"/>
        </w:rPr>
        <w:t>（四）对县委和领导小组决定的事项、巡察整改及巡察移交事项进行督</w:t>
      </w:r>
      <w:r>
        <w:rPr>
          <w:rFonts w:ascii="FangSong" w:hAnsi="FangSong" w:eastAsia="FangSong" w:cs="FangSong"/>
          <w:sz w:val="24"/>
          <w:szCs w:val="24"/>
          <w:spacing w:val="-3"/>
        </w:rPr>
        <w:t>办；</w:t>
      </w:r>
    </w:p>
    <w:p>
      <w:pPr>
        <w:ind w:left="1515"/>
        <w:spacing w:before="118" w:line="220" w:lineRule="auto"/>
        <w:rPr>
          <w:rFonts w:ascii="FangSong" w:hAnsi="FangSong" w:eastAsia="FangSong" w:cs="FangSong"/>
          <w:sz w:val="24"/>
          <w:szCs w:val="24"/>
        </w:rPr>
      </w:pPr>
      <w:r>
        <w:rPr>
          <w:rFonts w:ascii="FangSong" w:hAnsi="FangSong" w:eastAsia="FangSong" w:cs="FangSong"/>
          <w:sz w:val="24"/>
          <w:szCs w:val="24"/>
          <w:spacing w:val="-2"/>
        </w:rPr>
        <w:t>（五）配合有关部门对巡察工作人员进行培训、考</w:t>
      </w:r>
      <w:r>
        <w:rPr>
          <w:rFonts w:ascii="FangSong" w:hAnsi="FangSong" w:eastAsia="FangSong" w:cs="FangSong"/>
          <w:sz w:val="24"/>
          <w:szCs w:val="24"/>
          <w:spacing w:val="-3"/>
        </w:rPr>
        <w:t>核、监督和管理；</w:t>
      </w:r>
    </w:p>
    <w:p>
      <w:pPr>
        <w:ind w:left="1515" w:right="1475"/>
        <w:spacing w:before="103" w:line="267" w:lineRule="auto"/>
        <w:rPr>
          <w:rFonts w:ascii="FangSong" w:hAnsi="FangSong" w:eastAsia="FangSong" w:cs="FangSong"/>
          <w:sz w:val="24"/>
          <w:szCs w:val="24"/>
        </w:rPr>
      </w:pPr>
      <w:r>
        <w:rPr>
          <w:rFonts w:ascii="FangSong" w:hAnsi="FangSong" w:eastAsia="FangSong" w:cs="FangSong"/>
          <w:sz w:val="24"/>
          <w:szCs w:val="24"/>
          <w:spacing w:val="7"/>
        </w:rPr>
        <w:t>（六）与纪检监察、组织、政法、审计、信访等机关和部门进行沟通联络、工作协</w:t>
      </w:r>
      <w:r>
        <w:rPr>
          <w:rFonts w:ascii="FangSong" w:hAnsi="FangSong" w:eastAsia="FangSong" w:cs="FangSong"/>
          <w:sz w:val="24"/>
          <w:szCs w:val="24"/>
          <w:spacing w:val="16"/>
        </w:rPr>
        <w:t xml:space="preserve"> </w:t>
      </w:r>
      <w:r>
        <w:rPr>
          <w:rFonts w:ascii="FangSong" w:hAnsi="FangSong" w:eastAsia="FangSong" w:cs="FangSong"/>
          <w:sz w:val="24"/>
          <w:szCs w:val="24"/>
          <w:spacing w:val="-18"/>
        </w:rPr>
        <w:t>调；</w:t>
      </w:r>
    </w:p>
    <w:p>
      <w:pPr>
        <w:ind w:left="1515"/>
        <w:spacing w:before="117" w:line="220" w:lineRule="auto"/>
        <w:rPr>
          <w:rFonts w:ascii="FangSong" w:hAnsi="FangSong" w:eastAsia="FangSong" w:cs="FangSong"/>
          <w:sz w:val="24"/>
          <w:szCs w:val="24"/>
        </w:rPr>
      </w:pPr>
      <w:r>
        <w:rPr>
          <w:rFonts w:ascii="FangSong" w:hAnsi="FangSong" w:eastAsia="FangSong" w:cs="FangSong"/>
          <w:sz w:val="24"/>
          <w:szCs w:val="24"/>
          <w:spacing w:val="-4"/>
        </w:rPr>
        <w:t>（七）负责与市委巡察办的日常联络工作；</w:t>
      </w:r>
    </w:p>
    <w:p>
      <w:pPr>
        <w:ind w:left="1515"/>
        <w:spacing w:before="103" w:line="222" w:lineRule="auto"/>
        <w:rPr>
          <w:rFonts w:ascii="FangSong" w:hAnsi="FangSong" w:eastAsia="FangSong" w:cs="FangSong"/>
          <w:sz w:val="24"/>
          <w:szCs w:val="24"/>
        </w:rPr>
      </w:pPr>
      <w:r>
        <w:rPr>
          <w:rFonts w:ascii="FangSong" w:hAnsi="FangSong" w:eastAsia="FangSong" w:cs="FangSong"/>
          <w:sz w:val="24"/>
          <w:szCs w:val="24"/>
          <w:spacing w:val="-4"/>
        </w:rPr>
        <w:t>（八）办理领导小组交办的其他事项；</w:t>
      </w:r>
    </w:p>
    <w:p>
      <w:pPr>
        <w:ind w:left="1515"/>
        <w:spacing w:before="116" w:line="222" w:lineRule="auto"/>
        <w:rPr>
          <w:rFonts w:ascii="FangSong" w:hAnsi="FangSong" w:eastAsia="FangSong" w:cs="FangSong"/>
          <w:sz w:val="24"/>
          <w:szCs w:val="24"/>
        </w:rPr>
      </w:pPr>
      <w:r>
        <w:rPr>
          <w:rFonts w:ascii="FangSong" w:hAnsi="FangSong" w:eastAsia="FangSong" w:cs="FangSong"/>
          <w:sz w:val="24"/>
          <w:szCs w:val="24"/>
          <w:spacing w:val="-3"/>
        </w:rPr>
        <w:t>（九）承办兴县县委交办的其他事项。</w:t>
      </w:r>
    </w:p>
    <w:p>
      <w:pPr>
        <w:ind w:left="1513"/>
        <w:spacing w:before="297"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5" w:right="1475" w:firstLine="481"/>
        <w:spacing w:before="101" w:line="312" w:lineRule="auto"/>
        <w:rPr>
          <w:rFonts w:ascii="FangSong" w:hAnsi="FangSong" w:eastAsia="FangSong" w:cs="FangSong"/>
          <w:sz w:val="24"/>
          <w:szCs w:val="24"/>
        </w:rPr>
      </w:pPr>
      <w:r>
        <w:rPr>
          <w:rFonts w:ascii="FangSong" w:hAnsi="FangSong" w:eastAsia="FangSong" w:cs="FangSong"/>
          <w:sz w:val="24"/>
          <w:szCs w:val="24"/>
        </w:rPr>
        <w:t>兴县县委巡察工作办公室（简称兴县县委巡察办</w:t>
      </w:r>
      <w:r>
        <w:rPr>
          <w:rFonts w:ascii="FangSong" w:hAnsi="FangSong" w:eastAsia="FangSong" w:cs="FangSong"/>
          <w:sz w:val="24"/>
          <w:szCs w:val="24"/>
          <w:spacing w:val="10"/>
        </w:rPr>
        <w:t>），</w:t>
      </w:r>
      <w:r>
        <w:rPr>
          <w:rFonts w:ascii="FangSong" w:hAnsi="FangSong" w:eastAsia="FangSong" w:cs="FangSong"/>
          <w:sz w:val="24"/>
          <w:szCs w:val="24"/>
        </w:rPr>
        <w:t>本单位隶属于兴县纪</w:t>
      </w:r>
      <w:r>
        <w:rPr>
          <w:rFonts w:ascii="FangSong" w:hAnsi="FangSong" w:eastAsia="FangSong" w:cs="FangSong"/>
          <w:sz w:val="24"/>
          <w:szCs w:val="24"/>
          <w:spacing w:val="-1"/>
        </w:rPr>
        <w:t>律检查</w:t>
      </w:r>
      <w:r>
        <w:rPr>
          <w:rFonts w:ascii="FangSong" w:hAnsi="FangSong" w:eastAsia="FangSong" w:cs="FangSong"/>
          <w:sz w:val="24"/>
          <w:szCs w:val="24"/>
        </w:rPr>
        <w:t xml:space="preserve"> </w:t>
      </w:r>
      <w:r>
        <w:rPr>
          <w:rFonts w:ascii="FangSong" w:hAnsi="FangSong" w:eastAsia="FangSong" w:cs="FangSong"/>
          <w:sz w:val="24"/>
          <w:szCs w:val="24"/>
          <w:spacing w:val="-2"/>
        </w:rPr>
        <w:t>委员会，为兴县纪委内设部门，所以本单位无独立内设</w:t>
      </w:r>
      <w:r>
        <w:rPr>
          <w:rFonts w:ascii="FangSong" w:hAnsi="FangSong" w:eastAsia="FangSong" w:cs="FangSong"/>
          <w:sz w:val="24"/>
          <w:szCs w:val="24"/>
          <w:spacing w:val="-3"/>
        </w:rPr>
        <w:t>机构。</w:t>
      </w:r>
    </w:p>
    <w:p>
      <w:pPr>
        <w:spacing w:line="312"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部门名称：中共兴县县委巡察工作办公室</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3"/>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1"/>
              </w:rPr>
              <w:t>416.19</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358.55</w:t>
            </w:r>
          </w:p>
        </w:tc>
        <w:tc>
          <w:tcPr>
            <w:tcW w:w="1153" w:type="dxa"/>
            <w:vAlign w:val="top"/>
          </w:tcPr>
          <w:p>
            <w:pPr>
              <w:ind w:right="2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358.55</w:t>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12.51</w:t>
            </w:r>
          </w:p>
        </w:tc>
        <w:tc>
          <w:tcPr>
            <w:tcW w:w="1153"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12.51</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5"/>
              <w:spacing w:before="186" w:line="212" w:lineRule="auto"/>
              <w:rPr>
                <w:sz w:val="13"/>
                <w:szCs w:val="13"/>
              </w:rPr>
            </w:pPr>
            <w:r>
              <w:rPr>
                <w:sz w:val="13"/>
                <w:szCs w:val="13"/>
                <w:color w:val="212529"/>
                <w:spacing w:val="10"/>
              </w:rPr>
              <w:t>416.</w:t>
            </w:r>
            <w:r>
              <w:rPr>
                <w:sz w:val="13"/>
                <w:szCs w:val="13"/>
                <w:color w:val="212529"/>
                <w:spacing w:val="36"/>
                <w:w w:val="101"/>
              </w:rPr>
              <w:t xml:space="preserve"> </w:t>
            </w:r>
            <w:r>
              <w:rPr>
                <w:sz w:val="13"/>
                <w:szCs w:val="13"/>
                <w:color w:val="212529"/>
                <w:spacing w:val="10"/>
              </w:rPr>
              <w:t>19</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0"/>
              <w:spacing w:before="186" w:line="184" w:lineRule="auto"/>
              <w:rPr>
                <w:sz w:val="15"/>
                <w:szCs w:val="15"/>
              </w:rPr>
            </w:pPr>
            <w:r>
              <w:rPr>
                <w:sz w:val="15"/>
                <w:szCs w:val="15"/>
                <w:color w:val="212529"/>
                <w:spacing w:val="3"/>
              </w:rPr>
              <w:t>416.</w:t>
            </w:r>
            <w:r>
              <w:rPr>
                <w:sz w:val="15"/>
                <w:szCs w:val="15"/>
                <w:color w:val="212529"/>
                <w:spacing w:val="11"/>
                <w:w w:val="102"/>
              </w:rPr>
              <w:t xml:space="preserve"> </w:t>
            </w:r>
            <w:r>
              <w:rPr>
                <w:sz w:val="15"/>
                <w:szCs w:val="15"/>
                <w:color w:val="212529"/>
                <w:spacing w:val="3"/>
              </w:rPr>
              <w:t>19</w:t>
            </w:r>
          </w:p>
        </w:tc>
        <w:tc>
          <w:tcPr>
            <w:tcW w:w="1153" w:type="dxa"/>
            <w:vAlign w:val="top"/>
          </w:tcPr>
          <w:p>
            <w:pPr>
              <w:pStyle w:val="TableText"/>
              <w:ind w:left="574"/>
              <w:spacing w:before="186" w:line="184" w:lineRule="auto"/>
              <w:rPr>
                <w:sz w:val="15"/>
                <w:szCs w:val="15"/>
              </w:rPr>
            </w:pPr>
            <w:r>
              <w:rPr>
                <w:sz w:val="15"/>
                <w:szCs w:val="15"/>
                <w:color w:val="212529"/>
                <w:spacing w:val="3"/>
              </w:rPr>
              <w:t>416.</w:t>
            </w:r>
            <w:r>
              <w:rPr>
                <w:sz w:val="15"/>
                <w:szCs w:val="15"/>
                <w:color w:val="212529"/>
                <w:spacing w:val="11"/>
                <w:w w:val="102"/>
              </w:rPr>
              <w:t xml:space="preserve"> </w:t>
            </w:r>
            <w:r>
              <w:rPr>
                <w:sz w:val="15"/>
                <w:szCs w:val="15"/>
                <w:color w:val="212529"/>
                <w:spacing w:val="3"/>
              </w:rPr>
              <w:t>19</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5"/>
              <w:spacing w:before="188" w:line="212" w:lineRule="auto"/>
              <w:rPr>
                <w:sz w:val="13"/>
                <w:szCs w:val="13"/>
              </w:rPr>
            </w:pPr>
            <w:r>
              <w:rPr>
                <w:sz w:val="13"/>
                <w:szCs w:val="13"/>
                <w:color w:val="212529"/>
                <w:spacing w:val="10"/>
              </w:rPr>
              <w:t>416.</w:t>
            </w:r>
            <w:r>
              <w:rPr>
                <w:sz w:val="13"/>
                <w:szCs w:val="13"/>
                <w:color w:val="212529"/>
                <w:spacing w:val="36"/>
                <w:w w:val="101"/>
              </w:rPr>
              <w:t xml:space="preserve"> </w:t>
            </w:r>
            <w:r>
              <w:rPr>
                <w:sz w:val="13"/>
                <w:szCs w:val="13"/>
                <w:color w:val="212529"/>
                <w:spacing w:val="10"/>
              </w:rPr>
              <w:t>19</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0"/>
              <w:spacing w:before="188" w:line="184" w:lineRule="auto"/>
              <w:rPr>
                <w:sz w:val="15"/>
                <w:szCs w:val="15"/>
              </w:rPr>
            </w:pPr>
            <w:r>
              <w:rPr>
                <w:sz w:val="15"/>
                <w:szCs w:val="15"/>
                <w:color w:val="212529"/>
                <w:spacing w:val="3"/>
              </w:rPr>
              <w:t>416.</w:t>
            </w:r>
            <w:r>
              <w:rPr>
                <w:sz w:val="15"/>
                <w:szCs w:val="15"/>
                <w:color w:val="212529"/>
                <w:spacing w:val="11"/>
                <w:w w:val="102"/>
              </w:rPr>
              <w:t xml:space="preserve"> </w:t>
            </w:r>
            <w:r>
              <w:rPr>
                <w:sz w:val="15"/>
                <w:szCs w:val="15"/>
                <w:color w:val="212529"/>
                <w:spacing w:val="3"/>
              </w:rPr>
              <w:t>19</w:t>
            </w:r>
          </w:p>
        </w:tc>
        <w:tc>
          <w:tcPr>
            <w:tcW w:w="1153" w:type="dxa"/>
            <w:vAlign w:val="top"/>
          </w:tcPr>
          <w:p>
            <w:pPr>
              <w:pStyle w:val="TableText"/>
              <w:ind w:left="574"/>
              <w:spacing w:before="188" w:line="184" w:lineRule="auto"/>
              <w:rPr>
                <w:sz w:val="15"/>
                <w:szCs w:val="15"/>
              </w:rPr>
            </w:pPr>
            <w:r>
              <w:rPr>
                <w:sz w:val="15"/>
                <w:szCs w:val="15"/>
                <w:color w:val="212529"/>
                <w:spacing w:val="3"/>
              </w:rPr>
              <w:t>416.</w:t>
            </w:r>
            <w:r>
              <w:rPr>
                <w:sz w:val="15"/>
                <w:szCs w:val="15"/>
                <w:color w:val="212529"/>
                <w:spacing w:val="11"/>
                <w:w w:val="102"/>
              </w:rPr>
              <w:t xml:space="preserve"> </w:t>
            </w:r>
            <w:r>
              <w:rPr>
                <w:sz w:val="15"/>
                <w:szCs w:val="15"/>
                <w:color w:val="212529"/>
                <w:spacing w:val="3"/>
              </w:rPr>
              <w:t>19</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部门名称：中共兴县县委巡察工作办公室</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3"/>
              <w:spacing w:before="149" w:line="212" w:lineRule="auto"/>
              <w:rPr>
                <w:sz w:val="13"/>
                <w:szCs w:val="13"/>
              </w:rPr>
            </w:pPr>
            <w:r>
              <w:rPr>
                <w:sz w:val="13"/>
                <w:szCs w:val="13"/>
                <w:color w:val="212529"/>
                <w:spacing w:val="10"/>
              </w:rPr>
              <w:t>416.</w:t>
            </w:r>
            <w:r>
              <w:rPr>
                <w:sz w:val="13"/>
                <w:szCs w:val="13"/>
                <w:color w:val="212529"/>
                <w:spacing w:val="36"/>
                <w:w w:val="101"/>
              </w:rPr>
              <w:t xml:space="preserve"> </w:t>
            </w:r>
            <w:r>
              <w:rPr>
                <w:sz w:val="13"/>
                <w:szCs w:val="13"/>
                <w:color w:val="212529"/>
                <w:spacing w:val="10"/>
              </w:rPr>
              <w:t>19</w:t>
            </w:r>
          </w:p>
        </w:tc>
        <w:tc>
          <w:tcPr>
            <w:tcW w:w="1274" w:type="dxa"/>
            <w:vAlign w:val="top"/>
          </w:tcPr>
          <w:p>
            <w:pPr>
              <w:pStyle w:val="TableText"/>
              <w:ind w:left="700"/>
              <w:spacing w:before="149" w:line="184" w:lineRule="auto"/>
              <w:rPr>
                <w:sz w:val="15"/>
                <w:szCs w:val="15"/>
              </w:rPr>
            </w:pPr>
            <w:r>
              <w:rPr>
                <w:sz w:val="15"/>
                <w:szCs w:val="15"/>
                <w:color w:val="212529"/>
                <w:spacing w:val="3"/>
              </w:rPr>
              <w:t>416.</w:t>
            </w:r>
            <w:r>
              <w:rPr>
                <w:sz w:val="15"/>
                <w:szCs w:val="15"/>
                <w:color w:val="212529"/>
                <w:spacing w:val="11"/>
                <w:w w:val="102"/>
              </w:rPr>
              <w:t xml:space="preserve"> </w:t>
            </w:r>
            <w:r>
              <w:rPr>
                <w:sz w:val="15"/>
                <w:szCs w:val="15"/>
                <w:color w:val="212529"/>
                <w:spacing w:val="3"/>
              </w:rPr>
              <w:t>19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358.55</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358.55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20111</w:t>
            </w:r>
          </w:p>
        </w:tc>
        <w:tc>
          <w:tcPr>
            <w:tcW w:w="2997" w:type="dxa"/>
            <w:vAlign w:val="top"/>
          </w:tcPr>
          <w:p>
            <w:pPr>
              <w:ind w:left="8"/>
              <w:spacing w:before="129" w:line="219" w:lineRule="auto"/>
              <w:rPr>
                <w:rFonts w:ascii="SimSun" w:hAnsi="SimSun" w:eastAsia="SimSun" w:cs="SimSun"/>
                <w:sz w:val="18"/>
                <w:szCs w:val="18"/>
              </w:rPr>
            </w:pPr>
            <w:r>
              <w:rPr>
                <w:rFonts w:ascii="SimSun" w:hAnsi="SimSun" w:eastAsia="SimSun" w:cs="SimSun"/>
                <w:sz w:val="18"/>
                <w:szCs w:val="18"/>
                <w:color w:val="212529"/>
                <w:spacing w:val="-2"/>
              </w:rPr>
              <w:t>纪检监察事务</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358.55</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358.55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2011101</w:t>
            </w:r>
          </w:p>
        </w:tc>
        <w:tc>
          <w:tcPr>
            <w:tcW w:w="2997"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166.54</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166.54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2011150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77.24</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77.24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2011199</w:t>
            </w:r>
          </w:p>
        </w:tc>
        <w:tc>
          <w:tcPr>
            <w:tcW w:w="2997" w:type="dxa"/>
            <w:vAlign w:val="top"/>
          </w:tcPr>
          <w:p>
            <w:pPr>
              <w:ind w:left="3"/>
              <w:spacing w:before="132" w:line="219" w:lineRule="auto"/>
              <w:rPr>
                <w:rFonts w:ascii="SimSun" w:hAnsi="SimSun" w:eastAsia="SimSun" w:cs="SimSun"/>
                <w:sz w:val="18"/>
                <w:szCs w:val="18"/>
              </w:rPr>
            </w:pPr>
            <w:r>
              <w:rPr>
                <w:rFonts w:ascii="SimSun" w:hAnsi="SimSun" w:eastAsia="SimSun" w:cs="SimSun"/>
                <w:sz w:val="18"/>
                <w:szCs w:val="18"/>
                <w:color w:val="212529"/>
                <w:spacing w:val="-1"/>
              </w:rPr>
              <w:t>其他纪检监察事务支出</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114.76</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114.76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3"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12.51</w:t>
            </w:r>
          </w:p>
        </w:tc>
        <w:tc>
          <w:tcPr>
            <w:tcW w:w="1274"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12.51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12.51</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5.52</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5.52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4.44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4.44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294"/>
        <w:gridCol w:w="1404"/>
        <w:gridCol w:w="1339"/>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64"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60" w:type="dxa"/>
            <w:vAlign w:val="top"/>
            <w:gridSpan w:val="2"/>
          </w:tcPr>
          <w:p>
            <w:pPr>
              <w:ind w:left="2357"/>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3"/>
          </w:tcPr>
          <w:p>
            <w:pPr>
              <w:ind w:left="1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66" w:type="dxa"/>
            <w:vAlign w:val="top"/>
          </w:tcPr>
          <w:p>
            <w:pPr>
              <w:ind w:left="54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60" w:type="dxa"/>
            <w:vAlign w:val="top"/>
            <w:gridSpan w:val="2"/>
          </w:tcPr>
          <w:p>
            <w:pPr>
              <w:ind w:left="236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89"/>
              <w:spacing w:before="99" w:line="186" w:lineRule="auto"/>
              <w:rPr>
                <w:sz w:val="13"/>
                <w:szCs w:val="13"/>
              </w:rPr>
            </w:pPr>
            <w:r>
              <w:rPr>
                <w:sz w:val="13"/>
                <w:szCs w:val="13"/>
                <w:color w:val="212529"/>
                <w:spacing w:val="3"/>
              </w:rPr>
              <w:t>416.</w:t>
            </w:r>
            <w:r>
              <w:rPr>
                <w:sz w:val="13"/>
                <w:szCs w:val="13"/>
                <w:color w:val="212529"/>
                <w:spacing w:val="24"/>
                <w:w w:val="101"/>
              </w:rPr>
              <w:t xml:space="preserve"> </w:t>
            </w:r>
            <w:r>
              <w:rPr>
                <w:sz w:val="13"/>
                <w:szCs w:val="13"/>
                <w:color w:val="212529"/>
                <w:spacing w:val="3"/>
              </w:rPr>
              <w:t>19</w:t>
            </w:r>
          </w:p>
        </w:tc>
        <w:tc>
          <w:tcPr>
            <w:tcW w:w="1339" w:type="dxa"/>
            <w:vAlign w:val="top"/>
          </w:tcPr>
          <w:p>
            <w:pPr>
              <w:pStyle w:val="TableText"/>
              <w:ind w:left="836"/>
              <w:spacing w:before="99" w:line="186" w:lineRule="auto"/>
              <w:rPr>
                <w:sz w:val="13"/>
                <w:szCs w:val="13"/>
              </w:rPr>
            </w:pPr>
            <w:r>
              <w:rPr>
                <w:sz w:val="13"/>
                <w:szCs w:val="13"/>
                <w:color w:val="212529"/>
                <w:spacing w:val="4"/>
              </w:rPr>
              <w:t>301.</w:t>
            </w:r>
            <w:r>
              <w:rPr>
                <w:sz w:val="13"/>
                <w:szCs w:val="13"/>
                <w:color w:val="212529"/>
                <w:spacing w:val="13"/>
              </w:rPr>
              <w:t xml:space="preserve"> </w:t>
            </w:r>
            <w:r>
              <w:rPr>
                <w:sz w:val="13"/>
                <w:szCs w:val="13"/>
                <w:color w:val="212529"/>
                <w:spacing w:val="4"/>
              </w:rPr>
              <w:t>43</w:t>
            </w:r>
          </w:p>
        </w:tc>
        <w:tc>
          <w:tcPr>
            <w:tcW w:w="1355" w:type="dxa"/>
            <w:vAlign w:val="top"/>
          </w:tcPr>
          <w:p>
            <w:pPr>
              <w:pStyle w:val="TableText"/>
              <w:ind w:left="854"/>
              <w:spacing w:before="99" w:line="186" w:lineRule="auto"/>
              <w:rPr>
                <w:sz w:val="13"/>
                <w:szCs w:val="13"/>
              </w:rPr>
            </w:pPr>
            <w:r>
              <w:rPr>
                <w:sz w:val="13"/>
                <w:szCs w:val="13"/>
                <w:color w:val="212529"/>
                <w:spacing w:val="2"/>
              </w:rPr>
              <w:t>114.</w:t>
            </w:r>
            <w:r>
              <w:rPr>
                <w:sz w:val="13"/>
                <w:szCs w:val="13"/>
                <w:color w:val="212529"/>
                <w:spacing w:val="18"/>
                <w:w w:val="101"/>
              </w:rPr>
              <w:t xml:space="preserve"> </w:t>
            </w:r>
            <w:r>
              <w:rPr>
                <w:sz w:val="13"/>
                <w:szCs w:val="13"/>
                <w:color w:val="212529"/>
                <w:spacing w:val="2"/>
              </w:rPr>
              <w:t>76</w:t>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358.55</w:t>
            </w:r>
          </w:p>
        </w:tc>
        <w:tc>
          <w:tcPr>
            <w:tcW w:w="1339" w:type="dxa"/>
            <w:vAlign w:val="top"/>
          </w:tcPr>
          <w:p>
            <w:pPr>
              <w:pStyle w:val="TableText"/>
              <w:ind w:left="835"/>
              <w:spacing w:before="100" w:line="172" w:lineRule="auto"/>
              <w:rPr>
                <w:sz w:val="14"/>
                <w:szCs w:val="14"/>
              </w:rPr>
            </w:pPr>
            <w:r>
              <w:rPr>
                <w:sz w:val="14"/>
                <w:szCs w:val="14"/>
                <w:color w:val="212529"/>
              </w:rPr>
              <w:t>243.</w:t>
            </w:r>
            <w:r>
              <w:rPr>
                <w:sz w:val="14"/>
                <w:szCs w:val="14"/>
                <w:color w:val="212529"/>
                <w:spacing w:val="6"/>
              </w:rPr>
              <w:t xml:space="preserve"> </w:t>
            </w:r>
            <w:r>
              <w:rPr>
                <w:sz w:val="14"/>
                <w:szCs w:val="14"/>
                <w:color w:val="212529"/>
              </w:rPr>
              <w:t>79</w:t>
            </w:r>
          </w:p>
        </w:tc>
        <w:tc>
          <w:tcPr>
            <w:tcW w:w="1355" w:type="dxa"/>
            <w:vAlign w:val="top"/>
          </w:tcPr>
          <w:p>
            <w:pPr>
              <w:pStyle w:val="TableText"/>
              <w:ind w:left="854"/>
              <w:spacing w:before="99" w:line="187" w:lineRule="auto"/>
              <w:rPr>
                <w:sz w:val="13"/>
                <w:szCs w:val="13"/>
              </w:rPr>
            </w:pPr>
            <w:r>
              <w:rPr>
                <w:sz w:val="13"/>
                <w:szCs w:val="13"/>
                <w:color w:val="212529"/>
                <w:spacing w:val="2"/>
              </w:rPr>
              <w:t>114.</w:t>
            </w:r>
            <w:r>
              <w:rPr>
                <w:sz w:val="13"/>
                <w:szCs w:val="13"/>
                <w:color w:val="212529"/>
                <w:spacing w:val="18"/>
                <w:w w:val="101"/>
              </w:rPr>
              <w:t xml:space="preserve"> </w:t>
            </w:r>
            <w:r>
              <w:rPr>
                <w:sz w:val="13"/>
                <w:szCs w:val="13"/>
                <w:color w:val="212529"/>
                <w:spacing w:val="2"/>
              </w:rPr>
              <w:t>76</w:t>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20111</w:t>
            </w:r>
          </w:p>
        </w:tc>
        <w:tc>
          <w:tcPr>
            <w:tcW w:w="3294"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0"/>
              </w:rPr>
              <w:t>纪检监察事务</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358.55</w:t>
            </w:r>
          </w:p>
        </w:tc>
        <w:tc>
          <w:tcPr>
            <w:tcW w:w="1339" w:type="dxa"/>
            <w:vAlign w:val="top"/>
          </w:tcPr>
          <w:p>
            <w:pPr>
              <w:pStyle w:val="TableText"/>
              <w:ind w:left="835"/>
              <w:spacing w:before="100" w:line="172" w:lineRule="auto"/>
              <w:rPr>
                <w:sz w:val="14"/>
                <w:szCs w:val="14"/>
              </w:rPr>
            </w:pPr>
            <w:r>
              <w:rPr>
                <w:sz w:val="14"/>
                <w:szCs w:val="14"/>
                <w:color w:val="212529"/>
              </w:rPr>
              <w:t>243.</w:t>
            </w:r>
            <w:r>
              <w:rPr>
                <w:sz w:val="14"/>
                <w:szCs w:val="14"/>
                <w:color w:val="212529"/>
                <w:spacing w:val="6"/>
              </w:rPr>
              <w:t xml:space="preserve"> </w:t>
            </w:r>
            <w:r>
              <w:rPr>
                <w:sz w:val="14"/>
                <w:szCs w:val="14"/>
                <w:color w:val="212529"/>
              </w:rPr>
              <w:t>79</w:t>
            </w:r>
          </w:p>
        </w:tc>
        <w:tc>
          <w:tcPr>
            <w:tcW w:w="1355" w:type="dxa"/>
            <w:vAlign w:val="top"/>
          </w:tcPr>
          <w:p>
            <w:pPr>
              <w:pStyle w:val="TableText"/>
              <w:ind w:left="854"/>
              <w:spacing w:before="99" w:line="186" w:lineRule="auto"/>
              <w:rPr>
                <w:sz w:val="13"/>
                <w:szCs w:val="13"/>
              </w:rPr>
            </w:pPr>
            <w:r>
              <w:rPr>
                <w:sz w:val="13"/>
                <w:szCs w:val="13"/>
                <w:color w:val="212529"/>
                <w:spacing w:val="2"/>
              </w:rPr>
              <w:t>114.</w:t>
            </w:r>
            <w:r>
              <w:rPr>
                <w:sz w:val="13"/>
                <w:szCs w:val="13"/>
                <w:color w:val="212529"/>
                <w:spacing w:val="18"/>
                <w:w w:val="101"/>
              </w:rPr>
              <w:t xml:space="preserve"> </w:t>
            </w:r>
            <w:r>
              <w:rPr>
                <w:sz w:val="13"/>
                <w:szCs w:val="13"/>
                <w:color w:val="212529"/>
                <w:spacing w:val="2"/>
              </w:rPr>
              <w:t>76</w:t>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2011101</w:t>
            </w:r>
          </w:p>
        </w:tc>
        <w:tc>
          <w:tcPr>
            <w:tcW w:w="3294"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166.54</w:t>
            </w:r>
          </w:p>
        </w:tc>
        <w:tc>
          <w:tcPr>
            <w:tcW w:w="1339"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166.54</w:t>
            </w:r>
          </w:p>
        </w:tc>
        <w:tc>
          <w:tcPr>
            <w:tcW w:w="1355"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2011150</w:t>
            </w:r>
          </w:p>
        </w:tc>
        <w:tc>
          <w:tcPr>
            <w:tcW w:w="3294"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77.24</w:t>
            </w:r>
          </w:p>
        </w:tc>
        <w:tc>
          <w:tcPr>
            <w:tcW w:w="1339"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77.24</w:t>
            </w:r>
          </w:p>
        </w:tc>
        <w:tc>
          <w:tcPr>
            <w:tcW w:w="1355"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2011199</w:t>
            </w:r>
          </w:p>
        </w:tc>
        <w:tc>
          <w:tcPr>
            <w:tcW w:w="3294"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其他纪检监察事务支出</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c>
          <w:tcPr>
            <w:tcW w:w="1339" w:type="dxa"/>
            <w:vAlign w:val="top"/>
          </w:tcPr>
          <w:p>
            <w:pPr>
              <w:pStyle w:val="TableText"/>
              <w:rPr/>
            </w:pPr>
            <w:r/>
          </w:p>
        </w:tc>
        <w:tc>
          <w:tcPr>
            <w:tcW w:w="135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39" w:type="dxa"/>
            <w:vAlign w:val="top"/>
          </w:tcPr>
          <w:p>
            <w:pPr>
              <w:pStyle w:val="TableText"/>
              <w:ind w:left="916"/>
              <w:spacing w:before="101" w:line="186" w:lineRule="auto"/>
              <w:rPr>
                <w:sz w:val="13"/>
                <w:szCs w:val="13"/>
              </w:rPr>
            </w:pPr>
            <w:r>
              <w:rPr>
                <w:sz w:val="13"/>
                <w:szCs w:val="13"/>
                <w:color w:val="212529"/>
                <w:spacing w:val="4"/>
              </w:rPr>
              <w:t>24.</w:t>
            </w:r>
            <w:r>
              <w:rPr>
                <w:sz w:val="13"/>
                <w:szCs w:val="13"/>
                <w:color w:val="212529"/>
                <w:spacing w:val="10"/>
                <w:w w:val="101"/>
              </w:rPr>
              <w:t xml:space="preserve"> </w:t>
            </w:r>
            <w:r>
              <w:rPr>
                <w:sz w:val="13"/>
                <w:szCs w:val="13"/>
                <w:color w:val="212529"/>
                <w:spacing w:val="4"/>
              </w:rPr>
              <w:t>37</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39" w:type="dxa"/>
            <w:vAlign w:val="top"/>
          </w:tcPr>
          <w:p>
            <w:pPr>
              <w:pStyle w:val="TableText"/>
              <w:ind w:left="916"/>
              <w:spacing w:before="101" w:line="186" w:lineRule="auto"/>
              <w:rPr>
                <w:sz w:val="13"/>
                <w:szCs w:val="13"/>
              </w:rPr>
            </w:pPr>
            <w:r>
              <w:rPr>
                <w:sz w:val="13"/>
                <w:szCs w:val="13"/>
                <w:color w:val="212529"/>
                <w:spacing w:val="4"/>
              </w:rPr>
              <w:t>24.</w:t>
            </w:r>
            <w:r>
              <w:rPr>
                <w:sz w:val="13"/>
                <w:szCs w:val="13"/>
                <w:color w:val="212529"/>
                <w:spacing w:val="10"/>
                <w:w w:val="101"/>
              </w:rPr>
              <w:t xml:space="preserve"> </w:t>
            </w:r>
            <w:r>
              <w:rPr>
                <w:sz w:val="13"/>
                <w:szCs w:val="13"/>
                <w:color w:val="212529"/>
                <w:spacing w:val="4"/>
              </w:rPr>
              <w:t>37</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25"/>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39" w:type="dxa"/>
            <w:vAlign w:val="top"/>
          </w:tcPr>
          <w:p>
            <w:pPr>
              <w:ind w:right="17"/>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1339" w:type="dxa"/>
            <w:vAlign w:val="top"/>
          </w:tcPr>
          <w:p>
            <w:pPr>
              <w:pStyle w:val="TableText"/>
              <w:rPr/>
            </w:pPr>
            <w:r/>
          </w:p>
        </w:tc>
        <w:tc>
          <w:tcPr>
            <w:tcW w:w="1355" w:type="dxa"/>
            <w:vAlign w:val="top"/>
          </w:tcPr>
          <w:p>
            <w:pPr>
              <w:pStyle w:val="TableText"/>
              <w:rPr/>
            </w:pPr>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1339" w:type="dxa"/>
            <w:vAlign w:val="top"/>
          </w:tcPr>
          <w:p>
            <w:pPr>
              <w:pStyle w:val="TableText"/>
              <w:ind w:left="926"/>
              <w:spacing w:before="102" w:line="186" w:lineRule="auto"/>
              <w:rPr>
                <w:sz w:val="13"/>
                <w:szCs w:val="13"/>
              </w:rPr>
            </w:pPr>
            <w:r>
              <w:rPr>
                <w:sz w:val="13"/>
                <w:szCs w:val="13"/>
                <w:color w:val="212529"/>
              </w:rPr>
              <w:t>12.</w:t>
            </w:r>
            <w:r>
              <w:rPr>
                <w:sz w:val="13"/>
                <w:szCs w:val="13"/>
                <w:color w:val="212529"/>
                <w:spacing w:val="14"/>
                <w:w w:val="101"/>
              </w:rPr>
              <w:t xml:space="preserve"> </w:t>
            </w:r>
            <w:r>
              <w:rPr>
                <w:sz w:val="13"/>
                <w:szCs w:val="13"/>
                <w:color w:val="212529"/>
              </w:rPr>
              <w:t>51</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94"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04"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w:t>
            </w:r>
          </w:p>
        </w:tc>
        <w:tc>
          <w:tcPr>
            <w:tcW w:w="1339" w:type="dxa"/>
            <w:vAlign w:val="top"/>
          </w:tcPr>
          <w:p>
            <w:pPr>
              <w:ind w:right="17"/>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w:t>
            </w:r>
          </w:p>
        </w:tc>
        <w:tc>
          <w:tcPr>
            <w:tcW w:w="1339"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w:t>
            </w:r>
          </w:p>
        </w:tc>
        <w:tc>
          <w:tcPr>
            <w:tcW w:w="1355" w:type="dxa"/>
            <w:vAlign w:val="top"/>
          </w:tcPr>
          <w:p>
            <w:pPr>
              <w:pStyle w:val="TableText"/>
              <w:rPr/>
            </w:pPr>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2.54</w:t>
            </w:r>
          </w:p>
        </w:tc>
        <w:tc>
          <w:tcPr>
            <w:tcW w:w="1339"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2.54</w:t>
            </w:r>
          </w:p>
        </w:tc>
        <w:tc>
          <w:tcPr>
            <w:tcW w:w="1355" w:type="dxa"/>
            <w:vAlign w:val="top"/>
          </w:tcPr>
          <w:p>
            <w:pPr>
              <w:pStyle w:val="TableText"/>
              <w:rPr/>
            </w:pPr>
            <w:r/>
          </w:p>
        </w:tc>
      </w:tr>
      <w:tr>
        <w:trPr>
          <w:trHeight w:val="314"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39" w:type="dxa"/>
            <w:vAlign w:val="top"/>
          </w:tcPr>
          <w:p>
            <w:pPr>
              <w:pStyle w:val="TableText"/>
              <w:ind w:left="916"/>
              <w:spacing w:before="104" w:line="186" w:lineRule="auto"/>
              <w:rPr>
                <w:sz w:val="13"/>
                <w:szCs w:val="13"/>
              </w:rPr>
            </w:pPr>
            <w:r>
              <w:rPr>
                <w:sz w:val="13"/>
                <w:szCs w:val="13"/>
                <w:color w:val="212529"/>
                <w:spacing w:val="4"/>
              </w:rPr>
              <w:t>20.</w:t>
            </w:r>
            <w:r>
              <w:rPr>
                <w:sz w:val="13"/>
                <w:szCs w:val="13"/>
                <w:color w:val="212529"/>
                <w:spacing w:val="10"/>
                <w:w w:val="101"/>
              </w:rPr>
              <w:t xml:space="preserve"> </w:t>
            </w:r>
            <w:r>
              <w:rPr>
                <w:sz w:val="13"/>
                <w:szCs w:val="13"/>
                <w:color w:val="212529"/>
                <w:spacing w:val="4"/>
              </w:rPr>
              <w:t>77</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39" w:type="dxa"/>
            <w:vAlign w:val="top"/>
          </w:tcPr>
          <w:p>
            <w:pPr>
              <w:pStyle w:val="TableText"/>
              <w:ind w:left="916"/>
              <w:spacing w:before="104" w:line="186" w:lineRule="auto"/>
              <w:rPr>
                <w:sz w:val="13"/>
                <w:szCs w:val="13"/>
              </w:rPr>
            </w:pPr>
            <w:r>
              <w:rPr>
                <w:sz w:val="13"/>
                <w:szCs w:val="13"/>
                <w:color w:val="212529"/>
                <w:spacing w:val="4"/>
              </w:rPr>
              <w:t>20.</w:t>
            </w:r>
            <w:r>
              <w:rPr>
                <w:sz w:val="13"/>
                <w:szCs w:val="13"/>
                <w:color w:val="212529"/>
                <w:spacing w:val="10"/>
                <w:w w:val="101"/>
              </w:rPr>
              <w:t xml:space="preserve"> </w:t>
            </w:r>
            <w:r>
              <w:rPr>
                <w:sz w:val="13"/>
                <w:szCs w:val="13"/>
                <w:color w:val="212529"/>
                <w:spacing w:val="4"/>
              </w:rPr>
              <w:t>77</w:t>
            </w:r>
          </w:p>
        </w:tc>
        <w:tc>
          <w:tcPr>
            <w:tcW w:w="1355" w:type="dxa"/>
            <w:vAlign w:val="top"/>
          </w:tcPr>
          <w:p>
            <w:pPr>
              <w:pStyle w:val="TableText"/>
              <w:rPr/>
            </w:pPr>
            <w:r/>
          </w:p>
        </w:tc>
      </w:tr>
      <w:tr>
        <w:trPr>
          <w:trHeight w:val="319"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39"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55"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416.19</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358.55</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358.55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.37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1"/>
              <w:spacing w:before="137" w:line="187" w:lineRule="auto"/>
              <w:rPr>
                <w:sz w:val="13"/>
                <w:szCs w:val="13"/>
              </w:rPr>
            </w:pPr>
            <w:r>
              <w:rPr>
                <w:sz w:val="13"/>
                <w:szCs w:val="13"/>
                <w:color w:val="212529"/>
                <w:spacing w:val="3"/>
              </w:rPr>
              <w:t>416.</w:t>
            </w:r>
            <w:r>
              <w:rPr>
                <w:sz w:val="13"/>
                <w:szCs w:val="13"/>
                <w:color w:val="212529"/>
                <w:spacing w:val="24"/>
                <w:w w:val="101"/>
              </w:rPr>
              <w:t xml:space="preserve"> </w:t>
            </w:r>
            <w:r>
              <w:rPr>
                <w:sz w:val="13"/>
                <w:szCs w:val="13"/>
                <w:color w:val="212529"/>
                <w:spacing w:val="3"/>
              </w:rPr>
              <w:t>19</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69"/>
              <w:spacing w:before="137" w:line="187" w:lineRule="auto"/>
              <w:rPr>
                <w:sz w:val="13"/>
                <w:szCs w:val="13"/>
              </w:rPr>
            </w:pPr>
            <w:r>
              <w:rPr>
                <w:sz w:val="13"/>
                <w:szCs w:val="13"/>
                <w:color w:val="212529"/>
                <w:spacing w:val="3"/>
              </w:rPr>
              <w:t>416.</w:t>
            </w:r>
            <w:r>
              <w:rPr>
                <w:sz w:val="13"/>
                <w:szCs w:val="13"/>
                <w:color w:val="212529"/>
                <w:spacing w:val="24"/>
                <w:w w:val="101"/>
              </w:rPr>
              <w:t xml:space="preserve"> </w:t>
            </w:r>
            <w:r>
              <w:rPr>
                <w:sz w:val="13"/>
                <w:szCs w:val="13"/>
                <w:color w:val="212529"/>
                <w:spacing w:val="3"/>
              </w:rPr>
              <w:t>19</w:t>
            </w:r>
          </w:p>
        </w:tc>
        <w:tc>
          <w:tcPr>
            <w:tcW w:w="1069" w:type="dxa"/>
            <w:vAlign w:val="top"/>
          </w:tcPr>
          <w:p>
            <w:pPr>
              <w:pStyle w:val="TableText"/>
              <w:ind w:left="283"/>
              <w:spacing w:before="137" w:line="187" w:lineRule="auto"/>
              <w:rPr>
                <w:sz w:val="13"/>
                <w:szCs w:val="13"/>
              </w:rPr>
            </w:pPr>
            <w:r>
              <w:rPr>
                <w:sz w:val="13"/>
                <w:szCs w:val="13"/>
                <w:color w:val="212529"/>
                <w:spacing w:val="3"/>
              </w:rPr>
              <w:t>416.</w:t>
            </w:r>
            <w:r>
              <w:rPr>
                <w:sz w:val="13"/>
                <w:szCs w:val="13"/>
                <w:color w:val="212529"/>
                <w:spacing w:val="24"/>
              </w:rPr>
              <w:t xml:space="preserve"> </w:t>
            </w:r>
            <w:r>
              <w:rPr>
                <w:sz w:val="13"/>
                <w:szCs w:val="13"/>
                <w:color w:val="212529"/>
                <w:spacing w:val="3"/>
              </w:rPr>
              <w:t>19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1"/>
              <w:spacing w:before="135" w:line="187" w:lineRule="auto"/>
              <w:rPr>
                <w:sz w:val="13"/>
                <w:szCs w:val="13"/>
              </w:rPr>
            </w:pPr>
            <w:r>
              <w:rPr>
                <w:sz w:val="13"/>
                <w:szCs w:val="13"/>
                <w:color w:val="212529"/>
                <w:spacing w:val="3"/>
              </w:rPr>
              <w:t>416.</w:t>
            </w:r>
            <w:r>
              <w:rPr>
                <w:sz w:val="13"/>
                <w:szCs w:val="13"/>
                <w:color w:val="212529"/>
                <w:spacing w:val="24"/>
                <w:w w:val="101"/>
              </w:rPr>
              <w:t xml:space="preserve"> </w:t>
            </w:r>
            <w:r>
              <w:rPr>
                <w:sz w:val="13"/>
                <w:szCs w:val="13"/>
                <w:color w:val="212529"/>
                <w:spacing w:val="3"/>
              </w:rPr>
              <w:t>19</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69"/>
              <w:spacing w:before="135" w:line="187" w:lineRule="auto"/>
              <w:rPr>
                <w:sz w:val="13"/>
                <w:szCs w:val="13"/>
              </w:rPr>
            </w:pPr>
            <w:r>
              <w:rPr>
                <w:sz w:val="13"/>
                <w:szCs w:val="13"/>
                <w:color w:val="212529"/>
                <w:spacing w:val="3"/>
              </w:rPr>
              <w:t>416.</w:t>
            </w:r>
            <w:r>
              <w:rPr>
                <w:sz w:val="13"/>
                <w:szCs w:val="13"/>
                <w:color w:val="212529"/>
                <w:spacing w:val="24"/>
                <w:w w:val="101"/>
              </w:rPr>
              <w:t xml:space="preserve"> </w:t>
            </w:r>
            <w:r>
              <w:rPr>
                <w:sz w:val="13"/>
                <w:szCs w:val="13"/>
                <w:color w:val="212529"/>
                <w:spacing w:val="3"/>
              </w:rPr>
              <w:t>19</w:t>
            </w:r>
          </w:p>
        </w:tc>
        <w:tc>
          <w:tcPr>
            <w:tcW w:w="1069" w:type="dxa"/>
            <w:vAlign w:val="top"/>
          </w:tcPr>
          <w:p>
            <w:pPr>
              <w:pStyle w:val="TableText"/>
              <w:ind w:left="283"/>
              <w:spacing w:before="135" w:line="187" w:lineRule="auto"/>
              <w:rPr>
                <w:sz w:val="13"/>
                <w:szCs w:val="13"/>
              </w:rPr>
            </w:pPr>
            <w:r>
              <w:rPr>
                <w:sz w:val="13"/>
                <w:szCs w:val="13"/>
                <w:color w:val="212529"/>
                <w:spacing w:val="3"/>
              </w:rPr>
              <w:t>416.</w:t>
            </w:r>
            <w:r>
              <w:rPr>
                <w:sz w:val="13"/>
                <w:szCs w:val="13"/>
                <w:color w:val="212529"/>
                <w:spacing w:val="24"/>
              </w:rPr>
              <w:t xml:space="preserve"> </w:t>
            </w:r>
            <w:r>
              <w:rPr>
                <w:sz w:val="13"/>
                <w:szCs w:val="13"/>
                <w:color w:val="212529"/>
                <w:spacing w:val="3"/>
              </w:rPr>
              <w:t>19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7"/>
              <w:spacing w:before="87" w:line="186" w:lineRule="auto"/>
              <w:rPr>
                <w:sz w:val="13"/>
                <w:szCs w:val="13"/>
              </w:rPr>
            </w:pPr>
            <w:r>
              <w:rPr>
                <w:sz w:val="13"/>
                <w:szCs w:val="13"/>
                <w:color w:val="212529"/>
                <w:spacing w:val="3"/>
              </w:rPr>
              <w:t>416.</w:t>
            </w:r>
            <w:r>
              <w:rPr>
                <w:sz w:val="13"/>
                <w:szCs w:val="13"/>
                <w:color w:val="212529"/>
                <w:spacing w:val="24"/>
                <w:w w:val="101"/>
              </w:rPr>
              <w:t xml:space="preserve"> </w:t>
            </w:r>
            <w:r>
              <w:rPr>
                <w:sz w:val="13"/>
                <w:szCs w:val="13"/>
                <w:color w:val="212529"/>
                <w:spacing w:val="3"/>
              </w:rPr>
              <w:t>19</w:t>
            </w:r>
          </w:p>
        </w:tc>
        <w:tc>
          <w:tcPr>
            <w:tcW w:w="1393" w:type="dxa"/>
            <w:vAlign w:val="top"/>
          </w:tcPr>
          <w:p>
            <w:pPr>
              <w:pStyle w:val="TableText"/>
              <w:ind w:left="890"/>
              <w:spacing w:before="87" w:line="186" w:lineRule="auto"/>
              <w:rPr>
                <w:sz w:val="13"/>
                <w:szCs w:val="13"/>
              </w:rPr>
            </w:pPr>
            <w:r>
              <w:rPr>
                <w:sz w:val="13"/>
                <w:szCs w:val="13"/>
                <w:color w:val="212529"/>
                <w:spacing w:val="4"/>
              </w:rPr>
              <w:t>301.</w:t>
            </w:r>
            <w:r>
              <w:rPr>
                <w:sz w:val="13"/>
                <w:szCs w:val="13"/>
                <w:color w:val="212529"/>
                <w:spacing w:val="13"/>
              </w:rPr>
              <w:t xml:space="preserve"> </w:t>
            </w:r>
            <w:r>
              <w:rPr>
                <w:sz w:val="13"/>
                <w:szCs w:val="13"/>
                <w:color w:val="212529"/>
                <w:spacing w:val="4"/>
              </w:rPr>
              <w:t>43</w:t>
            </w:r>
          </w:p>
        </w:tc>
        <w:tc>
          <w:tcPr>
            <w:tcW w:w="1453" w:type="dxa"/>
            <w:vAlign w:val="top"/>
          </w:tcPr>
          <w:p>
            <w:pPr>
              <w:pStyle w:val="TableText"/>
              <w:ind w:left="952"/>
              <w:spacing w:before="87" w:line="186" w:lineRule="auto"/>
              <w:rPr>
                <w:sz w:val="13"/>
                <w:szCs w:val="13"/>
              </w:rPr>
            </w:pPr>
            <w:r>
              <w:rPr>
                <w:sz w:val="13"/>
                <w:szCs w:val="13"/>
                <w:color w:val="212529"/>
                <w:spacing w:val="2"/>
              </w:rPr>
              <w:t>114.</w:t>
            </w:r>
            <w:r>
              <w:rPr>
                <w:sz w:val="13"/>
                <w:szCs w:val="13"/>
                <w:color w:val="212529"/>
                <w:spacing w:val="18"/>
                <w:w w:val="101"/>
              </w:rPr>
              <w:t xml:space="preserve"> </w:t>
            </w:r>
            <w:r>
              <w:rPr>
                <w:sz w:val="13"/>
                <w:szCs w:val="13"/>
                <w:color w:val="212529"/>
                <w:spacing w:val="2"/>
              </w:rPr>
              <w:t>76</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358.55</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243.79</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20111</w:t>
            </w:r>
          </w:p>
        </w:tc>
        <w:tc>
          <w:tcPr>
            <w:tcW w:w="3121" w:type="dxa"/>
            <w:vAlign w:val="top"/>
          </w:tcPr>
          <w:p>
            <w:pPr>
              <w:ind w:left="10"/>
              <w:spacing w:before="69" w:line="229" w:lineRule="auto"/>
              <w:rPr>
                <w:rFonts w:ascii="SimSun" w:hAnsi="SimSun" w:eastAsia="SimSun" w:cs="SimSun"/>
                <w:sz w:val="15"/>
                <w:szCs w:val="15"/>
              </w:rPr>
            </w:pPr>
            <w:r>
              <w:rPr>
                <w:rFonts w:ascii="SimSun" w:hAnsi="SimSun" w:eastAsia="SimSun" w:cs="SimSun"/>
                <w:sz w:val="15"/>
                <w:szCs w:val="15"/>
                <w:color w:val="212529"/>
                <w:spacing w:val="10"/>
              </w:rPr>
              <w:t>纪检监察事务</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358.55</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243.79</w:t>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2011101</w:t>
            </w:r>
          </w:p>
        </w:tc>
        <w:tc>
          <w:tcPr>
            <w:tcW w:w="3121" w:type="dxa"/>
            <w:vAlign w:val="top"/>
          </w:tcPr>
          <w:p>
            <w:pPr>
              <w:ind w:left="7"/>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166.54</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166.54</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2011150</w:t>
            </w:r>
          </w:p>
        </w:tc>
        <w:tc>
          <w:tcPr>
            <w:tcW w:w="3121" w:type="dxa"/>
            <w:vAlign w:val="top"/>
          </w:tcPr>
          <w:p>
            <w:pPr>
              <w:ind w:left="8"/>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77.24</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77.24</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2011199</w:t>
            </w:r>
          </w:p>
        </w:tc>
        <w:tc>
          <w:tcPr>
            <w:tcW w:w="3121"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其他纪检监察事务支出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c>
          <w:tcPr>
            <w:tcW w:w="1393"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453" w:type="dxa"/>
            <w:vAlign w:val="top"/>
          </w:tcPr>
          <w:p>
            <w:pPr>
              <w:pStyle w:val="TableText"/>
              <w:rPr/>
            </w:pPr>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3"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21"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24.37</w:t>
            </w:r>
          </w:p>
        </w:tc>
        <w:tc>
          <w:tcPr>
            <w:tcW w:w="1453" w:type="dxa"/>
            <w:vAlign w:val="top"/>
          </w:tcPr>
          <w:p>
            <w:pPr>
              <w:pStyle w:val="TableText"/>
              <w:rPr/>
            </w:pPr>
            <w:r/>
          </w:p>
        </w:tc>
      </w:tr>
      <w:tr>
        <w:trPr>
          <w:trHeight w:val="292" w:hRule="atLeast"/>
        </w:trPr>
        <w:tc>
          <w:tcPr>
            <w:tcW w:w="1658" w:type="dxa"/>
            <w:vAlign w:val="top"/>
          </w:tcPr>
          <w:p>
            <w:pPr>
              <w:pStyle w:val="TableText"/>
              <w:rPr/>
            </w:pPr>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1393" w:type="dxa"/>
            <w:vAlign w:val="top"/>
          </w:tcPr>
          <w:p>
            <w:pPr>
              <w:ind w:left="980"/>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12.5</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1393" w:type="dxa"/>
            <w:vAlign w:val="top"/>
          </w:tcPr>
          <w:p>
            <w:pPr>
              <w:ind w:left="113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53" w:type="dxa"/>
            <w:vAlign w:val="top"/>
          </w:tcPr>
          <w:p>
            <w:pPr>
              <w:pStyle w:val="TableText"/>
              <w:rPr/>
            </w:pPr>
            <w:r/>
          </w:p>
        </w:tc>
      </w:tr>
      <w:tr>
        <w:trPr>
          <w:trHeight w:val="293"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21" w:type="dxa"/>
            <w:vAlign w:val="top"/>
          </w:tcPr>
          <w:p>
            <w:pPr>
              <w:ind w:left="7"/>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.52</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21" w:type="dxa"/>
            <w:vAlign w:val="top"/>
          </w:tcPr>
          <w:p>
            <w:pPr>
              <w:ind w:left="12"/>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2.54</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2.54</w:t>
            </w:r>
          </w:p>
        </w:tc>
        <w:tc>
          <w:tcPr>
            <w:tcW w:w="1453" w:type="dxa"/>
            <w:vAlign w:val="top"/>
          </w:tcPr>
          <w:p>
            <w:pPr>
              <w:pStyle w:val="TableText"/>
              <w:rPr/>
            </w:pPr>
            <w:r/>
          </w:p>
        </w:tc>
      </w:tr>
      <w:tr>
        <w:trPr>
          <w:trHeight w:val="292" w:hRule="atLeast"/>
        </w:trPr>
        <w:tc>
          <w:tcPr>
            <w:tcW w:w="1658"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453" w:type="dxa"/>
            <w:vAlign w:val="top"/>
          </w:tcPr>
          <w:p>
            <w:pPr>
              <w:pStyle w:val="TableText"/>
              <w:rPr/>
            </w:pPr>
            <w:r/>
          </w:p>
        </w:tc>
      </w:tr>
      <w:tr>
        <w:trPr>
          <w:trHeight w:val="293" w:hRule="atLeast"/>
        </w:trPr>
        <w:tc>
          <w:tcPr>
            <w:tcW w:w="1658"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93"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453" w:type="dxa"/>
            <w:vAlign w:val="top"/>
          </w:tcPr>
          <w:p>
            <w:pPr>
              <w:pStyle w:val="TableText"/>
              <w:rPr/>
            </w:pPr>
            <w:r/>
          </w:p>
        </w:tc>
      </w:tr>
      <w:tr>
        <w:trPr>
          <w:trHeight w:val="298"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453"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3"/>
              </w:rPr>
              <w:t>301.</w:t>
            </w:r>
            <w:r>
              <w:rPr>
                <w:sz w:val="13"/>
                <w:szCs w:val="13"/>
                <w:color w:val="212529"/>
                <w:spacing w:val="19"/>
              </w:rPr>
              <w:t xml:space="preserve"> </w:t>
            </w:r>
            <w:r>
              <w:rPr>
                <w:sz w:val="13"/>
                <w:szCs w:val="13"/>
                <w:color w:val="212529"/>
                <w:spacing w:val="3"/>
              </w:rPr>
              <w:t>43</w:t>
            </w:r>
          </w:p>
        </w:tc>
        <w:tc>
          <w:tcPr>
            <w:tcW w:w="1188" w:type="dxa"/>
            <w:vAlign w:val="top"/>
          </w:tcPr>
          <w:p>
            <w:pPr>
              <w:pStyle w:val="TableText"/>
              <w:ind w:left="684"/>
              <w:spacing w:before="87" w:line="172" w:lineRule="auto"/>
              <w:rPr>
                <w:sz w:val="14"/>
                <w:szCs w:val="14"/>
              </w:rPr>
            </w:pPr>
            <w:r>
              <w:rPr>
                <w:sz w:val="14"/>
                <w:szCs w:val="14"/>
                <w:color w:val="212529"/>
              </w:rPr>
              <w:t>249.</w:t>
            </w:r>
            <w:r>
              <w:rPr>
                <w:sz w:val="14"/>
                <w:szCs w:val="14"/>
                <w:color w:val="212529"/>
                <w:spacing w:val="6"/>
              </w:rPr>
              <w:t xml:space="preserve"> </w:t>
            </w:r>
            <w:r>
              <w:rPr>
                <w:sz w:val="14"/>
                <w:szCs w:val="14"/>
                <w:color w:val="212529"/>
              </w:rPr>
              <w:t>48</w:t>
            </w:r>
          </w:p>
        </w:tc>
        <w:tc>
          <w:tcPr>
            <w:tcW w:w="1118" w:type="dxa"/>
            <w:vAlign w:val="top"/>
          </w:tcPr>
          <w:p>
            <w:pPr>
              <w:pStyle w:val="TableText"/>
              <w:ind w:left="691"/>
              <w:spacing w:before="87" w:line="186" w:lineRule="auto"/>
              <w:rPr>
                <w:sz w:val="13"/>
                <w:szCs w:val="13"/>
              </w:rPr>
            </w:pPr>
            <w:r>
              <w:rPr>
                <w:sz w:val="13"/>
                <w:szCs w:val="13"/>
                <w:color w:val="212529"/>
                <w:spacing w:val="3"/>
              </w:rPr>
              <w:t>51.</w:t>
            </w:r>
            <w:r>
              <w:rPr>
                <w:sz w:val="13"/>
                <w:szCs w:val="13"/>
                <w:color w:val="212529"/>
                <w:spacing w:val="17"/>
                <w:w w:val="102"/>
              </w:rPr>
              <w:t xml:space="preserve"> </w:t>
            </w:r>
            <w:r>
              <w:rPr>
                <w:sz w:val="13"/>
                <w:szCs w:val="13"/>
                <w:color w:val="212529"/>
                <w:spacing w:val="3"/>
              </w:rPr>
              <w:t>94</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249.48</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249.48</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86.95</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86.95</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44.43</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8.79</w:t>
            </w:r>
          </w:p>
        </w:tc>
        <w:tc>
          <w:tcPr>
            <w:tcW w:w="1118" w:type="dxa"/>
            <w:vAlign w:val="top"/>
          </w:tcPr>
          <w:p>
            <w:pPr>
              <w:pStyle w:val="TableText"/>
              <w:rPr/>
            </w:pPr>
            <w:r/>
          </w:p>
        </w:tc>
      </w:tr>
      <w:tr>
        <w:trPr>
          <w:trHeight w:val="292"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13.57</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118" w:type="dxa"/>
            <w:vAlign w:val="top"/>
          </w:tcPr>
          <w:p>
            <w:pPr>
              <w:pStyle w:val="TableText"/>
              <w:rPr/>
            </w:pPr>
            <w:r/>
          </w:p>
        </w:tc>
      </w:tr>
      <w:tr>
        <w:trPr>
          <w:trHeight w:val="292" w:hRule="atLeast"/>
        </w:trPr>
        <w:tc>
          <w:tcPr>
            <w:tcW w:w="3310" w:type="dxa"/>
            <w:vAlign w:val="top"/>
          </w:tcPr>
          <w:p>
            <w:pPr>
              <w:ind w:left="655"/>
              <w:spacing w:before="74" w:line="228" w:lineRule="auto"/>
              <w:rPr>
                <w:rFonts w:ascii="SimSun" w:hAnsi="SimSun" w:eastAsia="SimSun" w:cs="SimSun"/>
                <w:sz w:val="15"/>
                <w:szCs w:val="15"/>
              </w:rPr>
            </w:pPr>
            <w:r>
              <w:rPr>
                <w:rFonts w:ascii="SimSun" w:hAnsi="SimSun" w:eastAsia="SimSun" w:cs="SimSun"/>
                <w:sz w:val="15"/>
                <w:szCs w:val="15"/>
                <w:color w:val="212529"/>
                <w:spacing w:val="11"/>
              </w:rPr>
              <w:t>基本医疗保险缴费</w:t>
            </w:r>
          </w:p>
        </w:tc>
        <w:tc>
          <w:tcPr>
            <w:tcW w:w="2278" w:type="dxa"/>
            <w:vAlign w:val="top"/>
          </w:tcPr>
          <w:p>
            <w:pPr>
              <w:ind w:left="327"/>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5.51</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5.51</w:t>
            </w:r>
          </w:p>
        </w:tc>
        <w:tc>
          <w:tcPr>
            <w:tcW w:w="1118" w:type="dxa"/>
            <w:vAlign w:val="top"/>
          </w:tcPr>
          <w:p>
            <w:pPr>
              <w:pStyle w:val="TableText"/>
              <w:rPr/>
            </w:pPr>
            <w:r/>
          </w:p>
        </w:tc>
      </w:tr>
      <w:tr>
        <w:trPr>
          <w:trHeight w:val="293" w:hRule="atLeast"/>
        </w:trPr>
        <w:tc>
          <w:tcPr>
            <w:tcW w:w="3310" w:type="dxa"/>
            <w:vAlign w:val="top"/>
          </w:tcPr>
          <w:p>
            <w:pPr>
              <w:ind w:left="330"/>
              <w:spacing w:before="75"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4.39</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2.54</w:t>
            </w:r>
          </w:p>
        </w:tc>
        <w:tc>
          <w:tcPr>
            <w:tcW w:w="1188" w:type="dxa"/>
            <w:vAlign w:val="top"/>
          </w:tcPr>
          <w:p>
            <w:pPr>
              <w:ind w:left="930"/>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left="843"/>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0.</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0.52</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left="762"/>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20.</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20.77</w:t>
            </w:r>
          </w:p>
        </w:tc>
        <w:tc>
          <w:tcPr>
            <w:tcW w:w="1118" w:type="dxa"/>
            <w:vAlign w:val="top"/>
          </w:tcPr>
          <w:p>
            <w:pPr>
              <w:pStyle w:val="TableText"/>
              <w:rPr/>
            </w:pPr>
            <w:r/>
          </w:p>
        </w:tc>
      </w:tr>
      <w:tr>
        <w:trPr>
          <w:trHeight w:val="293"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23.37</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23.37</w:t>
            </w:r>
          </w:p>
        </w:tc>
        <w:tc>
          <w:tcPr>
            <w:tcW w:w="1118" w:type="dxa"/>
            <w:vAlign w:val="top"/>
          </w:tcPr>
          <w:p>
            <w:pPr>
              <w:pStyle w:val="TableText"/>
              <w:rPr/>
            </w:pPr>
            <w:r/>
          </w:p>
        </w:tc>
      </w:tr>
      <w:tr>
        <w:trPr>
          <w:trHeight w:val="292" w:hRule="atLeast"/>
        </w:trPr>
        <w:tc>
          <w:tcPr>
            <w:tcW w:w="3310"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51.94</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51.94</w:t>
            </w:r>
          </w:p>
        </w:tc>
      </w:tr>
      <w:tr>
        <w:trPr>
          <w:trHeight w:val="293"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17.50</w:t>
            </w:r>
          </w:p>
        </w:tc>
      </w:tr>
      <w:tr>
        <w:trPr>
          <w:trHeight w:val="293" w:hRule="atLeast"/>
        </w:trPr>
        <w:tc>
          <w:tcPr>
            <w:tcW w:w="3310" w:type="dxa"/>
            <w:vAlign w:val="top"/>
          </w:tcPr>
          <w:p>
            <w:pPr>
              <w:ind w:left="344"/>
              <w:spacing w:before="74"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2" w:hRule="atLeast"/>
        </w:trPr>
        <w:tc>
          <w:tcPr>
            <w:tcW w:w="3310" w:type="dxa"/>
            <w:vAlign w:val="top"/>
          </w:tcPr>
          <w:p>
            <w:pPr>
              <w:ind w:left="333"/>
              <w:spacing w:before="74"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6"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5.33</w:t>
            </w:r>
          </w:p>
        </w:tc>
        <w:tc>
          <w:tcPr>
            <w:tcW w:w="1188" w:type="dxa"/>
            <w:vAlign w:val="top"/>
          </w:tcPr>
          <w:p>
            <w:pPr>
              <w:pStyle w:val="TableText"/>
              <w:rPr/>
            </w:pPr>
            <w:r/>
          </w:p>
        </w:tc>
        <w:tc>
          <w:tcPr>
            <w:tcW w:w="1118" w:type="dxa"/>
            <w:vAlign w:val="top"/>
          </w:tcPr>
          <w:p>
            <w:pPr>
              <w:ind w:right="22"/>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5.33</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8.07</w:t>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51.94</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51.94</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20"/>
              <w:spacing w:before="117" w:line="229" w:lineRule="auto"/>
              <w:rPr>
                <w:rFonts w:ascii="SimSun" w:hAnsi="SimSun" w:eastAsia="SimSun" w:cs="SimSun"/>
                <w:sz w:val="15"/>
                <w:szCs w:val="15"/>
              </w:rPr>
            </w:pPr>
            <w:r>
              <w:rPr>
                <w:rFonts w:ascii="SimSun" w:hAnsi="SimSun" w:eastAsia="SimSun" w:cs="SimSun"/>
                <w:sz w:val="15"/>
                <w:szCs w:val="15"/>
                <w:color w:val="212529"/>
                <w:spacing w:val="10"/>
              </w:rPr>
              <w:t>中共兴县县委巡察工作办公室</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51.94</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51.94</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9"/>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8" w:hRule="atLeast"/>
        </w:trPr>
        <w:tc>
          <w:tcPr>
            <w:tcW w:w="2802" w:type="dxa"/>
            <w:vAlign w:val="top"/>
          </w:tcPr>
          <w:p>
            <w:pPr>
              <w:ind w:left="1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802" w:type="dxa"/>
            <w:vAlign w:val="top"/>
          </w:tcPr>
          <w:p>
            <w:pPr>
              <w:ind w:left="20"/>
              <w:spacing w:before="115" w:line="229" w:lineRule="auto"/>
              <w:rPr>
                <w:rFonts w:ascii="SimSun" w:hAnsi="SimSun" w:eastAsia="SimSun" w:cs="SimSun"/>
                <w:sz w:val="15"/>
                <w:szCs w:val="15"/>
              </w:rPr>
            </w:pPr>
            <w:r>
              <w:rPr>
                <w:rFonts w:ascii="SimSun" w:hAnsi="SimSun" w:eastAsia="SimSun" w:cs="SimSun"/>
                <w:sz w:val="15"/>
                <w:szCs w:val="15"/>
                <w:color w:val="212529"/>
                <w:spacing w:val="10"/>
              </w:rPr>
              <w:t>中共兴县县委巡察工作办公室</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01"/>
              <w:spacing w:before="116" w:line="229" w:lineRule="auto"/>
              <w:rPr>
                <w:rFonts w:ascii="SimSun" w:hAnsi="SimSun" w:eastAsia="SimSun" w:cs="SimSun"/>
                <w:sz w:val="15"/>
                <w:szCs w:val="15"/>
              </w:rPr>
            </w:pPr>
            <w:r>
              <w:rPr>
                <w:rFonts w:ascii="SimSun" w:hAnsi="SimSun" w:eastAsia="SimSun" w:cs="SimSun"/>
                <w:sz w:val="15"/>
                <w:szCs w:val="15"/>
                <w:color w:val="212529"/>
                <w:spacing w:val="10"/>
              </w:rPr>
              <w:t>中共兴县县委巡察工作办公室</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7"/>
              </w:rPr>
              <w:t>2025年培训费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8"/>
              </w:rPr>
              <w:t>2025年设备购置</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655"/>
              <w:spacing w:before="118" w:line="229" w:lineRule="auto"/>
              <w:rPr>
                <w:rFonts w:ascii="SimSun" w:hAnsi="SimSun" w:eastAsia="SimSun" w:cs="SimSun"/>
                <w:sz w:val="15"/>
                <w:szCs w:val="15"/>
              </w:rPr>
            </w:pPr>
            <w:r>
              <w:rPr>
                <w:rFonts w:ascii="SimSun" w:hAnsi="SimSun" w:eastAsia="SimSun" w:cs="SimSun"/>
                <w:sz w:val="15"/>
                <w:szCs w:val="15"/>
                <w:color w:val="212529"/>
                <w:spacing w:val="10"/>
              </w:rPr>
              <w:t>专项巡察经费</w:t>
            </w:r>
          </w:p>
        </w:tc>
        <w:tc>
          <w:tcPr>
            <w:tcW w:w="1166"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90.00</w:t>
            </w:r>
          </w:p>
        </w:tc>
        <w:tc>
          <w:tcPr>
            <w:tcW w:w="1166"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251"/>
              <w:spacing w:before="118" w:line="229" w:lineRule="auto"/>
              <w:rPr>
                <w:rFonts w:ascii="SimSun" w:hAnsi="SimSun" w:eastAsia="SimSun" w:cs="SimSun"/>
                <w:sz w:val="15"/>
                <w:szCs w:val="15"/>
              </w:rPr>
            </w:pPr>
            <w:r>
              <w:rPr>
                <w:rFonts w:ascii="SimSun" w:hAnsi="SimSun" w:eastAsia="SimSun" w:cs="SimSun"/>
                <w:sz w:val="15"/>
                <w:szCs w:val="15"/>
                <w:color w:val="212529"/>
                <w:spacing w:val="8"/>
              </w:rPr>
              <w:t>025年系统升级</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部门名称：中共兴县县委巡察工作办公室</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3"/>
      <w:bookmarkEnd w:id="33"/>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55" w:right="1223" w:firstLine="464"/>
        <w:spacing w:before="187" w:line="322" w:lineRule="auto"/>
        <w:jc w:val="both"/>
        <w:rPr>
          <w:rFonts w:ascii="FangSong" w:hAnsi="FangSong" w:eastAsia="FangSong" w:cs="FangSong"/>
          <w:sz w:val="23"/>
          <w:szCs w:val="23"/>
        </w:rPr>
      </w:pPr>
      <w:r>
        <w:rPr>
          <w:rFonts w:ascii="FangSong" w:hAnsi="FangSong" w:eastAsia="FangSong" w:cs="FangSong"/>
          <w:sz w:val="23"/>
          <w:szCs w:val="23"/>
          <w:spacing w:val="14"/>
        </w:rPr>
        <w:t>2025年度中共兴县县委巡察工作办公室预算收入总计416.1</w:t>
      </w:r>
      <w:r>
        <w:rPr>
          <w:rFonts w:ascii="FangSong" w:hAnsi="FangSong" w:eastAsia="FangSong" w:cs="FangSong"/>
          <w:sz w:val="23"/>
          <w:szCs w:val="23"/>
          <w:spacing w:val="13"/>
        </w:rPr>
        <w:t>9万元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，其中：</w:t>
      </w:r>
      <w:r>
        <w:rPr>
          <w:rFonts w:ascii="FangSong" w:hAnsi="FangSong" w:eastAsia="FangSong" w:cs="FangSong"/>
          <w:sz w:val="23"/>
          <w:szCs w:val="23"/>
          <w:spacing w:val="-57"/>
        </w:rPr>
        <w:t xml:space="preserve"> </w:t>
      </w:r>
      <w:r>
        <w:rPr>
          <w:rFonts w:ascii="FangSong" w:hAnsi="FangSong" w:eastAsia="FangSong" w:cs="FangSong"/>
          <w:sz w:val="23"/>
          <w:szCs w:val="23"/>
          <w:spacing w:val="13"/>
        </w:rPr>
        <w:t>本年收入</w:t>
      </w:r>
      <w:r>
        <w:rPr>
          <w:rFonts w:ascii="FangSong" w:hAnsi="FangSong" w:eastAsia="FangSong" w:cs="FangSong"/>
          <w:sz w:val="23"/>
          <w:szCs w:val="23"/>
        </w:rPr>
        <w:t xml:space="preserve"> </w:t>
      </w:r>
      <w:r>
        <w:rPr>
          <w:rFonts w:ascii="FangSong" w:hAnsi="FangSong" w:eastAsia="FangSong" w:cs="FangSong"/>
          <w:sz w:val="23"/>
          <w:szCs w:val="23"/>
          <w:spacing w:val="3"/>
        </w:rPr>
        <w:t>416.19万元，上年结转0万元，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比上年增加252.73万元，增长154.61%，主要原因是2024年调</w:t>
      </w:r>
      <w:r>
        <w:rPr>
          <w:rFonts w:ascii="FangSong" w:hAnsi="FangSong" w:eastAsia="FangSong" w:cs="FangSong"/>
          <w:sz w:val="23"/>
          <w:szCs w:val="23"/>
        </w:rPr>
        <w:t xml:space="preserve"> </w:t>
      </w:r>
      <w:r>
        <w:rPr>
          <w:rFonts w:ascii="FangSong" w:hAnsi="FangSong" w:eastAsia="FangSong" w:cs="FangSong"/>
          <w:sz w:val="23"/>
          <w:szCs w:val="23"/>
          <w:spacing w:val="8"/>
        </w:rPr>
        <w:t>入事业人员10名，公务员1名。；本年部门预算支出总计</w:t>
      </w:r>
      <w:r>
        <w:rPr>
          <w:rFonts w:ascii="FangSong" w:hAnsi="FangSong" w:eastAsia="FangSong" w:cs="FangSong"/>
          <w:sz w:val="23"/>
          <w:szCs w:val="23"/>
          <w:spacing w:val="7"/>
        </w:rPr>
        <w:t>416.19万元，其中：本年预算安排</w:t>
      </w:r>
      <w:r>
        <w:rPr>
          <w:rFonts w:ascii="FangSong" w:hAnsi="FangSong" w:eastAsia="FangSong" w:cs="FangSong"/>
          <w:sz w:val="23"/>
          <w:szCs w:val="23"/>
        </w:rPr>
        <w:t xml:space="preserve"> </w:t>
      </w:r>
      <w:r>
        <w:rPr>
          <w:rFonts w:ascii="FangSong" w:hAnsi="FangSong" w:eastAsia="FangSong" w:cs="FangSong"/>
          <w:sz w:val="23"/>
          <w:szCs w:val="23"/>
          <w:spacing w:val="3"/>
        </w:rPr>
        <w:t>416.19万元，上年结转0万元，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比上年增加252.73万元，增长154.61%，主要原因是2024年调</w:t>
      </w:r>
      <w:r>
        <w:rPr>
          <w:rFonts w:ascii="FangSong" w:hAnsi="FangSong" w:eastAsia="FangSong" w:cs="FangSong"/>
          <w:sz w:val="23"/>
          <w:szCs w:val="23"/>
        </w:rPr>
        <w:t xml:space="preserve"> </w:t>
      </w:r>
      <w:r>
        <w:rPr>
          <w:rFonts w:ascii="FangSong" w:hAnsi="FangSong" w:eastAsia="FangSong" w:cs="FangSong"/>
          <w:sz w:val="23"/>
          <w:szCs w:val="23"/>
        </w:rPr>
        <w:t>入事业人员10名，公务员1名。</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720"/>
        <w:spacing w:before="185" w:line="221" w:lineRule="auto"/>
        <w:rPr>
          <w:rFonts w:ascii="FangSong" w:hAnsi="FangSong" w:eastAsia="FangSong" w:cs="FangSong"/>
          <w:sz w:val="23"/>
          <w:szCs w:val="23"/>
        </w:rPr>
      </w:pPr>
      <w:r>
        <w:rPr>
          <w:rFonts w:ascii="FangSong" w:hAnsi="FangSong" w:eastAsia="FangSong" w:cs="FangSong"/>
          <w:sz w:val="23"/>
          <w:szCs w:val="23"/>
          <w:spacing w:val="5"/>
        </w:rPr>
        <w:t>2025年度中共兴县县委巡察工作办公室预算收入416.19万元，主要包括一般公共预算拨</w:t>
      </w:r>
    </w:p>
    <w:p>
      <w:pPr>
        <w:ind w:left="1263" w:right="1223"/>
        <w:spacing w:before="125" w:line="321" w:lineRule="auto"/>
        <w:jc w:val="right"/>
        <w:rPr>
          <w:rFonts w:ascii="FangSong" w:hAnsi="FangSong" w:eastAsia="FangSong" w:cs="FangSong"/>
          <w:sz w:val="23"/>
          <w:szCs w:val="23"/>
        </w:rPr>
      </w:pPr>
      <w:r>
        <w:rPr>
          <w:rFonts w:ascii="FangSong" w:hAnsi="FangSong" w:eastAsia="FangSong" w:cs="FangSong"/>
          <w:sz w:val="23"/>
          <w:szCs w:val="23"/>
          <w:spacing w:val="1"/>
        </w:rPr>
        <w:t>款收</w:t>
      </w:r>
      <w:r>
        <w:rPr>
          <w:rFonts w:ascii="FangSong" w:hAnsi="FangSong" w:eastAsia="FangSong" w:cs="FangSong"/>
          <w:sz w:val="23"/>
          <w:szCs w:val="23"/>
          <w:spacing w:val="1"/>
        </w:rPr>
        <w:t xml:space="preserve">  </w:t>
      </w:r>
      <w:r>
        <w:rPr>
          <w:rFonts w:ascii="FangSong" w:hAnsi="FangSong" w:eastAsia="FangSong" w:cs="FangSong"/>
          <w:sz w:val="23"/>
          <w:szCs w:val="23"/>
          <w:spacing w:val="1"/>
        </w:rPr>
        <w:t>416.19万元，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rPr>
        <w:t>；</w:t>
      </w:r>
      <w:r>
        <w:rPr>
          <w:rFonts w:ascii="FangSong" w:hAnsi="FangSong" w:eastAsia="FangSong" w:cs="FangSong"/>
          <w:sz w:val="23"/>
          <w:szCs w:val="23"/>
          <w:spacing w:val="-66"/>
        </w:rPr>
        <w:t xml:space="preserve"> </w:t>
      </w:r>
      <w:r>
        <w:rPr>
          <w:rFonts w:ascii="FangSong" w:hAnsi="FangSong" w:eastAsia="FangSong" w:cs="FangSong"/>
          <w:sz w:val="23"/>
          <w:szCs w:val="23"/>
        </w:rPr>
        <w:t>国有资本</w:t>
      </w:r>
      <w:r>
        <w:rPr>
          <w:rFonts w:ascii="FangSong" w:hAnsi="FangSong" w:eastAsia="FangSong" w:cs="FangSong"/>
          <w:sz w:val="23"/>
          <w:szCs w:val="23"/>
        </w:rPr>
        <w:t xml:space="preserve">    </w:t>
      </w:r>
      <w:r>
        <w:rPr>
          <w:rFonts w:ascii="FangSong" w:hAnsi="FangSong" w:eastAsia="FangSong" w:cs="FangSong"/>
          <w:sz w:val="23"/>
          <w:szCs w:val="23"/>
        </w:rPr>
        <w:t>预算</w:t>
      </w:r>
      <w:r>
        <w:rPr>
          <w:rFonts w:ascii="FangSong" w:hAnsi="FangSong" w:eastAsia="FangSong" w:cs="FangSong"/>
          <w:sz w:val="23"/>
          <w:szCs w:val="23"/>
        </w:rPr>
        <w:t xml:space="preserve"> </w:t>
      </w:r>
      <w:r>
        <w:rPr>
          <w:rFonts w:ascii="FangSong" w:hAnsi="FangSong" w:eastAsia="FangSong" w:cs="FangSong"/>
          <w:sz w:val="23"/>
          <w:szCs w:val="23"/>
          <w:spacing w:val="-2"/>
        </w:rPr>
        <w:t>收入0万元，</w:t>
      </w:r>
      <w:r>
        <w:rPr>
          <w:rFonts w:ascii="FangSong" w:hAnsi="FangSong" w:eastAsia="FangSong" w:cs="FangSong"/>
          <w:sz w:val="23"/>
          <w:szCs w:val="23"/>
          <w:spacing w:val="-39"/>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单位资金0万元，</w:t>
      </w:r>
      <w:r>
        <w:rPr>
          <w:rFonts w:ascii="FangSong" w:hAnsi="FangSong" w:eastAsia="FangSong" w:cs="FangSong"/>
          <w:sz w:val="23"/>
          <w:szCs w:val="23"/>
          <w:spacing w:val="4"/>
        </w:rPr>
        <w:t xml:space="preserve">      </w:t>
      </w:r>
      <w:r>
        <w:rPr>
          <w:rFonts w:ascii="FangSong" w:hAnsi="FangSong" w:eastAsia="FangSong" w:cs="FangSong"/>
          <w:sz w:val="23"/>
          <w:szCs w:val="23"/>
          <w:spacing w:val="-2"/>
        </w:rPr>
        <w:t>上年结</w:t>
      </w:r>
    </w:p>
    <w:p>
      <w:pPr>
        <w:ind w:left="1266"/>
        <w:spacing w:before="11" w:line="219" w:lineRule="auto"/>
        <w:rPr>
          <w:rFonts w:ascii="FangSong" w:hAnsi="FangSong" w:eastAsia="FangSong" w:cs="FangSong"/>
          <w:sz w:val="23"/>
          <w:szCs w:val="23"/>
        </w:rPr>
      </w:pPr>
      <w:r>
        <w:rPr>
          <w:rFonts w:ascii="FangSong" w:hAnsi="FangSong" w:eastAsia="FangSong" w:cs="FangSong"/>
          <w:sz w:val="23"/>
          <w:szCs w:val="23"/>
          <w:spacing w:val="-8"/>
        </w:rPr>
        <w:t>转0万元，</w:t>
      </w:r>
      <w:r>
        <w:rPr>
          <w:rFonts w:ascii="FangSong" w:hAnsi="FangSong" w:eastAsia="FangSong" w:cs="FangSong"/>
          <w:sz w:val="23"/>
          <w:szCs w:val="23"/>
          <w:spacing w:val="-59"/>
        </w:rPr>
        <w:t xml:space="preserve"> </w:t>
      </w:r>
      <w:r>
        <w:rPr>
          <w:rFonts w:ascii="FangSong" w:hAnsi="FangSong" w:eastAsia="FangSong" w:cs="FangSong"/>
          <w:sz w:val="23"/>
          <w:szCs w:val="23"/>
          <w:spacing w:val="-8"/>
        </w:rPr>
        <w:t>占0%。</w:t>
      </w:r>
    </w:p>
    <w:p>
      <w:pPr>
        <w:pStyle w:val="BodyText"/>
        <w:spacing w:line="440" w:lineRule="auto"/>
        <w:rPr/>
      </w:pPr>
      <w:r/>
    </w:p>
    <w:p>
      <w:pPr>
        <w:ind w:firstLine="3665"/>
        <w:spacing w:line="2934" w:lineRule="exact"/>
        <w:rPr/>
      </w:pPr>
      <w:r>
        <w:rPr>
          <w:position w:val="-58"/>
        </w:rPr>
        <w:drawing>
          <wp:inline distT="0" distB="0" distL="0" distR="0">
            <wp:extent cx="2346419" cy="1863136"/>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46419"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6"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1" w:lineRule="auto"/>
        <w:rPr>
          <w:rFonts w:ascii="FangSong" w:hAnsi="FangSong" w:eastAsia="FangSong" w:cs="FangSong"/>
          <w:sz w:val="23"/>
          <w:szCs w:val="23"/>
        </w:rPr>
      </w:pPr>
      <w:r>
        <w:rPr>
          <w:rFonts w:ascii="FangSong" w:hAnsi="FangSong" w:eastAsia="FangSong" w:cs="FangSong"/>
          <w:sz w:val="23"/>
          <w:szCs w:val="23"/>
          <w:spacing w:val="4"/>
        </w:rPr>
        <w:t>2025年度</w:t>
      </w:r>
      <w:r>
        <w:rPr>
          <w:rFonts w:ascii="FangSong" w:hAnsi="FangSong" w:eastAsia="FangSong" w:cs="FangSong"/>
          <w:sz w:val="23"/>
          <w:szCs w:val="23"/>
          <w:spacing w:val="4"/>
        </w:rPr>
        <w:t xml:space="preserve">        </w:t>
      </w:r>
      <w:r>
        <w:rPr>
          <w:rFonts w:ascii="FangSong" w:hAnsi="FangSong" w:eastAsia="FangSong" w:cs="FangSong"/>
          <w:sz w:val="23"/>
          <w:szCs w:val="23"/>
          <w:spacing w:val="4"/>
        </w:rPr>
        <w:t>县委巡察工作办公室支出预算416.19万元，其中：基本支出301.43万</w:t>
      </w:r>
    </w:p>
    <w:p>
      <w:pPr>
        <w:ind w:left="1267"/>
        <w:spacing w:before="135" w:line="223" w:lineRule="auto"/>
        <w:rPr>
          <w:rFonts w:ascii="FangSong" w:hAnsi="FangSong" w:eastAsia="FangSong" w:cs="FangSong"/>
          <w:sz w:val="23"/>
          <w:szCs w:val="23"/>
        </w:rPr>
      </w:pPr>
      <w:r>
        <w:rPr>
          <w:rFonts w:ascii="FangSong" w:hAnsi="FangSong" w:eastAsia="FangSong" w:cs="FangSong"/>
          <w:sz w:val="23"/>
          <w:szCs w:val="23"/>
          <w:spacing w:val="-6"/>
        </w:rPr>
        <w:t>元，</w:t>
      </w:r>
      <w:r>
        <w:rPr>
          <w:rFonts w:ascii="FangSong" w:hAnsi="FangSong" w:eastAsia="FangSong" w:cs="FangSong"/>
          <w:sz w:val="23"/>
          <w:szCs w:val="23"/>
          <w:spacing w:val="-43"/>
        </w:rPr>
        <w:t xml:space="preserve"> </w:t>
      </w:r>
      <w:r>
        <w:rPr>
          <w:rFonts w:ascii="FangSong" w:hAnsi="FangSong" w:eastAsia="FangSong" w:cs="FangSong"/>
          <w:sz w:val="23"/>
          <w:szCs w:val="23"/>
          <w:spacing w:val="-6"/>
        </w:rPr>
        <w:t>占</w:t>
      </w:r>
      <w:r>
        <w:rPr>
          <w:rFonts w:ascii="FangSong" w:hAnsi="FangSong" w:eastAsia="FangSong" w:cs="FangSong"/>
          <w:sz w:val="23"/>
          <w:szCs w:val="23"/>
          <w:spacing w:val="-6"/>
        </w:rPr>
        <w:t xml:space="preserve">  </w:t>
      </w:r>
      <w:r>
        <w:rPr>
          <w:rFonts w:ascii="FangSong" w:hAnsi="FangSong" w:eastAsia="FangSong" w:cs="FangSong"/>
          <w:sz w:val="23"/>
          <w:szCs w:val="23"/>
          <w:spacing w:val="-6"/>
        </w:rPr>
        <w:t>.</w:t>
      </w:r>
      <w:r>
        <w:rPr>
          <w:rFonts w:ascii="FangSong" w:hAnsi="FangSong" w:eastAsia="FangSong" w:cs="FangSong"/>
          <w:sz w:val="23"/>
          <w:szCs w:val="23"/>
          <w:spacing w:val="11"/>
        </w:rPr>
        <w:t xml:space="preserve">   </w:t>
      </w:r>
      <w:r>
        <w:rPr>
          <w:rFonts w:ascii="FangSong" w:hAnsi="FangSong" w:eastAsia="FangSong" w:cs="FangSong"/>
          <w:sz w:val="23"/>
          <w:szCs w:val="23"/>
          <w:spacing w:val="-6"/>
        </w:rPr>
        <w:t>；项目支出114.76万元，</w:t>
      </w:r>
      <w:r>
        <w:rPr>
          <w:rFonts w:ascii="FangSong" w:hAnsi="FangSong" w:eastAsia="FangSong" w:cs="FangSong"/>
          <w:sz w:val="23"/>
          <w:szCs w:val="23"/>
          <w:spacing w:val="-60"/>
        </w:rPr>
        <w:t xml:space="preserve"> </w:t>
      </w:r>
      <w:r>
        <w:rPr>
          <w:rFonts w:ascii="FangSong" w:hAnsi="FangSong" w:eastAsia="FangSong" w:cs="FangSong"/>
          <w:sz w:val="23"/>
          <w:szCs w:val="23"/>
          <w:spacing w:val="-6"/>
        </w:rPr>
        <w:t>占27.57%。</w:t>
      </w:r>
    </w:p>
    <w:p>
      <w:pPr>
        <w:ind w:left="1271"/>
        <w:spacing w:before="119" w:line="229"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5" w:line="324" w:lineRule="auto"/>
        <w:rPr>
          <w:rFonts w:ascii="FangSong" w:hAnsi="FangSong" w:eastAsia="FangSong" w:cs="FangSong"/>
          <w:sz w:val="23"/>
          <w:szCs w:val="23"/>
        </w:rPr>
      </w:pPr>
      <w:r>
        <w:rPr>
          <w:rFonts w:ascii="FangSong" w:hAnsi="FangSong" w:eastAsia="FangSong" w:cs="FangSong"/>
          <w:sz w:val="23"/>
          <w:szCs w:val="23"/>
          <w:spacing w:val="5"/>
        </w:rPr>
        <w:t>2025年度中共兴县县委巡察工作办公室财政拨款收支总预算416.19万元。其中：一般公</w:t>
      </w:r>
      <w:r>
        <w:rPr>
          <w:rFonts w:ascii="FangSong" w:hAnsi="FangSong" w:eastAsia="FangSong" w:cs="FangSong"/>
          <w:sz w:val="23"/>
          <w:szCs w:val="23"/>
        </w:rPr>
        <w:t xml:space="preserve"> </w:t>
      </w:r>
      <w:r>
        <w:rPr>
          <w:rFonts w:ascii="FangSong" w:hAnsi="FangSong" w:eastAsia="FangSong" w:cs="FangSong"/>
          <w:sz w:val="23"/>
          <w:szCs w:val="23"/>
          <w:spacing w:val="4"/>
        </w:rPr>
        <w:t>共预算拨款416.19万元，政府性基金预算拨款0万元</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国有资本经营预算拨款0万元。其中：</w:t>
      </w:r>
      <w:r>
        <w:rPr>
          <w:rFonts w:ascii="FangSong" w:hAnsi="FangSong" w:eastAsia="FangSong" w:cs="FangSong"/>
          <w:sz w:val="23"/>
          <w:szCs w:val="23"/>
        </w:rPr>
        <w:t xml:space="preserve"> </w:t>
      </w:r>
      <w:r>
        <w:rPr>
          <w:rFonts w:ascii="FangSong" w:hAnsi="FangSong" w:eastAsia="FangSong" w:cs="FangSong"/>
          <w:sz w:val="23"/>
          <w:szCs w:val="23"/>
          <w:spacing w:val="2"/>
        </w:rPr>
        <w:t>当年拨款收入416.19万元，上年结转收入0万元。支出包括：一般公共服务支出358.55万元、</w:t>
      </w:r>
      <w:r>
        <w:rPr>
          <w:rFonts w:ascii="FangSong" w:hAnsi="FangSong" w:eastAsia="FangSong" w:cs="FangSong"/>
          <w:sz w:val="23"/>
          <w:szCs w:val="23"/>
          <w:spacing w:val="2"/>
        </w:rPr>
        <w:t xml:space="preserve"> </w:t>
      </w:r>
      <w:r>
        <w:rPr>
          <w:rFonts w:ascii="FangSong" w:hAnsi="FangSong" w:eastAsia="FangSong" w:cs="FangSong"/>
          <w:sz w:val="23"/>
          <w:szCs w:val="23"/>
        </w:rPr>
        <w:t>社会保障和就业支出24.37万元、卫生健康支出12.51万元、住房保障支出20.77万元等。</w:t>
      </w:r>
    </w:p>
    <w:p>
      <w:pPr>
        <w:ind w:left="1264"/>
        <w:spacing w:before="3"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59" w:right="1223" w:firstLine="461"/>
        <w:spacing w:before="124" w:line="325" w:lineRule="auto"/>
        <w:rPr>
          <w:rFonts w:ascii="FangSong" w:hAnsi="FangSong" w:eastAsia="FangSong" w:cs="FangSong"/>
          <w:sz w:val="23"/>
          <w:szCs w:val="23"/>
        </w:rPr>
      </w:pPr>
      <w:r>
        <w:rPr>
          <w:rFonts w:ascii="FangSong" w:hAnsi="FangSong" w:eastAsia="FangSong" w:cs="FangSong"/>
          <w:sz w:val="23"/>
          <w:szCs w:val="23"/>
          <w:spacing w:val="7"/>
        </w:rPr>
        <w:t>2025年度中共兴县县委巡察工作办公室一</w:t>
      </w:r>
      <w:r>
        <w:rPr>
          <w:rFonts w:ascii="FangSong" w:hAnsi="FangSong" w:eastAsia="FangSong" w:cs="FangSong"/>
          <w:sz w:val="23"/>
          <w:szCs w:val="23"/>
          <w:spacing w:val="6"/>
        </w:rPr>
        <w:t>般公共预算当年支出416.19万元,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比上年增加</w:t>
      </w:r>
      <w:r>
        <w:rPr>
          <w:rFonts w:ascii="FangSong" w:hAnsi="FangSong" w:eastAsia="FangSong" w:cs="FangSong"/>
          <w:sz w:val="23"/>
          <w:szCs w:val="23"/>
        </w:rPr>
        <w:t xml:space="preserve"> </w:t>
      </w:r>
      <w:r>
        <w:rPr>
          <w:rFonts w:ascii="FangSong" w:hAnsi="FangSong" w:eastAsia="FangSong" w:cs="FangSong"/>
          <w:sz w:val="23"/>
          <w:szCs w:val="23"/>
          <w:spacing w:val="-1"/>
        </w:rPr>
        <w:t>252.73万元，增长154.61%。</w:t>
      </w:r>
    </w:p>
    <w:p>
      <w:pPr>
        <w:ind w:left="2204"/>
        <w:spacing w:before="1"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2" w:line="221" w:lineRule="auto"/>
        <w:rPr>
          <w:rFonts w:ascii="FangSong" w:hAnsi="FangSong" w:eastAsia="FangSong" w:cs="FangSong"/>
          <w:sz w:val="23"/>
          <w:szCs w:val="23"/>
        </w:rPr>
      </w:pPr>
      <w:r>
        <w:rPr>
          <w:rFonts w:ascii="FangSong" w:hAnsi="FangSong" w:eastAsia="FangSong" w:cs="FangSong"/>
          <w:sz w:val="23"/>
          <w:szCs w:val="23"/>
          <w:spacing w:val="2"/>
        </w:rPr>
        <w:t>2025年度中共兴县县委巡察工作办公室一般公共预算当年支出416.19</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用于以下</w:t>
      </w:r>
    </w:p>
    <w:p>
      <w:pPr>
        <w:ind w:left="1269"/>
        <w:spacing w:before="137" w:line="221" w:lineRule="auto"/>
        <w:rPr>
          <w:rFonts w:ascii="FangSong" w:hAnsi="FangSong" w:eastAsia="FangSong" w:cs="FangSong"/>
          <w:sz w:val="23"/>
          <w:szCs w:val="23"/>
        </w:rPr>
      </w:pPr>
      <w:r>
        <w:rPr>
          <w:rFonts w:ascii="FangSong" w:hAnsi="FangSong" w:eastAsia="FangSong" w:cs="FangSong"/>
          <w:sz w:val="23"/>
          <w:szCs w:val="23"/>
          <w:spacing w:val="2"/>
        </w:rPr>
        <w:t>方面：</w:t>
      </w:r>
      <w:r>
        <w:rPr>
          <w:rFonts w:ascii="FangSong" w:hAnsi="FangSong" w:eastAsia="FangSong" w:cs="FangSong"/>
          <w:sz w:val="23"/>
          <w:szCs w:val="23"/>
          <w:spacing w:val="-36"/>
        </w:rPr>
        <w:t xml:space="preserve"> </w:t>
      </w:r>
      <w:r>
        <w:rPr>
          <w:rFonts w:ascii="FangSong" w:hAnsi="FangSong" w:eastAsia="FangSong" w:cs="FangSong"/>
          <w:sz w:val="23"/>
          <w:szCs w:val="23"/>
          <w:spacing w:val="2"/>
        </w:rPr>
        <w:t>一般公</w:t>
      </w:r>
      <w:r>
        <w:rPr>
          <w:rFonts w:ascii="FangSong" w:hAnsi="FangSong" w:eastAsia="FangSong" w:cs="FangSong"/>
          <w:sz w:val="23"/>
          <w:szCs w:val="23"/>
          <w:spacing w:val="-67"/>
        </w:rPr>
        <w:t xml:space="preserve"> </w:t>
      </w:r>
      <w:r>
        <w:rPr>
          <w:rFonts w:ascii="FangSong" w:hAnsi="FangSong" w:eastAsia="FangSong" w:cs="FangSong"/>
          <w:sz w:val="23"/>
          <w:szCs w:val="23"/>
          <w:spacing w:val="2"/>
        </w:rPr>
        <w:t>共服</w:t>
      </w:r>
      <w:r>
        <w:rPr>
          <w:rFonts w:ascii="FangSong" w:hAnsi="FangSong" w:eastAsia="FangSong" w:cs="FangSong"/>
          <w:sz w:val="23"/>
          <w:szCs w:val="23"/>
          <w:spacing w:val="-67"/>
        </w:rPr>
        <w:t xml:space="preserve"> </w:t>
      </w:r>
      <w:r>
        <w:rPr>
          <w:rFonts w:ascii="FangSong" w:hAnsi="FangSong" w:eastAsia="FangSong" w:cs="FangSong"/>
          <w:sz w:val="23"/>
          <w:szCs w:val="23"/>
          <w:spacing w:val="2"/>
        </w:rPr>
        <w:t>务支</w:t>
      </w:r>
      <w:r>
        <w:rPr>
          <w:rFonts w:ascii="FangSong" w:hAnsi="FangSong" w:eastAsia="FangSong" w:cs="FangSong"/>
          <w:sz w:val="23"/>
          <w:szCs w:val="23"/>
          <w:spacing w:val="-51"/>
        </w:rPr>
        <w:t xml:space="preserve"> </w:t>
      </w:r>
      <w:r>
        <w:rPr>
          <w:rFonts w:ascii="FangSong" w:hAnsi="FangSong" w:eastAsia="FangSong" w:cs="FangSong"/>
          <w:sz w:val="23"/>
          <w:szCs w:val="23"/>
          <w:spacing w:val="2"/>
        </w:rPr>
        <w:t>出358.55万元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w:t>
      </w:r>
      <w:r>
        <w:rPr>
          <w:rFonts w:ascii="FangSong" w:hAnsi="FangSong" w:eastAsia="FangSong" w:cs="FangSong"/>
          <w:sz w:val="23"/>
          <w:szCs w:val="23"/>
          <w:spacing w:val="-34"/>
        </w:rPr>
        <w:t xml:space="preserve"> </w:t>
      </w:r>
      <w:r>
        <w:rPr>
          <w:rFonts w:ascii="FangSong" w:hAnsi="FangSong" w:eastAsia="FangSong" w:cs="FangSong"/>
          <w:sz w:val="23"/>
          <w:szCs w:val="23"/>
          <w:spacing w:val="2"/>
        </w:rPr>
        <w:t>占86.15%；社</w:t>
      </w:r>
      <w:r>
        <w:rPr>
          <w:rFonts w:ascii="FangSong" w:hAnsi="FangSong" w:eastAsia="FangSong" w:cs="FangSong"/>
          <w:sz w:val="23"/>
          <w:szCs w:val="23"/>
          <w:spacing w:val="-66"/>
        </w:rPr>
        <w:t xml:space="preserve"> </w:t>
      </w:r>
      <w:r>
        <w:rPr>
          <w:rFonts w:ascii="FangSong" w:hAnsi="FangSong" w:eastAsia="FangSong" w:cs="FangSong"/>
          <w:sz w:val="23"/>
          <w:szCs w:val="23"/>
          <w:spacing w:val="2"/>
        </w:rPr>
        <w:t>会保</w:t>
      </w:r>
      <w:r>
        <w:rPr>
          <w:rFonts w:ascii="FangSong" w:hAnsi="FangSong" w:eastAsia="FangSong" w:cs="FangSong"/>
          <w:sz w:val="23"/>
          <w:szCs w:val="23"/>
          <w:spacing w:val="-61"/>
        </w:rPr>
        <w:t xml:space="preserve"> </w:t>
      </w:r>
      <w:r>
        <w:rPr>
          <w:rFonts w:ascii="FangSong" w:hAnsi="FangSong" w:eastAsia="FangSong" w:cs="FangSong"/>
          <w:sz w:val="23"/>
          <w:szCs w:val="23"/>
          <w:spacing w:val="2"/>
        </w:rPr>
        <w:t>障和</w:t>
      </w:r>
      <w:r>
        <w:rPr>
          <w:rFonts w:ascii="FangSong" w:hAnsi="FangSong" w:eastAsia="FangSong" w:cs="FangSong"/>
          <w:sz w:val="23"/>
          <w:szCs w:val="23"/>
          <w:spacing w:val="2"/>
        </w:rPr>
        <w:t xml:space="preserve">       </w:t>
      </w:r>
      <w:r>
        <w:rPr>
          <w:rFonts w:ascii="FangSong" w:hAnsi="FangSong" w:eastAsia="FangSong" w:cs="FangSong"/>
          <w:sz w:val="23"/>
          <w:szCs w:val="23"/>
          <w:spacing w:val="2"/>
        </w:rPr>
        <w:t>出24.37万元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w:t>
      </w:r>
      <w:r>
        <w:rPr>
          <w:rFonts w:ascii="FangSong" w:hAnsi="FangSong" w:eastAsia="FangSong" w:cs="FangSong"/>
          <w:sz w:val="23"/>
          <w:szCs w:val="23"/>
          <w:spacing w:val="-33"/>
        </w:rPr>
        <w:t xml:space="preserve"> </w:t>
      </w:r>
      <w:r>
        <w:rPr>
          <w:rFonts w:ascii="FangSong" w:hAnsi="FangSong" w:eastAsia="FangSong" w:cs="FangSong"/>
          <w:sz w:val="23"/>
          <w:szCs w:val="23"/>
          <w:spacing w:val="2"/>
        </w:rPr>
        <w:t>占</w:t>
      </w:r>
    </w:p>
    <w:p>
      <w:pPr>
        <w:spacing w:line="221" w:lineRule="auto"/>
        <w:sectPr>
          <w:headerReference w:type="default" r:id="rId35"/>
          <w:footerReference w:type="default" r:id="rId36"/>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1"/>
        <w:spacing w:before="75" w:line="221" w:lineRule="auto"/>
        <w:rPr>
          <w:rFonts w:ascii="FangSong" w:hAnsi="FangSong" w:eastAsia="FangSong" w:cs="FangSong"/>
          <w:sz w:val="23"/>
          <w:szCs w:val="23"/>
        </w:rPr>
      </w:pPr>
      <w:r>
        <w:rPr>
          <w:rFonts w:ascii="FangSong" w:hAnsi="FangSong" w:eastAsia="FangSong" w:cs="FangSong"/>
          <w:sz w:val="23"/>
          <w:szCs w:val="23"/>
          <w:spacing w:val="-2"/>
        </w:rPr>
        <w:t>5.86%</w:t>
      </w:r>
      <w:r>
        <w:rPr>
          <w:rFonts w:ascii="FangSong" w:hAnsi="FangSong" w:eastAsia="FangSong" w:cs="FangSong"/>
          <w:sz w:val="23"/>
          <w:szCs w:val="23"/>
          <w:spacing w:val="-2"/>
        </w:rPr>
        <w:t xml:space="preserve">        </w:t>
      </w:r>
      <w:r>
        <w:rPr>
          <w:rFonts w:ascii="FangSong" w:hAnsi="FangSong" w:eastAsia="FangSong" w:cs="FangSong"/>
          <w:sz w:val="23"/>
          <w:szCs w:val="23"/>
          <w:spacing w:val="-2"/>
        </w:rPr>
        <w:t>康支出12.51万元，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占3.01%；住房保障支出20.77万元，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占4.99%等。</w:t>
      </w:r>
    </w:p>
    <w:p>
      <w:pPr>
        <w:ind w:firstLine="3825"/>
        <w:spacing w:before="220" w:line="2447" w:lineRule="exact"/>
        <w:rPr/>
      </w:pPr>
      <w:r>
        <w:rPr>
          <w:position w:val="-48"/>
        </w:rPr>
        <w:drawing>
          <wp:inline distT="0" distB="0" distL="0" distR="0">
            <wp:extent cx="2473252" cy="155416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2473252" cy="1554168"/>
                    </a:xfrm>
                    <a:prstGeom prst="rect">
                      <a:avLst/>
                    </a:prstGeom>
                  </pic:spPr>
                </pic:pic>
              </a:graphicData>
            </a:graphic>
          </wp:inline>
        </w:drawing>
      </w:r>
    </w:p>
    <w:p>
      <w:pPr>
        <w:pStyle w:val="BodyText"/>
        <w:spacing w:line="298" w:lineRule="auto"/>
        <w:rPr/>
      </w:pPr>
      <w:r/>
    </w:p>
    <w:p>
      <w:pPr>
        <w:pStyle w:val="BodyText"/>
        <w:spacing w:line="29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4" w:line="221" w:lineRule="auto"/>
        <w:rPr>
          <w:rFonts w:ascii="FangSong" w:hAnsi="FangSong" w:eastAsia="FangSong" w:cs="FangSong"/>
          <w:sz w:val="23"/>
          <w:szCs w:val="23"/>
        </w:rPr>
      </w:pPr>
      <w:r>
        <w:rPr>
          <w:rFonts w:ascii="FangSong" w:hAnsi="FangSong" w:eastAsia="FangSong" w:cs="FangSong"/>
          <w:sz w:val="23"/>
          <w:szCs w:val="23"/>
          <w:spacing w:val="1"/>
        </w:rPr>
        <w:t>年度中共兴县县委巡察工作办公室一般公共预算安排基本支出30</w:t>
      </w:r>
      <w:r>
        <w:rPr>
          <w:rFonts w:ascii="FangSong" w:hAnsi="FangSong" w:eastAsia="FangSong" w:cs="FangSong"/>
          <w:sz w:val="23"/>
          <w:szCs w:val="23"/>
        </w:rPr>
        <w:t>1.43万</w:t>
      </w:r>
      <w:r>
        <w:rPr>
          <w:rFonts w:ascii="FangSong" w:hAnsi="FangSong" w:eastAsia="FangSong" w:cs="FangSong"/>
          <w:sz w:val="23"/>
          <w:szCs w:val="23"/>
        </w:rPr>
        <w:t xml:space="preserve">  </w:t>
      </w:r>
      <w:r>
        <w:rPr>
          <w:rFonts w:ascii="FangSong" w:hAnsi="FangSong" w:eastAsia="FangSong" w:cs="FangSong"/>
          <w:sz w:val="23"/>
          <w:szCs w:val="23"/>
          <w:spacing w:val="-16"/>
        </w:rPr>
        <w:t>，</w:t>
      </w:r>
      <w:r>
        <w:rPr>
          <w:rFonts w:ascii="FangSong" w:hAnsi="FangSong" w:eastAsia="FangSong" w:cs="FangSong"/>
          <w:sz w:val="23"/>
          <w:szCs w:val="23"/>
        </w:rPr>
        <w:t xml:space="preserve">    </w:t>
      </w:r>
      <w:r>
        <w:rPr>
          <w:rFonts w:ascii="FangSong" w:hAnsi="FangSong" w:eastAsia="FangSong" w:cs="FangSong"/>
          <w:sz w:val="23"/>
          <w:szCs w:val="23"/>
          <w:spacing w:val="-16"/>
        </w:rPr>
        <w:t>：</w:t>
      </w:r>
    </w:p>
    <w:p>
      <w:pPr>
        <w:ind w:left="1728"/>
        <w:spacing w:before="125" w:line="222" w:lineRule="auto"/>
        <w:rPr>
          <w:rFonts w:ascii="FangSong" w:hAnsi="FangSong" w:eastAsia="FangSong" w:cs="FangSong"/>
          <w:sz w:val="23"/>
          <w:szCs w:val="23"/>
        </w:rPr>
      </w:pPr>
      <w:r>
        <w:rPr>
          <w:rFonts w:ascii="FangSong" w:hAnsi="FangSong" w:eastAsia="FangSong" w:cs="FangSong"/>
          <w:sz w:val="23"/>
          <w:szCs w:val="23"/>
          <w:spacing w:val="5"/>
        </w:rPr>
        <w:t>人员经费249.48</w:t>
      </w:r>
      <w:r>
        <w:rPr>
          <w:rFonts w:ascii="FangSong" w:hAnsi="FangSong" w:eastAsia="FangSong" w:cs="FangSong"/>
          <w:sz w:val="23"/>
          <w:szCs w:val="23"/>
          <w:spacing w:val="5"/>
        </w:rPr>
        <w:t xml:space="preserve">  </w:t>
      </w:r>
      <w:r>
        <w:rPr>
          <w:rFonts w:ascii="FangSong" w:hAnsi="FangSong" w:eastAsia="FangSong" w:cs="FangSong"/>
          <w:sz w:val="23"/>
          <w:szCs w:val="23"/>
          <w:spacing w:val="5"/>
        </w:rPr>
        <w:t>元，主要包括：其他工资福利支</w:t>
      </w:r>
      <w:r>
        <w:rPr>
          <w:rFonts w:ascii="FangSong" w:hAnsi="FangSong" w:eastAsia="FangSong" w:cs="FangSong"/>
          <w:sz w:val="23"/>
          <w:szCs w:val="23"/>
          <w:spacing w:val="4"/>
        </w:rPr>
        <w:t>出、公务员医疗补</w:t>
      </w:r>
      <w:r>
        <w:rPr>
          <w:rFonts w:ascii="FangSong" w:hAnsi="FangSong" w:eastAsia="FangSong" w:cs="FangSong"/>
          <w:sz w:val="23"/>
          <w:szCs w:val="23"/>
          <w:spacing w:val="4"/>
        </w:rPr>
        <w:t xml:space="preserve">      </w:t>
      </w:r>
      <w:r>
        <w:rPr>
          <w:rFonts w:ascii="FangSong" w:hAnsi="FangSong" w:eastAsia="FangSong" w:cs="FangSong"/>
          <w:sz w:val="23"/>
          <w:szCs w:val="23"/>
          <w:spacing w:val="4"/>
        </w:rPr>
        <w:t>、其他社会</w:t>
      </w:r>
    </w:p>
    <w:p>
      <w:pPr>
        <w:ind w:left="1268" w:right="1223" w:hanging="4"/>
        <w:spacing w:before="125" w:line="325" w:lineRule="auto"/>
        <w:rPr>
          <w:rFonts w:ascii="FangSong" w:hAnsi="FangSong" w:eastAsia="FangSong" w:cs="FangSong"/>
          <w:sz w:val="23"/>
          <w:szCs w:val="23"/>
        </w:rPr>
      </w:pPr>
      <w:r>
        <w:rPr>
          <w:rFonts w:ascii="FangSong" w:hAnsi="FangSong" w:eastAsia="FangSong" w:cs="FangSong"/>
          <w:sz w:val="23"/>
          <w:szCs w:val="23"/>
          <w:spacing w:val="5"/>
        </w:rPr>
        <w:t>保障缴费、绩效工资、基本工资、机关事业单位基本养老保险缴费、</w:t>
      </w:r>
      <w:r>
        <w:rPr>
          <w:rFonts w:ascii="FangSong" w:hAnsi="FangSong" w:eastAsia="FangSong" w:cs="FangSong"/>
          <w:sz w:val="23"/>
          <w:szCs w:val="23"/>
          <w:spacing w:val="5"/>
        </w:rPr>
        <w:t xml:space="preserve">    </w:t>
      </w:r>
      <w:r>
        <w:rPr>
          <w:rFonts w:ascii="FangSong" w:hAnsi="FangSong" w:eastAsia="FangSong" w:cs="FangSong"/>
          <w:sz w:val="23"/>
          <w:szCs w:val="23"/>
          <w:spacing w:val="5"/>
        </w:rPr>
        <w:t>、住房公积金、职</w:t>
      </w:r>
      <w:r>
        <w:rPr>
          <w:rFonts w:ascii="FangSong" w:hAnsi="FangSong" w:eastAsia="FangSong" w:cs="FangSong"/>
          <w:sz w:val="23"/>
          <w:szCs w:val="23"/>
        </w:rPr>
        <w:t xml:space="preserve"> </w:t>
      </w:r>
      <w:r>
        <w:rPr>
          <w:rFonts w:ascii="FangSong" w:hAnsi="FangSong" w:eastAsia="FangSong" w:cs="FangSong"/>
          <w:sz w:val="23"/>
          <w:szCs w:val="23"/>
          <w:spacing w:val="-1"/>
        </w:rPr>
        <w:t>工基本医疗保险缴费、津贴补贴等；</w:t>
      </w:r>
    </w:p>
    <w:p>
      <w:pPr>
        <w:ind w:left="1271" w:right="1222" w:firstLine="458"/>
        <w:spacing w:before="2" w:line="322" w:lineRule="auto"/>
        <w:rPr>
          <w:rFonts w:ascii="FangSong" w:hAnsi="FangSong" w:eastAsia="FangSong" w:cs="FangSong"/>
          <w:sz w:val="23"/>
          <w:szCs w:val="23"/>
        </w:rPr>
      </w:pPr>
      <w:r>
        <w:rPr>
          <w:rFonts w:ascii="FangSong" w:hAnsi="FangSong" w:eastAsia="FangSong" w:cs="FangSong"/>
          <w:sz w:val="23"/>
          <w:szCs w:val="23"/>
          <w:spacing w:val="2"/>
        </w:rPr>
        <w:t>公用经费51.94万元，主要包括：印刷费、办公费、福利费、其他交通费用、差旅费、工</w:t>
      </w:r>
      <w:r>
        <w:rPr>
          <w:rFonts w:ascii="FangSong" w:hAnsi="FangSong" w:eastAsia="FangSong" w:cs="FangSong"/>
          <w:sz w:val="23"/>
          <w:szCs w:val="23"/>
          <w:spacing w:val="9"/>
        </w:rPr>
        <w:t xml:space="preserve"> </w:t>
      </w:r>
      <w:r>
        <w:rPr>
          <w:rFonts w:ascii="FangSong" w:hAnsi="FangSong" w:eastAsia="FangSong" w:cs="FangSong"/>
          <w:sz w:val="23"/>
          <w:szCs w:val="23"/>
          <w:spacing w:val="-5"/>
        </w:rPr>
        <w:t>会经费等。</w:t>
      </w:r>
    </w:p>
    <w:p>
      <w:pPr>
        <w:ind w:left="1255"/>
        <w:spacing w:before="3"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263" w:right="1223" w:firstLine="462"/>
        <w:spacing w:before="185" w:line="320" w:lineRule="auto"/>
        <w:rPr>
          <w:rFonts w:ascii="FangSong" w:hAnsi="FangSong" w:eastAsia="FangSong" w:cs="FangSong"/>
          <w:sz w:val="23"/>
          <w:szCs w:val="23"/>
        </w:rPr>
      </w:pPr>
      <w:r>
        <w:rPr>
          <w:rFonts w:ascii="FangSong" w:hAnsi="FangSong" w:eastAsia="FangSong" w:cs="FangSong"/>
          <w:sz w:val="23"/>
          <w:szCs w:val="23"/>
          <w:spacing w:val="4"/>
        </w:rPr>
        <w:t>本部门2025年机关运行经费财政拨款预算</w:t>
      </w:r>
      <w:r>
        <w:rPr>
          <w:rFonts w:ascii="FangSong" w:hAnsi="FangSong" w:eastAsia="FangSong" w:cs="FangSong"/>
          <w:sz w:val="23"/>
          <w:szCs w:val="23"/>
          <w:spacing w:val="3"/>
        </w:rPr>
        <w:t>51.94万元，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比2024年预算增加10.64万元，增</w:t>
      </w:r>
      <w:r>
        <w:rPr>
          <w:rFonts w:ascii="FangSong" w:hAnsi="FangSong" w:eastAsia="FangSong" w:cs="FangSong"/>
          <w:sz w:val="23"/>
          <w:szCs w:val="23"/>
        </w:rPr>
        <w:t xml:space="preserve"> </w:t>
      </w:r>
      <w:r>
        <w:rPr>
          <w:rFonts w:ascii="FangSong" w:hAnsi="FangSong" w:eastAsia="FangSong" w:cs="FangSong"/>
          <w:sz w:val="23"/>
          <w:szCs w:val="23"/>
        </w:rPr>
        <w:t>长25.76%，原因是本部门2024年调入事业人员10名，公务员1名，导致机关运行经费增加。</w:t>
      </w:r>
    </w:p>
    <w:p>
      <w:pPr>
        <w:ind w:left="1258"/>
        <w:spacing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5" w:right="1223" w:firstLine="454"/>
        <w:spacing w:before="187" w:line="322" w:lineRule="auto"/>
        <w:rPr>
          <w:rFonts w:ascii="FangSong" w:hAnsi="FangSong" w:eastAsia="FangSong" w:cs="FangSong"/>
          <w:sz w:val="23"/>
          <w:szCs w:val="23"/>
        </w:rPr>
      </w:pPr>
      <w:r>
        <w:rPr>
          <w:rFonts w:ascii="FangSong" w:hAnsi="FangSong" w:eastAsia="FangSong" w:cs="FangSong"/>
          <w:sz w:val="23"/>
          <w:szCs w:val="23"/>
          <w:spacing w:val="2"/>
        </w:rPr>
        <w:t>2025年中共兴县县</w:t>
      </w:r>
      <w:r>
        <w:rPr>
          <w:rFonts w:ascii="FangSong" w:hAnsi="FangSong" w:eastAsia="FangSong" w:cs="FangSong"/>
          <w:sz w:val="23"/>
          <w:szCs w:val="23"/>
          <w:spacing w:val="2"/>
        </w:rPr>
        <w:t xml:space="preserve">    </w:t>
      </w:r>
      <w:r>
        <w:rPr>
          <w:rFonts w:ascii="FangSong" w:hAnsi="FangSong" w:eastAsia="FangSong" w:cs="FangSong"/>
          <w:sz w:val="23"/>
          <w:szCs w:val="23"/>
          <w:spacing w:val="2"/>
        </w:rPr>
        <w:t>察工作办公室政府采购预算总额31.00万元。其中：政府采购货物</w:t>
      </w:r>
      <w:r>
        <w:rPr>
          <w:rFonts w:ascii="FangSong" w:hAnsi="FangSong" w:eastAsia="FangSong" w:cs="FangSong"/>
          <w:sz w:val="23"/>
          <w:szCs w:val="23"/>
          <w:spacing w:val="9"/>
        </w:rPr>
        <w:t xml:space="preserve"> </w:t>
      </w:r>
      <w:r>
        <w:rPr>
          <w:rFonts w:ascii="FangSong" w:hAnsi="FangSong" w:eastAsia="FangSong" w:cs="FangSong"/>
          <w:sz w:val="23"/>
          <w:szCs w:val="23"/>
        </w:rPr>
        <w:t>预算21.00万元、</w:t>
      </w:r>
      <w:r>
        <w:rPr>
          <w:rFonts w:ascii="FangSong" w:hAnsi="FangSong" w:eastAsia="FangSong" w:cs="FangSong"/>
          <w:sz w:val="23"/>
          <w:szCs w:val="23"/>
        </w:rPr>
        <w:t xml:space="preserve">      </w:t>
      </w:r>
      <w:r>
        <w:rPr>
          <w:rFonts w:ascii="FangSong" w:hAnsi="FangSong" w:eastAsia="FangSong" w:cs="FangSong"/>
          <w:sz w:val="23"/>
          <w:szCs w:val="23"/>
        </w:rPr>
        <w:t>购工程预算0万元、政府采购服务预算10.00万元。</w:t>
      </w:r>
    </w:p>
    <w:p>
      <w:pPr>
        <w:pStyle w:val="BodyText"/>
        <w:spacing w:line="332" w:lineRule="auto"/>
        <w:rPr/>
      </w:pPr>
      <w:r/>
    </w:p>
    <w:p>
      <w:pPr>
        <w:ind w:left="1735"/>
        <w:spacing w:before="76"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2"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2025年编报单位整体绩效目标，涉及资金114.76万元。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33" w:line="323" w:lineRule="auto"/>
        <w:rPr>
          <w:rFonts w:ascii="FangSong" w:hAnsi="FangSong" w:eastAsia="FangSong" w:cs="FangSong"/>
          <w:sz w:val="23"/>
          <w:szCs w:val="23"/>
        </w:rPr>
      </w:pPr>
      <w:r>
        <w:rPr>
          <w:rFonts w:ascii="FangSong" w:hAnsi="FangSong" w:eastAsia="FangSong" w:cs="FangSong"/>
          <w:sz w:val="23"/>
          <w:szCs w:val="23"/>
          <w:spacing w:val="2"/>
        </w:rPr>
        <w:t>2025年中共兴县县委巡察工作办公室纳入绩效目标管理的二级项目4个，共计金额114.76</w:t>
      </w:r>
      <w:r>
        <w:rPr>
          <w:rFonts w:ascii="FangSong" w:hAnsi="FangSong" w:eastAsia="FangSong" w:cs="FangSong"/>
          <w:sz w:val="23"/>
          <w:szCs w:val="23"/>
          <w:spacing w:val="11"/>
        </w:rPr>
        <w:t xml:space="preserve"> </w:t>
      </w:r>
      <w:r>
        <w:rPr>
          <w:rFonts w:ascii="FangSong" w:hAnsi="FangSong" w:eastAsia="FangSong" w:cs="FangSong"/>
          <w:sz w:val="23"/>
          <w:szCs w:val="23"/>
          <w:spacing w:val="2"/>
        </w:rPr>
        <w:t>万元。其中：其他运转类项目4个，涉及金额114.76万元；特定目标类项目0个，涉及金额0万</w:t>
      </w:r>
      <w:r>
        <w:rPr>
          <w:rFonts w:ascii="FangSong" w:hAnsi="FangSong" w:eastAsia="FangSong" w:cs="FangSong"/>
          <w:sz w:val="23"/>
          <w:szCs w:val="23"/>
          <w:spacing w:val="4"/>
        </w:rPr>
        <w:t xml:space="preserve"> </w:t>
      </w:r>
      <w:r>
        <w:rPr>
          <w:rFonts w:ascii="FangSong" w:hAnsi="FangSong" w:eastAsia="FangSong" w:cs="FangSong"/>
          <w:sz w:val="23"/>
          <w:szCs w:val="23"/>
        </w:rPr>
        <w:t>元</w:t>
      </w:r>
      <w:r>
        <w:rPr>
          <w:rFonts w:ascii="FangSong" w:hAnsi="FangSong" w:eastAsia="FangSong" w:cs="FangSong"/>
          <w:sz w:val="23"/>
          <w:szCs w:val="23"/>
          <w:spacing w:val="-57"/>
        </w:rPr>
        <w:t xml:space="preserve"> </w:t>
      </w:r>
      <w:r>
        <w:rPr>
          <w:rFonts w:ascii="FangSong" w:hAnsi="FangSong" w:eastAsia="FangSong" w:cs="FangSong"/>
          <w:sz w:val="23"/>
          <w:szCs w:val="23"/>
        </w:rPr>
        <w:t>。公开项</w:t>
      </w:r>
      <w:r>
        <w:rPr>
          <w:rFonts w:ascii="FangSong" w:hAnsi="FangSong" w:eastAsia="FangSong" w:cs="FangSong"/>
          <w:sz w:val="23"/>
          <w:szCs w:val="23"/>
          <w:spacing w:val="-43"/>
        </w:rPr>
        <w:t xml:space="preserve"> </w:t>
      </w:r>
      <w:r>
        <w:rPr>
          <w:rFonts w:ascii="FangSong" w:hAnsi="FangSong" w:eastAsia="FangSong" w:cs="FangSong"/>
          <w:sz w:val="23"/>
          <w:szCs w:val="23"/>
        </w:rPr>
        <w:t>目绩效</w:t>
      </w:r>
      <w:r>
        <w:rPr>
          <w:rFonts w:ascii="FangSong" w:hAnsi="FangSong" w:eastAsia="FangSong" w:cs="FangSong"/>
          <w:sz w:val="23"/>
          <w:szCs w:val="23"/>
          <w:spacing w:val="-44"/>
        </w:rPr>
        <w:t xml:space="preserve"> </w:t>
      </w:r>
      <w:r>
        <w:rPr>
          <w:rFonts w:ascii="FangSong" w:hAnsi="FangSong" w:eastAsia="FangSong" w:cs="FangSong"/>
          <w:sz w:val="23"/>
          <w:szCs w:val="23"/>
        </w:rPr>
        <w:t>目标4个</w:t>
      </w:r>
      <w:r>
        <w:rPr>
          <w:rFonts w:ascii="FangSong" w:hAnsi="FangSong" w:eastAsia="FangSong" w:cs="FangSong"/>
          <w:sz w:val="23"/>
          <w:szCs w:val="23"/>
          <w:spacing w:val="-69"/>
        </w:rPr>
        <w:t xml:space="preserve"> </w:t>
      </w:r>
      <w:r>
        <w:rPr>
          <w:rFonts w:ascii="FangSong" w:hAnsi="FangSong" w:eastAsia="FangSong" w:cs="FangSong"/>
          <w:sz w:val="23"/>
          <w:szCs w:val="23"/>
        </w:rPr>
        <w:t>，涉及项</w:t>
      </w:r>
      <w:r>
        <w:rPr>
          <w:rFonts w:ascii="FangSong" w:hAnsi="FangSong" w:eastAsia="FangSong" w:cs="FangSong"/>
          <w:sz w:val="23"/>
          <w:szCs w:val="23"/>
          <w:spacing w:val="-43"/>
        </w:rPr>
        <w:t xml:space="preserve"> </w:t>
      </w:r>
      <w:r>
        <w:rPr>
          <w:rFonts w:ascii="FangSong" w:hAnsi="FangSong" w:eastAsia="FangSong" w:cs="FangSong"/>
          <w:sz w:val="23"/>
          <w:szCs w:val="23"/>
        </w:rPr>
        <w:t>目金额114.76万元</w:t>
      </w:r>
      <w:r>
        <w:rPr>
          <w:rFonts w:ascii="FangSong" w:hAnsi="FangSong" w:eastAsia="FangSong" w:cs="FangSong"/>
          <w:sz w:val="23"/>
          <w:szCs w:val="23"/>
          <w:spacing w:val="-69"/>
        </w:rPr>
        <w:t xml:space="preserve"> </w:t>
      </w:r>
      <w:r>
        <w:rPr>
          <w:rFonts w:ascii="FangSong" w:hAnsi="FangSong" w:eastAsia="FangSong" w:cs="FangSong"/>
          <w:sz w:val="23"/>
          <w:szCs w:val="23"/>
        </w:rPr>
        <w:t>，</w:t>
      </w:r>
      <w:r>
        <w:rPr>
          <w:rFonts w:ascii="FangSong" w:hAnsi="FangSong" w:eastAsia="FangSong" w:cs="FangSong"/>
          <w:sz w:val="23"/>
          <w:szCs w:val="23"/>
          <w:spacing w:val="-44"/>
        </w:rPr>
        <w:t xml:space="preserve"> </w:t>
      </w:r>
      <w:r>
        <w:rPr>
          <w:rFonts w:ascii="FangSong" w:hAnsi="FangSong" w:eastAsia="FangSong" w:cs="FangSong"/>
          <w:sz w:val="23"/>
          <w:szCs w:val="23"/>
        </w:rPr>
        <w:t>占部门（单位）</w:t>
      </w:r>
      <w:r>
        <w:rPr>
          <w:rFonts w:ascii="FangSong" w:hAnsi="FangSong" w:eastAsia="FangSong" w:cs="FangSong"/>
          <w:sz w:val="23"/>
          <w:szCs w:val="23"/>
          <w:spacing w:val="-68"/>
        </w:rPr>
        <w:t xml:space="preserve"> </w:t>
      </w:r>
      <w:r>
        <w:rPr>
          <w:rFonts w:ascii="FangSong" w:hAnsi="FangSong" w:eastAsia="FangSong" w:cs="FangSong"/>
          <w:sz w:val="23"/>
          <w:szCs w:val="23"/>
        </w:rPr>
        <w:t>项</w:t>
      </w:r>
      <w:r>
        <w:rPr>
          <w:rFonts w:ascii="FangSong" w:hAnsi="FangSong" w:eastAsia="FangSong" w:cs="FangSong"/>
          <w:sz w:val="23"/>
          <w:szCs w:val="23"/>
          <w:spacing w:val="-44"/>
        </w:rPr>
        <w:t xml:space="preserve"> </w:t>
      </w:r>
      <w:r>
        <w:rPr>
          <w:rFonts w:ascii="FangSong" w:hAnsi="FangSong" w:eastAsia="FangSong" w:cs="FangSong"/>
          <w:sz w:val="23"/>
          <w:szCs w:val="23"/>
        </w:rPr>
        <w:t>目支出总额的</w:t>
      </w:r>
      <w:r>
        <w:rPr>
          <w:rFonts w:ascii="FangSong" w:hAnsi="FangSong" w:eastAsia="FangSong" w:cs="FangSong"/>
          <w:sz w:val="23"/>
          <w:szCs w:val="23"/>
        </w:rPr>
        <w:t xml:space="preserve"> </w:t>
      </w:r>
      <w:r>
        <w:rPr>
          <w:rFonts w:ascii="FangSong" w:hAnsi="FangSong" w:eastAsia="FangSong" w:cs="FangSong"/>
          <w:sz w:val="23"/>
          <w:szCs w:val="23"/>
          <w:spacing w:val="5"/>
        </w:rPr>
        <w:t>100%。其中：其他运转类项目4个，涉及项目金额1</w:t>
      </w:r>
      <w:r>
        <w:rPr>
          <w:rFonts w:ascii="FangSong" w:hAnsi="FangSong" w:eastAsia="FangSong" w:cs="FangSong"/>
          <w:sz w:val="23"/>
          <w:szCs w:val="23"/>
          <w:spacing w:val="4"/>
        </w:rPr>
        <w:t>14.76万元；特定目标类项目0个，涉及项</w:t>
      </w:r>
      <w:r>
        <w:rPr>
          <w:rFonts w:ascii="FangSong" w:hAnsi="FangSong" w:eastAsia="FangSong" w:cs="FangSong"/>
          <w:sz w:val="23"/>
          <w:szCs w:val="23"/>
        </w:rPr>
        <w:t xml:space="preserve"> </w:t>
      </w:r>
      <w:r>
        <w:rPr>
          <w:rFonts w:ascii="FangSong" w:hAnsi="FangSong" w:eastAsia="FangSong" w:cs="FangSong"/>
          <w:sz w:val="23"/>
          <w:szCs w:val="23"/>
          <w:spacing w:val="-2"/>
        </w:rPr>
        <w:t>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91" w:gutter="0"/>
        </w:sectPr>
        <w:rPr>
          <w:rFonts w:ascii="FangSong" w:hAnsi="FangSong" w:eastAsia="FangSong" w:cs="FangSong"/>
          <w:sz w:val="23"/>
          <w:szCs w:val="23"/>
        </w:rPr>
      </w:pPr>
    </w:p>
    <w:p>
      <w:pPr>
        <w:pStyle w:val="BodyText"/>
        <w:spacing w:line="277" w:lineRule="auto"/>
        <w:rPr/>
      </w:pPr>
      <w:r>
        <w:pict>
          <v:shape id="_x0000_s440"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48"/>
        <w:spacing w:line="12423" w:lineRule="exact"/>
        <w:rPr/>
      </w:pPr>
      <w:r>
        <w:pict>
          <v:shape id="_x0000_s442" style="position:absolute;margin-left:-13.08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44" style="position:absolute;margin-left:86.92pt;margin-top:472.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pict>
          <v:shape id="_x0000_s446"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48" style="position:absolute;margin-left:491.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48"/>
        </w:rPr>
        <w:drawing>
          <wp:inline distT="0" distB="0" distL="0" distR="0">
            <wp:extent cx="5547161" cy="788822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547161" cy="7888227"/>
                    </a:xfrm>
                    <a:prstGeom prst="rect">
                      <a:avLst/>
                    </a:prstGeom>
                  </pic:spPr>
                </pic:pic>
              </a:graphicData>
            </a:graphic>
          </wp:inline>
        </w:drawing>
      </w:r>
    </w:p>
    <w:p>
      <w:pPr>
        <w:spacing w:line="12423" w:lineRule="exact"/>
        <w:sectPr>
          <w:headerReference w:type="default" r:id="rId41"/>
          <w:footerReference w:type="default" r:id="rId42"/>
          <w:pgSz w:w="11900" w:h="16840"/>
          <w:pgMar w:top="642" w:right="0" w:bottom="340" w:left="0" w:header="326" w:footer="93" w:gutter="0"/>
        </w:sectPr>
        <w:rPr/>
      </w:pPr>
    </w:p>
    <w:p>
      <w:pPr>
        <w:pStyle w:val="BodyText"/>
        <w:spacing w:line="277" w:lineRule="auto"/>
        <w:rPr/>
      </w:pPr>
      <w:r>
        <w:pict>
          <v:shape id="_x0000_s450"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194"/>
        <w:spacing w:line="12823" w:lineRule="exact"/>
        <w:rPr/>
      </w:pPr>
      <w:r>
        <w:pict>
          <v:shape id="_x0000_s452" style="position:absolute;margin-left:391.92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454" style="position:absolute;margin-left:-13.08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456"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458" style="position:absolute;margin-left:491.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56"/>
        </w:rPr>
        <w:drawing>
          <wp:inline distT="0" distB="0" distL="0" distR="0">
            <wp:extent cx="6041461" cy="8142242"/>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6041461" cy="8142242"/>
                    </a:xfrm>
                    <a:prstGeom prst="rect">
                      <a:avLst/>
                    </a:prstGeom>
                  </pic:spPr>
                </pic:pic>
              </a:graphicData>
            </a:graphic>
          </wp:inline>
        </w:drawing>
      </w:r>
    </w:p>
    <w:p>
      <w:pPr>
        <w:spacing w:line="12823" w:lineRule="exact"/>
        <w:sectPr>
          <w:footerReference w:type="default" r:id="rId44"/>
          <w:pgSz w:w="11900" w:h="16840"/>
          <w:pgMar w:top="642" w:right="0" w:bottom="340" w:left="0" w:header="326" w:footer="93" w:gutter="0"/>
        </w:sectPr>
        <w:rPr/>
      </w:pPr>
    </w:p>
    <w:p>
      <w:pPr>
        <w:pStyle w:val="BodyText"/>
        <w:spacing w:line="277" w:lineRule="auto"/>
        <w:rPr/>
      </w:pPr>
      <w:r>
        <w:pict>
          <v:shape id="_x0000_s460"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16"/>
        <w:spacing w:line="11785" w:lineRule="exact"/>
        <w:rPr/>
      </w:pPr>
      <w:r>
        <w:pict>
          <v:shape id="_x0000_s462"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464" style="position:absolute;margin-left:491.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466" style="position:absolute;margin-left:86.92pt;margin-top:472.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468" style="position:absolute;margin-left:-13.08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519698" cy="7483174"/>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5519698" cy="7483174"/>
                    </a:xfrm>
                    <a:prstGeom prst="rect">
                      <a:avLst/>
                    </a:prstGeom>
                  </pic:spPr>
                </pic:pic>
              </a:graphicData>
            </a:graphic>
          </wp:inline>
        </w:drawing>
      </w:r>
    </w:p>
    <w:p>
      <w:pPr>
        <w:spacing w:line="11785" w:lineRule="exact"/>
        <w:sectPr>
          <w:footerReference w:type="default" r:id="rId46"/>
          <w:pgSz w:w="11900" w:h="16840"/>
          <w:pgMar w:top="642" w:right="0" w:bottom="340" w:left="0" w:header="326" w:footer="93" w:gutter="0"/>
        </w:sectPr>
        <w:rPr/>
      </w:pPr>
    </w:p>
    <w:p>
      <w:pPr>
        <w:pStyle w:val="BodyText"/>
        <w:spacing w:line="277" w:lineRule="auto"/>
        <w:rPr/>
      </w:pPr>
      <w:r>
        <w:pict>
          <v:shape id="_x0000_s470"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2390" w:lineRule="exact"/>
        <w:rPr/>
      </w:pPr>
      <w:r>
        <w:pict>
          <v:shape id="_x0000_s472"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474" style="position:absolute;margin-left:491.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476"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478" style="position:absolute;margin-left:-13.08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47"/>
        </w:rPr>
        <w:drawing>
          <wp:inline distT="0" distB="0" distL="0" distR="0">
            <wp:extent cx="6041461" cy="7867630"/>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6041461" cy="7867630"/>
                    </a:xfrm>
                    <a:prstGeom prst="rect">
                      <a:avLst/>
                    </a:prstGeom>
                  </pic:spPr>
                </pic:pic>
              </a:graphicData>
            </a:graphic>
          </wp:inline>
        </w:drawing>
      </w:r>
    </w:p>
    <w:p>
      <w:pPr>
        <w:spacing w:line="12390" w:lineRule="exact"/>
        <w:sectPr>
          <w:footerReference w:type="default" r:id="rId48"/>
          <w:pgSz w:w="11900" w:h="16840"/>
          <w:pgMar w:top="642" w:right="0" w:bottom="340" w:left="0" w:header="326" w:footer="9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4" w:right="1223" w:firstLine="460"/>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2"/>
        </w:rPr>
        <w:t xml:space="preserve"> </w:t>
      </w:r>
      <w:r>
        <w:rPr>
          <w:rFonts w:ascii="FangSong" w:hAnsi="FangSong" w:eastAsia="FangSong" w:cs="FangSong"/>
          <w:sz w:val="23"/>
          <w:szCs w:val="23"/>
          <w:spacing w:val="2"/>
        </w:rPr>
        <w:t>日，</w:t>
      </w:r>
      <w:r>
        <w:rPr>
          <w:rFonts w:ascii="FangSong" w:hAnsi="FangSong" w:eastAsia="FangSong" w:cs="FangSong"/>
          <w:sz w:val="23"/>
          <w:szCs w:val="23"/>
          <w:spacing w:val="-64"/>
        </w:rPr>
        <w:t xml:space="preserve"> </w:t>
      </w:r>
      <w:r>
        <w:rPr>
          <w:rFonts w:ascii="FangSong" w:hAnsi="FangSong" w:eastAsia="FangSong" w:cs="FangSong"/>
          <w:sz w:val="23"/>
          <w:szCs w:val="23"/>
          <w:spacing w:val="2"/>
        </w:rPr>
        <w:t>中共兴县县委巡察工作办公室共有公务用车编制0辆，实有0辆，</w:t>
      </w:r>
      <w:r>
        <w:rPr>
          <w:rFonts w:ascii="FangSong" w:hAnsi="FangSong" w:eastAsia="FangSong" w:cs="FangSong"/>
          <w:sz w:val="23"/>
          <w:szCs w:val="23"/>
        </w:rPr>
        <w:t xml:space="preserve"> </w:t>
      </w:r>
      <w:r>
        <w:rPr>
          <w:rFonts w:ascii="FangSong" w:hAnsi="FangSong" w:eastAsia="FangSong" w:cs="FangSong"/>
          <w:sz w:val="23"/>
          <w:szCs w:val="23"/>
          <w:spacing w:val="5"/>
        </w:rPr>
        <w:t>其中：领导用车0辆，机要通信用车0辆，应急保障用车0辆，执法执勤用车0辆，特种专业技</w:t>
      </w:r>
      <w:r>
        <w:rPr>
          <w:rFonts w:ascii="FangSong" w:hAnsi="FangSong" w:eastAsia="FangSong" w:cs="FangSong"/>
          <w:sz w:val="23"/>
          <w:szCs w:val="23"/>
        </w:rPr>
        <w:t xml:space="preserve"> </w:t>
      </w:r>
      <w:r>
        <w:rPr>
          <w:rFonts w:ascii="FangSong" w:hAnsi="FangSong" w:eastAsia="FangSong" w:cs="FangSong"/>
          <w:sz w:val="23"/>
          <w:szCs w:val="23"/>
        </w:rPr>
        <w:t>术用车0辆，事业单位业务用车0辆，其他公务用</w:t>
      </w:r>
      <w:r>
        <w:rPr>
          <w:rFonts w:ascii="FangSong" w:hAnsi="FangSong" w:eastAsia="FangSong" w:cs="FangSong"/>
          <w:sz w:val="23"/>
          <w:szCs w:val="23"/>
          <w:spacing w:val="-1"/>
        </w:rPr>
        <w:t>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1"/>
        </w:rPr>
        <w:t>截至2024年12月31日，</w:t>
      </w:r>
      <w:r>
        <w:rPr>
          <w:rFonts w:ascii="FangSong" w:hAnsi="FangSong" w:eastAsia="FangSong" w:cs="FangSong"/>
          <w:sz w:val="23"/>
          <w:szCs w:val="23"/>
          <w:spacing w:val="-64"/>
        </w:rPr>
        <w:t xml:space="preserve"> </w:t>
      </w:r>
      <w:r>
        <w:rPr>
          <w:rFonts w:ascii="FangSong" w:hAnsi="FangSong" w:eastAsia="FangSong" w:cs="FangSong"/>
          <w:sz w:val="23"/>
          <w:szCs w:val="23"/>
          <w:spacing w:val="1"/>
        </w:rPr>
        <w:t>中共兴县县委巡察工作办公室使用的办公用房建筑总面积300平方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8" w:right="1223" w:firstLine="456"/>
        <w:spacing w:before="125" w:line="323" w:lineRule="auto"/>
        <w:jc w:val="both"/>
        <w:rPr>
          <w:rFonts w:ascii="FangSong" w:hAnsi="FangSong" w:eastAsia="FangSong" w:cs="FangSong"/>
          <w:sz w:val="23"/>
          <w:szCs w:val="23"/>
        </w:rPr>
      </w:pPr>
      <w:r>
        <w:rPr>
          <w:rFonts w:ascii="FangSong" w:hAnsi="FangSong" w:eastAsia="FangSong" w:cs="FangSong"/>
          <w:sz w:val="23"/>
          <w:szCs w:val="23"/>
          <w:spacing w:val="1"/>
        </w:rPr>
        <w:t>截至2024年12月31</w:t>
      </w:r>
      <w:r>
        <w:rPr>
          <w:rFonts w:ascii="FangSong" w:hAnsi="FangSong" w:eastAsia="FangSong" w:cs="FangSong"/>
          <w:sz w:val="23"/>
          <w:szCs w:val="23"/>
          <w:spacing w:val="-45"/>
        </w:rPr>
        <w:t xml:space="preserve"> </w:t>
      </w:r>
      <w:r>
        <w:rPr>
          <w:rFonts w:ascii="FangSong" w:hAnsi="FangSong" w:eastAsia="FangSong" w:cs="FangSong"/>
          <w:sz w:val="23"/>
          <w:szCs w:val="23"/>
          <w:spacing w:val="1"/>
        </w:rPr>
        <w:t>日，</w:t>
      </w:r>
      <w:r>
        <w:rPr>
          <w:rFonts w:ascii="FangSong" w:hAnsi="FangSong" w:eastAsia="FangSong" w:cs="FangSong"/>
          <w:sz w:val="23"/>
          <w:szCs w:val="23"/>
          <w:spacing w:val="-64"/>
        </w:rPr>
        <w:t xml:space="preserve"> </w:t>
      </w:r>
      <w:r>
        <w:rPr>
          <w:rFonts w:ascii="FangSong" w:hAnsi="FangSong" w:eastAsia="FangSong" w:cs="FangSong"/>
          <w:sz w:val="23"/>
          <w:szCs w:val="23"/>
          <w:spacing w:val="1"/>
        </w:rPr>
        <w:t>中共兴县县委巡察工作办公室占有使用价值50万元（原</w:t>
      </w:r>
      <w:r>
        <w:rPr>
          <w:rFonts w:ascii="FangSong" w:hAnsi="FangSong" w:eastAsia="FangSong" w:cs="FangSong"/>
          <w:sz w:val="23"/>
          <w:szCs w:val="23"/>
        </w:rPr>
        <w:t>值）</w:t>
      </w:r>
      <w:r>
        <w:rPr>
          <w:rFonts w:ascii="FangSong" w:hAnsi="FangSong" w:eastAsia="FangSong" w:cs="FangSong"/>
          <w:sz w:val="23"/>
          <w:szCs w:val="23"/>
          <w:spacing w:val="-65"/>
        </w:rPr>
        <w:t xml:space="preserve"> </w:t>
      </w:r>
      <w:r>
        <w:rPr>
          <w:rFonts w:ascii="FangSong" w:hAnsi="FangSong" w:eastAsia="FangSong" w:cs="FangSong"/>
          <w:sz w:val="23"/>
          <w:szCs w:val="23"/>
        </w:rPr>
        <w:t>以上</w:t>
      </w:r>
      <w:r>
        <w:rPr>
          <w:rFonts w:ascii="FangSong" w:hAnsi="FangSong" w:eastAsia="FangSong" w:cs="FangSong"/>
          <w:sz w:val="23"/>
          <w:szCs w:val="23"/>
        </w:rPr>
        <w:t xml:space="preserve"> </w:t>
      </w:r>
      <w:r>
        <w:rPr>
          <w:rFonts w:ascii="FangSong" w:hAnsi="FangSong" w:eastAsia="FangSong" w:cs="FangSong"/>
          <w:sz w:val="23"/>
          <w:szCs w:val="23"/>
          <w:spacing w:val="2"/>
        </w:rPr>
        <w:t>的通用设备0台（套</w:t>
      </w:r>
      <w:r>
        <w:rPr>
          <w:rFonts w:ascii="FangSong" w:hAnsi="FangSong" w:eastAsia="FangSong" w:cs="FangSong"/>
          <w:sz w:val="23"/>
          <w:szCs w:val="23"/>
          <w:spacing w:val="13"/>
        </w:rPr>
        <w:t>）；</w:t>
      </w:r>
      <w:r>
        <w:rPr>
          <w:rFonts w:ascii="FangSong" w:hAnsi="FangSong" w:eastAsia="FangSong" w:cs="FangSong"/>
          <w:sz w:val="23"/>
          <w:szCs w:val="23"/>
          <w:spacing w:val="-64"/>
        </w:rPr>
        <w:t xml:space="preserve"> </w:t>
      </w:r>
      <w:r>
        <w:rPr>
          <w:rFonts w:ascii="FangSong" w:hAnsi="FangSong" w:eastAsia="FangSong" w:cs="FangSong"/>
          <w:sz w:val="23"/>
          <w:szCs w:val="23"/>
          <w:spacing w:val="2"/>
        </w:rPr>
        <w:t>中共兴县县委巡察工作办公室占有使用价值100万元（原值）</w:t>
      </w:r>
      <w:r>
        <w:rPr>
          <w:rFonts w:ascii="FangSong" w:hAnsi="FangSong" w:eastAsia="FangSong" w:cs="FangSong"/>
          <w:sz w:val="23"/>
          <w:szCs w:val="23"/>
          <w:spacing w:val="-66"/>
        </w:rPr>
        <w:t xml:space="preserve"> </w:t>
      </w:r>
      <w:r>
        <w:rPr>
          <w:rFonts w:ascii="FangSong" w:hAnsi="FangSong" w:eastAsia="FangSong" w:cs="FangSong"/>
          <w:sz w:val="23"/>
          <w:szCs w:val="23"/>
          <w:spacing w:val="2"/>
        </w:rPr>
        <w:t>以上的</w:t>
      </w:r>
      <w:r>
        <w:rPr>
          <w:rFonts w:ascii="FangSong" w:hAnsi="FangSong" w:eastAsia="FangSong" w:cs="FangSong"/>
          <w:sz w:val="23"/>
          <w:szCs w:val="23"/>
        </w:rPr>
        <w:t xml:space="preserve"> </w:t>
      </w:r>
      <w:r>
        <w:rPr>
          <w:rFonts w:ascii="FangSong" w:hAnsi="FangSong" w:eastAsia="FangSong" w:cs="FangSong"/>
          <w:sz w:val="23"/>
          <w:szCs w:val="23"/>
          <w:spacing w:val="-2"/>
        </w:rPr>
        <w:t>通用设备0台（套）。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9"/>
          <w:footerReference w:type="default" r:id="rId50"/>
          <w:pgSz w:w="11900" w:h="16840"/>
          <w:pgMar w:top="642" w:right="0" w:bottom="340" w:left="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4686"/>
        <w:spacing w:line="1568" w:lineRule="exact"/>
        <w:rPr/>
      </w:pPr>
      <w:r>
        <w:rPr>
          <w:position w:val="-31"/>
        </w:rPr>
        <w:drawing>
          <wp:inline distT="0" distB="0" distL="0" distR="0">
            <wp:extent cx="1620210" cy="995467"/>
            <wp:effectExtent l="0" t="0" r="0" b="0"/>
            <wp:docPr id="16" name="IM 16"/>
            <wp:cNvGraphicFramePr/>
            <a:graphic>
              <a:graphicData uri="http://schemas.openxmlformats.org/drawingml/2006/picture">
                <pic:pic>
                  <pic:nvPicPr>
                    <pic:cNvPr id="16" name="IM 16"/>
                    <pic:cNvPicPr/>
                  </pic:nvPicPr>
                  <pic:blipFill>
                    <a:blip r:embed="rId53"/>
                    <a:stretch>
                      <a:fillRect/>
                    </a:stretch>
                  </pic:blipFill>
                  <pic:spPr>
                    <a:xfrm rot="0">
                      <a:off x="0" y="0"/>
                      <a:ext cx="1620210" cy="995467"/>
                    </a:xfrm>
                    <a:prstGeom prst="rect">
                      <a:avLst/>
                    </a:prstGeom>
                  </pic:spPr>
                </pic:pic>
              </a:graphicData>
            </a:graphic>
          </wp:inline>
        </w:drawing>
      </w:r>
    </w:p>
    <w:p>
      <w:pPr>
        <w:spacing w:line="1568" w:lineRule="exact"/>
        <w:sectPr>
          <w:headerReference w:type="default" r:id="rId51"/>
          <w:footerReference w:type="default" r:id="rId52"/>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4"/>
      <w:footerReference w:type="default" r:id="rId55"/>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48" w:id="43"/>
    <w:bookmarkEnd w:id="43"/>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49" w:id="44"/>
    <w:bookmarkEnd w:id="44"/>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862pt;mso-position-vertical-relative:text;mso-position-horizontal-relative:text;width:119.4pt;height:18.85pt;z-index:-251568128;rotation:330;"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80" style="position:absolute;margin-left:86.92pt;margin-top:27.7862pt;mso-position-vertical-relative:text;mso-position-horizontal-relative:text;width:119.4pt;height:18.85pt;z-index:-251552768;rotation:330;" fillcolor="#404040" filled="true" stroked="false" type="#_x0000_t136">
          <v:fill opacity="0.400000"/>
          <v:textpath style="font-family:&quot;STSong&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73.8887pt;margin-top:267.372pt;mso-position-vertical-relative:page;mso-position-horizontal-relative:page;width:23.9pt;height:7.9pt;z-index:-251560960;" o:allowincell="f" fillcolor="#212529" filled="true" stroked="false" type="#_x0000_t136">
          <v:textpath style="font-family:&quot;SimSun&quot;;font-size:7.5;v-text-kern:t;mso-text-shadow:auto" string="080505"/>
        </v:shape>
      </w:pict>
    </w:r>
    <w:r>
      <w:pict>
        <v:shape id="PowerPlusWaterMarkObject188" style="position:absolute;margin-left:69.8661pt;margin-top:282.508pt;mso-position-vertical-relative:page;mso-position-horizontal-relative:page;width:11.7pt;height:7.9pt;z-index:-251561984;"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450.272pt;margin-top:282.508pt;mso-position-vertical-relative:page;mso-position-horizontal-relative:page;width:3.1pt;height:7.9pt;z-index:-251566080;" o:allowincell="f" fillcolor="#212529" filled="true" stroked="false" type="#_x0000_t136">
          <v:textpath style="font-family:&quot;SimSun&quot;;font-size:7.5;v-text-kern:t;mso-text-shadow:auto" string="1"/>
        </v:shape>
      </w:pict>
    </w:r>
    <w:r>
      <w:pict>
        <v:shape id="PowerPlusWaterMarkObject194" style="position:absolute;margin-left:434.054pt;margin-top:297.644pt;mso-position-vertical-relative:page;mso-position-horizontal-relative:page;width:19.3pt;height:7.9pt;z-index:-251564032;" o:allowincell="f" fillcolor="#212529" filled="true" stroked="false" type="#_x0000_t136">
          <v:textpath style="font-family:&quot;SimSun&quot;;font-size:7.5;v-text-kern:t;mso-text-shadow:auto" string="12 51"/>
        </v:shape>
      </w:pict>
    </w:r>
    <w:r>
      <w:pict>
        <v:shape id="PowerPlusWaterMarkObject196" style="position:absolute;margin-left:437.681pt;margin-top:312.78pt;mso-position-vertical-relative:page;mso-position-horizontal-relative:page;width:3.5pt;height:7.9pt;z-index:-251565056;" o:allowincell="f" fillcolor="#212529" filled="true" stroked="false" type="#_x0000_t136">
          <v:textpath style="font-family:&quot;SimSun&quot;;font-size:7.5;v-text-kern:t;mso-text-shadow:auto" string="5"/>
        </v:shape>
      </w:pict>
    </w:r>
    <w:r>
      <w:pict>
        <v:shape id="PowerPlusWaterMarkObject19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10" style="position:absolute;margin-left:85.9249pt;margin-top:267.372pt;mso-position-vertical-relative:page;mso-position-horizontal-relative:page;width:15.8pt;height:7.9pt;z-index:-251550720;" o:allowincell="f" fillcolor="#212529" filled="true" stroked="false" type="#_x0000_t136">
          <v:textpath style="font-family:&quot;SimSun&quot;;font-size:7.5;v-text-kern:t;mso-text-shadow:auto" string="职工"/>
        </v:shape>
      </w:pict>
    </w:r>
    <w:r>
      <w:pict>
        <v:shape id="PowerPlusWaterMarkObject212" style="position:absolute;margin-left:86.92pt;margin-top:27.7862pt;mso-position-vertical-relative:text;mso-position-horizontal-relative:text;width:119.4pt;height:18.85pt;z-index:-251537408;rotation:330;" fillcolor="#404040" filled="true" stroked="false" type="#_x0000_t136">
          <v:fill opacity="0.400000"/>
          <v:textpath style="font-family:&quot;STSong&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2" style="position:absolute;margin-left:450.447pt;margin-top:282.508pt;mso-position-vertical-relative:page;mso-position-horizontal-relative:page;width:15.85pt;height:7.9pt;z-index:-251547648;" o:allowincell="f" fillcolor="#212529" filled="true" stroked="false" type="#_x0000_t136">
          <v:textpath style="font-family:&quot;SimSun&quot;;font-size:7.5;v-text-kern:t;mso-text-shadow:auto" string="4 39"/>
        </v:shape>
      </w:pict>
    </w:r>
    <w:r>
      <w:pict>
        <v:shape id="PowerPlusWaterMarkObject224" style="position:absolute;margin-left:450.574pt;margin-top:297.644pt;mso-position-vertical-relative:page;mso-position-horizontal-relative:page;width:15.75pt;height:7.9pt;z-index:-251545600;" o:allowincell="f" fillcolor="#212529" filled="true" stroked="false" type="#_x0000_t136">
          <v:textpath style="font-family:&quot;SimSun&quot;;font-size:7.5;v-text-kern:t;mso-text-shadow:auto" string="2 54"/>
        </v:shape>
      </w:pict>
    </w:r>
    <w:r>
      <w:pict>
        <v:shape id="PowerPlusWaterMarkObject226" style="position:absolute;margin-left:399.19pt;margin-top:312.78pt;mso-position-vertical-relative:page;mso-position-horizontal-relative:page;width:7.55pt;height:7.9pt;z-index:-251546624;" o:allowincell="f" fillcolor="#212529" filled="true" stroked="false" type="#_x0000_t136">
          <v:textpath style="font-family:&quot;SimSun&quot;;font-size:7.5;v-text-kern:t;mso-text-shadow:auto" string="52"/>
        </v:shape>
      </w:pict>
    </w:r>
    <w:r>
      <w:pict>
        <v:shape id="PowerPlusWaterMarkObject228" style="position:absolute;margin-left:399.222pt;margin-top:327.916pt;mso-position-vertical-relative:page;mso-position-horizontal-relative:page;width:7.55pt;height:7.9pt;z-index:-251548672;" o:allowincell="f" fillcolor="#212529" filled="true" stroked="false" type="#_x0000_t136">
          <v:textpath style="font-family:&quot;SimSun&quot;;font-size:7.5;v-text-kern:t;mso-text-shadow:auto" string="77"/>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40" style="position:absolute;margin-left:86.92pt;margin-top:27.7862pt;mso-position-vertical-relative:text;mso-position-horizontal-relative:text;width:119.4pt;height:18.85pt;z-index:-251527168;rotation:330;" fillcolor="#404040" filled="true" stroked="false" type="#_x0000_t136">
          <v:fill opacity="0.400000"/>
          <v:textpath style="font-family:&quot;STSong&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60" style="position:absolute;margin-left:86.92pt;margin-top:27.7862pt;mso-position-vertical-relative:text;mso-position-horizontal-relative:text;width:119.4pt;height:18.85pt;z-index:-251516928;rotation:330;" fillcolor="#404040" filled="true" stroked="false" type="#_x0000_t136">
          <v:fill opacity="0.400000"/>
          <v:textpath style="font-family:&quot;STSong&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80" style="position:absolute;margin-left:86.92pt;margin-top:27.7862pt;mso-position-vertical-relative:text;mso-position-horizontal-relative:text;width:119.4pt;height:18.85pt;z-index:-251506688;rotation:330;" fillcolor="#404040" filled="true" stroked="false" type="#_x0000_t136">
          <v:fill opacity="0.400000"/>
          <v:textpath style="font-family:&quot;STSong&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00" style="position:absolute;margin-left:86.92pt;margin-top:27.7862pt;mso-position-vertical-relative:text;mso-position-horizontal-relative:text;width:119.4pt;height:18.85pt;z-index:-251496448;rotation:330;" fillcolor="#404040" filled="true" stroked="false" type="#_x0000_t136">
          <v:fill opacity="0.400000"/>
          <v:textpath style="font-family:&quot;STSong&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20" style="position:absolute;margin-left:77.9747pt;margin-top:267.372pt;mso-position-vertical-relative:page;mso-position-horizontal-relative:page;width:23.75pt;height:7.9pt;z-index:-251493376;" o:allowincell="f" fillcolor="#212529" filled="true" stroked="false" type="#_x0000_t136">
          <v:textpath style="font-family:&quot;SimSun&quot;;font-size:7.5;v-text-kern:t;mso-text-shadow:auto" string="2025年"/>
        </v:shape>
      </w:pict>
    </w:r>
    <w:r>
      <w:pict>
        <v:shape id="PowerPlusWaterMarkObject322" style="position:absolute;margin-left:77.9747pt;margin-top:286.833pt;mso-position-vertical-relative:page;mso-position-horizontal-relative:page;width:3.6pt;height:7.9pt;z-index:-251492352;" o:allowincell="f" fillcolor="#212529" filled="true" stroked="false" type="#_x0000_t136">
          <v:textpath style="font-family:&quot;SimSun&quot;;font-size:7.5;v-text-kern:t;mso-text-shadow:auto" string="2"/>
        </v:shape>
      </w:pict>
    </w:r>
    <w:r>
      <w:pict>
        <v:shape id="PowerPlusWaterMarkObject324" style="position:absolute;margin-left:86.92pt;margin-top:27.7862pt;mso-position-vertical-relative:text;mso-position-horizontal-relative:text;width:119.4pt;height:18.85pt;z-index:-251484160;rotation:330;"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288.105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487.09pt;margin-top:73.4279pt;mso-position-vertical-relative:page;mso-position-horizontal-relative:page;width:38.65pt;height:6.5pt;z-index:-251485184;" o:allowincell="f" fillcolor="#212529" filled="true" stroked="false" type="#_x0000_t136">
          <v:textpath style="font-family:&quot;SimSun&quot;;font-size:6;v-text-kern:t;mso-text-shadow:auto" string="预算公开表12"/>
        </v:shape>
      </w:pict>
    </w:r>
    <w:r>
      <w:pict>
        <v:shape id="PowerPlusWaterMarkObject334" style="position:absolute;margin-left:491.92pt;margin-top:44.105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391.92pt;margin-top:288.105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_x0000_s342" style="position:absolute;margin-left:30pt;margin-top:29.5pt;mso-position-vertical-relative:page;mso-position-horizontal-relative:page;width:535pt;height:1pt;z-index:-2514872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44" style="position:absolute;margin-left:86.92pt;margin-top:27.7862pt;mso-position-vertical-relative:text;mso-position-horizontal-relative:text;width:119.4pt;height:18.85pt;z-index:-251473920;rotation:330;" fillcolor="#404040" filled="true" stroked="false" type="#_x0000_t136">
          <v:fill opacity="0.400000"/>
          <v:textpath style="font-family:&quot;STSong&quot;;font-size:20;v-text-kern:t;mso-text-shadow:auto" string="仅供内部审核"/>
        </v:shape>
      </w:pict>
    </w:r>
    <w:r>
      <w:pict>
        <v:shape id="PowerPlusWaterMarkObject346"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86.92pt;margin-top:532.106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13.08pt;margin-top:776.106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487.09pt;margin-top:73.4279pt;mso-position-vertical-relative:page;mso-position-horizontal-relative:page;width:38.65pt;height:6.5pt;z-index:-251474944;" o:allowincell="f" fillcolor="#212529" filled="true" stroked="false" type="#_x0000_t136">
          <v:textpath style="font-family:&quot;SimSun&quot;;font-size:6;v-text-kern:t;mso-text-shadow:auto" string="预算公开表13"/>
        </v:shape>
      </w:pict>
    </w:r>
    <w:r>
      <w:pict>
        <v:shape id="PowerPlusWaterMarkObject354" style="position:absolute;margin-left:491.92pt;margin-top:44.1055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491.92pt;margin-top:532.106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391.92pt;margin-top:776.106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_x0000_s362" style="position:absolute;margin-left:30pt;margin-top:29.5pt;mso-position-vertical-relative:page;mso-position-horizontal-relative:page;width:535pt;height:1pt;z-index:-2514769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64" style="position:absolute;margin-left:86.92pt;margin-top:27.7862pt;mso-position-vertical-relative:text;mso-position-horizontal-relative:text;width:119.4pt;height:18.85pt;z-index:-251457536;rotation:330;" fillcolor="#404040" filled="true" stroked="false" type="#_x0000_t136">
          <v:fill opacity="0.400000"/>
          <v:textpath style="font-family:&quot;STSong&quot;;font-size:20;v-text-kern:t;mso-text-shadow:auto" string="仅供内部审核"/>
        </v:shape>
      </w:pict>
    </w:r>
    <w:r>
      <w:pict>
        <v:shape id="PowerPlusWaterMarkObject366" style="position:absolute;margin-left:491.92pt;margin-top:44.105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86.8722pt;margin-top:258.837pt;mso-position-vertical-relative:page;mso-position-horizontal-relative:page;width:423.3pt;height:11.8pt;z-index:-251469824;" o:allowincell="f" fillcolor="#000000" filled="true" stroked="false" type="#_x0000_t136">
          <v:textpath style="font-family:&quot;FangSong&quot;;font-size:11.5;v-text-kern:t;mso-text-shadow:auto" string="入                                                                   经营"/>
        </v:shape>
      </w:pict>
    </w:r>
    <w:r>
      <w:pict>
        <v:shape id="PowerPlusWaterMarkObject370" style="position:absolute;margin-left:63.1955pt;margin-top:278.838pt;mso-position-vertical-relative:page;mso-position-horizontal-relative:page;width:433.15pt;height:11.8pt;z-index:-251470848;" o:allowincell="f" fillcolor="#000000" filled="true" stroked="false" type="#_x0000_t136">
          <v:textpath style="font-family:&quot;FangSong&quot;;font-size:11.5;v-text-kern:t;mso-text-shadow:auto" string="拨款               ；                                 ；                 占0%；"/>
        </v:shape>
      </w:pict>
    </w:r>
    <w:r>
      <w:pict>
        <v:shape id="PowerPlusWaterMarkObject372" style="position:absolute;margin-left:-13.08pt;margin-top:288.105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391.92pt;margin-top:288.10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134.816pt;margin-top:533.99pt;mso-position-vertical-relative:page;mso-position-horizontal-relative:page;width:44.85pt;height:11.8pt;z-index:-251466752;" o:allowincell="f" fillcolor="#000000" filled="true" stroked="false" type="#_x0000_t136">
          <v:textpath style="font-family:&quot;FangSong&quot;;font-size:11.5;v-text-kern:t;mso-text-shadow:auto" string="中共兴县"/>
        </v:shape>
      </w:pict>
    </w:r>
    <w:r>
      <w:pict>
        <v:shape id="PowerPlusWaterMarkObject378" style="position:absolute;margin-left:97.7031pt;margin-top:554.532pt;mso-position-vertical-relative:page;mso-position-horizontal-relative:page;width:33.95pt;height:11.8pt;z-index:-251467776;" o:allowincell="f" fillcolor="#000000" filled="true" stroked="false" type="#_x0000_t136">
          <v:textpath style="font-family:&quot;FangSong&quot;;font-size:11.5;v-text-kern:t;mso-text-shadow:auto" string="72 43%"/>
        </v:shape>
      </w:pict>
    </w:r>
    <w:r>
      <w:pict>
        <v:shape id="PowerPlusWaterMarkObject380" style="position:absolute;margin-left:86.92pt;margin-top:532.106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86.2696pt;margin-top:756.166pt;mso-position-vertical-relative:page;mso-position-horizontal-relative:page;width:22.3pt;height:11.8pt;z-index:-251463680;" o:allowincell="f" fillcolor="#000000" filled="true" stroked="false" type="#_x0000_t136">
          <v:textpath style="font-family:&quot;FangSong&quot;;font-size:11.5;v-text-kern:t;mso-text-shadow:auto" string="（二"/>
        </v:shape>
      </w:pict>
    </w:r>
    <w:r>
      <w:pict>
        <v:shape id="PowerPlusWaterMarkObject386" style="position:absolute;margin-left:435.651pt;margin-top:776.167pt;mso-position-vertical-relative:page;mso-position-horizontal-relative:page;width:51.55pt;height:11.8pt;z-index:-251461632;" o:allowincell="f" fillcolor="#000000" filled="true" stroked="false" type="#_x0000_t136">
          <v:textpath style="font-family:&quot;FangSong&quot;;font-size:11.5;v-text-kern:t;mso-text-shadow:auto" string="万元 主要"/>
        </v:shape>
      </w:pict>
    </w:r>
    <w:r>
      <w:pict>
        <v:shape id="PowerPlusWaterMarkObject388" style="position:absolute;margin-left:403.107pt;margin-top:796.709pt;mso-position-vertical-relative:page;mso-position-horizontal-relative:page;width:36.45pt;height:11.8pt;z-index:-251460608;" o:allowincell="f" fillcolor="#000000" filled="true" stroked="false" type="#_x0000_t136">
          <v:textpath style="font-family:&quot;FangSong&quot;;font-size:11.5;v-text-kern:t;mso-text-shadow:auto" string="就业支"/>
        </v:shape>
      </w:pict>
    </w:r>
    <w:r>
      <w:pict>
        <v:shape id="PowerPlusWaterMarkObject390" style="position:absolute;margin-left:-13.08pt;margin-top:776.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92" style="position:absolute;margin-left:391.92pt;margin-top:776.106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_x0000_s394" style="position:absolute;margin-left:30pt;margin-top:29.5pt;mso-position-vertical-relative:page;mso-position-horizontal-relative:page;width:535pt;height:1pt;z-index:-2514595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96" style="position:absolute;margin-left:92.842pt;margin-top:64.2303pt;mso-position-vertical-relative:page;mso-position-horizontal-relative:page;width:44.55pt;height:11.8pt;z-index:-251453440;" o:allowincell="f" fillcolor="#000000" filled="true" stroked="false" type="#_x0000_t136">
          <v:textpath style="font-family:&quot;FangSong&quot;;font-size:11.5;v-text-kern:t;mso-text-shadow:auto" string="； 卫生健"/>
        </v:shape>
      </w:pict>
    </w:r>
    <w:r>
      <w:pict>
        <v:shape id="PowerPlusWaterMarkObject398" style="position:absolute;margin-left:86.92pt;margin-top:27.7862pt;mso-position-vertical-relative:text;mso-position-horizontal-relative:text;width:119.4pt;height:18.85pt;z-index:-251439104;rotation:330;" fillcolor="#404040" filled="true" stroked="false" type="#_x0000_t136">
          <v:fill opacity="0.400000"/>
          <v:textpath style="font-family:&quot;STSong&quot;;font-size:20;v-text-kern:t;mso-text-shadow:auto" string="仅供内部审核"/>
        </v:shape>
      </w:pict>
    </w:r>
    <w:r>
      <w:pict>
        <v:shape id="PowerPlusWaterMarkObject400" style="position:absolute;margin-left:86.0353pt;margin-top:266.946pt;mso-position-vertical-relative:page;mso-position-horizontal-relative:page;width:22.55pt;height:11.8pt;z-index:-251446272;" o:allowincell="f" fillcolor="#000000" filled="true" stroked="false" type="#_x0000_t136">
          <v:textpath style="font-family:&quot;FangSong&quot;;font-size:11.5;v-text-kern:t;mso-text-shadow:auto" string="2025"/>
        </v:shape>
      </w:pict>
    </w:r>
    <w:r>
      <w:pict>
        <v:shape id="PowerPlusWaterMarkObject402" style="position:absolute;margin-left:168.51pt;margin-top:286.947pt;mso-position-vertical-relative:page;mso-position-horizontal-relative:page;width:10.7pt;height:11.8pt;z-index:-251456512;" o:allowincell="f" fillcolor="#000000" filled="true" stroked="false" type="#_x0000_t136">
          <v:textpath style="font-family:&quot;FangSong&quot;;font-size:11.5;v-text-kern:t;mso-text-shadow:auto" string="万"/>
        </v:shape>
      </w:pict>
    </w:r>
    <w:r>
      <w:pict>
        <v:shape id="PowerPlusWaterMarkObject404" style="position:absolute;margin-left:-13.08pt;margin-top:288.105pt;mso-position-vertical-relative:page;mso-position-horizontal-relative:page;width:119.4pt;height:18.85pt;z-index:-251447296;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179.826pt;margin-top:509.123pt;mso-position-vertical-relative:page;mso-position-horizontal-relative:page;width:22pt;height:11.8pt;z-index:-251444224;" o:allowincell="f" fillcolor="#000000" filled="true" stroked="false" type="#_x0000_t136">
          <v:textpath style="font-family:&quot;FangSong&quot;;font-size:11.5;v-text-kern:t;mso-text-shadow:auto" string="委巡"/>
        </v:shape>
      </w:pict>
    </w:r>
    <w:r>
      <w:pict>
        <v:shape id="PowerPlusWaterMarkObject408" style="position:absolute;margin-left:149.717pt;margin-top:529.125pt;mso-position-vertical-relative:page;mso-position-horizontal-relative:page;width:33.8pt;height:11.8pt;z-index:-251443200;" o:allowincell="f" fillcolor="#000000" filled="true" stroked="false" type="#_x0000_t136">
          <v:textpath style="font-family:&quot;FangSong&quot;;font-size:11.5;v-text-kern:t;mso-text-shadow:auto" string="政府采"/>
        </v:shape>
      </w:pict>
    </w:r>
    <w:r>
      <w:pict>
        <v:shape id="PowerPlusWaterMarkObject410" style="position:absolute;margin-left:63.02pt;margin-top:548.885pt;mso-position-vertical-relative:page;mso-position-horizontal-relative:page;width:91.75pt;height:11.5pt;z-index:-251442176;" o:allowincell="f" fillcolor="#000000" filled="true" stroked="false" type="#_x0000_t136">
          <v:textpath style="font-family:&quot;Microsoft YaHei&quot;;font-size:11;v-text-kern:t;mso-text-shadow:auto" string="十、绩效管理情况"/>
        </v:shape>
      </w:pict>
    </w:r>
    <w:r>
      <w:pict>
        <v:shape id="PowerPlusWaterMarkObject412" style="position:absolute;margin-left:86.92pt;margin-top:532.106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13.08pt;margin-top:776.106pt;mso-position-vertical-relative:page;mso-position-horizontal-relative:page;width:119.4pt;height:18.85pt;z-index:-251454464;rotation:330;" o:allowincell="f" fillcolor="#404040" filled="true" stroked="false" type="#_x0000_t136">
          <v:fill opacity="0.400000"/>
          <v:textpath style="font-family:&quot;STSong&quot;;font-size:20;v-text-kern:t;mso-text-shadow:auto" string="仅供内部审核"/>
        </v:shape>
      </w:pict>
    </w:r>
    <w:r>
      <w:pict>
        <v:shape id="PowerPlusWaterMarkObject416" style="position:absolute;margin-left:466.91pt;margin-top:266.946pt;mso-position-vertical-relative:page;mso-position-horizontal-relative:page;width:45.2pt;height:11.8pt;z-index:-251448320;" o:allowincell="f" fillcolor="#000000" filled="true" stroked="false" type="#_x0000_t136">
          <v:textpath style="font-family:&quot;FangSong&quot;;font-size:11.5;v-text-kern:t;mso-text-shadow:auto" string="元  其中"/>
        </v:shape>
      </w:pict>
    </w:r>
    <w:r>
      <w:pict>
        <v:shape id="PowerPlusWaterMarkObject418" style="position:absolute;margin-left:440.28pt;margin-top:286.947pt;mso-position-vertical-relative:page;mso-position-horizontal-relative:page;width:34.45pt;height:11.8pt;z-index:-251449344;" o:allowincell="f" fillcolor="#000000" filled="true" stroked="false" type="#_x0000_t136">
          <v:textpath style="font-family:&quot;FangSong&quot;;font-size:11.5;v-text-kern:t;mso-text-shadow:auto" string="助缴费"/>
        </v:shape>
      </w:pict>
    </w:r>
    <w:r>
      <w:pict>
        <v:shape id="PowerPlusWaterMarkObject420" style="position:absolute;margin-left:417.165pt;margin-top:306.948pt;mso-position-vertical-relative:page;mso-position-horizontal-relative:page;width:22.35pt;height:11.8pt;z-index:-251450368;" o:allowincell="f" fillcolor="#000000" filled="true" stroked="false" type="#_x0000_t136">
          <v:textpath style="font-family:&quot;FangSong&quot;;font-size:11.5;v-text-kern:t;mso-text-shadow:auto" string="奖金"/>
        </v:shape>
      </w:pict>
    </w:r>
    <w:r>
      <w:pict>
        <v:shape id="PowerPlusWaterMarkObject422" style="position:absolute;margin-left:491.92pt;margin-top:44.1055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24" style="position:absolute;margin-left:391.92pt;margin-top:288.105pt;mso-position-vertical-relative:page;mso-position-horizontal-relative:page;width:119.4pt;height:18.85pt;z-index:-251451392;rotation:330;" o:allowincell="f" fillcolor="#404040" filled="true" stroked="false" type="#_x0000_t136">
          <v:fill opacity="0.400000"/>
          <v:textpath style="font-family:&quot;STSong&quot;;font-size:20;v-text-kern:t;mso-text-shadow:auto" string="仅供内部审核"/>
        </v:shape>
      </w:pict>
    </w:r>
    <w:r>
      <w:pict>
        <v:shape id="PowerPlusWaterMarkObject426" style="position:absolute;margin-left:491.92pt;margin-top:532.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PowerPlusWaterMarkObject428" style="position:absolute;margin-left:391.92pt;margin-top:776.106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_x0000_s430" style="position:absolute;margin-left:30pt;margin-top:29.5pt;mso-position-vertical-relative:page;mso-position-horizontal-relative:page;width:535pt;height:1pt;z-index:-2514411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32" style="position:absolute;margin-left:86.92pt;margin-top:27.7862pt;mso-position-vertical-relative:text;mso-position-horizontal-relative:text;width:119.4pt;height:18.85pt;z-index:-251435008;rotation:330;" fillcolor="#404040" filled="true" stroked="false" type="#_x0000_t136">
          <v:fill opacity="0.400000"/>
          <v:textpath style="font-family:&quot;STSong&quot;;font-size:20;v-text-kern:t;mso-text-shadow:auto" string="仅供内部审核"/>
        </v:shape>
      </w:pict>
    </w:r>
    <w:r>
      <w:pict>
        <v:shape id="PowerPlusWaterMarkObject434" style="position:absolute;margin-left:-13.08pt;margin-top:776.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436" style="position:absolute;margin-left:391.92pt;margin-top:776.106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_x0000_s438" style="position:absolute;margin-left:30pt;margin-top:29.5pt;mso-position-vertical-relative:page;mso-position-horizontal-relative:page;width:535pt;height:1pt;z-index:-2514360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80" style="position:absolute;margin-left:86.92pt;margin-top:27.7862pt;mso-position-vertical-relative:text;mso-position-horizontal-relative:text;width:119.4pt;height:18.85pt;z-index:-251425792;rotation:330;" fillcolor="#404040" filled="true" stroked="false" type="#_x0000_t136">
          <v:fill opacity="0.400000"/>
          <v:textpath style="font-family:&quot;STSong&quot;;font-size:20;v-text-kern:t;mso-text-shadow:auto" string="仅供内部审核"/>
        </v:shape>
      </w:pict>
    </w:r>
    <w:r>
      <w:pict>
        <v:shape id="PowerPlusWaterMarkObject482" style="position:absolute;margin-left:-13.08pt;margin-top:288.105pt;mso-position-vertical-relative:page;mso-position-horizontal-relative:page;width:119.4pt;height:18.85pt;z-index:-251428864;rotation:330;" o:allowincell="f" fillcolor="#404040" filled="true" stroked="false" type="#_x0000_t136">
          <v:fill opacity="0.400000"/>
          <v:textpath style="font-family:&quot;STSong&quot;;font-size:20;v-text-kern:t;mso-text-shadow:auto" string="仅供内部审核"/>
        </v:shape>
      </w:pict>
    </w:r>
    <w:r>
      <w:pict>
        <v:shape id="PowerPlusWaterMarkObject484" style="position:absolute;margin-left:491.92pt;margin-top:44.1055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486" style="position:absolute;margin-left:391.92pt;margin-top:288.105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488" style="position:absolute;margin-left:86.92pt;margin-top:532.106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490" style="position:absolute;margin-left:-13.08pt;margin-top:776.106pt;mso-position-vertical-relative:page;mso-position-horizontal-relative:page;width:119.4pt;height:18.85pt;z-index:-251430912;rotation:330;" o:allowincell="f" fillcolor="#404040" filled="true" stroked="false" type="#_x0000_t136">
          <v:fill opacity="0.400000"/>
          <v:textpath style="font-family:&quot;STSong&quot;;font-size:20;v-text-kern:t;mso-text-shadow:auto" string="仅供内部审核"/>
        </v:shape>
      </w:pict>
    </w:r>
    <w:r>
      <w:pict>
        <v:shape id="PowerPlusWaterMarkObject492" style="position:absolute;margin-left:491.92pt;margin-top:532.106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PowerPlusWaterMarkObject494" style="position:absolute;margin-left:391.92pt;margin-top:776.106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_x0000_s496" style="position:absolute;margin-left:30pt;margin-top:29.5pt;mso-position-vertical-relative:page;mso-position-horizontal-relative:page;width:535pt;height:1pt;z-index:-251427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98" style="position:absolute;margin-left:86.92pt;margin-top:27.7862pt;mso-position-vertical-relative:text;mso-position-horizontal-relative:text;width:119.4pt;height:18.85pt;z-index:-251416576;rotation:330;" fillcolor="#404040" filled="true" stroked="false" type="#_x0000_t136">
          <v:fill opacity="0.400000"/>
          <v:textpath style="font-family:&quot;STSong&quot;;font-size:20;v-text-kern:t;mso-text-shadow:auto" string="仅供内部审核"/>
        </v:shape>
      </w:pict>
    </w:r>
    <w:r>
      <w:pict>
        <v:shape id="PowerPlusWaterMarkObject500" style="position:absolute;margin-left:-13.08pt;margin-top:288.105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502" style="position:absolute;margin-left:491.92pt;margin-top:44.1055pt;mso-position-vertical-relative:page;mso-position-horizontal-relative:page;width:119.4pt;height:18.85pt;z-index:-251417600;rotation:330;" o:allowincell="f" fillcolor="#404040" filled="true" stroked="false" type="#_x0000_t136">
          <v:fill opacity="0.400000"/>
          <v:textpath style="font-family:&quot;STSong&quot;;font-size:20;v-text-kern:t;mso-text-shadow:auto" string="仅供内部审核"/>
        </v:shape>
      </w:pict>
    </w:r>
    <w:r>
      <w:pict>
        <v:shape id="PowerPlusWaterMarkObject504" style="position:absolute;margin-left:391.92pt;margin-top:288.105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506" style="position:absolute;margin-left:86.92pt;margin-top:532.106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508" style="position:absolute;margin-left:-13.08pt;margin-top:776.106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PowerPlusWaterMarkObject510" style="position:absolute;margin-left:491.92pt;margin-top:532.106pt;mso-position-vertical-relative:page;mso-position-horizontal-relative:page;width:119.4pt;height:18.85pt;z-index:-251421696;rotation:330;" o:allowincell="f" fillcolor="#404040" filled="true" stroked="false" type="#_x0000_t136">
          <v:fill opacity="0.400000"/>
          <v:textpath style="font-family:&quot;STSong&quot;;font-size:20;v-text-kern:t;mso-text-shadow:auto" string="仅供内部审核"/>
        </v:shape>
      </w:pict>
    </w:r>
    <w:r>
      <w:pict>
        <v:shape id="PowerPlusWaterMarkObject512" style="position:absolute;margin-left:391.92pt;margin-top:776.106pt;mso-position-vertical-relative:page;mso-position-horizontal-relative:page;width:119.4pt;height:18.85pt;z-index:-251420672;rotation:330;" o:allowincell="f" fillcolor="#404040" filled="true" stroked="false" type="#_x0000_t136">
          <v:fill opacity="0.400000"/>
          <v:textpath style="font-family:&quot;STSong&quot;;font-size:20;v-text-kern:t;mso-text-shadow:auto" string="仅供内部审核"/>
        </v:shape>
      </w:pict>
    </w:r>
    <w:r>
      <w:pict>
        <v:shape id="_x0000_s514" style="position:absolute;margin-left:30pt;margin-top:29.5pt;mso-position-vertical-relative:page;mso-position-horizontal-relative:page;width:535pt;height:1pt;z-index:-251418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04"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29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中共兴县县委巡察工作办公室2025年部门预算公开报告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20"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WordPictureWatermark126" style="position:absolute;margin-left:395.367pt;margin-top:259.52pt;mso-position-vertical-relative:page;mso-position-horizontal-relative:page;width:112.65pt;height:75.9pt;z-index:-251597824;"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405.419pt;margin-top:325.754pt;mso-position-vertical-relative:page;mso-position-horizontal-relative:page;width:7.65pt;height:7.9pt;z-index:-251586560;" o:allowincell="f" fillcolor="#212529" filled="true" stroked="false" type="#_x0000_t136">
          <v:textpath style="font-family:&quot;SimSun&quot;;font-size:7.5;v-text-kern:t;mso-text-shadow:auto" string="24"/>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styles" Target="styles.xml"/><Relationship Id="rId56" Type="http://schemas.openxmlformats.org/officeDocument/2006/relationships/settings" Target="settings.xml"/><Relationship Id="rId55" Type="http://schemas.openxmlformats.org/officeDocument/2006/relationships/footer" Target="footer24.xml"/><Relationship Id="rId54" Type="http://schemas.openxmlformats.org/officeDocument/2006/relationships/header" Target="header23.xml"/><Relationship Id="rId53" Type="http://schemas.openxmlformats.org/officeDocument/2006/relationships/image" Target="media/image9.png"/><Relationship Id="rId52" Type="http://schemas.openxmlformats.org/officeDocument/2006/relationships/footer" Target="footer23.xml"/><Relationship Id="rId51" Type="http://schemas.openxmlformats.org/officeDocument/2006/relationships/header" Target="header22.xml"/><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jpe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2025-09-25T10:28:16Z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2025-09-26T16:34:34</vt:filetime>
  </property>
</Properties>
</file>