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2022年兴县地方政府债务说明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/>
        <w:spacing w:line="600" w:lineRule="exact"/>
        <w:ind w:left="0"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</w:rPr>
        <w:t>目前全县政府性债务为260527万元，政府债务限额为 260527万元，未超限额。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2022年新增政府债券41600万元，其中一般债券5400万元，专项债券36200万元。用于市政建设10400万元，教育27200万元，社会事业4000万元。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2022年应付债券本息10767万元，其中本金3100万元，利息7667万元，已全部按时偿还。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2022年化解隐性债务11606万元，余额为225815万元。自2018年8月隐性债务纳入监测平台系统以来再无新增隐性债务。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6E29731-CEE8-4AE9-8BB5-482D58F8315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Yozo_Office27021597764231189</Application>
  <Pages>1</Pages>
  <Words>0</Words>
  <Characters>187</Characters>
  <Lines>0</Lines>
  <Paragraphs>6</Paragraphs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</dc:creator>
  <cp:lastModifiedBy>great</cp:lastModifiedBy>
  <cp:revision>1</cp:revision>
  <dcterms:created xsi:type="dcterms:W3CDTF">2024-08-20T07:27:16Z</dcterms:created>
  <dcterms:modified xsi:type="dcterms:W3CDTF">2024-08-20T07:34:29Z</dcterms:modified>
</cp:coreProperties>
</file>