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757"/>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7"/>
        </w:rPr>
        <w:t>兴县蔡家崖乡中心校</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1"/>
          <w:position w:val="7"/>
        </w:rPr>
        <w:t>2 0 2 5 年</w:t>
      </w:r>
      <w:r>
        <w:rPr>
          <w:rFonts w:ascii="STZhongsong" w:hAnsi="STZhongsong" w:eastAsia="STZhongsong" w:cs="STZhongsong"/>
          <w:sz w:val="43"/>
          <w:szCs w:val="43"/>
          <w:spacing w:val="-12"/>
          <w:position w:val="7"/>
        </w:rPr>
        <w:t xml:space="preserve"> </w:t>
      </w:r>
      <w:r>
        <w:rPr>
          <w:rFonts w:ascii="STZhongsong" w:hAnsi="STZhongsong" w:eastAsia="STZhongsong" w:cs="STZhongsong"/>
          <w:sz w:val="43"/>
          <w:szCs w:val="43"/>
          <w:spacing w:val="-11"/>
          <w:position w:val="7"/>
        </w:rPr>
        <w:t>度</w:t>
      </w:r>
      <w:r>
        <w:rPr>
          <w:rFonts w:ascii="STZhongsong" w:hAnsi="STZhongsong" w:eastAsia="STZhongsong" w:cs="STZhongsong"/>
          <w:sz w:val="43"/>
          <w:szCs w:val="43"/>
          <w:spacing w:val="-18"/>
          <w:position w:val="7"/>
        </w:rPr>
        <w:t xml:space="preserve"> </w:t>
      </w:r>
      <w:r>
        <w:rPr>
          <w:rFonts w:ascii="STZhongsong" w:hAnsi="STZhongsong" w:eastAsia="STZhongsong" w:cs="STZhongsong"/>
          <w:sz w:val="43"/>
          <w:szCs w:val="43"/>
          <w:spacing w:val="-11"/>
          <w:position w:val="7"/>
        </w:rPr>
        <w:t>单</w:t>
      </w:r>
      <w:r>
        <w:rPr>
          <w:rFonts w:ascii="STZhongsong" w:hAnsi="STZhongsong" w:eastAsia="STZhongsong" w:cs="STZhongsong"/>
          <w:sz w:val="43"/>
          <w:szCs w:val="43"/>
          <w:spacing w:val="-26"/>
          <w:position w:val="7"/>
        </w:rPr>
        <w:t xml:space="preserve"> </w:t>
      </w:r>
      <w:r>
        <w:rPr>
          <w:rFonts w:ascii="STZhongsong" w:hAnsi="STZhongsong" w:eastAsia="STZhongsong" w:cs="STZhongsong"/>
          <w:sz w:val="43"/>
          <w:szCs w:val="43"/>
          <w:spacing w:val="-11"/>
          <w:position w:val="7"/>
        </w:rPr>
        <w:t>位</w:t>
      </w:r>
      <w:r>
        <w:rPr>
          <w:rFonts w:ascii="STZhongsong" w:hAnsi="STZhongsong" w:eastAsia="STZhongsong" w:cs="STZhongsong"/>
          <w:sz w:val="43"/>
          <w:szCs w:val="43"/>
          <w:spacing w:val="-30"/>
          <w:position w:val="7"/>
        </w:rPr>
        <w:t xml:space="preserve"> </w:t>
      </w:r>
      <w:r>
        <w:rPr>
          <w:rFonts w:ascii="STZhongsong" w:hAnsi="STZhongsong" w:eastAsia="STZhongsong" w:cs="STZhongsong"/>
          <w:sz w:val="43"/>
          <w:szCs w:val="43"/>
          <w:spacing w:val="-11"/>
          <w:position w:val="7"/>
        </w:rPr>
        <w:t>预</w:t>
      </w:r>
      <w:r>
        <w:rPr>
          <w:rFonts w:ascii="STZhongsong" w:hAnsi="STZhongsong" w:eastAsia="STZhongsong" w:cs="STZhongsong"/>
          <w:sz w:val="43"/>
          <w:szCs w:val="43"/>
          <w:spacing w:val="-16"/>
          <w:position w:val="7"/>
        </w:rPr>
        <w:t xml:space="preserve"> </w:t>
      </w:r>
      <w:r>
        <w:rPr>
          <w:rFonts w:ascii="STZhongsong" w:hAnsi="STZhongsong" w:eastAsia="STZhongsong" w:cs="STZhongsong"/>
          <w:sz w:val="43"/>
          <w:szCs w:val="43"/>
          <w:spacing w:val="-11"/>
          <w:position w:val="7"/>
        </w:rPr>
        <w:t>算</w:t>
      </w:r>
      <w:r>
        <w:rPr>
          <w:rFonts w:ascii="STZhongsong" w:hAnsi="STZhongsong" w:eastAsia="STZhongsong" w:cs="STZhongsong"/>
          <w:sz w:val="43"/>
          <w:szCs w:val="43"/>
          <w:spacing w:val="-27"/>
          <w:position w:val="7"/>
        </w:rPr>
        <w:t xml:space="preserve"> </w:t>
      </w:r>
      <w:r>
        <w:rPr>
          <w:rFonts w:ascii="STZhongsong" w:hAnsi="STZhongsong" w:eastAsia="STZhongsong" w:cs="STZhongsong"/>
          <w:sz w:val="43"/>
          <w:szCs w:val="43"/>
          <w:spacing w:val="-11"/>
          <w:position w:val="7"/>
        </w:rPr>
        <w:t>公</w:t>
      </w:r>
      <w:r>
        <w:rPr>
          <w:rFonts w:ascii="STZhongsong" w:hAnsi="STZhongsong" w:eastAsia="STZhongsong" w:cs="STZhongsong"/>
          <w:sz w:val="43"/>
          <w:szCs w:val="43"/>
          <w:spacing w:val="-21"/>
          <w:position w:val="7"/>
        </w:rPr>
        <w:t xml:space="preserve"> </w:t>
      </w:r>
      <w:r>
        <w:rPr>
          <w:rFonts w:ascii="STZhongsong" w:hAnsi="STZhongsong" w:eastAsia="STZhongsong" w:cs="STZhongsong"/>
          <w:sz w:val="43"/>
          <w:szCs w:val="43"/>
          <w:spacing w:val="-11"/>
          <w:position w:val="7"/>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7"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21</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21</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21</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29</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45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9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921" w:right="874" w:firstLine="377"/>
        <w:spacing w:before="284" w:line="281" w:lineRule="auto"/>
        <w:rPr>
          <w:rFonts w:ascii="FangSong" w:hAnsi="FangSong" w:eastAsia="FangSong" w:cs="FangSong"/>
          <w:sz w:val="24"/>
          <w:szCs w:val="24"/>
        </w:rPr>
      </w:pPr>
      <w:r>
        <w:rPr>
          <w:rFonts w:ascii="FangSong" w:hAnsi="FangSong" w:eastAsia="FangSong" w:cs="FangSong"/>
          <w:sz w:val="24"/>
          <w:szCs w:val="24"/>
          <w:spacing w:val="3"/>
        </w:rPr>
        <w:t>1.研究拟定本校教育发展战略和教育工作的规定、办法，监督和检查所属学校对</w:t>
      </w:r>
      <w:r>
        <w:rPr>
          <w:rFonts w:ascii="FangSong" w:hAnsi="FangSong" w:eastAsia="FangSong" w:cs="FangSong"/>
          <w:sz w:val="24"/>
          <w:szCs w:val="24"/>
          <w:spacing w:val="16"/>
        </w:rPr>
        <w:t xml:space="preserve"> </w:t>
      </w:r>
      <w:r>
        <w:rPr>
          <w:rFonts w:ascii="FangSong" w:hAnsi="FangSong" w:eastAsia="FangSong" w:cs="FangSong"/>
          <w:sz w:val="24"/>
          <w:szCs w:val="24"/>
          <w:spacing w:val="1"/>
        </w:rPr>
        <w:t>党和国家的教育方针、政策、法规的贯彻执行。要</w:t>
      </w:r>
      <w:r>
        <w:rPr>
          <w:rFonts w:ascii="FangSong" w:hAnsi="FangSong" w:eastAsia="FangSong" w:cs="FangSong"/>
          <w:sz w:val="24"/>
          <w:szCs w:val="24"/>
        </w:rPr>
        <w:t>依法办学，不断提高管理水平和教</w:t>
      </w:r>
      <w:r>
        <w:rPr>
          <w:rFonts w:ascii="FangSong" w:hAnsi="FangSong" w:eastAsia="FangSong" w:cs="FangSong"/>
          <w:sz w:val="24"/>
          <w:szCs w:val="24"/>
        </w:rPr>
        <w:t xml:space="preserve"> </w:t>
      </w:r>
      <w:r>
        <w:rPr>
          <w:rFonts w:ascii="FangSong" w:hAnsi="FangSong" w:eastAsia="FangSong" w:cs="FangSong"/>
          <w:sz w:val="24"/>
          <w:szCs w:val="24"/>
          <w:spacing w:val="-2"/>
        </w:rPr>
        <w:t>育质量。不断改善办学水平和搞高教育质量，促进学校教育均衡发展。</w:t>
      </w:r>
    </w:p>
    <w:p>
      <w:pPr>
        <w:ind w:left="919" w:right="874" w:firstLine="385"/>
        <w:spacing w:before="101" w:line="282" w:lineRule="auto"/>
        <w:rPr>
          <w:rFonts w:ascii="FangSong" w:hAnsi="FangSong" w:eastAsia="FangSong" w:cs="FangSong"/>
          <w:sz w:val="24"/>
          <w:szCs w:val="24"/>
        </w:rPr>
      </w:pPr>
      <w:r>
        <w:rPr>
          <w:rFonts w:ascii="FangSong" w:hAnsi="FangSong" w:eastAsia="FangSong" w:cs="FangSong"/>
          <w:sz w:val="24"/>
          <w:szCs w:val="24"/>
          <w:spacing w:val="10"/>
        </w:rPr>
        <w:t>2.管理和指导本校教育教学研究工作，规划、指导教育现代化和教育信息化工</w:t>
      </w:r>
      <w:r>
        <w:rPr>
          <w:rFonts w:ascii="FangSong" w:hAnsi="FangSong" w:eastAsia="FangSong" w:cs="FangSong"/>
          <w:sz w:val="24"/>
          <w:szCs w:val="24"/>
          <w:spacing w:val="8"/>
        </w:rPr>
        <w:t xml:space="preserve"> </w:t>
      </w:r>
      <w:r>
        <w:rPr>
          <w:rFonts w:ascii="FangSong" w:hAnsi="FangSong" w:eastAsia="FangSong" w:cs="FangSong"/>
          <w:sz w:val="24"/>
          <w:szCs w:val="24"/>
          <w:spacing w:val="1"/>
        </w:rPr>
        <w:t>作。在县教育科技局的领导下，组织本校教师开展教育</w:t>
      </w:r>
      <w:r>
        <w:rPr>
          <w:rFonts w:ascii="FangSong" w:hAnsi="FangSong" w:eastAsia="FangSong" w:cs="FangSong"/>
          <w:sz w:val="24"/>
          <w:szCs w:val="24"/>
        </w:rPr>
        <w:t>教学研究课，教学观摩，教学</w:t>
      </w:r>
      <w:r>
        <w:rPr>
          <w:rFonts w:ascii="FangSong" w:hAnsi="FangSong" w:eastAsia="FangSong" w:cs="FangSong"/>
          <w:sz w:val="24"/>
          <w:szCs w:val="24"/>
        </w:rPr>
        <w:t xml:space="preserve"> </w:t>
      </w:r>
      <w:r>
        <w:rPr>
          <w:rFonts w:ascii="FangSong" w:hAnsi="FangSong" w:eastAsia="FangSong" w:cs="FangSong"/>
          <w:sz w:val="24"/>
          <w:szCs w:val="24"/>
          <w:spacing w:val="-2"/>
        </w:rPr>
        <w:t>竞赛，课题实验，经验交流，教学基本功训练，专题研讨等教学活动。</w:t>
      </w:r>
    </w:p>
    <w:p>
      <w:pPr>
        <w:ind w:left="919" w:right="874" w:firstLine="366"/>
        <w:spacing w:before="100" w:line="267" w:lineRule="auto"/>
        <w:rPr>
          <w:rFonts w:ascii="FangSong" w:hAnsi="FangSong" w:eastAsia="FangSong" w:cs="FangSong"/>
          <w:sz w:val="24"/>
          <w:szCs w:val="24"/>
        </w:rPr>
      </w:pPr>
      <w:r>
        <w:rPr>
          <w:rFonts w:ascii="FangSong" w:hAnsi="FangSong" w:eastAsia="FangSong" w:cs="FangSong"/>
          <w:sz w:val="24"/>
          <w:szCs w:val="24"/>
          <w:spacing w:val="4"/>
        </w:rPr>
        <w:t>3.发挥教师进修培训作用。本校负责制定并实施教师培训计划，</w:t>
      </w:r>
      <w:r>
        <w:rPr>
          <w:rFonts w:ascii="FangSong" w:hAnsi="FangSong" w:eastAsia="FangSong" w:cs="FangSong"/>
          <w:sz w:val="24"/>
          <w:szCs w:val="24"/>
          <w:spacing w:val="3"/>
        </w:rPr>
        <w:t>并有针对性的组</w:t>
      </w:r>
      <w:r>
        <w:rPr>
          <w:rFonts w:ascii="FangSong" w:hAnsi="FangSong" w:eastAsia="FangSong" w:cs="FangSong"/>
          <w:sz w:val="24"/>
          <w:szCs w:val="24"/>
        </w:rPr>
        <w:t xml:space="preserve"> </w:t>
      </w:r>
      <w:r>
        <w:rPr>
          <w:rFonts w:ascii="FangSong" w:hAnsi="FangSong" w:eastAsia="FangSong" w:cs="FangSong"/>
          <w:sz w:val="24"/>
          <w:szCs w:val="24"/>
          <w:spacing w:val="-2"/>
        </w:rPr>
        <w:t>织教师参加教师培训，更新教育观念，提高教师职业道德水平和教育教学能力。</w:t>
      </w:r>
    </w:p>
    <w:p>
      <w:pPr>
        <w:ind w:left="915" w:right="874" w:firstLine="365"/>
        <w:spacing w:before="117" w:line="260" w:lineRule="auto"/>
        <w:rPr>
          <w:rFonts w:ascii="FangSong" w:hAnsi="FangSong" w:eastAsia="FangSong" w:cs="FangSong"/>
          <w:sz w:val="24"/>
          <w:szCs w:val="24"/>
        </w:rPr>
      </w:pPr>
      <w:r>
        <w:rPr>
          <w:rFonts w:ascii="FangSong" w:hAnsi="FangSong" w:eastAsia="FangSong" w:cs="FangSong"/>
          <w:sz w:val="24"/>
          <w:szCs w:val="24"/>
          <w:spacing w:val="3"/>
        </w:rPr>
        <w:t>4.管理学生学籍，建立学生档案，严格控</w:t>
      </w:r>
      <w:r>
        <w:rPr>
          <w:rFonts w:ascii="FangSong" w:hAnsi="FangSong" w:eastAsia="FangSong" w:cs="FangSong"/>
          <w:sz w:val="24"/>
          <w:szCs w:val="24"/>
          <w:spacing w:val="2"/>
        </w:rPr>
        <w:t>制学生辍学，</w:t>
      </w:r>
      <w:r>
        <w:rPr>
          <w:rFonts w:ascii="FangSong" w:hAnsi="FangSong" w:eastAsia="FangSong" w:cs="FangSong"/>
          <w:sz w:val="24"/>
          <w:szCs w:val="24"/>
          <w:spacing w:val="-68"/>
        </w:rPr>
        <w:t xml:space="preserve"> </w:t>
      </w:r>
      <w:r>
        <w:rPr>
          <w:rFonts w:ascii="FangSong" w:hAnsi="FangSong" w:eastAsia="FangSong" w:cs="FangSong"/>
          <w:sz w:val="24"/>
          <w:szCs w:val="24"/>
          <w:spacing w:val="2"/>
        </w:rPr>
        <w:t>已入学的学生要建立学籍</w:t>
      </w:r>
      <w:r>
        <w:rPr>
          <w:rFonts w:ascii="FangSong" w:hAnsi="FangSong" w:eastAsia="FangSong" w:cs="FangSong"/>
          <w:sz w:val="24"/>
          <w:szCs w:val="24"/>
        </w:rPr>
        <w:t xml:space="preserve"> </w:t>
      </w:r>
      <w:r>
        <w:rPr>
          <w:rFonts w:ascii="FangSong" w:hAnsi="FangSong" w:eastAsia="FangSong" w:cs="FangSong"/>
          <w:sz w:val="24"/>
          <w:szCs w:val="24"/>
          <w:spacing w:val="-4"/>
        </w:rPr>
        <w:t>档案，并报教育行政部门备案。</w:t>
      </w:r>
    </w:p>
    <w:p>
      <w:pPr>
        <w:ind w:left="915" w:right="874" w:firstLine="370"/>
        <w:spacing w:before="119" w:line="277" w:lineRule="auto"/>
        <w:rPr>
          <w:rFonts w:ascii="FangSong" w:hAnsi="FangSong" w:eastAsia="FangSong" w:cs="FangSong"/>
          <w:sz w:val="24"/>
          <w:szCs w:val="24"/>
        </w:rPr>
      </w:pPr>
      <w:r>
        <w:rPr>
          <w:rFonts w:ascii="FangSong" w:hAnsi="FangSong" w:eastAsia="FangSong" w:cs="FangSong"/>
          <w:sz w:val="24"/>
          <w:szCs w:val="24"/>
          <w:spacing w:val="4"/>
        </w:rPr>
        <w:t>5.负责本校教师教育教学业务档案管理，教育统计，教师工资统</w:t>
      </w:r>
      <w:r>
        <w:rPr>
          <w:rFonts w:ascii="FangSong" w:hAnsi="FangSong" w:eastAsia="FangSong" w:cs="FangSong"/>
          <w:sz w:val="24"/>
          <w:szCs w:val="24"/>
          <w:spacing w:val="3"/>
        </w:rPr>
        <w:t>计，学校报帐。</w:t>
      </w:r>
      <w:r>
        <w:rPr>
          <w:rFonts w:ascii="FangSong" w:hAnsi="FangSong" w:eastAsia="FangSong" w:cs="FangSong"/>
          <w:sz w:val="24"/>
          <w:szCs w:val="24"/>
        </w:rPr>
        <w:t xml:space="preserve"> </w:t>
      </w:r>
      <w:r>
        <w:rPr>
          <w:rFonts w:ascii="FangSong" w:hAnsi="FangSong" w:eastAsia="FangSong" w:cs="FangSong"/>
          <w:sz w:val="24"/>
          <w:szCs w:val="24"/>
          <w:spacing w:val="1"/>
        </w:rPr>
        <w:t>管理本校的教学经费，做好教师编制核定，资格认定，职务评聘</w:t>
      </w:r>
      <w:r>
        <w:rPr>
          <w:rFonts w:ascii="FangSong" w:hAnsi="FangSong" w:eastAsia="FangSong" w:cs="FangSong"/>
          <w:sz w:val="24"/>
          <w:szCs w:val="24"/>
        </w:rPr>
        <w:t>，调配和交流，培训</w:t>
      </w:r>
      <w:r>
        <w:rPr>
          <w:rFonts w:ascii="FangSong" w:hAnsi="FangSong" w:eastAsia="FangSong" w:cs="FangSong"/>
          <w:sz w:val="24"/>
          <w:szCs w:val="24"/>
        </w:rPr>
        <w:t xml:space="preserve"> </w:t>
      </w:r>
      <w:r>
        <w:rPr>
          <w:rFonts w:ascii="FangSong" w:hAnsi="FangSong" w:eastAsia="FangSong" w:cs="FangSong"/>
          <w:sz w:val="24"/>
          <w:szCs w:val="24"/>
          <w:spacing w:val="-6"/>
        </w:rPr>
        <w:t>和考核等工作。</w:t>
      </w:r>
    </w:p>
    <w:p>
      <w:pPr>
        <w:ind w:left="915" w:right="874" w:firstLine="367"/>
        <w:spacing w:before="119" w:line="266" w:lineRule="auto"/>
        <w:rPr>
          <w:rFonts w:ascii="FangSong" w:hAnsi="FangSong" w:eastAsia="FangSong" w:cs="FangSong"/>
          <w:sz w:val="24"/>
          <w:szCs w:val="24"/>
        </w:rPr>
      </w:pPr>
      <w:r>
        <w:rPr>
          <w:rFonts w:ascii="FangSong" w:hAnsi="FangSong" w:eastAsia="FangSong" w:cs="FangSong"/>
          <w:sz w:val="24"/>
          <w:szCs w:val="24"/>
          <w:spacing w:val="4"/>
        </w:rPr>
        <w:t>6.在教育行政部门的指导下，负责组织学生考试，教育教学质量评估工</w:t>
      </w:r>
      <w:r>
        <w:rPr>
          <w:rFonts w:ascii="FangSong" w:hAnsi="FangSong" w:eastAsia="FangSong" w:cs="FangSong"/>
          <w:sz w:val="24"/>
          <w:szCs w:val="24"/>
          <w:spacing w:val="3"/>
        </w:rPr>
        <w:t>作，协助</w:t>
      </w:r>
      <w:r>
        <w:rPr>
          <w:rFonts w:ascii="FangSong" w:hAnsi="FangSong" w:eastAsia="FangSong" w:cs="FangSong"/>
          <w:sz w:val="24"/>
          <w:szCs w:val="24"/>
        </w:rPr>
        <w:t xml:space="preserve"> </w:t>
      </w:r>
      <w:r>
        <w:rPr>
          <w:rFonts w:ascii="FangSong" w:hAnsi="FangSong" w:eastAsia="FangSong" w:cs="FangSong"/>
          <w:sz w:val="24"/>
          <w:szCs w:val="24"/>
          <w:spacing w:val="-1"/>
        </w:rPr>
        <w:t>调整好校点布局和改造的有关工作，积极承办上级主管</w:t>
      </w:r>
      <w:r>
        <w:rPr>
          <w:rFonts w:ascii="FangSong" w:hAnsi="FangSong" w:eastAsia="FangSong" w:cs="FangSong"/>
          <w:sz w:val="24"/>
          <w:szCs w:val="24"/>
          <w:spacing w:val="-2"/>
        </w:rPr>
        <w:t>教育部门交办的其他事项。</w:t>
      </w:r>
    </w:p>
    <w:p>
      <w:pPr>
        <w:ind w:left="913"/>
        <w:spacing w:before="283"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15" w:right="875" w:firstLine="8"/>
        <w:spacing w:before="117" w:line="301" w:lineRule="auto"/>
        <w:rPr>
          <w:rFonts w:ascii="FangSong" w:hAnsi="FangSong" w:eastAsia="FangSong" w:cs="FangSong"/>
          <w:sz w:val="24"/>
          <w:szCs w:val="24"/>
        </w:rPr>
      </w:pPr>
      <w:r>
        <w:rPr>
          <w:rFonts w:ascii="FangSong" w:hAnsi="FangSong" w:eastAsia="FangSong" w:cs="FangSong"/>
          <w:sz w:val="24"/>
          <w:szCs w:val="24"/>
          <w:spacing w:val="7"/>
        </w:rPr>
        <w:t>我校是兴县教育科技局所属二级预算单位，为全额事业单位，执行政府会计准则制</w:t>
      </w:r>
      <w:r>
        <w:rPr>
          <w:rFonts w:ascii="FangSong" w:hAnsi="FangSong" w:eastAsia="FangSong" w:cs="FangSong"/>
          <w:sz w:val="24"/>
          <w:szCs w:val="24"/>
          <w:spacing w:val="7"/>
        </w:rPr>
        <w:t xml:space="preserve"> </w:t>
      </w:r>
      <w:r>
        <w:rPr>
          <w:rFonts w:ascii="FangSong" w:hAnsi="FangSong" w:eastAsia="FangSong" w:cs="FangSong"/>
          <w:sz w:val="24"/>
          <w:szCs w:val="24"/>
          <w:spacing w:val="-4"/>
        </w:rPr>
        <w:t>度。内设办公室、财务室等。</w:t>
      </w:r>
    </w:p>
    <w:p>
      <w:pPr>
        <w:spacing w:line="301" w:lineRule="auto"/>
        <w:sectPr>
          <w:headerReference w:type="default" r:id="rId2"/>
          <w:footerReference w:type="default" r:id="rId3"/>
          <w:pgSz w:w="11900" w:h="16840"/>
          <w:pgMar w:top="642" w:right="600" w:bottom="340" w:left="60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37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337"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单位名称：兴县蔡家崖乡中心校</w:t>
            </w:r>
          </w:p>
        </w:tc>
        <w:tc>
          <w:tcPr>
            <w:tcW w:w="3212" w:type="dxa"/>
            <w:vAlign w:val="top"/>
            <w:gridSpan w:val="3"/>
            <w:tcBorders>
              <w:top w:val="single" w:color="FFFFFF" w:sz="6" w:space="0"/>
              <w:left w:val="single" w:color="FFFFFF" w:sz="2" w:space="0"/>
              <w:right w:val="single" w:color="FFFFFF" w:sz="2" w:space="0"/>
            </w:tcBorders>
          </w:tcPr>
          <w:p>
            <w:pPr>
              <w:ind w:left="2281"/>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96" w:type="dxa"/>
            <w:vAlign w:val="top"/>
            <w:gridSpan w:val="2"/>
          </w:tcPr>
          <w:p>
            <w:pPr>
              <w:ind w:left="1409"/>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41" w:type="dxa"/>
            <w:vAlign w:val="top"/>
          </w:tcPr>
          <w:p>
            <w:pPr>
              <w:ind w:left="880"/>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85"/>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6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07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3"/>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1"/>
              </w:rPr>
              <w:t>460.57</w:t>
            </w:r>
          </w:p>
        </w:tc>
        <w:tc>
          <w:tcPr>
            <w:tcW w:w="2141" w:type="dxa"/>
            <w:vAlign w:val="top"/>
          </w:tcPr>
          <w:p>
            <w:pPr>
              <w:ind w:left="1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ind w:right="18"/>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332.57</w:t>
            </w:r>
          </w:p>
        </w:tc>
        <w:tc>
          <w:tcPr>
            <w:tcW w:w="1138" w:type="dxa"/>
            <w:vAlign w:val="top"/>
          </w:tcPr>
          <w:p>
            <w:pPr>
              <w:ind w:right="18"/>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332.47</w:t>
            </w:r>
          </w:p>
        </w:tc>
        <w:tc>
          <w:tcPr>
            <w:tcW w:w="921" w:type="dxa"/>
            <w:vAlign w:val="top"/>
          </w:tcPr>
          <w:p>
            <w:pPr>
              <w:ind w:right="26"/>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0.10</w:t>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92.74</w:t>
            </w:r>
          </w:p>
        </w:tc>
        <w:tc>
          <w:tcPr>
            <w:tcW w:w="1138"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92.74</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11.16</w:t>
            </w:r>
          </w:p>
        </w:tc>
        <w:tc>
          <w:tcPr>
            <w:tcW w:w="1138" w:type="dxa"/>
            <w:vAlign w:val="top"/>
          </w:tcPr>
          <w:p>
            <w:pPr>
              <w:ind w:right="1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11.16</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24.20</w:t>
            </w:r>
          </w:p>
        </w:tc>
        <w:tc>
          <w:tcPr>
            <w:tcW w:w="1138" w:type="dxa"/>
            <w:vAlign w:val="top"/>
          </w:tcPr>
          <w:p>
            <w:pPr>
              <w:ind w:right="1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24.20</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pStyle w:val="BodyText"/>
        <w:rPr/>
      </w:pPr>
      <w:r/>
    </w:p>
    <w:p>
      <w:pPr>
        <w:sectPr>
          <w:footerReference w:type="default" r:id="rId4"/>
          <w:pgSz w:w="11900" w:h="16840"/>
          <w:pgMar w:top="642" w:right="600" w:bottom="340" w:left="600" w:header="326" w:footer="91" w:gutter="0"/>
        </w:sectPr>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49"/>
              <w:spacing w:before="186" w:line="183" w:lineRule="auto"/>
              <w:rPr>
                <w:sz w:val="15"/>
                <w:szCs w:val="15"/>
              </w:rPr>
            </w:pPr>
            <w:r>
              <w:rPr>
                <w:sz w:val="15"/>
                <w:szCs w:val="15"/>
                <w:color w:val="212529"/>
                <w:spacing w:val="4"/>
              </w:rPr>
              <w:t>460.</w:t>
            </w:r>
            <w:r>
              <w:rPr>
                <w:sz w:val="15"/>
                <w:szCs w:val="15"/>
                <w:color w:val="212529"/>
                <w:spacing w:val="4"/>
              </w:rPr>
              <w:t xml:space="preserve"> </w:t>
            </w:r>
            <w:r>
              <w:rPr>
                <w:sz w:val="15"/>
                <w:szCs w:val="15"/>
                <w:color w:val="212529"/>
                <w:spacing w:val="4"/>
              </w:rPr>
              <w:t>57</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3"/>
              <w:spacing w:before="186" w:line="183" w:lineRule="auto"/>
              <w:rPr>
                <w:sz w:val="15"/>
                <w:szCs w:val="15"/>
              </w:rPr>
            </w:pPr>
            <w:r>
              <w:rPr>
                <w:sz w:val="15"/>
                <w:szCs w:val="15"/>
                <w:color w:val="212529"/>
                <w:spacing w:val="4"/>
              </w:rPr>
              <w:t>460.</w:t>
            </w:r>
            <w:r>
              <w:rPr>
                <w:sz w:val="15"/>
                <w:szCs w:val="15"/>
                <w:color w:val="212529"/>
                <w:spacing w:val="4"/>
              </w:rPr>
              <w:t xml:space="preserve"> </w:t>
            </w:r>
            <w:r>
              <w:rPr>
                <w:sz w:val="15"/>
                <w:szCs w:val="15"/>
                <w:color w:val="212529"/>
                <w:spacing w:val="4"/>
              </w:rPr>
              <w:t>67</w:t>
            </w:r>
          </w:p>
        </w:tc>
        <w:tc>
          <w:tcPr>
            <w:tcW w:w="1138" w:type="dxa"/>
            <w:vAlign w:val="top"/>
          </w:tcPr>
          <w:p>
            <w:pPr>
              <w:pStyle w:val="TableText"/>
              <w:ind w:left="568"/>
              <w:spacing w:before="186" w:line="183" w:lineRule="auto"/>
              <w:rPr>
                <w:sz w:val="15"/>
                <w:szCs w:val="15"/>
              </w:rPr>
            </w:pPr>
            <w:r>
              <w:rPr>
                <w:sz w:val="15"/>
                <w:szCs w:val="15"/>
                <w:color w:val="212529"/>
                <w:spacing w:val="3"/>
              </w:rPr>
              <w:t>460.</w:t>
            </w:r>
            <w:r>
              <w:rPr>
                <w:sz w:val="15"/>
                <w:szCs w:val="15"/>
                <w:color w:val="212529"/>
                <w:spacing w:val="11"/>
              </w:rPr>
              <w:t xml:space="preserve"> </w:t>
            </w:r>
            <w:r>
              <w:rPr>
                <w:sz w:val="15"/>
                <w:szCs w:val="15"/>
                <w:color w:val="212529"/>
                <w:spacing w:val="3"/>
              </w:rPr>
              <w:t>57</w:t>
            </w:r>
          </w:p>
        </w:tc>
        <w:tc>
          <w:tcPr>
            <w:tcW w:w="921" w:type="dxa"/>
            <w:vAlign w:val="top"/>
          </w:tcPr>
          <w:p>
            <w:pPr>
              <w:pStyle w:val="TableText"/>
              <w:ind w:left="525"/>
              <w:spacing w:before="186" w:line="184" w:lineRule="auto"/>
              <w:rPr>
                <w:sz w:val="15"/>
                <w:szCs w:val="15"/>
              </w:rPr>
            </w:pPr>
            <w:r>
              <w:rPr>
                <w:sz w:val="15"/>
                <w:szCs w:val="15"/>
                <w:color w:val="212529"/>
                <w:spacing w:val="1"/>
              </w:rPr>
              <w:t>0.</w:t>
            </w:r>
            <w:r>
              <w:rPr>
                <w:sz w:val="15"/>
                <w:szCs w:val="15"/>
                <w:color w:val="212529"/>
                <w:spacing w:val="11"/>
              </w:rPr>
              <w:t xml:space="preserve"> </w:t>
            </w:r>
            <w:r>
              <w:rPr>
                <w:sz w:val="15"/>
                <w:szCs w:val="15"/>
                <w:color w:val="212529"/>
                <w:spacing w:val="1"/>
              </w:rPr>
              <w:t>10</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22"/>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0.10</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49"/>
              <w:spacing w:before="188" w:line="183" w:lineRule="auto"/>
              <w:rPr>
                <w:sz w:val="15"/>
                <w:szCs w:val="15"/>
              </w:rPr>
            </w:pPr>
            <w:r>
              <w:rPr>
                <w:sz w:val="15"/>
                <w:szCs w:val="15"/>
                <w:color w:val="212529"/>
                <w:spacing w:val="4"/>
              </w:rPr>
              <w:t>460.</w:t>
            </w:r>
            <w:r>
              <w:rPr>
                <w:sz w:val="15"/>
                <w:szCs w:val="15"/>
                <w:color w:val="212529"/>
                <w:spacing w:val="4"/>
              </w:rPr>
              <w:t xml:space="preserve"> </w:t>
            </w:r>
            <w:r>
              <w:rPr>
                <w:sz w:val="15"/>
                <w:szCs w:val="15"/>
                <w:color w:val="212529"/>
                <w:spacing w:val="4"/>
              </w:rPr>
              <w:t>67</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3"/>
              <w:spacing w:before="188" w:line="183" w:lineRule="auto"/>
              <w:rPr>
                <w:sz w:val="15"/>
                <w:szCs w:val="15"/>
              </w:rPr>
            </w:pPr>
            <w:r>
              <w:rPr>
                <w:sz w:val="15"/>
                <w:szCs w:val="15"/>
                <w:color w:val="212529"/>
                <w:spacing w:val="4"/>
              </w:rPr>
              <w:t>460.</w:t>
            </w:r>
            <w:r>
              <w:rPr>
                <w:sz w:val="15"/>
                <w:szCs w:val="15"/>
                <w:color w:val="212529"/>
                <w:spacing w:val="4"/>
              </w:rPr>
              <w:t xml:space="preserve"> </w:t>
            </w:r>
            <w:r>
              <w:rPr>
                <w:sz w:val="15"/>
                <w:szCs w:val="15"/>
                <w:color w:val="212529"/>
                <w:spacing w:val="4"/>
              </w:rPr>
              <w:t>67</w:t>
            </w:r>
          </w:p>
        </w:tc>
        <w:tc>
          <w:tcPr>
            <w:tcW w:w="1138" w:type="dxa"/>
            <w:vAlign w:val="top"/>
          </w:tcPr>
          <w:p>
            <w:pPr>
              <w:pStyle w:val="TableText"/>
              <w:ind w:left="568"/>
              <w:spacing w:before="188" w:line="183" w:lineRule="auto"/>
              <w:rPr>
                <w:sz w:val="15"/>
                <w:szCs w:val="15"/>
              </w:rPr>
            </w:pPr>
            <w:r>
              <w:rPr>
                <w:sz w:val="15"/>
                <w:szCs w:val="15"/>
                <w:color w:val="212529"/>
                <w:spacing w:val="3"/>
              </w:rPr>
              <w:t>460.</w:t>
            </w:r>
            <w:r>
              <w:rPr>
                <w:sz w:val="15"/>
                <w:szCs w:val="15"/>
                <w:color w:val="212529"/>
                <w:spacing w:val="11"/>
              </w:rPr>
              <w:t xml:space="preserve"> </w:t>
            </w:r>
            <w:r>
              <w:rPr>
                <w:sz w:val="15"/>
                <w:szCs w:val="15"/>
                <w:color w:val="212529"/>
                <w:spacing w:val="3"/>
              </w:rPr>
              <w:t>57</w:t>
            </w:r>
          </w:p>
        </w:tc>
        <w:tc>
          <w:tcPr>
            <w:tcW w:w="921" w:type="dxa"/>
            <w:vAlign w:val="top"/>
          </w:tcPr>
          <w:p>
            <w:pPr>
              <w:pStyle w:val="TableText"/>
              <w:ind w:left="525"/>
              <w:spacing w:before="188" w:line="184" w:lineRule="auto"/>
              <w:rPr>
                <w:sz w:val="15"/>
                <w:szCs w:val="15"/>
              </w:rPr>
            </w:pPr>
            <w:r>
              <w:rPr>
                <w:sz w:val="15"/>
                <w:szCs w:val="15"/>
                <w:color w:val="212529"/>
                <w:spacing w:val="1"/>
              </w:rPr>
              <w:t>0.</w:t>
            </w:r>
            <w:r>
              <w:rPr>
                <w:sz w:val="15"/>
                <w:szCs w:val="15"/>
                <w:color w:val="212529"/>
                <w:spacing w:val="11"/>
              </w:rPr>
              <w:t xml:space="preserve"> </w:t>
            </w:r>
            <w:r>
              <w:rPr>
                <w:sz w:val="15"/>
                <w:szCs w:val="15"/>
                <w:color w:val="212529"/>
                <w:spacing w:val="1"/>
              </w:rPr>
              <w:t>10</w:t>
            </w:r>
          </w:p>
        </w:tc>
      </w:tr>
    </w:tbl>
    <w:p>
      <w:pPr>
        <w:pStyle w:val="BodyText"/>
        <w:rPr/>
      </w:pPr>
      <w:r/>
    </w:p>
    <w:p>
      <w:pPr>
        <w:sectPr>
          <w:footerReference w:type="default" r:id="rId5"/>
          <w:pgSz w:w="11900" w:h="16840"/>
          <w:pgMar w:top="642" w:right="600" w:bottom="340" w:left="600" w:header="326" w:footer="93"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67"/>
        <w:gridCol w:w="1438"/>
        <w:gridCol w:w="1259"/>
        <w:gridCol w:w="1318"/>
        <w:gridCol w:w="1498"/>
        <w:gridCol w:w="1483"/>
        <w:gridCol w:w="974"/>
        <w:gridCol w:w="110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6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bottom w:val="single" w:color="FFFFFF" w:sz="6" w:space="0"/>
              <w:top w:val="single" w:color="FFFFFF" w:sz="6" w:space="0"/>
            </w:tcBorders>
          </w:tcPr>
          <w:p>
            <w:pPr>
              <w:ind w:left="105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单位名称：兴县蔡家崖乡中心校</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top w:val="single" w:color="FFFFFF" w:sz="6" w:space="0"/>
            </w:tcBorders>
          </w:tcPr>
          <w:p>
            <w:pPr>
              <w:ind w:left="114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98" w:type="dxa"/>
            <w:vAlign w:val="top"/>
            <w:gridSpan w:val="2"/>
          </w:tcPr>
          <w:p>
            <w:pPr>
              <w:ind w:left="199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70" w:type="dxa"/>
            <w:vAlign w:val="top"/>
            <w:gridSpan w:val="6"/>
          </w:tcPr>
          <w:p>
            <w:pPr>
              <w:ind w:left="3608"/>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67" w:type="dxa"/>
            <w:vAlign w:val="top"/>
          </w:tcPr>
          <w:p>
            <w:pPr>
              <w:ind w:left="109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1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2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98" w:type="dxa"/>
            <w:vAlign w:val="top"/>
            <w:gridSpan w:val="2"/>
          </w:tcPr>
          <w:p>
            <w:pPr>
              <w:ind w:left="200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51"/>
              <w:spacing w:before="149" w:line="183" w:lineRule="auto"/>
              <w:rPr>
                <w:sz w:val="15"/>
                <w:szCs w:val="15"/>
              </w:rPr>
            </w:pPr>
            <w:r>
              <w:rPr>
                <w:sz w:val="15"/>
                <w:szCs w:val="15"/>
                <w:color w:val="212529"/>
                <w:spacing w:val="3"/>
              </w:rPr>
              <w:t>460.</w:t>
            </w:r>
            <w:r>
              <w:rPr>
                <w:sz w:val="15"/>
                <w:szCs w:val="15"/>
                <w:color w:val="212529"/>
                <w:spacing w:val="11"/>
              </w:rPr>
              <w:t xml:space="preserve"> </w:t>
            </w:r>
            <w:r>
              <w:rPr>
                <w:sz w:val="15"/>
                <w:szCs w:val="15"/>
                <w:color w:val="212529"/>
                <w:spacing w:val="3"/>
              </w:rPr>
              <w:t>57</w:t>
            </w:r>
          </w:p>
        </w:tc>
        <w:tc>
          <w:tcPr>
            <w:tcW w:w="1259" w:type="dxa"/>
            <w:vAlign w:val="top"/>
          </w:tcPr>
          <w:p>
            <w:pPr>
              <w:pStyle w:val="TableText"/>
              <w:ind w:left="681"/>
              <w:spacing w:before="149" w:line="183" w:lineRule="auto"/>
              <w:rPr>
                <w:sz w:val="15"/>
                <w:szCs w:val="15"/>
              </w:rPr>
            </w:pPr>
            <w:r>
              <w:rPr>
                <w:sz w:val="15"/>
                <w:szCs w:val="15"/>
                <w:color w:val="212529"/>
                <w:spacing w:val="3"/>
              </w:rPr>
              <w:t>460.</w:t>
            </w:r>
            <w:r>
              <w:rPr>
                <w:sz w:val="15"/>
                <w:szCs w:val="15"/>
                <w:color w:val="212529"/>
                <w:spacing w:val="11"/>
              </w:rPr>
              <w:t xml:space="preserve"> </w:t>
            </w:r>
            <w:r>
              <w:rPr>
                <w:sz w:val="15"/>
                <w:szCs w:val="15"/>
                <w:color w:val="212529"/>
                <w:spacing w:val="3"/>
              </w:rPr>
              <w:t>57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ind w:left="705"/>
              <w:spacing w:before="149" w:line="212" w:lineRule="auto"/>
              <w:rPr>
                <w:sz w:val="13"/>
                <w:szCs w:val="13"/>
              </w:rPr>
            </w:pPr>
            <w:r>
              <w:rPr>
                <w:sz w:val="13"/>
                <w:szCs w:val="13"/>
                <w:color w:val="212529"/>
                <w:spacing w:val="8"/>
              </w:rPr>
              <w:t>0.</w:t>
            </w:r>
            <w:r>
              <w:rPr>
                <w:sz w:val="13"/>
                <w:szCs w:val="13"/>
                <w:color w:val="212529"/>
                <w:spacing w:val="27"/>
                <w:w w:val="102"/>
              </w:rPr>
              <w:t xml:space="preserve"> </w:t>
            </w:r>
            <w:r>
              <w:rPr>
                <w:sz w:val="13"/>
                <w:szCs w:val="13"/>
                <w:color w:val="212529"/>
                <w:spacing w:val="8"/>
              </w:rPr>
              <w:t>10</w:t>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205</w:t>
            </w:r>
          </w:p>
        </w:tc>
        <w:tc>
          <w:tcPr>
            <w:tcW w:w="2967" w:type="dxa"/>
            <w:vAlign w:val="top"/>
          </w:tcPr>
          <w:p>
            <w:pPr>
              <w:spacing w:before="128"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438" w:type="dxa"/>
            <w:vAlign w:val="top"/>
          </w:tcPr>
          <w:p>
            <w:pPr>
              <w:ind w:left="855"/>
              <w:spacing w:before="129" w:line="238" w:lineRule="auto"/>
              <w:rPr>
                <w:rFonts w:ascii="SimSun" w:hAnsi="SimSun" w:eastAsia="SimSun" w:cs="SimSun"/>
                <w:sz w:val="18"/>
                <w:szCs w:val="18"/>
              </w:rPr>
            </w:pPr>
            <w:r>
              <w:rPr>
                <w:rFonts w:ascii="SimSun" w:hAnsi="SimSun" w:eastAsia="SimSun" w:cs="SimSun"/>
                <w:sz w:val="18"/>
                <w:szCs w:val="18"/>
                <w:color w:val="212529"/>
                <w:spacing w:val="-2"/>
              </w:rPr>
              <w:t>332.47</w:t>
            </w:r>
          </w:p>
        </w:tc>
        <w:tc>
          <w:tcPr>
            <w:tcW w:w="1259" w:type="dxa"/>
            <w:vAlign w:val="top"/>
          </w:tcPr>
          <w:p>
            <w:pPr>
              <w:ind w:right="27"/>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332.47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0.10</w:t>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296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438" w:type="dxa"/>
            <w:vAlign w:val="top"/>
          </w:tcPr>
          <w:p>
            <w:pPr>
              <w:ind w:left="855"/>
              <w:spacing w:before="130" w:line="238" w:lineRule="auto"/>
              <w:rPr>
                <w:rFonts w:ascii="SimSun" w:hAnsi="SimSun" w:eastAsia="SimSun" w:cs="SimSun"/>
                <w:sz w:val="18"/>
                <w:szCs w:val="18"/>
              </w:rPr>
            </w:pPr>
            <w:r>
              <w:rPr>
                <w:rFonts w:ascii="SimSun" w:hAnsi="SimSun" w:eastAsia="SimSun" w:cs="SimSun"/>
                <w:sz w:val="18"/>
                <w:szCs w:val="18"/>
                <w:color w:val="212529"/>
                <w:spacing w:val="-2"/>
              </w:rPr>
              <w:t>332.47</w:t>
            </w:r>
          </w:p>
        </w:tc>
        <w:tc>
          <w:tcPr>
            <w:tcW w:w="1259" w:type="dxa"/>
            <w:vAlign w:val="top"/>
          </w:tcPr>
          <w:p>
            <w:pPr>
              <w:ind w:right="27"/>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332.47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0.10</w:t>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2050201</w:t>
            </w:r>
          </w:p>
        </w:tc>
        <w:tc>
          <w:tcPr>
            <w:tcW w:w="2967" w:type="dxa"/>
            <w:vAlign w:val="top"/>
          </w:tcPr>
          <w:p>
            <w:pPr>
              <w:spacing w:before="130" w:line="219" w:lineRule="auto"/>
              <w:rPr>
                <w:rFonts w:ascii="SimSun" w:hAnsi="SimSun" w:eastAsia="SimSun" w:cs="SimSun"/>
                <w:sz w:val="18"/>
                <w:szCs w:val="18"/>
              </w:rPr>
            </w:pPr>
            <w:r>
              <w:rPr>
                <w:rFonts w:ascii="SimSun" w:hAnsi="SimSun" w:eastAsia="SimSun" w:cs="SimSun"/>
                <w:sz w:val="18"/>
                <w:szCs w:val="18"/>
                <w:color w:val="212529"/>
                <w:spacing w:val="-2"/>
              </w:rPr>
              <w:t>学前教育</w:t>
            </w:r>
          </w:p>
        </w:tc>
        <w:tc>
          <w:tcPr>
            <w:tcW w:w="1438" w:type="dxa"/>
            <w:vAlign w:val="top"/>
          </w:tcPr>
          <w:p>
            <w:pPr>
              <w:ind w:left="1033"/>
              <w:spacing w:before="131" w:line="238" w:lineRule="auto"/>
              <w:rPr>
                <w:rFonts w:ascii="SimSun" w:hAnsi="SimSun" w:eastAsia="SimSun" w:cs="SimSun"/>
                <w:sz w:val="18"/>
                <w:szCs w:val="18"/>
              </w:rPr>
            </w:pPr>
            <w:r>
              <w:rPr>
                <w:rFonts w:ascii="SimSun" w:hAnsi="SimSun" w:eastAsia="SimSun" w:cs="SimSun"/>
                <w:sz w:val="18"/>
                <w:szCs w:val="18"/>
                <w:color w:val="212529"/>
                <w:spacing w:val="-2"/>
              </w:rPr>
              <w:t>0.20</w:t>
            </w:r>
          </w:p>
        </w:tc>
        <w:tc>
          <w:tcPr>
            <w:tcW w:w="1259"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0.20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0.10</w:t>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2050202</w:t>
            </w:r>
          </w:p>
        </w:tc>
        <w:tc>
          <w:tcPr>
            <w:tcW w:w="2967" w:type="dxa"/>
            <w:vAlign w:val="top"/>
          </w:tcPr>
          <w:p>
            <w:pPr>
              <w:ind w:left="2"/>
              <w:spacing w:before="131" w:line="219" w:lineRule="auto"/>
              <w:rPr>
                <w:rFonts w:ascii="SimSun" w:hAnsi="SimSun" w:eastAsia="SimSun" w:cs="SimSun"/>
                <w:sz w:val="18"/>
                <w:szCs w:val="18"/>
              </w:rPr>
            </w:pPr>
            <w:r>
              <w:rPr>
                <w:rFonts w:ascii="SimSun" w:hAnsi="SimSun" w:eastAsia="SimSun" w:cs="SimSun"/>
                <w:sz w:val="18"/>
                <w:szCs w:val="18"/>
                <w:color w:val="212529"/>
                <w:spacing w:val="-3"/>
              </w:rPr>
              <w:t>小学教育</w:t>
            </w:r>
          </w:p>
        </w:tc>
        <w:tc>
          <w:tcPr>
            <w:tcW w:w="1438" w:type="dxa"/>
            <w:vAlign w:val="top"/>
          </w:tcPr>
          <w:p>
            <w:pPr>
              <w:ind w:left="855"/>
              <w:spacing w:before="132" w:line="238" w:lineRule="auto"/>
              <w:rPr>
                <w:rFonts w:ascii="SimSun" w:hAnsi="SimSun" w:eastAsia="SimSun" w:cs="SimSun"/>
                <w:sz w:val="18"/>
                <w:szCs w:val="18"/>
              </w:rPr>
            </w:pPr>
            <w:r>
              <w:rPr>
                <w:rFonts w:ascii="SimSun" w:hAnsi="SimSun" w:eastAsia="SimSun" w:cs="SimSun"/>
                <w:sz w:val="18"/>
                <w:szCs w:val="18"/>
                <w:color w:val="212529"/>
                <w:spacing w:val="-2"/>
              </w:rPr>
              <w:t>332.27</w:t>
            </w:r>
          </w:p>
        </w:tc>
        <w:tc>
          <w:tcPr>
            <w:tcW w:w="1259" w:type="dxa"/>
            <w:vAlign w:val="top"/>
          </w:tcPr>
          <w:p>
            <w:pPr>
              <w:ind w:right="27"/>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332.27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67" w:type="dxa"/>
            <w:vAlign w:val="top"/>
          </w:tcPr>
          <w:p>
            <w:pPr>
              <w:spacing w:before="132"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8" w:type="dxa"/>
            <w:vAlign w:val="top"/>
          </w:tcPr>
          <w:p>
            <w:pPr>
              <w:ind w:left="942"/>
              <w:spacing w:before="133" w:line="238" w:lineRule="auto"/>
              <w:rPr>
                <w:rFonts w:ascii="SimSun" w:hAnsi="SimSun" w:eastAsia="SimSun" w:cs="SimSun"/>
                <w:sz w:val="18"/>
                <w:szCs w:val="18"/>
              </w:rPr>
            </w:pPr>
            <w:r>
              <w:rPr>
                <w:rFonts w:ascii="SimSun" w:hAnsi="SimSun" w:eastAsia="SimSun" w:cs="SimSun"/>
                <w:sz w:val="18"/>
                <w:szCs w:val="18"/>
                <w:color w:val="212529"/>
                <w:spacing w:val="-2"/>
              </w:rPr>
              <w:t>92.74</w:t>
            </w:r>
          </w:p>
        </w:tc>
        <w:tc>
          <w:tcPr>
            <w:tcW w:w="1259" w:type="dxa"/>
            <w:vAlign w:val="top"/>
          </w:tcPr>
          <w:p>
            <w:pPr>
              <w:ind w:right="27"/>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92.74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67" w:type="dxa"/>
            <w:vAlign w:val="top"/>
          </w:tcPr>
          <w:p>
            <w:pPr>
              <w:spacing w:before="133"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left="942"/>
              <w:spacing w:before="134" w:line="238" w:lineRule="auto"/>
              <w:rPr>
                <w:rFonts w:ascii="SimSun" w:hAnsi="SimSun" w:eastAsia="SimSun" w:cs="SimSun"/>
                <w:sz w:val="18"/>
                <w:szCs w:val="18"/>
              </w:rPr>
            </w:pPr>
            <w:r>
              <w:rPr>
                <w:rFonts w:ascii="SimSun" w:hAnsi="SimSun" w:eastAsia="SimSun" w:cs="SimSun"/>
                <w:sz w:val="18"/>
                <w:szCs w:val="18"/>
                <w:color w:val="212529"/>
                <w:spacing w:val="-2"/>
              </w:rPr>
              <w:t>92.74</w:t>
            </w:r>
          </w:p>
        </w:tc>
        <w:tc>
          <w:tcPr>
            <w:tcW w:w="1259"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92.74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67" w:type="dxa"/>
            <w:vAlign w:val="top"/>
          </w:tcPr>
          <w:p>
            <w:pPr>
              <w:spacing w:before="134"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left="943"/>
              <w:spacing w:before="135" w:line="238" w:lineRule="auto"/>
              <w:rPr>
                <w:rFonts w:ascii="SimSun" w:hAnsi="SimSun" w:eastAsia="SimSun" w:cs="SimSun"/>
                <w:sz w:val="18"/>
                <w:szCs w:val="18"/>
              </w:rPr>
            </w:pPr>
            <w:r>
              <w:rPr>
                <w:rFonts w:ascii="SimSun" w:hAnsi="SimSun" w:eastAsia="SimSun" w:cs="SimSun"/>
                <w:sz w:val="18"/>
                <w:szCs w:val="18"/>
                <w:color w:val="212529"/>
                <w:spacing w:val="-2"/>
              </w:rPr>
              <w:t>66.25</w:t>
            </w:r>
          </w:p>
        </w:tc>
        <w:tc>
          <w:tcPr>
            <w:tcW w:w="1259" w:type="dxa"/>
            <w:vAlign w:val="top"/>
          </w:tcPr>
          <w:p>
            <w:pPr>
              <w:ind w:right="27"/>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66.25</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67" w:type="dxa"/>
            <w:vAlign w:val="top"/>
          </w:tcPr>
          <w:p>
            <w:pPr>
              <w:spacing w:before="135"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left="943"/>
              <w:spacing w:before="136" w:line="238" w:lineRule="auto"/>
              <w:rPr>
                <w:rFonts w:ascii="SimSun" w:hAnsi="SimSun" w:eastAsia="SimSun" w:cs="SimSun"/>
                <w:sz w:val="18"/>
                <w:szCs w:val="18"/>
              </w:rPr>
            </w:pPr>
            <w:r>
              <w:rPr>
                <w:rFonts w:ascii="SimSun" w:hAnsi="SimSun" w:eastAsia="SimSun" w:cs="SimSun"/>
                <w:sz w:val="18"/>
                <w:szCs w:val="18"/>
                <w:color w:val="212529"/>
                <w:spacing w:val="-2"/>
              </w:rPr>
              <w:t>26.49</w:t>
            </w:r>
          </w:p>
        </w:tc>
        <w:tc>
          <w:tcPr>
            <w:tcW w:w="1259"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26.49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67"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3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11.16</w:t>
            </w:r>
          </w:p>
        </w:tc>
        <w:tc>
          <w:tcPr>
            <w:tcW w:w="1259"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11.16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8" w:type="dxa"/>
            <w:vAlign w:val="top"/>
          </w:tcPr>
          <w:p>
            <w:pPr>
              <w:ind w:right="3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11.16</w:t>
            </w:r>
          </w:p>
        </w:tc>
        <w:tc>
          <w:tcPr>
            <w:tcW w:w="1259"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11.16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3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10.76</w:t>
            </w:r>
          </w:p>
        </w:tc>
        <w:tc>
          <w:tcPr>
            <w:tcW w:w="1259"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10.76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left="1033"/>
              <w:spacing w:before="139" w:line="238" w:lineRule="auto"/>
              <w:rPr>
                <w:rFonts w:ascii="SimSun" w:hAnsi="SimSun" w:eastAsia="SimSun" w:cs="SimSun"/>
                <w:sz w:val="18"/>
                <w:szCs w:val="18"/>
              </w:rPr>
            </w:pPr>
            <w:r>
              <w:rPr>
                <w:rFonts w:ascii="SimSun" w:hAnsi="SimSun" w:eastAsia="SimSun" w:cs="SimSun"/>
                <w:sz w:val="18"/>
                <w:szCs w:val="18"/>
                <w:color w:val="212529"/>
                <w:spacing w:val="-2"/>
              </w:rPr>
              <w:t>0.40</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0.40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left="943"/>
              <w:spacing w:before="139" w:line="238" w:lineRule="auto"/>
              <w:rPr>
                <w:rFonts w:ascii="SimSun" w:hAnsi="SimSun" w:eastAsia="SimSun" w:cs="SimSun"/>
                <w:sz w:val="18"/>
                <w:szCs w:val="18"/>
              </w:rPr>
            </w:pPr>
            <w:r>
              <w:rPr>
                <w:rFonts w:ascii="SimSun" w:hAnsi="SimSun" w:eastAsia="SimSun" w:cs="SimSun"/>
                <w:sz w:val="18"/>
                <w:szCs w:val="18"/>
                <w:color w:val="212529"/>
                <w:spacing w:val="-2"/>
              </w:rPr>
              <w:t>24.20</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24.20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left="943"/>
              <w:spacing w:before="139" w:line="238" w:lineRule="auto"/>
              <w:rPr>
                <w:rFonts w:ascii="SimSun" w:hAnsi="SimSun" w:eastAsia="SimSun" w:cs="SimSun"/>
                <w:sz w:val="18"/>
                <w:szCs w:val="18"/>
              </w:rPr>
            </w:pPr>
            <w:r>
              <w:rPr>
                <w:rFonts w:ascii="SimSun" w:hAnsi="SimSun" w:eastAsia="SimSun" w:cs="SimSun"/>
                <w:sz w:val="18"/>
                <w:szCs w:val="18"/>
                <w:color w:val="212529"/>
                <w:spacing w:val="-2"/>
              </w:rPr>
              <w:t>24.20</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24.20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left="943"/>
              <w:spacing w:before="139" w:line="238" w:lineRule="auto"/>
              <w:rPr>
                <w:rFonts w:ascii="SimSun" w:hAnsi="SimSun" w:eastAsia="SimSun" w:cs="SimSun"/>
                <w:sz w:val="18"/>
                <w:szCs w:val="18"/>
              </w:rPr>
            </w:pPr>
            <w:r>
              <w:rPr>
                <w:rFonts w:ascii="SimSun" w:hAnsi="SimSun" w:eastAsia="SimSun" w:cs="SimSun"/>
                <w:sz w:val="18"/>
                <w:szCs w:val="18"/>
                <w:color w:val="212529"/>
                <w:spacing w:val="-2"/>
              </w:rPr>
              <w:t>24.20</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24.20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bl>
    <w:p>
      <w:pPr>
        <w:pStyle w:val="BodyText"/>
        <w:rPr/>
      </w:pPr>
      <w:r/>
    </w:p>
    <w:p>
      <w:pPr>
        <w:sectPr>
          <w:headerReference w:type="default" r:id="rId6"/>
          <w:footerReference w:type="default" r:id="rId7"/>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5"/>
              <w:spacing w:before="99" w:line="172" w:lineRule="auto"/>
              <w:rPr>
                <w:sz w:val="14"/>
                <w:szCs w:val="14"/>
              </w:rPr>
            </w:pPr>
            <w:r>
              <w:rPr>
                <w:sz w:val="14"/>
                <w:szCs w:val="14"/>
                <w:color w:val="212529"/>
              </w:rPr>
              <w:t>460.</w:t>
            </w:r>
            <w:r>
              <w:rPr>
                <w:sz w:val="14"/>
                <w:szCs w:val="14"/>
                <w:color w:val="212529"/>
                <w:spacing w:val="8"/>
              </w:rPr>
              <w:t xml:space="preserve"> </w:t>
            </w:r>
            <w:r>
              <w:rPr>
                <w:sz w:val="14"/>
                <w:szCs w:val="14"/>
                <w:color w:val="212529"/>
              </w:rPr>
              <w:t>67</w:t>
            </w:r>
          </w:p>
        </w:tc>
        <w:tc>
          <w:tcPr>
            <w:tcW w:w="1361" w:type="dxa"/>
            <w:vAlign w:val="top"/>
          </w:tcPr>
          <w:p>
            <w:pPr>
              <w:pStyle w:val="TableText"/>
              <w:ind w:left="849"/>
              <w:spacing w:before="99" w:line="172" w:lineRule="auto"/>
              <w:rPr>
                <w:sz w:val="14"/>
                <w:szCs w:val="14"/>
              </w:rPr>
            </w:pPr>
            <w:r>
              <w:rPr>
                <w:sz w:val="14"/>
                <w:szCs w:val="14"/>
                <w:color w:val="212529"/>
                <w:spacing w:val="1"/>
              </w:rPr>
              <w:t>438.</w:t>
            </w:r>
            <w:r>
              <w:rPr>
                <w:sz w:val="14"/>
                <w:szCs w:val="14"/>
                <w:color w:val="212529"/>
                <w:spacing w:val="1"/>
              </w:rPr>
              <w:t xml:space="preserve"> </w:t>
            </w:r>
            <w:r>
              <w:rPr>
                <w:sz w:val="14"/>
                <w:szCs w:val="14"/>
                <w:color w:val="212529"/>
                <w:spacing w:val="1"/>
              </w:rPr>
              <w:t>86</w:t>
            </w:r>
          </w:p>
        </w:tc>
        <w:tc>
          <w:tcPr>
            <w:tcW w:w="1280" w:type="dxa"/>
            <w:vAlign w:val="top"/>
          </w:tcPr>
          <w:p>
            <w:pPr>
              <w:pStyle w:val="TableText"/>
              <w:ind w:left="850"/>
              <w:spacing w:before="99" w:line="186" w:lineRule="auto"/>
              <w:rPr>
                <w:sz w:val="13"/>
                <w:szCs w:val="13"/>
              </w:rPr>
            </w:pPr>
            <w:r>
              <w:rPr>
                <w:sz w:val="13"/>
                <w:szCs w:val="13"/>
                <w:color w:val="212529"/>
                <w:spacing w:val="3"/>
              </w:rPr>
              <w:t>21.</w:t>
            </w:r>
            <w:r>
              <w:rPr>
                <w:sz w:val="13"/>
                <w:szCs w:val="13"/>
                <w:color w:val="212529"/>
                <w:spacing w:val="9"/>
              </w:rPr>
              <w:t xml:space="preserve"> </w:t>
            </w:r>
            <w:r>
              <w:rPr>
                <w:sz w:val="13"/>
                <w:szCs w:val="13"/>
                <w:color w:val="212529"/>
                <w:spacing w:val="3"/>
              </w:rPr>
              <w:t>81</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337"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332.57</w:t>
            </w:r>
          </w:p>
        </w:tc>
        <w:tc>
          <w:tcPr>
            <w:tcW w:w="1361" w:type="dxa"/>
            <w:vAlign w:val="top"/>
          </w:tcPr>
          <w:p>
            <w:pPr>
              <w:pStyle w:val="TableText"/>
              <w:ind w:left="852"/>
              <w:spacing w:before="99" w:line="173" w:lineRule="auto"/>
              <w:rPr>
                <w:sz w:val="14"/>
                <w:szCs w:val="14"/>
              </w:rPr>
            </w:pPr>
            <w:r>
              <w:rPr>
                <w:sz w:val="14"/>
                <w:szCs w:val="14"/>
                <w:color w:val="212529"/>
              </w:rPr>
              <w:t>310.</w:t>
            </w:r>
            <w:r>
              <w:rPr>
                <w:sz w:val="14"/>
                <w:szCs w:val="14"/>
                <w:color w:val="212529"/>
                <w:spacing w:val="6"/>
              </w:rPr>
              <w:t xml:space="preserve"> </w:t>
            </w:r>
            <w:r>
              <w:rPr>
                <w:sz w:val="14"/>
                <w:szCs w:val="14"/>
                <w:color w:val="212529"/>
              </w:rPr>
              <w:t>76</w:t>
            </w:r>
          </w:p>
        </w:tc>
        <w:tc>
          <w:tcPr>
            <w:tcW w:w="1280" w:type="dxa"/>
            <w:vAlign w:val="top"/>
          </w:tcPr>
          <w:p>
            <w:pPr>
              <w:pStyle w:val="TableText"/>
              <w:ind w:left="850"/>
              <w:spacing w:before="99" w:line="187" w:lineRule="auto"/>
              <w:rPr>
                <w:sz w:val="13"/>
                <w:szCs w:val="13"/>
              </w:rPr>
            </w:pPr>
            <w:r>
              <w:rPr>
                <w:sz w:val="13"/>
                <w:szCs w:val="13"/>
                <w:color w:val="212529"/>
                <w:spacing w:val="3"/>
              </w:rPr>
              <w:t>21.</w:t>
            </w:r>
            <w:r>
              <w:rPr>
                <w:sz w:val="13"/>
                <w:szCs w:val="13"/>
                <w:color w:val="212529"/>
                <w:spacing w:val="9"/>
              </w:rPr>
              <w:t xml:space="preserve"> </w:t>
            </w:r>
            <w:r>
              <w:rPr>
                <w:sz w:val="13"/>
                <w:szCs w:val="13"/>
                <w:color w:val="212529"/>
                <w:spacing w:val="3"/>
              </w:rPr>
              <w:t>81</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337"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332.57</w:t>
            </w:r>
          </w:p>
        </w:tc>
        <w:tc>
          <w:tcPr>
            <w:tcW w:w="1361" w:type="dxa"/>
            <w:vAlign w:val="top"/>
          </w:tcPr>
          <w:p>
            <w:pPr>
              <w:pStyle w:val="TableText"/>
              <w:ind w:left="852"/>
              <w:spacing w:before="99" w:line="173" w:lineRule="auto"/>
              <w:rPr>
                <w:sz w:val="14"/>
                <w:szCs w:val="14"/>
              </w:rPr>
            </w:pPr>
            <w:r>
              <w:rPr>
                <w:sz w:val="14"/>
                <w:szCs w:val="14"/>
                <w:color w:val="212529"/>
              </w:rPr>
              <w:t>310.</w:t>
            </w:r>
            <w:r>
              <w:rPr>
                <w:sz w:val="14"/>
                <w:szCs w:val="14"/>
                <w:color w:val="212529"/>
                <w:spacing w:val="6"/>
              </w:rPr>
              <w:t xml:space="preserve"> </w:t>
            </w:r>
            <w:r>
              <w:rPr>
                <w:sz w:val="14"/>
                <w:szCs w:val="14"/>
                <w:color w:val="212529"/>
              </w:rPr>
              <w:t>76</w:t>
            </w:r>
          </w:p>
        </w:tc>
        <w:tc>
          <w:tcPr>
            <w:tcW w:w="1280" w:type="dxa"/>
            <w:vAlign w:val="top"/>
          </w:tcPr>
          <w:p>
            <w:pPr>
              <w:pStyle w:val="TableText"/>
              <w:ind w:left="850"/>
              <w:spacing w:before="99" w:line="186" w:lineRule="auto"/>
              <w:rPr>
                <w:sz w:val="13"/>
                <w:szCs w:val="13"/>
              </w:rPr>
            </w:pPr>
            <w:r>
              <w:rPr>
                <w:sz w:val="13"/>
                <w:szCs w:val="13"/>
                <w:color w:val="212529"/>
                <w:spacing w:val="3"/>
              </w:rPr>
              <w:t>21.</w:t>
            </w:r>
            <w:r>
              <w:rPr>
                <w:sz w:val="13"/>
                <w:szCs w:val="13"/>
                <w:color w:val="212529"/>
                <w:spacing w:val="9"/>
              </w:rPr>
              <w:t xml:space="preserve"> </w:t>
            </w:r>
            <w:r>
              <w:rPr>
                <w:sz w:val="13"/>
                <w:szCs w:val="13"/>
                <w:color w:val="212529"/>
                <w:spacing w:val="3"/>
              </w:rPr>
              <w:t>81</w:t>
            </w:r>
          </w:p>
        </w:tc>
      </w:tr>
      <w:tr>
        <w:trPr>
          <w:trHeight w:val="314" w:hRule="atLeast"/>
        </w:trPr>
        <w:tc>
          <w:tcPr>
            <w:tcW w:w="177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2050201</w:t>
            </w:r>
          </w:p>
        </w:tc>
        <w:tc>
          <w:tcPr>
            <w:tcW w:w="3337" w:type="dxa"/>
            <w:vAlign w:val="top"/>
          </w:tcPr>
          <w:p>
            <w:pPr>
              <w:ind w:left="5"/>
              <w:spacing w:before="81"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404" w:type="dxa"/>
            <w:vAlign w:val="top"/>
          </w:tcPr>
          <w:p>
            <w:pPr>
              <w:ind w:right="19"/>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c>
          <w:tcPr>
            <w:tcW w:w="1361" w:type="dxa"/>
            <w:vAlign w:val="top"/>
          </w:tcPr>
          <w:p>
            <w:pPr>
              <w:pStyle w:val="TableText"/>
              <w:rPr/>
            </w:pPr>
            <w:r/>
          </w:p>
        </w:tc>
        <w:tc>
          <w:tcPr>
            <w:tcW w:w="1280"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r>
      <w:tr>
        <w:trPr>
          <w:trHeight w:val="314" w:hRule="atLeast"/>
        </w:trPr>
        <w:tc>
          <w:tcPr>
            <w:tcW w:w="177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2050202</w:t>
            </w:r>
          </w:p>
        </w:tc>
        <w:tc>
          <w:tcPr>
            <w:tcW w:w="3337" w:type="dxa"/>
            <w:vAlign w:val="top"/>
          </w:tcPr>
          <w:p>
            <w:pPr>
              <w:ind w:left="8"/>
              <w:spacing w:before="81" w:line="229" w:lineRule="auto"/>
              <w:rPr>
                <w:rFonts w:ascii="SimSun" w:hAnsi="SimSun" w:eastAsia="SimSun" w:cs="SimSun"/>
                <w:sz w:val="15"/>
                <w:szCs w:val="15"/>
              </w:rPr>
            </w:pPr>
            <w:r>
              <w:rPr>
                <w:rFonts w:ascii="SimSun" w:hAnsi="SimSun" w:eastAsia="SimSun" w:cs="SimSun"/>
                <w:sz w:val="15"/>
                <w:szCs w:val="15"/>
                <w:color w:val="212529"/>
                <w:spacing w:val="8"/>
              </w:rPr>
              <w:t>小学教育</w:t>
            </w:r>
          </w:p>
        </w:tc>
        <w:tc>
          <w:tcPr>
            <w:tcW w:w="1404" w:type="dxa"/>
            <w:vAlign w:val="top"/>
          </w:tcPr>
          <w:p>
            <w:pPr>
              <w:ind w:right="19"/>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332.27</w:t>
            </w:r>
          </w:p>
        </w:tc>
        <w:tc>
          <w:tcPr>
            <w:tcW w:w="1361"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310.76</w:t>
            </w:r>
          </w:p>
        </w:tc>
        <w:tc>
          <w:tcPr>
            <w:tcW w:w="1280"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21.51</w:t>
            </w:r>
          </w:p>
        </w:tc>
      </w:tr>
      <w:tr>
        <w:trPr>
          <w:trHeight w:val="314" w:hRule="atLeast"/>
        </w:trPr>
        <w:tc>
          <w:tcPr>
            <w:tcW w:w="177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92.74</w:t>
            </w:r>
          </w:p>
        </w:tc>
        <w:tc>
          <w:tcPr>
            <w:tcW w:w="1361" w:type="dxa"/>
            <w:vAlign w:val="top"/>
          </w:tcPr>
          <w:p>
            <w:pPr>
              <w:pStyle w:val="TableText"/>
              <w:ind w:left="931"/>
              <w:spacing w:before="101" w:line="172" w:lineRule="auto"/>
              <w:rPr>
                <w:sz w:val="14"/>
                <w:szCs w:val="14"/>
              </w:rPr>
            </w:pPr>
            <w:r>
              <w:rPr>
                <w:sz w:val="14"/>
                <w:szCs w:val="14"/>
                <w:color w:val="212529"/>
              </w:rPr>
              <w:t>92.</w:t>
            </w:r>
            <w:r>
              <w:rPr>
                <w:sz w:val="14"/>
                <w:szCs w:val="14"/>
                <w:color w:val="212529"/>
                <w:spacing w:val="7"/>
              </w:rPr>
              <w:t xml:space="preserve"> </w:t>
            </w:r>
            <w:r>
              <w:rPr>
                <w:sz w:val="14"/>
                <w:szCs w:val="14"/>
                <w:color w:val="212529"/>
              </w:rPr>
              <w:t>74</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92.74</w:t>
            </w:r>
          </w:p>
        </w:tc>
        <w:tc>
          <w:tcPr>
            <w:tcW w:w="1361" w:type="dxa"/>
            <w:vAlign w:val="top"/>
          </w:tcPr>
          <w:p>
            <w:pPr>
              <w:pStyle w:val="TableText"/>
              <w:ind w:left="931"/>
              <w:spacing w:before="101" w:line="172" w:lineRule="auto"/>
              <w:rPr>
                <w:sz w:val="14"/>
                <w:szCs w:val="14"/>
              </w:rPr>
            </w:pPr>
            <w:r>
              <w:rPr>
                <w:sz w:val="14"/>
                <w:szCs w:val="14"/>
                <w:color w:val="212529"/>
              </w:rPr>
              <w:t>92.</w:t>
            </w:r>
            <w:r>
              <w:rPr>
                <w:sz w:val="14"/>
                <w:szCs w:val="14"/>
                <w:color w:val="212529"/>
                <w:spacing w:val="7"/>
              </w:rPr>
              <w:t xml:space="preserve"> </w:t>
            </w:r>
            <w:r>
              <w:rPr>
                <w:sz w:val="14"/>
                <w:szCs w:val="14"/>
                <w:color w:val="212529"/>
              </w:rPr>
              <w:t>74</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66.25</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66.25</w:t>
            </w:r>
          </w:p>
        </w:tc>
        <w:tc>
          <w:tcPr>
            <w:tcW w:w="1280" w:type="dxa"/>
            <w:vAlign w:val="top"/>
          </w:tcPr>
          <w:p>
            <w:pPr>
              <w:pStyle w:val="TableText"/>
              <w:rPr/>
            </w:pPr>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c>
          <w:tcPr>
            <w:tcW w:w="1361"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c>
          <w:tcPr>
            <w:tcW w:w="1280" w:type="dxa"/>
            <w:vAlign w:val="top"/>
          </w:tcPr>
          <w:p>
            <w:pPr>
              <w:pStyle w:val="TableText"/>
              <w:rPr/>
            </w:pPr>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11.16</w:t>
            </w:r>
          </w:p>
        </w:tc>
        <w:tc>
          <w:tcPr>
            <w:tcW w:w="1361" w:type="dxa"/>
            <w:vAlign w:val="top"/>
          </w:tcPr>
          <w:p>
            <w:pPr>
              <w:pStyle w:val="TableText"/>
              <w:ind w:left="942"/>
              <w:spacing w:before="101" w:line="187" w:lineRule="auto"/>
              <w:rPr>
                <w:sz w:val="13"/>
                <w:szCs w:val="13"/>
              </w:rPr>
            </w:pPr>
            <w:r>
              <w:rPr>
                <w:sz w:val="13"/>
                <w:szCs w:val="13"/>
                <w:color w:val="212529"/>
                <w:spacing w:val="1"/>
              </w:rPr>
              <w:t>11.</w:t>
            </w:r>
            <w:r>
              <w:rPr>
                <w:sz w:val="13"/>
                <w:szCs w:val="13"/>
                <w:color w:val="212529"/>
                <w:spacing w:val="16"/>
                <w:w w:val="102"/>
              </w:rPr>
              <w:t xml:space="preserve"> </w:t>
            </w:r>
            <w:r>
              <w:rPr>
                <w:sz w:val="13"/>
                <w:szCs w:val="13"/>
                <w:color w:val="212529"/>
                <w:spacing w:val="1"/>
              </w:rPr>
              <w:t>16</w:t>
            </w:r>
          </w:p>
        </w:tc>
        <w:tc>
          <w:tcPr>
            <w:tcW w:w="1280" w:type="dxa"/>
            <w:vAlign w:val="top"/>
          </w:tcPr>
          <w:p>
            <w:pPr>
              <w:pStyle w:val="TableText"/>
              <w:rPr/>
            </w:pPr>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11.16</w:t>
            </w:r>
          </w:p>
        </w:tc>
        <w:tc>
          <w:tcPr>
            <w:tcW w:w="1361" w:type="dxa"/>
            <w:vAlign w:val="top"/>
          </w:tcPr>
          <w:p>
            <w:pPr>
              <w:pStyle w:val="TableText"/>
              <w:ind w:left="942"/>
              <w:spacing w:before="102" w:line="186" w:lineRule="auto"/>
              <w:rPr>
                <w:sz w:val="13"/>
                <w:szCs w:val="13"/>
              </w:rPr>
            </w:pPr>
            <w:r>
              <w:rPr>
                <w:sz w:val="13"/>
                <w:szCs w:val="13"/>
                <w:color w:val="212529"/>
                <w:spacing w:val="1"/>
              </w:rPr>
              <w:t>11.</w:t>
            </w:r>
            <w:r>
              <w:rPr>
                <w:sz w:val="13"/>
                <w:szCs w:val="13"/>
                <w:color w:val="212529"/>
                <w:spacing w:val="16"/>
                <w:w w:val="102"/>
              </w:rPr>
              <w:t xml:space="preserve"> </w:t>
            </w:r>
            <w:r>
              <w:rPr>
                <w:sz w:val="13"/>
                <w:szCs w:val="13"/>
                <w:color w:val="212529"/>
                <w:spacing w:val="1"/>
              </w:rPr>
              <w:t>16</w:t>
            </w:r>
          </w:p>
        </w:tc>
        <w:tc>
          <w:tcPr>
            <w:tcW w:w="1280"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10.76</w:t>
            </w:r>
          </w:p>
        </w:tc>
        <w:tc>
          <w:tcPr>
            <w:tcW w:w="1361" w:type="dxa"/>
            <w:vAlign w:val="top"/>
          </w:tcPr>
          <w:p>
            <w:pPr>
              <w:ind w:right="22"/>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10.76</w:t>
            </w:r>
          </w:p>
        </w:tc>
        <w:tc>
          <w:tcPr>
            <w:tcW w:w="1280"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337"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c>
          <w:tcPr>
            <w:tcW w:w="1280" w:type="dxa"/>
            <w:vAlign w:val="top"/>
          </w:tcPr>
          <w:p>
            <w:pPr>
              <w:pStyle w:val="TableText"/>
              <w:rPr/>
            </w:pPr>
            <w:r/>
          </w:p>
        </w:tc>
      </w:tr>
      <w:tr>
        <w:trPr>
          <w:trHeight w:val="314" w:hRule="atLeast"/>
        </w:trPr>
        <w:tc>
          <w:tcPr>
            <w:tcW w:w="1776"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361" w:type="dxa"/>
            <w:vAlign w:val="top"/>
          </w:tcPr>
          <w:p>
            <w:pPr>
              <w:pStyle w:val="TableText"/>
              <w:ind w:left="932"/>
              <w:spacing w:before="103" w:line="186" w:lineRule="auto"/>
              <w:rPr>
                <w:sz w:val="13"/>
                <w:szCs w:val="13"/>
              </w:rPr>
            </w:pPr>
            <w:r>
              <w:rPr>
                <w:sz w:val="13"/>
                <w:szCs w:val="13"/>
                <w:color w:val="212529"/>
                <w:spacing w:val="4"/>
              </w:rPr>
              <w:t>24.</w:t>
            </w:r>
            <w:r>
              <w:rPr>
                <w:sz w:val="13"/>
                <w:szCs w:val="13"/>
                <w:color w:val="212529"/>
                <w:spacing w:val="11"/>
                <w:w w:val="101"/>
              </w:rPr>
              <w:t xml:space="preserve"> </w:t>
            </w:r>
            <w:r>
              <w:rPr>
                <w:sz w:val="13"/>
                <w:szCs w:val="13"/>
                <w:color w:val="212529"/>
                <w:spacing w:val="4"/>
              </w:rPr>
              <w:t>20</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361" w:type="dxa"/>
            <w:vAlign w:val="top"/>
          </w:tcPr>
          <w:p>
            <w:pPr>
              <w:pStyle w:val="TableText"/>
              <w:ind w:left="932"/>
              <w:spacing w:before="104" w:line="186" w:lineRule="auto"/>
              <w:rPr>
                <w:sz w:val="13"/>
                <w:szCs w:val="13"/>
              </w:rPr>
            </w:pPr>
            <w:r>
              <w:rPr>
                <w:sz w:val="13"/>
                <w:szCs w:val="13"/>
                <w:color w:val="212529"/>
                <w:spacing w:val="4"/>
              </w:rPr>
              <w:t>24.</w:t>
            </w:r>
            <w:r>
              <w:rPr>
                <w:sz w:val="13"/>
                <w:szCs w:val="13"/>
                <w:color w:val="212529"/>
                <w:spacing w:val="11"/>
                <w:w w:val="101"/>
              </w:rPr>
              <w:t xml:space="preserve"> </w:t>
            </w:r>
            <w:r>
              <w:rPr>
                <w:sz w:val="13"/>
                <w:szCs w:val="13"/>
                <w:color w:val="212529"/>
                <w:spacing w:val="4"/>
              </w:rPr>
              <w:t>20</w:t>
            </w:r>
          </w:p>
        </w:tc>
        <w:tc>
          <w:tcPr>
            <w:tcW w:w="1280" w:type="dxa"/>
            <w:vAlign w:val="top"/>
          </w:tcPr>
          <w:p>
            <w:pPr>
              <w:pStyle w:val="TableText"/>
              <w:rPr/>
            </w:pPr>
            <w:r/>
          </w:p>
        </w:tc>
      </w:tr>
      <w:tr>
        <w:trPr>
          <w:trHeight w:val="319"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280" w:type="dxa"/>
            <w:vAlign w:val="top"/>
          </w:tcPr>
          <w:p>
            <w:pPr>
              <w:pStyle w:val="TableText"/>
              <w:rPr/>
            </w:pPr>
            <w:r/>
          </w:p>
        </w:tc>
      </w:tr>
    </w:tbl>
    <w:p>
      <w:pPr>
        <w:pStyle w:val="BodyText"/>
        <w:rPr/>
      </w:pPr>
      <w:r/>
    </w:p>
    <w:p>
      <w:pPr>
        <w:sectPr>
          <w:headerReference w:type="default" r:id="rId2"/>
          <w:footerReference w:type="default" r:id="rId8"/>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460.57</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ind w:right="23"/>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332.57</w:t>
            </w:r>
          </w:p>
        </w:tc>
        <w:tc>
          <w:tcPr>
            <w:tcW w:w="1069" w:type="dxa"/>
            <w:vAlign w:val="top"/>
          </w:tcPr>
          <w:p>
            <w:pPr>
              <w:ind w:right="18"/>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332.57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92.74</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92.74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11.16</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11.16</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1"/>
              <w:spacing w:before="138" w:line="172" w:lineRule="auto"/>
              <w:rPr>
                <w:sz w:val="14"/>
                <w:szCs w:val="14"/>
              </w:rPr>
            </w:pPr>
            <w:r>
              <w:rPr>
                <w:sz w:val="14"/>
                <w:szCs w:val="14"/>
                <w:color w:val="212529"/>
              </w:rPr>
              <w:t>460.</w:t>
            </w:r>
            <w:r>
              <w:rPr>
                <w:sz w:val="14"/>
                <w:szCs w:val="14"/>
                <w:color w:val="212529"/>
                <w:spacing w:val="8"/>
              </w:rPr>
              <w:t xml:space="preserve"> </w:t>
            </w:r>
            <w:r>
              <w:rPr>
                <w:sz w:val="14"/>
                <w:szCs w:val="14"/>
                <w:color w:val="212529"/>
              </w:rPr>
              <w:t>57</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69"/>
              <w:spacing w:before="138" w:line="172" w:lineRule="auto"/>
              <w:rPr>
                <w:sz w:val="14"/>
                <w:szCs w:val="14"/>
              </w:rPr>
            </w:pPr>
            <w:r>
              <w:rPr>
                <w:sz w:val="14"/>
                <w:szCs w:val="14"/>
                <w:color w:val="212529"/>
                <w:spacing w:val="1"/>
              </w:rPr>
              <w:t>460.</w:t>
            </w:r>
            <w:r>
              <w:rPr>
                <w:sz w:val="14"/>
                <w:szCs w:val="14"/>
                <w:color w:val="212529"/>
                <w:spacing w:val="1"/>
              </w:rPr>
              <w:t xml:space="preserve"> </w:t>
            </w:r>
            <w:r>
              <w:rPr>
                <w:sz w:val="14"/>
                <w:szCs w:val="14"/>
                <w:color w:val="212529"/>
                <w:spacing w:val="1"/>
              </w:rPr>
              <w:t>67</w:t>
            </w:r>
          </w:p>
        </w:tc>
        <w:tc>
          <w:tcPr>
            <w:tcW w:w="1069" w:type="dxa"/>
            <w:vAlign w:val="top"/>
          </w:tcPr>
          <w:p>
            <w:pPr>
              <w:pStyle w:val="TableText"/>
              <w:ind w:left="283"/>
              <w:spacing w:before="138" w:line="172" w:lineRule="auto"/>
              <w:rPr>
                <w:sz w:val="14"/>
                <w:szCs w:val="14"/>
              </w:rPr>
            </w:pPr>
            <w:r>
              <w:rPr>
                <w:sz w:val="14"/>
                <w:szCs w:val="14"/>
                <w:color w:val="212529"/>
              </w:rPr>
              <w:t>460.</w:t>
            </w:r>
            <w:r>
              <w:rPr>
                <w:sz w:val="14"/>
                <w:szCs w:val="14"/>
                <w:color w:val="212529"/>
                <w:spacing w:val="8"/>
              </w:rPr>
              <w:t xml:space="preserve"> </w:t>
            </w:r>
            <w:r>
              <w:rPr>
                <w:sz w:val="14"/>
                <w:szCs w:val="14"/>
                <w:color w:val="212529"/>
              </w:rPr>
              <w:t>67</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footerReference w:type="default" r:id="rId9"/>
          <w:pgSz w:w="11900" w:h="16840"/>
          <w:pgMar w:top="642" w:right="600" w:bottom="340" w:left="600" w:header="326" w:footer="93"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1"/>
              <w:spacing w:before="136" w:line="172" w:lineRule="auto"/>
              <w:rPr>
                <w:sz w:val="14"/>
                <w:szCs w:val="14"/>
              </w:rPr>
            </w:pPr>
            <w:r>
              <w:rPr>
                <w:sz w:val="14"/>
                <w:szCs w:val="14"/>
                <w:color w:val="212529"/>
              </w:rPr>
              <w:t>460.</w:t>
            </w:r>
            <w:r>
              <w:rPr>
                <w:sz w:val="14"/>
                <w:szCs w:val="14"/>
                <w:color w:val="212529"/>
                <w:spacing w:val="8"/>
              </w:rPr>
              <w:t xml:space="preserve"> </w:t>
            </w:r>
            <w:r>
              <w:rPr>
                <w:sz w:val="14"/>
                <w:szCs w:val="14"/>
                <w:color w:val="212529"/>
              </w:rPr>
              <w:t>67</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69"/>
              <w:spacing w:before="136" w:line="172" w:lineRule="auto"/>
              <w:rPr>
                <w:sz w:val="14"/>
                <w:szCs w:val="14"/>
              </w:rPr>
            </w:pPr>
            <w:r>
              <w:rPr>
                <w:sz w:val="14"/>
                <w:szCs w:val="14"/>
                <w:color w:val="212529"/>
              </w:rPr>
              <w:t>460.</w:t>
            </w:r>
            <w:r>
              <w:rPr>
                <w:sz w:val="14"/>
                <w:szCs w:val="14"/>
                <w:color w:val="212529"/>
                <w:spacing w:val="8"/>
              </w:rPr>
              <w:t xml:space="preserve"> </w:t>
            </w:r>
            <w:r>
              <w:rPr>
                <w:sz w:val="14"/>
                <w:szCs w:val="14"/>
                <w:color w:val="212529"/>
              </w:rPr>
              <w:t>67</w:t>
            </w:r>
          </w:p>
        </w:tc>
        <w:tc>
          <w:tcPr>
            <w:tcW w:w="1069" w:type="dxa"/>
            <w:vAlign w:val="top"/>
          </w:tcPr>
          <w:p>
            <w:pPr>
              <w:pStyle w:val="TableText"/>
              <w:ind w:left="283"/>
              <w:spacing w:before="136" w:line="172" w:lineRule="auto"/>
              <w:rPr>
                <w:sz w:val="14"/>
                <w:szCs w:val="14"/>
              </w:rPr>
            </w:pPr>
            <w:r>
              <w:rPr>
                <w:sz w:val="14"/>
                <w:szCs w:val="14"/>
                <w:color w:val="212529"/>
              </w:rPr>
              <w:t>460.</w:t>
            </w:r>
            <w:r>
              <w:rPr>
                <w:sz w:val="14"/>
                <w:szCs w:val="14"/>
                <w:color w:val="212529"/>
                <w:spacing w:val="8"/>
              </w:rPr>
              <w:t xml:space="preserve"> </w:t>
            </w:r>
            <w:r>
              <w:rPr>
                <w:sz w:val="14"/>
                <w:szCs w:val="14"/>
                <w:color w:val="212529"/>
              </w:rPr>
              <w:t>67</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footerReference w:type="default" r:id="rId10"/>
          <w:pgSz w:w="11900" w:h="16840"/>
          <w:pgMar w:top="642" w:right="600" w:bottom="340" w:left="600" w:header="326" w:footer="90"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2"/>
              <w:spacing w:before="87" w:line="172" w:lineRule="auto"/>
              <w:rPr>
                <w:sz w:val="14"/>
                <w:szCs w:val="14"/>
              </w:rPr>
            </w:pPr>
            <w:r>
              <w:rPr>
                <w:sz w:val="14"/>
                <w:szCs w:val="14"/>
                <w:color w:val="212529"/>
                <w:spacing w:val="1"/>
              </w:rPr>
              <w:t>460.</w:t>
            </w:r>
            <w:r>
              <w:rPr>
                <w:sz w:val="14"/>
                <w:szCs w:val="14"/>
                <w:color w:val="212529"/>
                <w:spacing w:val="1"/>
              </w:rPr>
              <w:t xml:space="preserve"> </w:t>
            </w:r>
            <w:r>
              <w:rPr>
                <w:sz w:val="14"/>
                <w:szCs w:val="14"/>
                <w:color w:val="212529"/>
                <w:spacing w:val="1"/>
              </w:rPr>
              <w:t>57</w:t>
            </w:r>
          </w:p>
        </w:tc>
        <w:tc>
          <w:tcPr>
            <w:tcW w:w="1415" w:type="dxa"/>
            <w:vAlign w:val="top"/>
          </w:tcPr>
          <w:p>
            <w:pPr>
              <w:pStyle w:val="TableText"/>
              <w:ind w:left="901"/>
              <w:spacing w:before="87" w:line="172" w:lineRule="auto"/>
              <w:rPr>
                <w:sz w:val="14"/>
                <w:szCs w:val="14"/>
              </w:rPr>
            </w:pPr>
            <w:r>
              <w:rPr>
                <w:sz w:val="14"/>
                <w:szCs w:val="14"/>
                <w:color w:val="212529"/>
              </w:rPr>
              <w:t>438.</w:t>
            </w:r>
            <w:r>
              <w:rPr>
                <w:sz w:val="14"/>
                <w:szCs w:val="14"/>
                <w:color w:val="212529"/>
                <w:spacing w:val="9"/>
              </w:rPr>
              <w:t xml:space="preserve"> </w:t>
            </w:r>
            <w:r>
              <w:rPr>
                <w:sz w:val="14"/>
                <w:szCs w:val="14"/>
                <w:color w:val="212529"/>
              </w:rPr>
              <w:t>86</w:t>
            </w:r>
          </w:p>
        </w:tc>
        <w:tc>
          <w:tcPr>
            <w:tcW w:w="1377" w:type="dxa"/>
            <w:vAlign w:val="top"/>
          </w:tcPr>
          <w:p>
            <w:pPr>
              <w:pStyle w:val="TableText"/>
              <w:ind w:left="947"/>
              <w:spacing w:before="87" w:line="186" w:lineRule="auto"/>
              <w:rPr>
                <w:sz w:val="13"/>
                <w:szCs w:val="13"/>
              </w:rPr>
            </w:pPr>
            <w:r>
              <w:rPr>
                <w:sz w:val="13"/>
                <w:szCs w:val="13"/>
                <w:color w:val="212529"/>
                <w:spacing w:val="3"/>
              </w:rPr>
              <w:t>21.</w:t>
            </w:r>
            <w:r>
              <w:rPr>
                <w:sz w:val="13"/>
                <w:szCs w:val="13"/>
                <w:color w:val="212529"/>
                <w:spacing w:val="9"/>
              </w:rPr>
              <w:t xml:space="preserve"> </w:t>
            </w:r>
            <w:r>
              <w:rPr>
                <w:sz w:val="13"/>
                <w:szCs w:val="13"/>
                <w:color w:val="212529"/>
                <w:spacing w:val="3"/>
              </w:rPr>
              <w:t>71</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332.47</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310.76</w:t>
            </w:r>
          </w:p>
        </w:tc>
        <w:tc>
          <w:tcPr>
            <w:tcW w:w="1377"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21.71</w:t>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332.47</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310.76</w:t>
            </w:r>
          </w:p>
        </w:tc>
        <w:tc>
          <w:tcPr>
            <w:tcW w:w="1377"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21.71</w:t>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2050201</w:t>
            </w:r>
          </w:p>
        </w:tc>
        <w:tc>
          <w:tcPr>
            <w:tcW w:w="3143" w:type="dxa"/>
            <w:vAlign w:val="top"/>
          </w:tcPr>
          <w:p>
            <w:pPr>
              <w:ind w:left="1"/>
              <w:spacing w:before="70"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415" w:type="dxa"/>
            <w:vAlign w:val="top"/>
          </w:tcPr>
          <w:p>
            <w:pPr>
              <w:pStyle w:val="TableText"/>
              <w:rPr/>
            </w:pPr>
            <w:r/>
          </w:p>
        </w:tc>
        <w:tc>
          <w:tcPr>
            <w:tcW w:w="1377"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2050202</w:t>
            </w:r>
          </w:p>
        </w:tc>
        <w:tc>
          <w:tcPr>
            <w:tcW w:w="3143" w:type="dxa"/>
            <w:vAlign w:val="top"/>
          </w:tcPr>
          <w:p>
            <w:pPr>
              <w:ind w:left="3"/>
              <w:spacing w:before="71" w:line="229" w:lineRule="auto"/>
              <w:rPr>
                <w:rFonts w:ascii="SimSun" w:hAnsi="SimSun" w:eastAsia="SimSun" w:cs="SimSun"/>
                <w:sz w:val="15"/>
                <w:szCs w:val="15"/>
              </w:rPr>
            </w:pPr>
            <w:r>
              <w:rPr>
                <w:rFonts w:ascii="SimSun" w:hAnsi="SimSun" w:eastAsia="SimSun" w:cs="SimSun"/>
                <w:sz w:val="15"/>
                <w:szCs w:val="15"/>
                <w:color w:val="212529"/>
                <w:spacing w:val="8"/>
              </w:rPr>
              <w:t>小学教育</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332.27</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310.76</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21.51</w:t>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92.74</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92.74</w:t>
            </w:r>
          </w:p>
        </w:tc>
        <w:tc>
          <w:tcPr>
            <w:tcW w:w="1377" w:type="dxa"/>
            <w:vAlign w:val="top"/>
          </w:tcPr>
          <w:p>
            <w:pPr>
              <w:pStyle w:val="TableText"/>
              <w:rPr/>
            </w:pPr>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7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92.74</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92.74</w:t>
            </w:r>
          </w:p>
        </w:tc>
        <w:tc>
          <w:tcPr>
            <w:tcW w:w="1377" w:type="dxa"/>
            <w:vAlign w:val="top"/>
          </w:tcPr>
          <w:p>
            <w:pPr>
              <w:pStyle w:val="TableText"/>
              <w:rPr/>
            </w:pPr>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43"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66.25</w:t>
            </w:r>
          </w:p>
        </w:tc>
        <w:tc>
          <w:tcPr>
            <w:tcW w:w="1415"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66.25</w:t>
            </w:r>
          </w:p>
        </w:tc>
        <w:tc>
          <w:tcPr>
            <w:tcW w:w="1377" w:type="dxa"/>
            <w:vAlign w:val="top"/>
          </w:tcPr>
          <w:p>
            <w:pPr>
              <w:pStyle w:val="TableText"/>
              <w:rPr/>
            </w:pPr>
            <w:r/>
          </w:p>
        </w:tc>
      </w:tr>
      <w:tr>
        <w:trPr>
          <w:trHeight w:val="292" w:hRule="atLeast"/>
        </w:trPr>
        <w:tc>
          <w:tcPr>
            <w:tcW w:w="1679"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4"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c>
          <w:tcPr>
            <w:tcW w:w="1415"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11.16</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11.16</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11.16</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11.16</w:t>
            </w:r>
          </w:p>
        </w:tc>
        <w:tc>
          <w:tcPr>
            <w:tcW w:w="1377" w:type="dxa"/>
            <w:vAlign w:val="top"/>
          </w:tcPr>
          <w:p>
            <w:pPr>
              <w:pStyle w:val="TableText"/>
              <w:rPr/>
            </w:pPr>
            <w:r/>
          </w:p>
        </w:tc>
      </w:tr>
      <w:tr>
        <w:trPr>
          <w:trHeight w:val="293" w:hRule="atLeast"/>
        </w:trPr>
        <w:tc>
          <w:tcPr>
            <w:tcW w:w="1679"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10.76</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10.76</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c>
          <w:tcPr>
            <w:tcW w:w="1377" w:type="dxa"/>
            <w:vAlign w:val="top"/>
          </w:tcPr>
          <w:p>
            <w:pPr>
              <w:pStyle w:val="TableText"/>
              <w:rPr/>
            </w:pPr>
            <w:r/>
          </w:p>
        </w:tc>
      </w:tr>
      <w:tr>
        <w:trPr>
          <w:trHeight w:val="293" w:hRule="atLeast"/>
        </w:trPr>
        <w:tc>
          <w:tcPr>
            <w:tcW w:w="1679"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377" w:type="dxa"/>
            <w:vAlign w:val="top"/>
          </w:tcPr>
          <w:p>
            <w:pPr>
              <w:pStyle w:val="TableText"/>
              <w:rPr/>
            </w:pPr>
            <w:r/>
          </w:p>
        </w:tc>
      </w:tr>
      <w:tr>
        <w:trPr>
          <w:trHeight w:val="292" w:hRule="atLeast"/>
        </w:trPr>
        <w:tc>
          <w:tcPr>
            <w:tcW w:w="1679"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377" w:type="dxa"/>
            <w:vAlign w:val="top"/>
          </w:tcPr>
          <w:p>
            <w:pPr>
              <w:pStyle w:val="TableText"/>
              <w:rPr/>
            </w:pPr>
            <w:r/>
          </w:p>
        </w:tc>
      </w:tr>
      <w:tr>
        <w:trPr>
          <w:trHeight w:val="298" w:hRule="atLeast"/>
        </w:trPr>
        <w:tc>
          <w:tcPr>
            <w:tcW w:w="1679"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415"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377" w:type="dxa"/>
            <w:vAlign w:val="top"/>
          </w:tcPr>
          <w:p>
            <w:pPr>
              <w:pStyle w:val="TableText"/>
              <w:rPr/>
            </w:pPr>
            <w:r/>
          </w:p>
        </w:tc>
      </w:tr>
    </w:tbl>
    <w:p>
      <w:pPr>
        <w:pStyle w:val="BodyText"/>
        <w:rPr/>
      </w:pPr>
      <w:r/>
    </w:p>
    <w:p>
      <w:pPr>
        <w:sectPr>
          <w:footerReference w:type="default" r:id="rId11"/>
          <w:pgSz w:w="11900" w:h="16840"/>
          <w:pgMar w:top="642" w:right="600" w:bottom="340" w:left="600" w:header="326" w:footer="93" w:gutter="0"/>
        </w:sectPr>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79"/>
              <w:spacing w:before="87" w:line="172" w:lineRule="auto"/>
              <w:rPr>
                <w:sz w:val="14"/>
                <w:szCs w:val="14"/>
              </w:rPr>
            </w:pPr>
            <w:r>
              <w:rPr>
                <w:sz w:val="14"/>
                <w:szCs w:val="14"/>
                <w:color w:val="212529"/>
                <w:spacing w:val="1"/>
              </w:rPr>
              <w:t>438.</w:t>
            </w:r>
            <w:r>
              <w:rPr>
                <w:sz w:val="14"/>
                <w:szCs w:val="14"/>
                <w:color w:val="212529"/>
                <w:spacing w:val="1"/>
              </w:rPr>
              <w:t xml:space="preserve"> </w:t>
            </w:r>
            <w:r>
              <w:rPr>
                <w:sz w:val="14"/>
                <w:szCs w:val="14"/>
                <w:color w:val="212529"/>
                <w:spacing w:val="1"/>
              </w:rPr>
              <w:t>86</w:t>
            </w:r>
          </w:p>
        </w:tc>
        <w:tc>
          <w:tcPr>
            <w:tcW w:w="1188" w:type="dxa"/>
            <w:vAlign w:val="top"/>
          </w:tcPr>
          <w:p>
            <w:pPr>
              <w:pStyle w:val="TableText"/>
              <w:ind w:left="682"/>
              <w:spacing w:before="87" w:line="172" w:lineRule="auto"/>
              <w:rPr>
                <w:sz w:val="14"/>
                <w:szCs w:val="14"/>
              </w:rPr>
            </w:pPr>
            <w:r>
              <w:rPr>
                <w:sz w:val="14"/>
                <w:szCs w:val="14"/>
                <w:color w:val="212529"/>
              </w:rPr>
              <w:t>428.</w:t>
            </w:r>
            <w:r>
              <w:rPr>
                <w:sz w:val="14"/>
                <w:szCs w:val="14"/>
                <w:color w:val="212529"/>
                <w:spacing w:val="8"/>
              </w:rPr>
              <w:t xml:space="preserve"> </w:t>
            </w:r>
            <w:r>
              <w:rPr>
                <w:sz w:val="14"/>
                <w:szCs w:val="14"/>
                <w:color w:val="212529"/>
              </w:rPr>
              <w:t>32</w:t>
            </w:r>
          </w:p>
        </w:tc>
        <w:tc>
          <w:tcPr>
            <w:tcW w:w="1118" w:type="dxa"/>
            <w:vAlign w:val="top"/>
          </w:tcPr>
          <w:p>
            <w:pPr>
              <w:pStyle w:val="TableText"/>
              <w:ind w:left="699"/>
              <w:spacing w:before="87" w:line="186" w:lineRule="auto"/>
              <w:rPr>
                <w:sz w:val="13"/>
                <w:szCs w:val="13"/>
              </w:rPr>
            </w:pPr>
            <w:r>
              <w:rPr>
                <w:sz w:val="13"/>
                <w:szCs w:val="13"/>
                <w:color w:val="212529"/>
                <w:spacing w:val="1"/>
              </w:rPr>
              <w:t>10.</w:t>
            </w:r>
            <w:r>
              <w:rPr>
                <w:sz w:val="13"/>
                <w:szCs w:val="13"/>
                <w:color w:val="212529"/>
                <w:spacing w:val="14"/>
                <w:w w:val="102"/>
              </w:rPr>
              <w:t xml:space="preserve"> </w:t>
            </w:r>
            <w:r>
              <w:rPr>
                <w:sz w:val="13"/>
                <w:szCs w:val="13"/>
                <w:color w:val="212529"/>
                <w:spacing w:val="1"/>
              </w:rPr>
              <w:t>55</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290.69</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290.69</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104.57</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104.57</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43.72</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43.72</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57.72</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57.72</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10.76</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10.76</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118" w:type="dxa"/>
            <w:vAlign w:val="top"/>
          </w:tcPr>
          <w:p>
            <w:pPr>
              <w:pStyle w:val="TableText"/>
              <w:rPr/>
            </w:pPr>
            <w:r/>
          </w:p>
        </w:tc>
      </w:tr>
      <w:tr>
        <w:trPr>
          <w:trHeight w:val="292"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10.55</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10.55</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1.44</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1.44</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5.79</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5.79</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137.63</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137.63</w:t>
            </w:r>
          </w:p>
        </w:tc>
        <w:tc>
          <w:tcPr>
            <w:tcW w:w="1118" w:type="dxa"/>
            <w:vAlign w:val="top"/>
          </w:tcPr>
          <w:p>
            <w:pPr>
              <w:pStyle w:val="TableText"/>
              <w:rPr/>
            </w:pPr>
            <w:r/>
          </w:p>
        </w:tc>
      </w:tr>
      <w:tr>
        <w:trPr>
          <w:trHeight w:val="293" w:hRule="atLeast"/>
        </w:trPr>
        <w:tc>
          <w:tcPr>
            <w:tcW w:w="3310"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66.25</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66.25</w:t>
            </w:r>
          </w:p>
        </w:tc>
        <w:tc>
          <w:tcPr>
            <w:tcW w:w="1118" w:type="dxa"/>
            <w:vAlign w:val="top"/>
          </w:tcPr>
          <w:p>
            <w:pPr>
              <w:pStyle w:val="TableText"/>
              <w:rPr/>
            </w:pPr>
            <w:r/>
          </w:p>
        </w:tc>
      </w:tr>
      <w:tr>
        <w:trPr>
          <w:trHeight w:val="298" w:hRule="atLeast"/>
        </w:trPr>
        <w:tc>
          <w:tcPr>
            <w:tcW w:w="331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71.37</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71.37</w:t>
            </w:r>
          </w:p>
        </w:tc>
        <w:tc>
          <w:tcPr>
            <w:tcW w:w="1118" w:type="dxa"/>
            <w:vAlign w:val="top"/>
          </w:tcPr>
          <w:p>
            <w:pPr>
              <w:pStyle w:val="TableText"/>
              <w:rPr/>
            </w:pPr>
            <w:r/>
          </w:p>
        </w:tc>
      </w:tr>
    </w:tbl>
    <w:p>
      <w:pPr>
        <w:pStyle w:val="BodyText"/>
        <w:rPr/>
      </w:pPr>
      <w:r/>
    </w:p>
    <w:p>
      <w:pPr>
        <w:sectPr>
          <w:footerReference w:type="default" r:id="rId12"/>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13"/>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14"/>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footerReference w:type="default" r:id="rId15"/>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footerReference w:type="default" r:id="rId16"/>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67"/>
        <w:gridCol w:w="1102"/>
        <w:gridCol w:w="1102"/>
        <w:gridCol w:w="842"/>
        <w:gridCol w:w="1274"/>
        <w:gridCol w:w="1102"/>
        <w:gridCol w:w="869"/>
      </w:tblGrid>
      <w:tr>
        <w:trPr>
          <w:trHeight w:val="384" w:hRule="atLeast"/>
        </w:trPr>
        <w:tc>
          <w:tcPr>
            <w:tcW w:w="286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71" w:type="dxa"/>
            <w:vAlign w:val="top"/>
            <w:gridSpan w:val="2"/>
            <w:tcBorders>
              <w:bottom w:val="single" w:color="FFFFFF" w:sz="4" w:space="0"/>
              <w:top w:val="single" w:color="FFFFFF" w:sz="4" w:space="0"/>
              <w:left w:val="single" w:color="FFFFFF" w:sz="2" w:space="0"/>
              <w:right w:val="single" w:color="FFFFFF" w:sz="2" w:space="0"/>
            </w:tcBorders>
          </w:tcPr>
          <w:p>
            <w:pPr>
              <w:ind w:left="116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87"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1971" w:type="dxa"/>
            <w:vAlign w:val="top"/>
            <w:gridSpan w:val="2"/>
            <w:tcBorders>
              <w:top w:val="single" w:color="FFFFFF" w:sz="4" w:space="0"/>
              <w:left w:val="single" w:color="FFFFFF" w:sz="2" w:space="0"/>
              <w:right w:val="single" w:color="FFFFFF" w:sz="2" w:space="0"/>
            </w:tcBorders>
          </w:tcPr>
          <w:p>
            <w:pPr>
              <w:ind w:left="1298"/>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867" w:type="dxa"/>
            <w:vAlign w:val="top"/>
            <w:vMerge w:val="restart"/>
            <w:tcBorders>
              <w:bottom w:val="nil"/>
            </w:tcBorders>
          </w:tcPr>
          <w:p>
            <w:pPr>
              <w:ind w:left="1094"/>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02" w:type="dxa"/>
            <w:vAlign w:val="top"/>
            <w:vMerge w:val="restart"/>
            <w:tcBorders>
              <w:bottom w:val="nil"/>
            </w:tcBorders>
          </w:tcPr>
          <w:p>
            <w:pPr>
              <w:ind w:left="374"/>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18" w:type="dxa"/>
            <w:vAlign w:val="top"/>
            <w:gridSpan w:val="3"/>
          </w:tcPr>
          <w:p>
            <w:pPr>
              <w:ind w:left="103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02" w:type="dxa"/>
            <w:vAlign w:val="top"/>
            <w:vMerge w:val="restart"/>
            <w:tcBorders>
              <w:bottom w:val="nil"/>
            </w:tcBorders>
          </w:tcPr>
          <w:p>
            <w:pPr>
              <w:ind w:left="56"/>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86"/>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69" w:type="dxa"/>
            <w:vAlign w:val="top"/>
            <w:vMerge w:val="restart"/>
            <w:tcBorders>
              <w:bottom w:val="nil"/>
            </w:tcBorders>
          </w:tcPr>
          <w:p>
            <w:pPr>
              <w:ind w:left="9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867"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102" w:type="dxa"/>
            <w:vAlign w:val="top"/>
          </w:tcPr>
          <w:p>
            <w:pPr>
              <w:ind w:left="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42" w:type="dxa"/>
            <w:vAlign w:val="top"/>
          </w:tcPr>
          <w:p>
            <w:pPr>
              <w:ind w:left="163" w:right="104"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74" w:type="dxa"/>
            <w:vAlign w:val="top"/>
          </w:tcPr>
          <w:p>
            <w:pPr>
              <w:ind w:left="73"/>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40"/>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102" w:type="dxa"/>
            <w:vAlign w:val="top"/>
            <w:vMerge w:val="continue"/>
            <w:tcBorders>
              <w:top w:val="nil"/>
            </w:tcBorders>
          </w:tcPr>
          <w:p>
            <w:pPr>
              <w:pStyle w:val="TableText"/>
              <w:rPr/>
            </w:pPr>
            <w:r/>
          </w:p>
        </w:tc>
        <w:tc>
          <w:tcPr>
            <w:tcW w:w="869" w:type="dxa"/>
            <w:vAlign w:val="top"/>
            <w:vMerge w:val="continue"/>
            <w:tcBorders>
              <w:top w:val="nil"/>
            </w:tcBorders>
          </w:tcPr>
          <w:p>
            <w:pPr>
              <w:pStyle w:val="TableText"/>
              <w:rPr/>
            </w:pPr>
            <w:r/>
          </w:p>
        </w:tc>
      </w:tr>
      <w:tr>
        <w:trPr>
          <w:trHeight w:val="378" w:hRule="atLeast"/>
        </w:trPr>
        <w:tc>
          <w:tcPr>
            <w:tcW w:w="2867" w:type="dxa"/>
            <w:vAlign w:val="top"/>
          </w:tcPr>
          <w:p>
            <w:pPr>
              <w:ind w:left="1392"/>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02" w:type="dxa"/>
            <w:vAlign w:val="top"/>
          </w:tcPr>
          <w:p>
            <w:pPr>
              <w:ind w:left="498"/>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02" w:type="dxa"/>
            <w:vAlign w:val="top"/>
          </w:tcPr>
          <w:p>
            <w:pPr>
              <w:ind w:left="501"/>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42" w:type="dxa"/>
            <w:vAlign w:val="top"/>
          </w:tcPr>
          <w:p>
            <w:pPr>
              <w:ind w:left="368"/>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74" w:type="dxa"/>
            <w:vAlign w:val="top"/>
          </w:tcPr>
          <w:p>
            <w:pPr>
              <w:ind w:left="588"/>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02" w:type="dxa"/>
            <w:vAlign w:val="top"/>
          </w:tcPr>
          <w:p>
            <w:pPr>
              <w:ind w:left="503"/>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69" w:type="dxa"/>
            <w:vAlign w:val="top"/>
          </w:tcPr>
          <w:p>
            <w:pPr>
              <w:ind w:left="38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867"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兴县蔡家崖乡中心校</w:t>
            </w:r>
          </w:p>
        </w:tc>
        <w:tc>
          <w:tcPr>
            <w:tcW w:w="1102"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21.71</w:t>
            </w:r>
          </w:p>
        </w:tc>
        <w:tc>
          <w:tcPr>
            <w:tcW w:w="1102"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21.71</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8" w:hRule="atLeast"/>
        </w:trPr>
        <w:tc>
          <w:tcPr>
            <w:tcW w:w="2867"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10"/>
              </w:rPr>
              <w:t>2025年义务教育三区补助县级资金</w:t>
            </w:r>
          </w:p>
        </w:tc>
        <w:tc>
          <w:tcPr>
            <w:tcW w:w="1102"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12.33</w:t>
            </w:r>
          </w:p>
        </w:tc>
        <w:tc>
          <w:tcPr>
            <w:tcW w:w="1102"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12.33</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8" w:hRule="atLeast"/>
        </w:trPr>
        <w:tc>
          <w:tcPr>
            <w:tcW w:w="2867" w:type="dxa"/>
            <w:vAlign w:val="top"/>
          </w:tcPr>
          <w:p>
            <w:pPr>
              <w:ind w:left="6" w:right="102" w:firstLine="164"/>
              <w:spacing w:before="31" w:line="207" w:lineRule="auto"/>
              <w:rPr>
                <w:rFonts w:ascii="SimSun" w:hAnsi="SimSun" w:eastAsia="SimSun" w:cs="SimSun"/>
                <w:sz w:val="15"/>
                <w:szCs w:val="15"/>
              </w:rPr>
            </w:pPr>
            <w:r>
              <w:rPr>
                <w:rFonts w:ascii="SimSun" w:hAnsi="SimSun" w:eastAsia="SimSun" w:cs="SimSun"/>
                <w:sz w:val="15"/>
                <w:szCs w:val="15"/>
                <w:color w:val="212529"/>
                <w:spacing w:val="10"/>
              </w:rPr>
              <w:t>2025年城乡义务教育乡村教师生活补</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助中央补助经费</w:t>
            </w:r>
          </w:p>
        </w:tc>
        <w:tc>
          <w:tcPr>
            <w:tcW w:w="1102"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9.18</w:t>
            </w:r>
          </w:p>
        </w:tc>
        <w:tc>
          <w:tcPr>
            <w:tcW w:w="1102"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9.18</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84" w:hRule="atLeast"/>
        </w:trPr>
        <w:tc>
          <w:tcPr>
            <w:tcW w:w="2867"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10"/>
              </w:rPr>
              <w:t>2025年贫困幼儿资助省级补助资金</w:t>
            </w:r>
          </w:p>
        </w:tc>
        <w:tc>
          <w:tcPr>
            <w:tcW w:w="1102"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102"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bl>
    <w:p>
      <w:pPr>
        <w:pStyle w:val="BodyText"/>
        <w:rPr/>
      </w:pPr>
      <w:r/>
    </w:p>
    <w:p>
      <w:pPr>
        <w:sectPr>
          <w:footerReference w:type="default" r:id="rId17"/>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15"/>
        <w:gridCol w:w="1274"/>
        <w:gridCol w:w="1393"/>
        <w:gridCol w:w="1350"/>
        <w:gridCol w:w="1226"/>
      </w:tblGrid>
      <w:tr>
        <w:trPr>
          <w:trHeight w:val="383" w:hRule="atLeast"/>
        </w:trPr>
        <w:tc>
          <w:tcPr>
            <w:tcW w:w="39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6" w:type="dxa"/>
            <w:vAlign w:val="top"/>
            <w:tcBorders>
              <w:bottom w:val="single" w:color="FFFFFF" w:sz="4" w:space="0"/>
              <w:top w:val="single" w:color="FFFFFF" w:sz="4" w:space="0"/>
              <w:left w:val="single" w:color="FFFFFF" w:sz="2" w:space="0"/>
              <w:right w:val="single" w:color="FFFFFF" w:sz="2" w:space="0"/>
            </w:tcBorders>
          </w:tcPr>
          <w:p>
            <w:pPr>
              <w:ind w:left="423"/>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32"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单位名称：兴县蔡家崖乡中心校</w:t>
            </w:r>
          </w:p>
        </w:tc>
        <w:tc>
          <w:tcPr>
            <w:tcW w:w="1226" w:type="dxa"/>
            <w:vAlign w:val="top"/>
            <w:tcBorders>
              <w:top w:val="single" w:color="FFFFFF" w:sz="4" w:space="0"/>
              <w:left w:val="single" w:color="FFFFFF" w:sz="2" w:space="0"/>
              <w:right w:val="single" w:color="FFFFFF" w:sz="2" w:space="0"/>
            </w:tcBorders>
          </w:tcPr>
          <w:p>
            <w:pPr>
              <w:ind w:left="553"/>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15" w:type="dxa"/>
            <w:vAlign w:val="top"/>
            <w:vMerge w:val="restart"/>
            <w:tcBorders>
              <w:bottom w:val="nil"/>
            </w:tcBorders>
          </w:tcPr>
          <w:p>
            <w:pPr>
              <w:ind w:left="1618"/>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ind w:left="462"/>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69" w:type="dxa"/>
            <w:vAlign w:val="top"/>
            <w:gridSpan w:val="3"/>
          </w:tcPr>
          <w:p>
            <w:pPr>
              <w:ind w:left="1408"/>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15"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393" w:type="dxa"/>
            <w:vAlign w:val="top"/>
          </w:tcPr>
          <w:p>
            <w:pPr>
              <w:ind w:left="196"/>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50" w:type="dxa"/>
            <w:vAlign w:val="top"/>
          </w:tcPr>
          <w:p>
            <w:pPr>
              <w:ind w:left="258"/>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9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26" w:type="dxa"/>
            <w:vAlign w:val="top"/>
          </w:tcPr>
          <w:p>
            <w:pPr>
              <w:ind w:left="29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7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15" w:type="dxa"/>
            <w:vAlign w:val="top"/>
          </w:tcPr>
          <w:p>
            <w:pPr>
              <w:ind w:left="1916"/>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85"/>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93" w:type="dxa"/>
            <w:vAlign w:val="top"/>
          </w:tcPr>
          <w:p>
            <w:pPr>
              <w:ind w:left="648"/>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50" w:type="dxa"/>
            <w:vAlign w:val="top"/>
          </w:tcPr>
          <w:p>
            <w:pPr>
              <w:ind w:left="623"/>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26" w:type="dxa"/>
            <w:vAlign w:val="top"/>
          </w:tcPr>
          <w:p>
            <w:pPr>
              <w:ind w:left="56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15" w:type="dxa"/>
            <w:vAlign w:val="top"/>
          </w:tcPr>
          <w:p>
            <w:pPr>
              <w:ind w:left="10"/>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兴县教育科技局</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393"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350" w:type="dxa"/>
            <w:vAlign w:val="top"/>
          </w:tcPr>
          <w:p>
            <w:pPr>
              <w:pStyle w:val="TableText"/>
              <w:rPr/>
            </w:pPr>
            <w:r/>
          </w:p>
        </w:tc>
        <w:tc>
          <w:tcPr>
            <w:tcW w:w="1226" w:type="dxa"/>
            <w:vAlign w:val="top"/>
          </w:tcPr>
          <w:p>
            <w:pPr>
              <w:pStyle w:val="TableText"/>
              <w:rPr/>
            </w:pPr>
            <w:r/>
          </w:p>
        </w:tc>
      </w:tr>
      <w:tr>
        <w:trPr>
          <w:trHeight w:val="378" w:hRule="atLeast"/>
        </w:trPr>
        <w:tc>
          <w:tcPr>
            <w:tcW w:w="3915" w:type="dxa"/>
            <w:vAlign w:val="top"/>
          </w:tcPr>
          <w:p>
            <w:pPr>
              <w:ind w:left="91"/>
              <w:spacing w:before="117" w:line="229" w:lineRule="auto"/>
              <w:rPr>
                <w:rFonts w:ascii="SimSun" w:hAnsi="SimSun" w:eastAsia="SimSun" w:cs="SimSun"/>
                <w:sz w:val="15"/>
                <w:szCs w:val="15"/>
              </w:rPr>
            </w:pPr>
            <w:r>
              <w:rPr>
                <w:rFonts w:ascii="SimSun" w:hAnsi="SimSun" w:eastAsia="SimSun" w:cs="SimSun"/>
                <w:sz w:val="15"/>
                <w:szCs w:val="15"/>
                <w:color w:val="212529"/>
                <w:spacing w:val="10"/>
              </w:rPr>
              <w:t>兴县蔡家崖乡中心校</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393"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350" w:type="dxa"/>
            <w:vAlign w:val="top"/>
          </w:tcPr>
          <w:p>
            <w:pPr>
              <w:pStyle w:val="TableText"/>
              <w:rPr/>
            </w:pPr>
            <w:r/>
          </w:p>
        </w:tc>
        <w:tc>
          <w:tcPr>
            <w:tcW w:w="1226" w:type="dxa"/>
            <w:vAlign w:val="top"/>
          </w:tcPr>
          <w:p>
            <w:pPr>
              <w:pStyle w:val="TableText"/>
              <w:rPr/>
            </w:pPr>
            <w:r/>
          </w:p>
        </w:tc>
      </w:tr>
      <w:tr>
        <w:trPr>
          <w:trHeight w:val="384" w:hRule="atLeast"/>
        </w:trPr>
        <w:tc>
          <w:tcPr>
            <w:tcW w:w="3915"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9"/>
              </w:rPr>
              <w:t>2024年贫困幼儿资助中央补助资金兴财社202430号</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393"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350" w:type="dxa"/>
            <w:vAlign w:val="top"/>
          </w:tcPr>
          <w:p>
            <w:pPr>
              <w:pStyle w:val="TableText"/>
              <w:rPr/>
            </w:pPr>
            <w:r/>
          </w:p>
        </w:tc>
        <w:tc>
          <w:tcPr>
            <w:tcW w:w="1226" w:type="dxa"/>
            <w:vAlign w:val="top"/>
          </w:tcPr>
          <w:p>
            <w:pPr>
              <w:pStyle w:val="TableText"/>
              <w:rPr/>
            </w:pPr>
            <w:r/>
          </w:p>
        </w:tc>
      </w:tr>
    </w:tbl>
    <w:p>
      <w:pPr>
        <w:pStyle w:val="BodyText"/>
        <w:rPr/>
      </w:pPr>
      <w:r/>
    </w:p>
    <w:p>
      <w:pPr>
        <w:sectPr>
          <w:footerReference w:type="default" r:id="rId18"/>
          <w:pgSz w:w="11900" w:h="16840"/>
          <w:pgMar w:top="642" w:right="600" w:bottom="340" w:left="600" w:header="326" w:footer="93" w:gutter="0"/>
        </w:sectPr>
        <w:rPr/>
      </w:pPr>
    </w:p>
    <w:p>
      <w:pPr>
        <w:pStyle w:val="BodyText"/>
        <w:spacing w:line="334" w:lineRule="auto"/>
        <w:rPr/>
      </w:pPr>
      <w:r/>
    </w:p>
    <w:p>
      <w:pPr>
        <w:pStyle w:val="BodyText"/>
        <w:spacing w:line="335" w:lineRule="auto"/>
        <w:rPr/>
      </w:pPr>
      <w:r/>
    </w:p>
    <w:p>
      <w:pPr>
        <w:ind w:left="34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655" w:right="623" w:firstLine="464"/>
        <w:spacing w:before="187" w:line="323" w:lineRule="auto"/>
        <w:jc w:val="both"/>
        <w:rPr>
          <w:rFonts w:ascii="FangSong" w:hAnsi="FangSong" w:eastAsia="FangSong" w:cs="FangSong"/>
          <w:sz w:val="23"/>
          <w:szCs w:val="23"/>
        </w:rPr>
      </w:pPr>
      <w:r>
        <w:rPr>
          <w:rFonts w:ascii="FangSong" w:hAnsi="FangSong" w:eastAsia="FangSong" w:cs="FangSong"/>
          <w:sz w:val="23"/>
          <w:szCs w:val="23"/>
          <w:spacing w:val="5"/>
        </w:rPr>
        <w:t>2025年度兴县蔡家崖乡中心校预算收入总计460.67万元，</w:t>
      </w:r>
      <w:r>
        <w:rPr>
          <w:rFonts w:ascii="FangSong" w:hAnsi="FangSong" w:eastAsia="FangSong" w:cs="FangSong"/>
          <w:sz w:val="23"/>
          <w:szCs w:val="23"/>
          <w:spacing w:val="4"/>
        </w:rPr>
        <w:t>其中：本年收入460.57万元，</w:t>
      </w:r>
      <w:r>
        <w:rPr>
          <w:rFonts w:ascii="FangSong" w:hAnsi="FangSong" w:eastAsia="FangSong" w:cs="FangSong"/>
          <w:sz w:val="23"/>
          <w:szCs w:val="23"/>
        </w:rPr>
        <w:t xml:space="preserve"> </w:t>
      </w:r>
      <w:r>
        <w:rPr>
          <w:rFonts w:ascii="FangSong" w:hAnsi="FangSong" w:eastAsia="FangSong" w:cs="FangSong"/>
          <w:sz w:val="23"/>
          <w:szCs w:val="23"/>
          <w:spacing w:val="2"/>
        </w:rPr>
        <w:t>上年结转0.10万元，比上年减少58.51万元，下降11.27%，主要原因是本年度较上年度在职人</w:t>
      </w:r>
      <w:r>
        <w:rPr>
          <w:rFonts w:ascii="FangSong" w:hAnsi="FangSong" w:eastAsia="FangSong" w:cs="FangSong"/>
          <w:sz w:val="23"/>
          <w:szCs w:val="23"/>
          <w:spacing w:val="8"/>
        </w:rPr>
        <w:t xml:space="preserve"> </w:t>
      </w:r>
      <w:r>
        <w:rPr>
          <w:rFonts w:ascii="FangSong" w:hAnsi="FangSong" w:eastAsia="FangSong" w:cs="FangSong"/>
          <w:sz w:val="23"/>
          <w:szCs w:val="23"/>
          <w:spacing w:val="10"/>
        </w:rPr>
        <w:t>员调动退休影响及上年度补发工资，</w:t>
      </w:r>
      <w:r>
        <w:rPr>
          <w:rFonts w:ascii="FangSong" w:hAnsi="FangSong" w:eastAsia="FangSong" w:cs="FangSong"/>
          <w:sz w:val="23"/>
          <w:szCs w:val="23"/>
          <w:spacing w:val="-56"/>
        </w:rPr>
        <w:t xml:space="preserve"> </w:t>
      </w:r>
      <w:r>
        <w:rPr>
          <w:rFonts w:ascii="FangSong" w:hAnsi="FangSong" w:eastAsia="FangSong" w:cs="FangSong"/>
          <w:sz w:val="23"/>
          <w:szCs w:val="23"/>
          <w:spacing w:val="10"/>
        </w:rPr>
        <w:t>以致上下年对比变动减少。；本年单位预算支出总计</w:t>
      </w:r>
      <w:r>
        <w:rPr>
          <w:rFonts w:ascii="FangSong" w:hAnsi="FangSong" w:eastAsia="FangSong" w:cs="FangSong"/>
          <w:sz w:val="23"/>
          <w:szCs w:val="23"/>
        </w:rPr>
        <w:t xml:space="preserve"> </w:t>
      </w:r>
      <w:r>
        <w:rPr>
          <w:rFonts w:ascii="FangSong" w:hAnsi="FangSong" w:eastAsia="FangSong" w:cs="FangSong"/>
          <w:sz w:val="23"/>
          <w:szCs w:val="23"/>
          <w:spacing w:val="2"/>
        </w:rPr>
        <w:t>460.67万元，其中：本年预算安排460.57万元，上年结转0.10万元，比上年减少58.51万元，</w:t>
      </w:r>
      <w:r>
        <w:rPr>
          <w:rFonts w:ascii="FangSong" w:hAnsi="FangSong" w:eastAsia="FangSong" w:cs="FangSong"/>
          <w:sz w:val="23"/>
          <w:szCs w:val="23"/>
          <w:spacing w:val="2"/>
        </w:rPr>
        <w:t xml:space="preserve"> </w:t>
      </w:r>
      <w:r>
        <w:rPr>
          <w:rFonts w:ascii="FangSong" w:hAnsi="FangSong" w:eastAsia="FangSong" w:cs="FangSong"/>
          <w:sz w:val="23"/>
          <w:szCs w:val="23"/>
          <w:spacing w:val="5"/>
        </w:rPr>
        <w:t>下降11.27%，主要原因是本年度较上年度在职人员调动退休影响及上年度补发工资，以致上</w:t>
      </w:r>
      <w:r>
        <w:rPr>
          <w:rFonts w:ascii="FangSong" w:hAnsi="FangSong" w:eastAsia="FangSong" w:cs="FangSong"/>
          <w:sz w:val="23"/>
          <w:szCs w:val="23"/>
          <w:spacing w:val="4"/>
        </w:rPr>
        <w:t xml:space="preserve"> </w:t>
      </w:r>
      <w:r>
        <w:rPr>
          <w:rFonts w:ascii="FangSong" w:hAnsi="FangSong" w:eastAsia="FangSong" w:cs="FangSong"/>
          <w:sz w:val="23"/>
          <w:szCs w:val="23"/>
          <w:spacing w:val="-1"/>
        </w:rPr>
        <w:t>下年对比变动减少。</w:t>
      </w:r>
    </w:p>
    <w:p>
      <w:pPr>
        <w:ind w:left="661"/>
        <w:spacing w:before="2" w:line="230"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655" w:right="623" w:firstLine="464"/>
        <w:spacing w:before="171" w:line="326" w:lineRule="auto"/>
        <w:jc w:val="both"/>
        <w:rPr>
          <w:rFonts w:ascii="FangSong" w:hAnsi="FangSong" w:eastAsia="FangSong" w:cs="FangSong"/>
          <w:sz w:val="23"/>
          <w:szCs w:val="23"/>
        </w:rPr>
      </w:pPr>
      <w:r>
        <w:rPr>
          <w:rFonts w:ascii="FangSong" w:hAnsi="FangSong" w:eastAsia="FangSong" w:cs="FangSong"/>
          <w:sz w:val="23"/>
          <w:szCs w:val="23"/>
          <w:spacing w:val="11"/>
        </w:rPr>
        <w:t>2025年度兴县蔡家崖乡中心校预算收入460.6</w:t>
      </w:r>
      <w:r>
        <w:rPr>
          <w:rFonts w:ascii="FangSong" w:hAnsi="FangSong" w:eastAsia="FangSong" w:cs="FangSong"/>
          <w:sz w:val="23"/>
          <w:szCs w:val="23"/>
          <w:spacing w:val="10"/>
        </w:rPr>
        <w:t>7万元，主要包括一般公共预算拨款收入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rPr>
        <w:t>460.57万元，</w:t>
      </w:r>
      <w:r>
        <w:rPr>
          <w:rFonts w:ascii="FangSong" w:hAnsi="FangSong" w:eastAsia="FangSong" w:cs="FangSong"/>
          <w:sz w:val="23"/>
          <w:szCs w:val="23"/>
          <w:spacing w:val="-57"/>
        </w:rPr>
        <w:t xml:space="preserve"> </w:t>
      </w:r>
      <w:r>
        <w:rPr>
          <w:rFonts w:ascii="FangSong" w:hAnsi="FangSong" w:eastAsia="FangSong" w:cs="FangSong"/>
          <w:sz w:val="23"/>
          <w:szCs w:val="23"/>
        </w:rPr>
        <w:t>占99.98%；政府性基金预算拨款收入0万元，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占0%；</w:t>
      </w:r>
      <w:r>
        <w:rPr>
          <w:rFonts w:ascii="FangSong" w:hAnsi="FangSong" w:eastAsia="FangSong" w:cs="FangSong"/>
          <w:sz w:val="23"/>
          <w:szCs w:val="23"/>
          <w:spacing w:val="-1"/>
        </w:rPr>
        <w:t>国有资本经营预算拨款收入</w:t>
      </w:r>
      <w:r>
        <w:rPr>
          <w:rFonts w:ascii="FangSong" w:hAnsi="FangSong" w:eastAsia="FangSong" w:cs="FangSong"/>
          <w:sz w:val="23"/>
          <w:szCs w:val="23"/>
        </w:rPr>
        <w:t xml:space="preserve"> </w:t>
      </w:r>
      <w:r>
        <w:rPr>
          <w:rFonts w:ascii="FangSong" w:hAnsi="FangSong" w:eastAsia="FangSong" w:cs="FangSong"/>
          <w:sz w:val="23"/>
          <w:szCs w:val="23"/>
          <w:spacing w:val="-1"/>
        </w:rPr>
        <w:t>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占0%</w:t>
      </w:r>
      <w:r>
        <w:rPr>
          <w:rFonts w:ascii="FangSong" w:hAnsi="FangSong" w:eastAsia="FangSong" w:cs="FangSong"/>
          <w:sz w:val="23"/>
          <w:szCs w:val="23"/>
          <w:spacing w:val="-2"/>
        </w:rPr>
        <w:t>；单位资金0万元，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占0%；上年结转0.10万</w:t>
      </w:r>
      <w:r>
        <w:rPr>
          <w:rFonts w:ascii="FangSong" w:hAnsi="FangSong" w:eastAsia="FangSong" w:cs="FangSong"/>
          <w:sz w:val="23"/>
          <w:szCs w:val="23"/>
        </w:rPr>
        <w:t xml:space="preserve"> </w:t>
      </w:r>
      <w:r>
        <w:rPr>
          <w:rFonts w:ascii="FangSong" w:hAnsi="FangSong" w:eastAsia="FangSong" w:cs="FangSong"/>
          <w:sz w:val="23"/>
          <w:szCs w:val="23"/>
          <w:spacing w:val="-7"/>
        </w:rPr>
        <w:t>元，</w:t>
      </w:r>
      <w:r>
        <w:rPr>
          <w:rFonts w:ascii="FangSong" w:hAnsi="FangSong" w:eastAsia="FangSong" w:cs="FangSong"/>
          <w:sz w:val="23"/>
          <w:szCs w:val="23"/>
          <w:spacing w:val="-57"/>
        </w:rPr>
        <w:t xml:space="preserve"> </w:t>
      </w:r>
      <w:r>
        <w:rPr>
          <w:rFonts w:ascii="FangSong" w:hAnsi="FangSong" w:eastAsia="FangSong" w:cs="FangSong"/>
          <w:sz w:val="23"/>
          <w:szCs w:val="23"/>
          <w:spacing w:val="-7"/>
        </w:rPr>
        <w:t>占0.02%。</w:t>
      </w:r>
    </w:p>
    <w:p>
      <w:pPr>
        <w:pStyle w:val="BodyText"/>
        <w:spacing w:line="421" w:lineRule="auto"/>
        <w:rPr/>
      </w:pPr>
      <w:r/>
    </w:p>
    <w:p>
      <w:pPr>
        <w:ind w:firstLine="2725"/>
        <w:spacing w:before="1" w:line="3154" w:lineRule="exact"/>
        <w:rPr/>
      </w:pPr>
      <w:r>
        <w:rPr>
          <w:position w:val="-63"/>
        </w:rPr>
        <w:drawing>
          <wp:inline distT="0" distB="0" distL="0" distR="0">
            <wp:extent cx="2574719" cy="2002554"/>
            <wp:effectExtent l="0" t="0" r="0" b="0"/>
            <wp:docPr id="4" name="IM 4"/>
            <wp:cNvGraphicFramePr/>
            <a:graphic>
              <a:graphicData uri="http://schemas.openxmlformats.org/drawingml/2006/picture">
                <pic:pic>
                  <pic:nvPicPr>
                    <pic:cNvPr id="4" name="IM 4"/>
                    <pic:cNvPicPr/>
                  </pic:nvPicPr>
                  <pic:blipFill>
                    <a:blip r:embed="rId20"/>
                    <a:stretch>
                      <a:fillRect/>
                    </a:stretch>
                  </pic:blipFill>
                  <pic:spPr>
                    <a:xfrm rot="0">
                      <a:off x="0" y="0"/>
                      <a:ext cx="2574719" cy="2002554"/>
                    </a:xfrm>
                    <a:prstGeom prst="rect">
                      <a:avLst/>
                    </a:prstGeom>
                  </pic:spPr>
                </pic:pic>
              </a:graphicData>
            </a:graphic>
          </wp:inline>
        </w:drawing>
      </w:r>
    </w:p>
    <w:p>
      <w:pPr>
        <w:ind w:left="662"/>
        <w:spacing w:before="298"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657" w:right="623" w:firstLine="463"/>
        <w:spacing w:before="186" w:line="319" w:lineRule="auto"/>
        <w:rPr>
          <w:rFonts w:ascii="FangSong" w:hAnsi="FangSong" w:eastAsia="FangSong" w:cs="FangSong"/>
          <w:sz w:val="23"/>
          <w:szCs w:val="23"/>
        </w:rPr>
      </w:pPr>
      <w:r>
        <w:rPr>
          <w:rFonts w:ascii="FangSong" w:hAnsi="FangSong" w:eastAsia="FangSong" w:cs="FangSong"/>
          <w:sz w:val="23"/>
          <w:szCs w:val="23"/>
          <w:spacing w:val="8"/>
        </w:rPr>
        <w:t>2025年度兴县蔡家崖乡中心校支出预算460.67万元，其中：基本支出438.86万元，</w:t>
      </w:r>
      <w:r>
        <w:rPr>
          <w:rFonts w:ascii="FangSong" w:hAnsi="FangSong" w:eastAsia="FangSong" w:cs="FangSong"/>
          <w:sz w:val="23"/>
          <w:szCs w:val="23"/>
          <w:spacing w:val="-31"/>
        </w:rPr>
        <w:t xml:space="preserve"> </w:t>
      </w:r>
      <w:r>
        <w:rPr>
          <w:rFonts w:ascii="FangSong" w:hAnsi="FangSong" w:eastAsia="FangSong" w:cs="FangSong"/>
          <w:sz w:val="23"/>
          <w:szCs w:val="23"/>
          <w:spacing w:val="8"/>
        </w:rPr>
        <w:t>占</w:t>
      </w:r>
      <w:r>
        <w:rPr>
          <w:rFonts w:ascii="FangSong" w:hAnsi="FangSong" w:eastAsia="FangSong" w:cs="FangSong"/>
          <w:sz w:val="23"/>
          <w:szCs w:val="23"/>
        </w:rPr>
        <w:t xml:space="preserve"> </w:t>
      </w:r>
      <w:r>
        <w:rPr>
          <w:rFonts w:ascii="FangSong" w:hAnsi="FangSong" w:eastAsia="FangSong" w:cs="FangSong"/>
          <w:sz w:val="23"/>
          <w:szCs w:val="23"/>
          <w:spacing w:val="-2"/>
        </w:rPr>
        <w:t>95.27%；项目支出21.81万元，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占4.</w:t>
      </w:r>
      <w:r>
        <w:rPr>
          <w:rFonts w:ascii="FangSong" w:hAnsi="FangSong" w:eastAsia="FangSong" w:cs="FangSong"/>
          <w:sz w:val="23"/>
          <w:szCs w:val="23"/>
          <w:spacing w:val="-3"/>
        </w:rPr>
        <w:t>73%。</w:t>
      </w:r>
    </w:p>
    <w:p>
      <w:pPr>
        <w:ind w:left="671"/>
        <w:spacing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663" w:right="623" w:firstLine="457"/>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2025年度兴县蔡家崖乡中心校财政拨款收支总预算460.67万元。其中：一般公共预算拨</w:t>
      </w:r>
      <w:r>
        <w:rPr>
          <w:rFonts w:ascii="FangSong" w:hAnsi="FangSong" w:eastAsia="FangSong" w:cs="FangSong"/>
          <w:sz w:val="23"/>
          <w:szCs w:val="23"/>
        </w:rPr>
        <w:t xml:space="preserve"> </w:t>
      </w:r>
      <w:r>
        <w:rPr>
          <w:rFonts w:ascii="FangSong" w:hAnsi="FangSong" w:eastAsia="FangSong" w:cs="FangSong"/>
          <w:sz w:val="23"/>
          <w:szCs w:val="23"/>
          <w:spacing w:val="3"/>
        </w:rPr>
        <w:t>款460.67万元，政府性基金预算拨款0万元，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w:t>
      </w:r>
      <w:r>
        <w:rPr>
          <w:rFonts w:ascii="FangSong" w:hAnsi="FangSong" w:eastAsia="FangSong" w:cs="FangSong"/>
          <w:sz w:val="23"/>
          <w:szCs w:val="23"/>
          <w:spacing w:val="2"/>
        </w:rPr>
        <w:t>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rPr>
        <w:t xml:space="preserve"> </w:t>
      </w:r>
      <w:r>
        <w:rPr>
          <w:rFonts w:ascii="FangSong" w:hAnsi="FangSong" w:eastAsia="FangSong" w:cs="FangSong"/>
          <w:sz w:val="23"/>
          <w:szCs w:val="23"/>
          <w:spacing w:val="5"/>
        </w:rPr>
        <w:t>收入460.57万元，上年结转收入0.1</w:t>
      </w:r>
      <w:r>
        <w:rPr>
          <w:rFonts w:ascii="FangSong" w:hAnsi="FangSong" w:eastAsia="FangSong" w:cs="FangSong"/>
          <w:sz w:val="23"/>
          <w:szCs w:val="23"/>
          <w:spacing w:val="4"/>
        </w:rPr>
        <w:t>0万元。支出包括：教育支出332.57万元、社会保障和就</w:t>
      </w:r>
      <w:r>
        <w:rPr>
          <w:rFonts w:ascii="FangSong" w:hAnsi="FangSong" w:eastAsia="FangSong" w:cs="FangSong"/>
          <w:sz w:val="23"/>
          <w:szCs w:val="23"/>
        </w:rPr>
        <w:t xml:space="preserve"> </w:t>
      </w:r>
      <w:r>
        <w:rPr>
          <w:rFonts w:ascii="FangSong" w:hAnsi="FangSong" w:eastAsia="FangSong" w:cs="FangSong"/>
          <w:sz w:val="23"/>
          <w:szCs w:val="23"/>
        </w:rPr>
        <w:t>业支出92.74万元、卫生健康支出11.16万元、住房保障支出24.20万元等。</w:t>
      </w:r>
    </w:p>
    <w:p>
      <w:pPr>
        <w:ind w:left="6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1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7" w:right="623" w:firstLine="453"/>
        <w:spacing w:before="134" w:line="321" w:lineRule="auto"/>
        <w:rPr>
          <w:rFonts w:ascii="FangSong" w:hAnsi="FangSong" w:eastAsia="FangSong" w:cs="FangSong"/>
          <w:sz w:val="23"/>
          <w:szCs w:val="23"/>
        </w:rPr>
      </w:pPr>
      <w:r>
        <w:rPr>
          <w:rFonts w:ascii="FangSong" w:hAnsi="FangSong" w:eastAsia="FangSong" w:cs="FangSong"/>
          <w:sz w:val="23"/>
          <w:szCs w:val="23"/>
          <w:spacing w:val="8"/>
        </w:rPr>
        <w:t>2025年度兴县蔡家崖乡中心校一般公共预算当年支出46</w:t>
      </w:r>
      <w:r>
        <w:rPr>
          <w:rFonts w:ascii="FangSong" w:hAnsi="FangSong" w:eastAsia="FangSong" w:cs="FangSong"/>
          <w:sz w:val="23"/>
          <w:szCs w:val="23"/>
          <w:spacing w:val="7"/>
        </w:rPr>
        <w:t>0.57万元</w:t>
      </w:r>
      <w:r>
        <w:rPr>
          <w:rFonts w:ascii="FangSong" w:hAnsi="FangSong" w:eastAsia="FangSong" w:cs="FangSong"/>
          <w:sz w:val="23"/>
          <w:szCs w:val="23"/>
          <w:spacing w:val="-68"/>
        </w:rPr>
        <w:t xml:space="preserve"> </w:t>
      </w:r>
      <w:r>
        <w:rPr>
          <w:rFonts w:ascii="FangSong" w:hAnsi="FangSong" w:eastAsia="FangSong" w:cs="FangSong"/>
          <w:sz w:val="23"/>
          <w:szCs w:val="23"/>
          <w:spacing w:val="7"/>
        </w:rPr>
        <w:t>,</w:t>
      </w:r>
      <w:r>
        <w:rPr>
          <w:rFonts w:ascii="FangSong" w:hAnsi="FangSong" w:eastAsia="FangSong" w:cs="FangSong"/>
          <w:sz w:val="23"/>
          <w:szCs w:val="23"/>
          <w:spacing w:val="-60"/>
        </w:rPr>
        <w:t xml:space="preserve"> </w:t>
      </w:r>
      <w:r>
        <w:rPr>
          <w:rFonts w:ascii="FangSong" w:hAnsi="FangSong" w:eastAsia="FangSong" w:cs="FangSong"/>
          <w:sz w:val="23"/>
          <w:szCs w:val="23"/>
          <w:spacing w:val="7"/>
        </w:rPr>
        <w:t>比上年减少58.61万</w:t>
      </w:r>
      <w:r>
        <w:rPr>
          <w:rFonts w:ascii="FangSong" w:hAnsi="FangSong" w:eastAsia="FangSong" w:cs="FangSong"/>
          <w:sz w:val="23"/>
          <w:szCs w:val="23"/>
        </w:rPr>
        <w:t xml:space="preserve"> </w:t>
      </w:r>
      <w:r>
        <w:rPr>
          <w:rFonts w:ascii="FangSong" w:hAnsi="FangSong" w:eastAsia="FangSong" w:cs="FangSong"/>
          <w:sz w:val="23"/>
          <w:szCs w:val="23"/>
          <w:spacing w:val="-2"/>
        </w:rPr>
        <w:t>元，下降11.29%。</w:t>
      </w:r>
    </w:p>
    <w:p>
      <w:pPr>
        <w:ind w:left="11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19"/>
          <w:pgSz w:w="11900" w:h="16840"/>
          <w:pgMar w:top="642" w:right="600" w:bottom="340" w:left="600" w:header="326" w:footer="93" w:gutter="0"/>
        </w:sectPr>
        <w:rPr>
          <w:rFonts w:ascii="FangSong" w:hAnsi="FangSong" w:eastAsia="FangSong" w:cs="FangSong"/>
          <w:sz w:val="23"/>
          <w:szCs w:val="23"/>
        </w:rPr>
      </w:pPr>
    </w:p>
    <w:p>
      <w:pPr>
        <w:pStyle w:val="BodyText"/>
        <w:spacing w:line="281" w:lineRule="auto"/>
        <w:rPr/>
      </w:pPr>
      <w:r/>
    </w:p>
    <w:p>
      <w:pPr>
        <w:pStyle w:val="BodyText"/>
        <w:spacing w:line="281" w:lineRule="auto"/>
        <w:rPr/>
      </w:pPr>
      <w:r/>
    </w:p>
    <w:p>
      <w:pPr>
        <w:ind w:left="670" w:right="623" w:firstLine="450"/>
        <w:spacing w:before="75" w:line="326" w:lineRule="auto"/>
        <w:jc w:val="both"/>
        <w:rPr>
          <w:rFonts w:ascii="FangSong" w:hAnsi="FangSong" w:eastAsia="FangSong" w:cs="FangSong"/>
          <w:sz w:val="23"/>
          <w:szCs w:val="23"/>
        </w:rPr>
      </w:pPr>
      <w:r>
        <w:rPr>
          <w:rFonts w:ascii="FangSong" w:hAnsi="FangSong" w:eastAsia="FangSong" w:cs="FangSong"/>
          <w:sz w:val="23"/>
          <w:szCs w:val="23"/>
          <w:spacing w:val="2"/>
        </w:rPr>
        <w:t>2025年度兴县蔡家崖乡中心校一般公共预算当年支出460.57万元,主要用于以下方面：教</w:t>
      </w:r>
      <w:r>
        <w:rPr>
          <w:rFonts w:ascii="FangSong" w:hAnsi="FangSong" w:eastAsia="FangSong" w:cs="FangSong"/>
          <w:sz w:val="23"/>
          <w:szCs w:val="23"/>
          <w:spacing w:val="11"/>
        </w:rPr>
        <w:t xml:space="preserve"> </w:t>
      </w:r>
      <w:r>
        <w:rPr>
          <w:rFonts w:ascii="FangSong" w:hAnsi="FangSong" w:eastAsia="FangSong" w:cs="FangSong"/>
          <w:sz w:val="23"/>
          <w:szCs w:val="23"/>
          <w:spacing w:val="4"/>
        </w:rPr>
        <w:t>育支出332.47万元，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占72.19%；社会保障和就业支出92.74</w:t>
      </w:r>
      <w:r>
        <w:rPr>
          <w:rFonts w:ascii="FangSong" w:hAnsi="FangSong" w:eastAsia="FangSong" w:cs="FangSong"/>
          <w:sz w:val="23"/>
          <w:szCs w:val="23"/>
          <w:spacing w:val="3"/>
        </w:rPr>
        <w:t>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占20.14%；卫生健康支出</w:t>
      </w:r>
      <w:r>
        <w:rPr>
          <w:rFonts w:ascii="FangSong" w:hAnsi="FangSong" w:eastAsia="FangSong" w:cs="FangSong"/>
          <w:sz w:val="23"/>
          <w:szCs w:val="23"/>
        </w:rPr>
        <w:t xml:space="preserve"> </w:t>
      </w:r>
      <w:r>
        <w:rPr>
          <w:rFonts w:ascii="FangSong" w:hAnsi="FangSong" w:eastAsia="FangSong" w:cs="FangSong"/>
          <w:sz w:val="23"/>
          <w:szCs w:val="23"/>
          <w:spacing w:val="-3"/>
        </w:rPr>
        <w:t>11.16万元，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占2.42%；住房保障支出24.20万元，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w:t>
      </w:r>
      <w:r>
        <w:rPr>
          <w:rFonts w:ascii="FangSong" w:hAnsi="FangSong" w:eastAsia="FangSong" w:cs="FangSong"/>
          <w:sz w:val="23"/>
          <w:szCs w:val="23"/>
          <w:spacing w:val="-4"/>
        </w:rPr>
        <w:t>5.25%等。</w:t>
      </w:r>
    </w:p>
    <w:p>
      <w:pPr>
        <w:pStyle w:val="BodyText"/>
        <w:spacing w:line="465" w:lineRule="auto"/>
        <w:rPr/>
      </w:pPr>
      <w:r/>
    </w:p>
    <w:p>
      <w:pPr>
        <w:ind w:firstLine="2885"/>
        <w:spacing w:line="2089" w:lineRule="exact"/>
        <w:rPr/>
      </w:pPr>
      <w:r>
        <w:rPr>
          <w:position w:val="-41"/>
        </w:rPr>
        <w:drawing>
          <wp:inline distT="0" distB="0" distL="0" distR="0">
            <wp:extent cx="2663502" cy="1326729"/>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2663502" cy="1326729"/>
                    </a:xfrm>
                    <a:prstGeom prst="rect">
                      <a:avLst/>
                    </a:prstGeom>
                  </pic:spPr>
                </pic:pic>
              </a:graphicData>
            </a:graphic>
          </wp:inline>
        </w:drawing>
      </w:r>
    </w:p>
    <w:p>
      <w:pPr>
        <w:pStyle w:val="BodyText"/>
        <w:spacing w:line="288" w:lineRule="auto"/>
        <w:rPr/>
      </w:pPr>
      <w:r/>
    </w:p>
    <w:p>
      <w:pPr>
        <w:pStyle w:val="BodyText"/>
        <w:spacing w:line="289" w:lineRule="auto"/>
        <w:rPr/>
      </w:pPr>
      <w:r/>
    </w:p>
    <w:p>
      <w:pPr>
        <w:ind w:left="662"/>
        <w:spacing w:before="95"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120"/>
        <w:spacing w:before="174" w:line="222" w:lineRule="auto"/>
        <w:rPr>
          <w:rFonts w:ascii="FangSong" w:hAnsi="FangSong" w:eastAsia="FangSong" w:cs="FangSong"/>
          <w:sz w:val="23"/>
          <w:szCs w:val="23"/>
        </w:rPr>
      </w:pPr>
      <w:r>
        <w:rPr>
          <w:rFonts w:ascii="FangSong" w:hAnsi="FangSong" w:eastAsia="FangSong" w:cs="FangSong"/>
          <w:sz w:val="23"/>
          <w:szCs w:val="23"/>
        </w:rPr>
        <w:t>2025年度兴县蔡家崖乡中心校一般公共预算安排基本支出438.86万元，其中：</w:t>
      </w:r>
    </w:p>
    <w:p>
      <w:pPr>
        <w:ind w:left="663" w:right="623" w:firstLine="464"/>
        <w:spacing w:before="135" w:line="321" w:lineRule="auto"/>
        <w:jc w:val="both"/>
        <w:rPr>
          <w:rFonts w:ascii="FangSong" w:hAnsi="FangSong" w:eastAsia="FangSong" w:cs="FangSong"/>
          <w:sz w:val="23"/>
          <w:szCs w:val="23"/>
        </w:rPr>
      </w:pPr>
      <w:r>
        <w:rPr>
          <w:rFonts w:ascii="FangSong" w:hAnsi="FangSong" w:eastAsia="FangSong" w:cs="FangSong"/>
          <w:sz w:val="23"/>
          <w:szCs w:val="23"/>
          <w:spacing w:val="5"/>
        </w:rPr>
        <w:t>人员经费428.32万元，主要包括：其他对个人和家庭的补助、其他工资福利支出、其他</w:t>
      </w:r>
      <w:r>
        <w:rPr>
          <w:rFonts w:ascii="FangSong" w:hAnsi="FangSong" w:eastAsia="FangSong" w:cs="FangSong"/>
          <w:sz w:val="23"/>
          <w:szCs w:val="23"/>
          <w:spacing w:val="1"/>
        </w:rPr>
        <w:t xml:space="preserve"> </w:t>
      </w:r>
      <w:r>
        <w:rPr>
          <w:rFonts w:ascii="FangSong" w:hAnsi="FangSong" w:eastAsia="FangSong" w:cs="FangSong"/>
          <w:sz w:val="23"/>
          <w:szCs w:val="23"/>
          <w:spacing w:val="5"/>
        </w:rPr>
        <w:t>社会保障缴费、绩效工资、基本工资、机关事业单位基本养老保险缴费、住房公积金、退休</w:t>
      </w:r>
      <w:r>
        <w:rPr>
          <w:rFonts w:ascii="FangSong" w:hAnsi="FangSong" w:eastAsia="FangSong" w:cs="FangSong"/>
          <w:sz w:val="23"/>
          <w:szCs w:val="23"/>
          <w:spacing w:val="11"/>
        </w:rPr>
        <w:t xml:space="preserve"> </w:t>
      </w:r>
      <w:r>
        <w:rPr>
          <w:rFonts w:ascii="FangSong" w:hAnsi="FangSong" w:eastAsia="FangSong" w:cs="FangSong"/>
          <w:sz w:val="23"/>
          <w:szCs w:val="23"/>
          <w:spacing w:val="-1"/>
        </w:rPr>
        <w:t>费、职工基本医疗保险缴费、津贴补贴等；</w:t>
      </w:r>
    </w:p>
    <w:p>
      <w:pPr>
        <w:ind w:left="1129"/>
        <w:spacing w:before="10" w:line="223" w:lineRule="auto"/>
        <w:rPr>
          <w:rFonts w:ascii="FangSong" w:hAnsi="FangSong" w:eastAsia="FangSong" w:cs="FangSong"/>
          <w:sz w:val="23"/>
          <w:szCs w:val="23"/>
        </w:rPr>
      </w:pPr>
      <w:r>
        <w:rPr>
          <w:rFonts w:ascii="FangSong" w:hAnsi="FangSong" w:eastAsia="FangSong" w:cs="FangSong"/>
          <w:sz w:val="23"/>
          <w:szCs w:val="23"/>
        </w:rPr>
        <w:t>公用经费10.55万元，主要包括：福利费、工会经费、</w:t>
      </w:r>
      <w:r>
        <w:rPr>
          <w:rFonts w:ascii="FangSong" w:hAnsi="FangSong" w:eastAsia="FangSong" w:cs="FangSong"/>
          <w:sz w:val="23"/>
          <w:szCs w:val="23"/>
          <w:spacing w:val="-1"/>
        </w:rPr>
        <w:t>取暖费等。</w:t>
      </w:r>
    </w:p>
    <w:p>
      <w:pPr>
        <w:ind w:left="6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30"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133"/>
        <w:spacing w:before="174" w:line="221" w:lineRule="auto"/>
        <w:rPr>
          <w:rFonts w:ascii="FangSong" w:hAnsi="FangSong" w:eastAsia="FangSong" w:cs="FangSong"/>
          <w:sz w:val="23"/>
          <w:szCs w:val="23"/>
        </w:rPr>
      </w:pPr>
      <w:r>
        <w:rPr>
          <w:rFonts w:ascii="FangSong" w:hAnsi="FangSong" w:eastAsia="FangSong" w:cs="FangSong"/>
          <w:sz w:val="23"/>
          <w:szCs w:val="23"/>
          <w:spacing w:val="-1"/>
        </w:rPr>
        <w:t>我单位为事业单位，无机关运行经费。</w:t>
      </w:r>
    </w:p>
    <w:p>
      <w:pPr>
        <w:ind w:left="658"/>
        <w:spacing w:before="122" w:line="226"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664" w:right="660" w:firstLine="455"/>
        <w:spacing w:before="188" w:line="319" w:lineRule="auto"/>
        <w:rPr>
          <w:rFonts w:ascii="FangSong" w:hAnsi="FangSong" w:eastAsia="FangSong" w:cs="FangSong"/>
          <w:sz w:val="23"/>
          <w:szCs w:val="23"/>
        </w:rPr>
      </w:pPr>
      <w:r>
        <w:rPr>
          <w:rFonts w:ascii="FangSong" w:hAnsi="FangSong" w:eastAsia="FangSong" w:cs="FangSong"/>
          <w:sz w:val="23"/>
          <w:szCs w:val="23"/>
          <w:spacing w:val="4"/>
        </w:rPr>
        <w:t>2025年兴县蔡家崖乡中心校政府采购预算总额0万元。其中：政府采购货物预算0万元、</w:t>
      </w:r>
      <w:r>
        <w:rPr>
          <w:rFonts w:ascii="FangSong" w:hAnsi="FangSong" w:eastAsia="FangSong" w:cs="FangSong"/>
          <w:sz w:val="23"/>
          <w:szCs w:val="23"/>
          <w:spacing w:val="13"/>
        </w:rPr>
        <w:t xml:space="preserve"> </w:t>
      </w:r>
      <w:r>
        <w:rPr>
          <w:rFonts w:ascii="FangSong" w:hAnsi="FangSong" w:eastAsia="FangSong" w:cs="FangSong"/>
          <w:sz w:val="23"/>
          <w:szCs w:val="23"/>
        </w:rPr>
        <w:t>政府采购工程预算0万元、政府采购服务预算</w:t>
      </w:r>
      <w:r>
        <w:rPr>
          <w:rFonts w:ascii="FangSong" w:hAnsi="FangSong" w:eastAsia="FangSong" w:cs="FangSong"/>
          <w:sz w:val="23"/>
          <w:szCs w:val="23"/>
          <w:spacing w:val="-1"/>
        </w:rPr>
        <w:t>0万元。</w:t>
      </w:r>
    </w:p>
    <w:p>
      <w:pPr>
        <w:ind w:left="6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135"/>
        <w:spacing w:before="18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3" w:line="221" w:lineRule="auto"/>
        <w:rPr>
          <w:rFonts w:ascii="FangSong" w:hAnsi="FangSong" w:eastAsia="FangSong" w:cs="FangSong"/>
          <w:sz w:val="23"/>
          <w:szCs w:val="23"/>
        </w:rPr>
      </w:pPr>
      <w:r>
        <w:rPr>
          <w:rFonts w:ascii="FangSong" w:hAnsi="FangSong" w:eastAsia="FangSong" w:cs="FangSong"/>
          <w:sz w:val="23"/>
          <w:szCs w:val="23"/>
        </w:rPr>
        <w:t>2025年未编报单位整体绩效目标，涉及资金0万元。</w:t>
      </w:r>
    </w:p>
    <w:p>
      <w:pPr>
        <w:ind w:left="11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4" w:right="623" w:firstLine="455"/>
        <w:spacing w:before="132" w:line="323" w:lineRule="auto"/>
        <w:rPr>
          <w:rFonts w:ascii="FangSong" w:hAnsi="FangSong" w:eastAsia="FangSong" w:cs="FangSong"/>
          <w:sz w:val="23"/>
          <w:szCs w:val="23"/>
        </w:rPr>
      </w:pPr>
      <w:r>
        <w:rPr>
          <w:rFonts w:ascii="FangSong" w:hAnsi="FangSong" w:eastAsia="FangSong" w:cs="FangSong"/>
          <w:sz w:val="23"/>
          <w:szCs w:val="23"/>
          <w:spacing w:val="8"/>
        </w:rPr>
        <w:t>2025年兴县蔡家崖乡中心校纳入绩效目标管理的2级项目4</w:t>
      </w:r>
      <w:r>
        <w:rPr>
          <w:rFonts w:ascii="FangSong" w:hAnsi="FangSong" w:eastAsia="FangSong" w:cs="FangSong"/>
          <w:sz w:val="23"/>
          <w:szCs w:val="23"/>
          <w:spacing w:val="7"/>
        </w:rPr>
        <w:t>个，共计金额21.81万元。其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中：其他运转类项目0个，涉及金额0万元；特定目标类项目4个，涉及金额</w:t>
      </w:r>
      <w:r>
        <w:rPr>
          <w:rFonts w:ascii="FangSong" w:hAnsi="FangSong" w:eastAsia="FangSong" w:cs="FangSong"/>
          <w:sz w:val="23"/>
          <w:szCs w:val="23"/>
          <w:spacing w:val="4"/>
        </w:rPr>
        <w:t>21.81万元。公开</w:t>
      </w:r>
      <w:r>
        <w:rPr>
          <w:rFonts w:ascii="FangSong" w:hAnsi="FangSong" w:eastAsia="FangSong" w:cs="FangSong"/>
          <w:sz w:val="23"/>
          <w:szCs w:val="23"/>
        </w:rPr>
        <w:t xml:space="preserve"> </w:t>
      </w:r>
      <w:r>
        <w:rPr>
          <w:rFonts w:ascii="FangSong" w:hAnsi="FangSong" w:eastAsia="FangSong" w:cs="FangSong"/>
          <w:sz w:val="23"/>
          <w:szCs w:val="23"/>
          <w:spacing w:val="4"/>
        </w:rPr>
        <w:t>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目绩效目标3个，涉及项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目金额21.71万元，</w:t>
      </w:r>
      <w:r>
        <w:rPr>
          <w:rFonts w:ascii="FangSong" w:hAnsi="FangSong" w:eastAsia="FangSong" w:cs="FangSong"/>
          <w:sz w:val="23"/>
          <w:szCs w:val="23"/>
          <w:spacing w:val="-47"/>
        </w:rPr>
        <w:t xml:space="preserve"> </w:t>
      </w:r>
      <w:r>
        <w:rPr>
          <w:rFonts w:ascii="FangSong" w:hAnsi="FangSong" w:eastAsia="FangSong" w:cs="FangSong"/>
          <w:sz w:val="23"/>
          <w:szCs w:val="23"/>
          <w:spacing w:val="4"/>
        </w:rPr>
        <w:t>占部门（单位）项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目支</w:t>
      </w:r>
      <w:r>
        <w:rPr>
          <w:rFonts w:ascii="FangSong" w:hAnsi="FangSong" w:eastAsia="FangSong" w:cs="FangSong"/>
          <w:sz w:val="23"/>
          <w:szCs w:val="23"/>
          <w:spacing w:val="3"/>
        </w:rPr>
        <w:t>出总额的99.54%。其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中：其他运转类项目0个，涉及项目金额0万元；特定目标类项目3个，涉及</w:t>
      </w:r>
      <w:r>
        <w:rPr>
          <w:rFonts w:ascii="FangSong" w:hAnsi="FangSong" w:eastAsia="FangSong" w:cs="FangSong"/>
          <w:sz w:val="23"/>
          <w:szCs w:val="23"/>
          <w:spacing w:val="4"/>
        </w:rPr>
        <w:t>项目金额21.71万</w:t>
      </w:r>
      <w:r>
        <w:rPr>
          <w:rFonts w:ascii="FangSong" w:hAnsi="FangSong" w:eastAsia="FangSong" w:cs="FangSong"/>
          <w:sz w:val="23"/>
          <w:szCs w:val="23"/>
        </w:rPr>
        <w:t xml:space="preserve"> </w:t>
      </w:r>
      <w:r>
        <w:rPr>
          <w:rFonts w:ascii="FangSong" w:hAnsi="FangSong" w:eastAsia="FangSong" w:cs="FangSong"/>
          <w:sz w:val="23"/>
          <w:szCs w:val="23"/>
          <w:spacing w:val="-8"/>
        </w:rPr>
        <w:t>元。</w:t>
      </w:r>
    </w:p>
    <w:p>
      <w:pPr>
        <w:ind w:left="6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footerReference w:type="default" r:id="rId21"/>
          <w:pgSz w:w="11900" w:h="16840"/>
          <w:pgMar w:top="642" w:right="600" w:bottom="340" w:left="600" w:header="326" w:footer="9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373"/>
        <w:spacing w:line="11190" w:lineRule="exact"/>
        <w:rPr/>
      </w:pPr>
      <w:r>
        <w:rPr>
          <w:position w:val="-223"/>
        </w:rPr>
        <w:drawing>
          <wp:inline distT="0" distB="0" distL="0" distR="0">
            <wp:extent cx="5066588" cy="7105582"/>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1190" w:lineRule="exact"/>
        <w:rPr/>
      </w:pPr>
      <w:r>
        <w:rPr>
          <w:position w:val="-223"/>
        </w:rPr>
        <w:drawing>
          <wp:inline distT="0" distB="0" distL="0" distR="0">
            <wp:extent cx="5066588" cy="7105582"/>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1190" w:lineRule="exact"/>
        <w:rPr/>
      </w:pPr>
      <w:r>
        <w:rPr>
          <w:position w:val="-223"/>
        </w:rPr>
        <w:drawing>
          <wp:inline distT="0" distB="0" distL="0" distR="0">
            <wp:extent cx="5066588" cy="7105582"/>
            <wp:effectExtent l="0" t="0" r="0" b="0"/>
            <wp:docPr id="12" name="IM 12"/>
            <wp:cNvGraphicFramePr/>
            <a:graphic>
              <a:graphicData uri="http://schemas.openxmlformats.org/drawingml/2006/picture">
                <pic:pic>
                  <pic:nvPicPr>
                    <pic:cNvPr id="12" name="IM 12"/>
                    <pic:cNvPicPr/>
                  </pic:nvPicPr>
                  <pic:blipFill>
                    <a:blip r:embed="rId28"/>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7"/>
          <w:pgSz w:w="11900" w:h="16840"/>
          <w:pgMar w:top="642" w:right="600" w:bottom="340" w:left="600" w:header="326" w:footer="93" w:gutter="0"/>
        </w:sectPr>
        <w:rPr/>
      </w:pPr>
    </w:p>
    <w:p>
      <w:pPr>
        <w:pStyle w:val="BodyText"/>
        <w:spacing w:line="271" w:lineRule="auto"/>
        <w:rPr/>
      </w:pPr>
      <w:r/>
    </w:p>
    <w:p>
      <w:pPr>
        <w:pStyle w:val="BodyText"/>
        <w:spacing w:line="271" w:lineRule="auto"/>
        <w:rPr/>
      </w:pPr>
      <w:r/>
    </w:p>
    <w:p>
      <w:pPr>
        <w:ind w:left="6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截至2025年5月1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日，兴县蔡家崖乡中心校共有公务用车编制0辆，实有0辆，其中：领导</w:t>
      </w:r>
      <w:r>
        <w:rPr>
          <w:rFonts w:ascii="FangSong" w:hAnsi="FangSong" w:eastAsia="FangSong" w:cs="FangSong"/>
          <w:sz w:val="23"/>
          <w:szCs w:val="23"/>
        </w:rPr>
        <w:t xml:space="preserve"> </w:t>
      </w:r>
      <w:r>
        <w:rPr>
          <w:rFonts w:ascii="FangSong" w:hAnsi="FangSong" w:eastAsia="FangSong" w:cs="FangSong"/>
          <w:sz w:val="23"/>
          <w:szCs w:val="23"/>
          <w:spacing w:val="2"/>
        </w:rPr>
        <w:t>用车0辆，机要通信用车0辆，应急保障用车0辆，执法执勤用车0辆，特种专业技术用车0辆，</w:t>
      </w:r>
      <w:r>
        <w:rPr>
          <w:rFonts w:ascii="FangSong" w:hAnsi="FangSong" w:eastAsia="FangSong" w:cs="FangSong"/>
          <w:sz w:val="23"/>
          <w:szCs w:val="23"/>
          <w:spacing w:val="10"/>
        </w:rPr>
        <w:t xml:space="preserve"> </w:t>
      </w:r>
      <w:r>
        <w:rPr>
          <w:rFonts w:ascii="FangSong" w:hAnsi="FangSong" w:eastAsia="FangSong" w:cs="FangSong"/>
          <w:sz w:val="23"/>
          <w:szCs w:val="23"/>
          <w:spacing w:val="-1"/>
        </w:rPr>
        <w:t>事业单位业务用车0辆，其他公务用车0辆。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3" w:line="222"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日，兴县蔡家崖乡中心</w:t>
      </w:r>
      <w:r>
        <w:rPr>
          <w:rFonts w:ascii="FangSong" w:hAnsi="FangSong" w:eastAsia="FangSong" w:cs="FangSong"/>
          <w:sz w:val="23"/>
          <w:szCs w:val="23"/>
          <w:spacing w:val="-2"/>
        </w:rPr>
        <w:t>校使用的办公用房建筑总面积400平方米。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85" w:right="623" w:firstLine="439"/>
        <w:spacing w:before="135" w:line="320"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日，兴县蔡家崖乡中心校占有使用价值50</w:t>
      </w:r>
      <w:r>
        <w:rPr>
          <w:rFonts w:ascii="FangSong" w:hAnsi="FangSong" w:eastAsia="FangSong" w:cs="FangSong"/>
          <w:sz w:val="23"/>
          <w:szCs w:val="23"/>
        </w:rPr>
        <w:t>万元（原值）以上的通用设备0</w:t>
      </w:r>
      <w:r>
        <w:rPr>
          <w:rFonts w:ascii="FangSong" w:hAnsi="FangSong" w:eastAsia="FangSong" w:cs="FangSong"/>
          <w:sz w:val="23"/>
          <w:szCs w:val="23"/>
        </w:rPr>
        <w:t xml:space="preserve"> </w:t>
      </w:r>
      <w:r>
        <w:rPr>
          <w:rFonts w:ascii="FangSong" w:hAnsi="FangSong" w:eastAsia="FangSong" w:cs="FangSong"/>
          <w:sz w:val="23"/>
          <w:szCs w:val="23"/>
          <w:spacing w:val="-1"/>
        </w:rPr>
        <w:t>台（套</w:t>
      </w:r>
      <w:r>
        <w:rPr>
          <w:rFonts w:ascii="FangSong" w:hAnsi="FangSong" w:eastAsia="FangSong" w:cs="FangSong"/>
          <w:sz w:val="23"/>
          <w:szCs w:val="23"/>
          <w:spacing w:val="12"/>
        </w:rPr>
        <w:t>）；</w:t>
      </w:r>
      <w:r>
        <w:rPr>
          <w:rFonts w:ascii="FangSong" w:hAnsi="FangSong" w:eastAsia="FangSong" w:cs="FangSong"/>
          <w:sz w:val="23"/>
          <w:szCs w:val="23"/>
          <w:spacing w:val="-1"/>
        </w:rPr>
        <w:t>兴县蔡家崖乡中心校占有使用价值100万元（原值）以上的通用设备0台（套）。</w:t>
      </w:r>
    </w:p>
    <w:p>
      <w:pPr>
        <w:ind w:left="6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125"/>
        <w:spacing w:before="18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1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127"/>
        <w:spacing w:before="26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29"/>
          <w:pgSz w:w="11900" w:h="16840"/>
          <w:pgMar w:top="642" w:right="600" w:bottom="340" w:left="600" w:header="326" w:footer="9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918"/>
        <w:spacing w:line="13428" w:lineRule="exact"/>
        <w:rPr/>
      </w:pPr>
      <w:r>
        <w:rPr>
          <w:position w:val="-268"/>
        </w:rPr>
        <w:drawing>
          <wp:inline distT="0" distB="0" distL="0" distR="0">
            <wp:extent cx="5643274" cy="8526698"/>
            <wp:effectExtent l="0" t="0" r="0" b="0"/>
            <wp:docPr id="14" name="IM 14"/>
            <wp:cNvGraphicFramePr/>
            <a:graphic>
              <a:graphicData uri="http://schemas.openxmlformats.org/drawingml/2006/picture">
                <pic:pic>
                  <pic:nvPicPr>
                    <pic:cNvPr id="14" name="IM 14"/>
                    <pic:cNvPicPr/>
                  </pic:nvPicPr>
                  <pic:blipFill>
                    <a:blip r:embed="rId31"/>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0"/>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918"/>
        <w:spacing w:line="13428" w:lineRule="exact"/>
        <w:rPr/>
      </w:pPr>
      <w:r>
        <w:rPr>
          <w:position w:val="-268"/>
        </w:rPr>
        <w:drawing>
          <wp:inline distT="0" distB="0" distL="0" distR="0">
            <wp:extent cx="5643274" cy="8526698"/>
            <wp:effectExtent l="0" t="0" r="0" b="0"/>
            <wp:docPr id="16" name="IM 16"/>
            <wp:cNvGraphicFramePr/>
            <a:graphic>
              <a:graphicData uri="http://schemas.openxmlformats.org/drawingml/2006/picture">
                <pic:pic>
                  <pic:nvPicPr>
                    <pic:cNvPr id="16" name="IM 16"/>
                    <pic:cNvPicPr/>
                  </pic:nvPicPr>
                  <pic:blipFill>
                    <a:blip r:embed="rId33"/>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2"/>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18"/>
        <w:spacing w:line="13428" w:lineRule="exact"/>
        <w:rPr/>
      </w:pPr>
      <w:r>
        <w:rPr>
          <w:position w:val="-268"/>
        </w:rPr>
        <w:drawing>
          <wp:inline distT="0" distB="0" distL="0" distR="0">
            <wp:extent cx="5643274" cy="8526698"/>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4"/>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18"/>
        <w:spacing w:line="13428" w:lineRule="exact"/>
        <w:rPr/>
      </w:pPr>
      <w:r>
        <w:rPr>
          <w:position w:val="-268"/>
        </w:rPr>
        <w:drawing>
          <wp:inline distT="0" distB="0" distL="0" distR="0">
            <wp:extent cx="5643274" cy="8526698"/>
            <wp:effectExtent l="0" t="0" r="0" b="0"/>
            <wp:docPr id="20" name="IM 20"/>
            <wp:cNvGraphicFramePr/>
            <a:graphic>
              <a:graphicData uri="http://schemas.openxmlformats.org/drawingml/2006/picture">
                <pic:pic>
                  <pic:nvPicPr>
                    <pic:cNvPr id="20" name="IM 20"/>
                    <pic:cNvPicPr/>
                  </pic:nvPicPr>
                  <pic:blipFill>
                    <a:blip r:embed="rId37"/>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6"/>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18"/>
        <w:spacing w:line="13428" w:lineRule="exact"/>
        <w:rPr/>
      </w:pPr>
      <w:r>
        <w:rPr>
          <w:position w:val="-268"/>
        </w:rPr>
        <w:drawing>
          <wp:inline distT="0" distB="0" distL="0" distR="0">
            <wp:extent cx="5643274" cy="8526698"/>
            <wp:effectExtent l="0" t="0" r="0" b="0"/>
            <wp:docPr id="22" name="IM 22"/>
            <wp:cNvGraphicFramePr/>
            <a:graphic>
              <a:graphicData uri="http://schemas.openxmlformats.org/drawingml/2006/picture">
                <pic:pic>
                  <pic:nvPicPr>
                    <pic:cNvPr id="22" name="IM 22"/>
                    <pic:cNvPicPr/>
                  </pic:nvPicPr>
                  <pic:blipFill>
                    <a:blip r:embed="rId39"/>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8"/>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18"/>
        <w:spacing w:line="13428" w:lineRule="exact"/>
        <w:rPr/>
      </w:pPr>
      <w:r>
        <w:rPr>
          <w:position w:val="-268"/>
        </w:rPr>
        <w:drawing>
          <wp:inline distT="0" distB="0" distL="0" distR="0">
            <wp:extent cx="5643274" cy="8526698"/>
            <wp:effectExtent l="0" t="0" r="0" b="0"/>
            <wp:docPr id="24" name="IM 24"/>
            <wp:cNvGraphicFramePr/>
            <a:graphic>
              <a:graphicData uri="http://schemas.openxmlformats.org/drawingml/2006/picture">
                <pic:pic>
                  <pic:nvPicPr>
                    <pic:cNvPr id="24" name="IM 24"/>
                    <pic:cNvPicPr/>
                  </pic:nvPicPr>
                  <pic:blipFill>
                    <a:blip r:embed="rId41"/>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0"/>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918"/>
        <w:spacing w:line="13428" w:lineRule="exact"/>
        <w:rPr/>
      </w:pPr>
      <w:r>
        <w:rPr>
          <w:position w:val="-268"/>
        </w:rPr>
        <w:drawing>
          <wp:inline distT="0" distB="0" distL="0" distR="0">
            <wp:extent cx="5643274" cy="8526698"/>
            <wp:effectExtent l="0" t="0" r="0" b="0"/>
            <wp:docPr id="26" name="IM 26"/>
            <wp:cNvGraphicFramePr/>
            <a:graphic>
              <a:graphicData uri="http://schemas.openxmlformats.org/drawingml/2006/picture">
                <pic:pic>
                  <pic:nvPicPr>
                    <pic:cNvPr id="26" name="IM 26"/>
                    <pic:cNvPicPr/>
                  </pic:nvPicPr>
                  <pic:blipFill>
                    <a:blip r:embed="rId43"/>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2"/>
          <w:pgSz w:w="11900" w:h="16840"/>
          <w:pgMar w:top="642" w:right="600" w:bottom="340" w:left="600" w:header="326" w:footer="93" w:gutter="0"/>
        </w:sectPr>
        <w:rPr/>
      </w:pPr>
    </w:p>
    <w:p>
      <w:pPr>
        <w:pStyle w:val="BodyText"/>
        <w:spacing w:line="269" w:lineRule="auto"/>
        <w:rPr/>
      </w:pPr>
      <w:r/>
    </w:p>
    <w:p>
      <w:pPr>
        <w:pStyle w:val="BodyText"/>
        <w:spacing w:line="270" w:lineRule="auto"/>
        <w:rPr/>
      </w:pPr>
      <w:r/>
    </w:p>
    <w:p>
      <w:pPr>
        <w:ind w:left="43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44"/>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8" w:id="44"/>
    <w:bookmarkEnd w:id="44"/>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9" w:id="49"/>
    <w:bookmarkEnd w:id="49"/>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兴县蔡家崖乡中心校2025年单位预算公开报告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兴县蔡家崖乡中心校2025年单位预算公开报告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styles" Target="styles.xml"/><Relationship Id="rId45" Type="http://schemas.openxmlformats.org/officeDocument/2006/relationships/settings" Target="settings.xml"/><Relationship Id="rId44" Type="http://schemas.openxmlformats.org/officeDocument/2006/relationships/footer" Target="footer29.xml"/><Relationship Id="rId43" Type="http://schemas.openxmlformats.org/officeDocument/2006/relationships/image" Target="media/image13.png"/><Relationship Id="rId42" Type="http://schemas.openxmlformats.org/officeDocument/2006/relationships/footer" Target="footer28.xml"/><Relationship Id="rId41" Type="http://schemas.openxmlformats.org/officeDocument/2006/relationships/image" Target="media/image12.png"/><Relationship Id="rId40" Type="http://schemas.openxmlformats.org/officeDocument/2006/relationships/footer" Target="footer27.xml"/><Relationship Id="rId4" Type="http://schemas.openxmlformats.org/officeDocument/2006/relationships/footer" Target="footer2.xml"/><Relationship Id="rId39" Type="http://schemas.openxmlformats.org/officeDocument/2006/relationships/image" Target="media/image11.png"/><Relationship Id="rId38" Type="http://schemas.openxmlformats.org/officeDocument/2006/relationships/footer" Target="footer26.xml"/><Relationship Id="rId37" Type="http://schemas.openxmlformats.org/officeDocument/2006/relationships/image" Target="media/image10.png"/><Relationship Id="rId36" Type="http://schemas.openxmlformats.org/officeDocument/2006/relationships/footer" Target="footer25.xml"/><Relationship Id="rId35" Type="http://schemas.openxmlformats.org/officeDocument/2006/relationships/image" Target="media/image9.png"/><Relationship Id="rId34" Type="http://schemas.openxmlformats.org/officeDocument/2006/relationships/footer" Target="footer24.xml"/><Relationship Id="rId33" Type="http://schemas.openxmlformats.org/officeDocument/2006/relationships/image" Target="media/image8.png"/><Relationship Id="rId32" Type="http://schemas.openxmlformats.org/officeDocument/2006/relationships/footer" Target="footer23.xml"/><Relationship Id="rId31" Type="http://schemas.openxmlformats.org/officeDocument/2006/relationships/image" Target="media/image7.png"/><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image" Target="media/image6.png"/><Relationship Id="rId27" Type="http://schemas.openxmlformats.org/officeDocument/2006/relationships/footer" Target="footer20.xml"/><Relationship Id="rId26" Type="http://schemas.openxmlformats.org/officeDocument/2006/relationships/image" Target="media/image5.png"/><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footer" Target="footer18.xml"/><Relationship Id="rId22" Type="http://schemas.openxmlformats.org/officeDocument/2006/relationships/image" Target="media/image3.png"/><Relationship Id="rId21" Type="http://schemas.openxmlformats.org/officeDocument/2006/relationships/footer" Target="footer17.xml"/><Relationship Id="rId20" Type="http://schemas.openxmlformats.org/officeDocument/2006/relationships/image" Target="media/image2.png"/><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2025-05-10T13:04:29Z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2025-09-25T17:47:34</vt:filetime>
  </property>
</Properties>
</file>