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201"/>
        <w:spacing w:before="110" w:line="219" w:lineRule="auto"/>
        <w:outlineLvl w:val="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8"/>
        </w:rPr>
        <w:t>兴 县 第 二 实 验 学</w:t>
      </w:r>
      <w:r>
        <w:rPr>
          <w:rFonts w:ascii="SimSun" w:hAnsi="SimSun" w:eastAsia="SimSun" w:cs="SimSun"/>
          <w:sz w:val="34"/>
          <w:szCs w:val="34"/>
          <w:spacing w:val="-1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8"/>
        </w:rPr>
        <w:t>校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491"/>
        <w:spacing w:before="111" w:line="21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2 0 2 4 年</w:t>
      </w:r>
      <w:r>
        <w:rPr>
          <w:rFonts w:ascii="SimSun" w:hAnsi="SimSun" w:eastAsia="SimSun" w:cs="SimSun"/>
          <w:sz w:val="34"/>
          <w:szCs w:val="34"/>
          <w:spacing w:val="-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度</w:t>
      </w:r>
      <w:r>
        <w:rPr>
          <w:rFonts w:ascii="SimSun" w:hAnsi="SimSun" w:eastAsia="SimSun" w:cs="SimSun"/>
          <w:sz w:val="34"/>
          <w:szCs w:val="34"/>
          <w:spacing w:val="-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单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位</w:t>
      </w:r>
      <w:r>
        <w:rPr>
          <w:rFonts w:ascii="SimSun" w:hAnsi="SimSun" w:eastAsia="SimSun" w:cs="SimSun"/>
          <w:sz w:val="34"/>
          <w:szCs w:val="34"/>
          <w:spacing w:val="-1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预 算</w:t>
      </w:r>
      <w:r>
        <w:rPr>
          <w:rFonts w:ascii="SimSun" w:hAnsi="SimSun" w:eastAsia="SimSun" w:cs="SimSun"/>
          <w:sz w:val="34"/>
          <w:szCs w:val="34"/>
          <w:spacing w:val="-1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公</w:t>
      </w:r>
      <w:r>
        <w:rPr>
          <w:rFonts w:ascii="SimSun" w:hAnsi="SimSun" w:eastAsia="SimSun" w:cs="SimSun"/>
          <w:sz w:val="34"/>
          <w:szCs w:val="34"/>
          <w:spacing w:val="-9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开</w:t>
      </w:r>
    </w:p>
    <w:p>
      <w:pPr>
        <w:spacing w:line="217" w:lineRule="auto"/>
        <w:sectPr>
          <w:pgSz w:w="11900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ind w:left="4048"/>
        <w:spacing w:before="90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spacing w:before="85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" w:id="2"/>
          <w:bookmarkEnd w:id="2"/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2"/>
              </w:rPr>
              <w:t>1</w:t>
            </w:r>
          </w:hyperlink>
        </w:p>
        <w:p>
          <w:pPr>
            <w:ind w:left="512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" w:id="3"/>
          <w:bookmarkEnd w:id="3"/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一、本单位职责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4" w:id="4"/>
          <w:bookmarkEnd w:id="4"/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5" w:id="5"/>
          <w:bookmarkEnd w:id="5"/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2024年单位预算报表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2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6" w:id="6"/>
          <w:bookmarkEnd w:id="6"/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表一2024年预算收支总表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2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7" w:id="7"/>
          <w:bookmarkEnd w:id="7"/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表二2024年预算收入总表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4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8" w:id="8"/>
          <w:bookmarkEnd w:id="8"/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表三2024年预算支出总表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5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9" w:id="9"/>
          <w:bookmarkEnd w:id="9"/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表四2024年财政拨款收支总表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2"/>
              </w:rPr>
              <w:t>6</w:t>
            </w:r>
          </w:hyperlink>
        </w:p>
        <w:p>
          <w:pPr>
            <w:ind w:left="510"/>
            <w:spacing w:before="187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0" w:id="10"/>
          <w:bookmarkEnd w:id="10"/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表五2024年一般公共预算支出预算表（不含上年结转）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8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1" w:id="11"/>
          <w:bookmarkEnd w:id="11"/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表六2024年一般公共预算安排基本支出分经济科目表（不含上年结转）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9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2" w:id="12"/>
          <w:bookmarkEnd w:id="12"/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表七2024年政府性基金预算收入表（不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10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3" w:id="13"/>
          <w:bookmarkEnd w:id="13"/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表八2024年政府性基金预算支出表（不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11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4" w:id="14"/>
          <w:bookmarkEnd w:id="14"/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表九2024年国有资本经营预算收支预算表（不含上年结转）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91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5" w:id="15"/>
          <w:bookmarkEnd w:id="15"/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表十2024年财政拨款安排“三公”经费支出预算表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6" w:id="16"/>
          <w:bookmarkEnd w:id="16"/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表十一2024年财政拨款安排机关运行经费预算表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13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7" w:id="17"/>
          <w:bookmarkEnd w:id="17"/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表十二2024年项目支出预算表（本年预算）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4</w:t>
            </w:r>
          </w:hyperlink>
        </w:p>
        <w:p>
          <w:pPr>
            <w:ind w:left="510"/>
            <w:spacing w:before="188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8" w:id="18"/>
          <w:bookmarkEnd w:id="18"/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表十三2024年项目支出预算表（上年结转）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spacing w:before="192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9" w:id="19"/>
          <w:bookmarkEnd w:id="19"/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2024年度单位预算情况说明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6</w:t>
            </w:r>
          </w:hyperlink>
        </w:p>
        <w:p>
          <w:pPr>
            <w:ind w:left="512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0" w:id="20"/>
          <w:bookmarkEnd w:id="20"/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一、单位预算收支数据变动情况及原因</w:t>
            </w:r>
            <w:r>
              <w:rPr>
                <w:rFonts w:ascii="FangSong" w:hAnsi="FangSong" w:eastAsia="FangSong" w:cs="FangSong"/>
                <w:sz w:val="26"/>
                <w:szCs w:val="26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1" w:id="21"/>
          <w:bookmarkEnd w:id="21"/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2" w:id="22"/>
          <w:bookmarkEnd w:id="22"/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39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3" w:id="23"/>
          <w:bookmarkEnd w:id="23"/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4" w:id="24"/>
          <w:bookmarkEnd w:id="24"/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5" w:id="25"/>
          <w:bookmarkEnd w:id="25"/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4"/>
            <w:spacing w:before="188" w:line="223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6" w:id="26"/>
          <w:bookmarkEnd w:id="26"/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08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7" w:id="27"/>
          <w:bookmarkEnd w:id="27"/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8" w:id="28"/>
          <w:bookmarkEnd w:id="28"/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九、政府采购情况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6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9" w:id="29"/>
          <w:bookmarkEnd w:id="29"/>
          <w:hyperlink w:history="true" w:anchor="bookmark2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</w:sdtContent>
    </w:sdt>
    <w:p>
      <w:pPr>
        <w:spacing w:line="222" w:lineRule="auto"/>
        <w:sectPr>
          <w:pgSz w:w="11900" w:h="16840"/>
          <w:pgMar w:top="912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516"/>
            <w:spacing w:before="53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0" w:id="30"/>
          <w:bookmarkEnd w:id="30"/>
          <w:hyperlink w:history="true" w:anchor="bookmark3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23</w:t>
            </w:r>
          </w:hyperlink>
        </w:p>
        <w:p>
          <w:pPr>
            <w:ind w:left="516"/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1" w:id="31"/>
          <w:bookmarkEnd w:id="31"/>
          <w:hyperlink w:history="true" w:anchor="bookmark31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十二、其他说明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23</w:t>
            </w:r>
          </w:hyperlink>
        </w:p>
        <w:p>
          <w:pPr>
            <w:ind w:left="1028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2" w:id="32"/>
          <w:bookmarkEnd w:id="32"/>
          <w:hyperlink w:history="true" w:anchor="bookmark3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23</w:t>
            </w:r>
          </w:hyperlink>
        </w:p>
        <w:p>
          <w:pPr>
            <w:ind w:left="102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3" w:id="33"/>
          <w:bookmarkEnd w:id="33"/>
          <w:hyperlink w:history="true" w:anchor="bookmark3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（二）其他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23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4" w:id="34"/>
          <w:bookmarkEnd w:id="34"/>
          <w:hyperlink w:history="true" w:anchor="bookmark3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28</w:t>
            </w:r>
          </w:hyperlink>
        </w:p>
      </w:sdtContent>
    </w:sdt>
    <w:p>
      <w:pPr>
        <w:spacing w:line="222" w:lineRule="auto"/>
        <w:sectPr>
          <w:pgSz w:w="11900" w:h="16840"/>
          <w:pgMar w:top="943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91" w:lineRule="auto"/>
        <w:rPr/>
      </w:pPr>
      <w:r/>
    </w:p>
    <w:p>
      <w:pPr>
        <w:ind w:left="4529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5" w:id="35"/>
      <w:bookmarkEnd w:id="35"/>
      <w:bookmarkStart w:name="bookmark2" w:id="36"/>
      <w:bookmarkEnd w:id="36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704"/>
        <w:spacing w:before="20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7"/>
      <w:bookmarkEnd w:id="37"/>
      <w:r>
        <w:rPr>
          <w:rFonts w:ascii="SimHei" w:hAnsi="SimHei" w:eastAsia="SimHei" w:cs="SimHei"/>
          <w:sz w:val="25"/>
          <w:szCs w:val="25"/>
          <w:spacing w:val="-1"/>
        </w:rPr>
        <w:t>一、本单位职责</w:t>
      </w:r>
    </w:p>
    <w:p>
      <w:pPr>
        <w:ind w:left="706" w:right="937" w:firstLine="10"/>
        <w:spacing w:before="273" w:line="30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1.研究拟定本校教育发展战略和教育工作的规定、办法，监督和检查所属学校对党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和国家的教育方针、政策、法规的贯彻执行。要依法办学，不断提高管理水平和教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育质量。不断改善办学水平和搞高教育质量，促进学校教育均衡发展。</w:t>
      </w:r>
    </w:p>
    <w:p>
      <w:pPr>
        <w:ind w:left="706" w:right="937" w:hanging="4"/>
        <w:spacing w:before="42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2.管理和指导本校教育教学研究工作，规划、指</w:t>
      </w:r>
      <w:r>
        <w:rPr>
          <w:rFonts w:ascii="FangSong" w:hAnsi="FangSong" w:eastAsia="FangSong" w:cs="FangSong"/>
          <w:sz w:val="25"/>
          <w:szCs w:val="25"/>
          <w:spacing w:val="1"/>
        </w:rPr>
        <w:t>导教育现代化和教育信息化工作。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在县教育科技局的领导下，组织本校教师开展教育教学研究课，教学观摩，教学竞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赛，课题实验，经验交流，教学基本功训练，专题研讨等教学活动。</w:t>
      </w:r>
    </w:p>
    <w:p>
      <w:pPr>
        <w:ind w:left="706" w:right="937" w:hanging="2"/>
        <w:spacing w:before="4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3.发挥教师进修培训作用。本校负责制定并</w:t>
      </w:r>
      <w:r>
        <w:rPr>
          <w:rFonts w:ascii="FangSong" w:hAnsi="FangSong" w:eastAsia="FangSong" w:cs="FangSong"/>
          <w:sz w:val="25"/>
          <w:szCs w:val="25"/>
          <w:spacing w:val="1"/>
        </w:rPr>
        <w:t>实施教师培训计划，并有针对性的组织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教师参加教师培训，更新教育观念，提高教师职业道德水平和教育教学能力。</w:t>
      </w:r>
    </w:p>
    <w:p>
      <w:pPr>
        <w:ind w:left="707" w:right="937" w:hanging="9"/>
        <w:spacing w:before="41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4.管理学生学籍，建立学生档案，严格控制学生辍学，</w:t>
      </w:r>
      <w:r>
        <w:rPr>
          <w:rFonts w:ascii="FangSong" w:hAnsi="FangSong" w:eastAsia="FangSong" w:cs="FangSong"/>
          <w:sz w:val="25"/>
          <w:szCs w:val="25"/>
          <w:spacing w:val="-6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已入学的学生要建立学籍档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案，并报教育行政部门备案。</w:t>
      </w:r>
    </w:p>
    <w:p>
      <w:pPr>
        <w:ind w:left="706" w:right="937" w:hanging="2"/>
        <w:spacing w:before="45" w:line="308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5.负责本校教师教育教学业务档案管理，教</w:t>
      </w:r>
      <w:r>
        <w:rPr>
          <w:rFonts w:ascii="FangSong" w:hAnsi="FangSong" w:eastAsia="FangSong" w:cs="FangSong"/>
          <w:sz w:val="25"/>
          <w:szCs w:val="25"/>
          <w:spacing w:val="1"/>
        </w:rPr>
        <w:t>育统计，教师工资统计，学校报帐。管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理本校的教学经费，做好教师编制核定，资格认定，职务评聘，调配和交流，培训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和考核等工作。</w:t>
      </w:r>
    </w:p>
    <w:p>
      <w:pPr>
        <w:ind w:left="706" w:right="811" w:hanging="5"/>
        <w:spacing w:before="44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6在教育行政部门的指导下，负责组织学生考试，教育</w:t>
      </w:r>
      <w:r>
        <w:rPr>
          <w:rFonts w:ascii="FangSong" w:hAnsi="FangSong" w:eastAsia="FangSong" w:cs="FangSong"/>
          <w:sz w:val="25"/>
          <w:szCs w:val="25"/>
          <w:spacing w:val="1"/>
        </w:rPr>
        <w:t>教学质量评估工作，协助调整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好校点布局和改造的有关工作，积极承办上级主管教育部门交办的其他事项。</w:t>
      </w:r>
    </w:p>
    <w:p>
      <w:pPr>
        <w:ind w:left="704"/>
        <w:spacing w:before="188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38"/>
      <w:bookmarkEnd w:id="38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706" w:right="937" w:firstLine="9"/>
        <w:spacing w:before="13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我校是兴县教育科技局所属二级预算单位，为全额事业单位，执行政府会计准则制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度。内设办公室、财务室等。</w:t>
      </w:r>
    </w:p>
    <w:p>
      <w:pPr>
        <w:spacing w:line="304" w:lineRule="auto"/>
        <w:sectPr>
          <w:headerReference w:type="default" r:id="rId1"/>
          <w:footerReference w:type="default" r:id="rId2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9" w:lineRule="auto"/>
        <w:rPr/>
      </w:pPr>
      <w:r/>
    </w:p>
    <w:p>
      <w:pPr>
        <w:ind w:left="3646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39"/>
      <w:bookmarkEnd w:id="39"/>
      <w:bookmarkStart w:name="bookmark5" w:id="40"/>
      <w:bookmarkEnd w:id="40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2024年单位预算报表</w:t>
      </w:r>
    </w:p>
    <w:p>
      <w:pPr>
        <w:spacing w:before="20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6" w:id="41"/>
            <w:bookmarkEnd w:id="4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2024年预算收支总表</w:t>
            </w:r>
          </w:p>
        </w:tc>
      </w:tr>
      <w:tr>
        <w:trPr>
          <w:trHeight w:val="421" w:hRule="atLeast"/>
        </w:trPr>
        <w:tc>
          <w:tcPr>
            <w:tcW w:w="8111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905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3411" w:type="dxa"/>
            <w:vAlign w:val="top"/>
            <w:gridSpan w:val="2"/>
          </w:tcPr>
          <w:p>
            <w:pPr>
              <w:ind w:left="152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5605" w:type="dxa"/>
            <w:vAlign w:val="top"/>
            <w:gridSpan w:val="4"/>
          </w:tcPr>
          <w:p>
            <w:pPr>
              <w:ind w:left="2618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936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75" w:type="dxa"/>
            <w:vAlign w:val="top"/>
          </w:tcPr>
          <w:p>
            <w:pPr>
              <w:ind w:left="31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326" w:type="dxa"/>
            <w:vAlign w:val="top"/>
          </w:tcPr>
          <w:p>
            <w:pPr>
              <w:ind w:left="982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99" w:type="dxa"/>
            <w:vAlign w:val="top"/>
          </w:tcPr>
          <w:p>
            <w:pPr>
              <w:ind w:left="14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2024年合计</w:t>
            </w:r>
          </w:p>
        </w:tc>
        <w:tc>
          <w:tcPr>
            <w:tcW w:w="1175" w:type="dxa"/>
            <w:vAlign w:val="top"/>
          </w:tcPr>
          <w:p>
            <w:pPr>
              <w:ind w:left="5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当年预算安排</w:t>
            </w:r>
          </w:p>
        </w:tc>
        <w:tc>
          <w:tcPr>
            <w:tcW w:w="905" w:type="dxa"/>
            <w:vAlign w:val="top"/>
          </w:tcPr>
          <w:p>
            <w:pPr>
              <w:ind w:left="273" w:right="92" w:hanging="18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安排</w:t>
            </w:r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75" w:type="dxa"/>
            <w:vAlign w:val="top"/>
          </w:tcPr>
          <w:p>
            <w:pPr>
              <w:ind w:right="2"/>
              <w:spacing w:before="13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232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2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99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912.51</w:t>
            </w:r>
          </w:p>
        </w:tc>
        <w:tc>
          <w:tcPr>
            <w:tcW w:w="1175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912.51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22" w:right="156" w:hanging="16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1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26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6" w:right="156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2236" w:type="dxa"/>
            <w:vAlign w:val="top"/>
          </w:tcPr>
          <w:p>
            <w:pPr>
              <w:ind w:left="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7" w:id="42"/>
            <w:bookmarkEnd w:id="42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175" w:type="dxa"/>
            <w:vAlign w:val="top"/>
          </w:tcPr>
          <w:p>
            <w:pPr>
              <w:ind w:right="8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2326" w:type="dxa"/>
            <w:vAlign w:val="top"/>
          </w:tcPr>
          <w:p>
            <w:pPr>
              <w:ind w:left="1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39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23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175" w:type="dxa"/>
            <w:vAlign w:val="top"/>
          </w:tcPr>
          <w:p>
            <w:pPr>
              <w:ind w:right="8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2326" w:type="dxa"/>
            <w:vAlign w:val="top"/>
          </w:tcPr>
          <w:p>
            <w:pPr>
              <w:ind w:left="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37"/>
        <w:gridCol w:w="3311"/>
        <w:gridCol w:w="1608"/>
        <w:gridCol w:w="1392"/>
        <w:gridCol w:w="1104"/>
        <w:gridCol w:w="1356"/>
        <w:gridCol w:w="1344"/>
        <w:gridCol w:w="1080"/>
        <w:gridCol w:w="1134"/>
      </w:tblGrid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1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预算公开表2</w:t>
            </w:r>
          </w:p>
        </w:tc>
      </w:tr>
      <w:tr>
        <w:trPr>
          <w:trHeight w:val="325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906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7" w:id="43"/>
            <w:bookmarkEnd w:id="4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2024年预算收入总表</w:t>
            </w:r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left="11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608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</w:tcPr>
          <w:p>
            <w:pPr>
              <w:ind w:left="2293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7884" w:type="dxa"/>
            <w:vAlign w:val="top"/>
            <w:gridSpan w:val="6"/>
          </w:tcPr>
          <w:p>
            <w:pPr>
              <w:ind w:left="3580"/>
              <w:spacing w:before="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本年收入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ind w:left="205"/>
              <w:spacing w:before="2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</w:tr>
      <w:tr>
        <w:trPr>
          <w:trHeight w:val="409" w:hRule="atLeast"/>
        </w:trPr>
        <w:tc>
          <w:tcPr>
            <w:tcW w:w="1637" w:type="dxa"/>
            <w:vAlign w:val="top"/>
          </w:tcPr>
          <w:p>
            <w:pPr>
              <w:ind w:left="453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311" w:type="dxa"/>
            <w:vAlign w:val="top"/>
          </w:tcPr>
          <w:p>
            <w:pPr>
              <w:ind w:left="1289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608" w:type="dxa"/>
            <w:vAlign w:val="top"/>
          </w:tcPr>
          <w:p>
            <w:pPr>
              <w:ind w:left="620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92" w:type="dxa"/>
            <w:vAlign w:val="top"/>
          </w:tcPr>
          <w:p>
            <w:pPr>
              <w:ind w:left="155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104" w:type="dxa"/>
            <w:vAlign w:val="top"/>
          </w:tcPr>
          <w:p>
            <w:pPr>
              <w:ind w:left="98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</w:tc>
        <w:tc>
          <w:tcPr>
            <w:tcW w:w="1356" w:type="dxa"/>
            <w:vAlign w:val="top"/>
          </w:tcPr>
          <w:p>
            <w:pPr>
              <w:ind w:left="587" w:right="47" w:hanging="524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344" w:type="dxa"/>
            <w:vAlign w:val="top"/>
          </w:tcPr>
          <w:p>
            <w:pPr>
              <w:ind w:left="582" w:right="40" w:hanging="541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80" w:type="dxa"/>
            <w:vAlign w:val="top"/>
          </w:tcPr>
          <w:p>
            <w:pPr>
              <w:ind w:left="181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</w:tcPr>
          <w:p>
            <w:pPr>
              <w:ind w:left="2291"/>
              <w:spacing w:before="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311" w:type="dxa"/>
            <w:vAlign w:val="top"/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608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912.51</w:t>
            </w:r>
          </w:p>
        </w:tc>
        <w:tc>
          <w:tcPr>
            <w:tcW w:w="1392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912.51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608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902.51</w:t>
            </w:r>
          </w:p>
        </w:tc>
        <w:tc>
          <w:tcPr>
            <w:tcW w:w="1392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902.51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311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608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902.51</w:t>
            </w:r>
          </w:p>
        </w:tc>
        <w:tc>
          <w:tcPr>
            <w:tcW w:w="1392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902.51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20599</w:t>
            </w:r>
          </w:p>
        </w:tc>
        <w:tc>
          <w:tcPr>
            <w:tcW w:w="3311" w:type="dxa"/>
            <w:vAlign w:val="top"/>
          </w:tcPr>
          <w:p>
            <w:pPr>
              <w:ind w:left="5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其他教育支出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2059999</w:t>
            </w:r>
          </w:p>
        </w:tc>
        <w:tc>
          <w:tcPr>
            <w:tcW w:w="3311" w:type="dxa"/>
            <w:vAlign w:val="top"/>
          </w:tcPr>
          <w:p>
            <w:pPr>
              <w:ind w:left="5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其他教育支出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4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4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6840" w:h="1190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3057"/>
        <w:gridCol w:w="1439"/>
        <w:gridCol w:w="1391"/>
        <w:gridCol w:w="1313"/>
      </w:tblGrid>
      <w:tr>
        <w:trPr>
          <w:trHeight w:val="355" w:hRule="atLeast"/>
        </w:trPr>
        <w:tc>
          <w:tcPr>
            <w:tcW w:w="18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5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95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预算公开表3</w:t>
            </w:r>
          </w:p>
        </w:tc>
      </w:tr>
      <w:tr>
        <w:trPr>
          <w:trHeight w:val="349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55" w:line="218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8" w:id="44"/>
            <w:bookmarkEnd w:id="44"/>
            <w:bookmarkStart w:name="bookmark8" w:id="45"/>
            <w:bookmarkEnd w:id="45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2024年预算支出总表</w:t>
            </w:r>
          </w:p>
        </w:tc>
      </w:tr>
      <w:tr>
        <w:trPr>
          <w:trHeight w:val="349" w:hRule="atLeast"/>
        </w:trPr>
        <w:tc>
          <w:tcPr>
            <w:tcW w:w="6312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9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3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9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49" w:hRule="atLeast"/>
        </w:trPr>
        <w:tc>
          <w:tcPr>
            <w:tcW w:w="4873" w:type="dxa"/>
            <w:vAlign w:val="top"/>
            <w:gridSpan w:val="2"/>
          </w:tcPr>
          <w:p>
            <w:pPr>
              <w:ind w:left="2256"/>
              <w:spacing w:before="7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143" w:type="dxa"/>
            <w:vAlign w:val="top"/>
            <w:gridSpan w:val="3"/>
          </w:tcPr>
          <w:p>
            <w:pPr>
              <w:ind w:left="152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54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057" w:type="dxa"/>
            <w:vAlign w:val="top"/>
          </w:tcPr>
          <w:p>
            <w:pPr>
              <w:ind w:left="1163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439" w:type="dxa"/>
            <w:vAlign w:val="top"/>
          </w:tcPr>
          <w:p>
            <w:pPr>
              <w:ind w:left="538"/>
              <w:spacing w:before="7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91" w:type="dxa"/>
            <w:vAlign w:val="top"/>
          </w:tcPr>
          <w:p>
            <w:pPr>
              <w:ind w:left="334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13" w:type="dxa"/>
            <w:vAlign w:val="top"/>
          </w:tcPr>
          <w:p>
            <w:pPr>
              <w:ind w:left="297"/>
              <w:spacing w:before="7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50" w:hRule="atLeast"/>
        </w:trPr>
        <w:tc>
          <w:tcPr>
            <w:tcW w:w="4873" w:type="dxa"/>
            <w:vAlign w:val="top"/>
            <w:gridSpan w:val="2"/>
          </w:tcPr>
          <w:p>
            <w:pPr>
              <w:ind w:left="2254"/>
              <w:spacing w:before="7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909.44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73.06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057" w:type="dxa"/>
            <w:vAlign w:val="top"/>
          </w:tcPr>
          <w:p>
            <w:pPr>
              <w:ind w:left="7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439" w:type="dxa"/>
            <w:vAlign w:val="top"/>
          </w:tcPr>
          <w:p>
            <w:pPr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912.51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839.45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73.06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439" w:type="dxa"/>
            <w:vAlign w:val="top"/>
          </w:tcPr>
          <w:p>
            <w:pPr>
              <w:spacing w:before="10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902.51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839.45</w:t>
            </w:r>
          </w:p>
        </w:tc>
        <w:tc>
          <w:tcPr>
            <w:tcW w:w="1313" w:type="dxa"/>
            <w:vAlign w:val="top"/>
          </w:tcPr>
          <w:p>
            <w:pPr>
              <w:ind w:right="14"/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63.06</w:t>
            </w:r>
          </w:p>
        </w:tc>
      </w:tr>
      <w:tr>
        <w:trPr>
          <w:trHeight w:val="349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057" w:type="dxa"/>
            <w:vAlign w:val="top"/>
          </w:tcPr>
          <w:p>
            <w:pPr>
              <w:ind w:left="10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439" w:type="dxa"/>
            <w:vAlign w:val="top"/>
          </w:tcPr>
          <w:p>
            <w:pPr>
              <w:spacing w:before="104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902.51</w:t>
            </w:r>
          </w:p>
        </w:tc>
        <w:tc>
          <w:tcPr>
            <w:tcW w:w="1391" w:type="dxa"/>
            <w:vAlign w:val="top"/>
          </w:tcPr>
          <w:p>
            <w:pPr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839.45</w:t>
            </w:r>
          </w:p>
        </w:tc>
        <w:tc>
          <w:tcPr>
            <w:tcW w:w="1313" w:type="dxa"/>
            <w:vAlign w:val="top"/>
          </w:tcPr>
          <w:p>
            <w:pPr>
              <w:ind w:right="8"/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63.06</w:t>
            </w:r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20599</w:t>
            </w:r>
          </w:p>
        </w:tc>
        <w:tc>
          <w:tcPr>
            <w:tcW w:w="3057" w:type="dxa"/>
            <w:vAlign w:val="top"/>
          </w:tcPr>
          <w:p>
            <w:pPr>
              <w:ind w:left="6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其他教育支出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ind w:right="14"/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2059999</w:t>
            </w:r>
          </w:p>
        </w:tc>
        <w:tc>
          <w:tcPr>
            <w:tcW w:w="3057" w:type="dxa"/>
            <w:vAlign w:val="top"/>
          </w:tcPr>
          <w:p>
            <w:pPr>
              <w:ind w:left="6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其他教育支出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ind w:right="8"/>
              <w:spacing w:before="105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91" w:type="dxa"/>
            <w:vAlign w:val="top"/>
          </w:tcPr>
          <w:p>
            <w:pPr>
              <w:ind w:right="9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1816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39" w:type="dxa"/>
            <w:vAlign w:val="top"/>
          </w:tcPr>
          <w:p>
            <w:pPr>
              <w:ind w:right="4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91" w:type="dxa"/>
            <w:vAlign w:val="top"/>
          </w:tcPr>
          <w:p>
            <w:pPr>
              <w:ind w:right="3"/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7"/>
          <w:pgSz w:w="11900" w:h="16840"/>
          <w:pgMar w:top="610" w:right="600" w:bottom="311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21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预算公开表4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9" w:id="46"/>
            <w:bookmarkEnd w:id="46"/>
            <w:bookmarkStart w:name="bookmark9" w:id="47"/>
            <w:bookmarkEnd w:id="4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2024年财政拨款收支总表</w:t>
            </w:r>
          </w:p>
        </w:tc>
      </w:tr>
      <w:tr>
        <w:trPr>
          <w:trHeight w:val="421" w:hRule="atLeast"/>
        </w:trPr>
        <w:tc>
          <w:tcPr>
            <w:tcW w:w="7907" w:type="dxa"/>
            <w:vAlign w:val="top"/>
            <w:gridSpan w:val="6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10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920" w:type="dxa"/>
            <w:vAlign w:val="top"/>
            <w:gridSpan w:val="2"/>
          </w:tcPr>
          <w:p>
            <w:pPr>
              <w:ind w:left="128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6096" w:type="dxa"/>
            <w:vAlign w:val="top"/>
            <w:gridSpan w:val="5"/>
          </w:tcPr>
          <w:p>
            <w:pPr>
              <w:ind w:left="2863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2" w:hRule="atLeast"/>
        </w:trPr>
        <w:tc>
          <w:tcPr>
            <w:tcW w:w="18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3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5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9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8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166" w:type="dxa"/>
            <w:vAlign w:val="top"/>
            <w:gridSpan w:val="4"/>
          </w:tcPr>
          <w:p>
            <w:pPr>
              <w:ind w:left="190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1" w:hRule="atLeast"/>
        </w:trPr>
        <w:tc>
          <w:tcPr>
            <w:tcW w:w="18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61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小计</w:t>
            </w:r>
          </w:p>
        </w:tc>
        <w:tc>
          <w:tcPr>
            <w:tcW w:w="1115" w:type="dxa"/>
            <w:vAlign w:val="top"/>
          </w:tcPr>
          <w:p>
            <w:pPr>
              <w:ind w:left="1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863" w:type="dxa"/>
            <w:vAlign w:val="top"/>
          </w:tcPr>
          <w:p>
            <w:pPr>
              <w:ind w:left="162" w:right="70" w:hanging="9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金预算</w:t>
            </w:r>
          </w:p>
        </w:tc>
        <w:tc>
          <w:tcPr>
            <w:tcW w:w="1109" w:type="dxa"/>
            <w:vAlign w:val="top"/>
          </w:tcPr>
          <w:p>
            <w:pPr>
              <w:ind w:left="372" w:right="14" w:hanging="34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79" w:type="dxa"/>
            <w:vAlign w:val="top"/>
          </w:tcPr>
          <w:p>
            <w:pPr>
              <w:ind w:right="3"/>
              <w:spacing w:before="13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930" w:type="dxa"/>
            <w:vAlign w:val="top"/>
          </w:tcPr>
          <w:p>
            <w:pPr>
              <w:ind w:left="8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912.51</w:t>
            </w:r>
          </w:p>
        </w:tc>
        <w:tc>
          <w:tcPr>
            <w:tcW w:w="1115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912.51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7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 w:right="12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媒支出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3" w:right="122" w:hanging="7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息等支出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1" w:right="122" w:hanging="5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象等支出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079" w:type="dxa"/>
            <w:vAlign w:val="top"/>
          </w:tcPr>
          <w:p>
            <w:pPr>
              <w:ind w:right="6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115" w:type="dxa"/>
            <w:vAlign w:val="top"/>
          </w:tcPr>
          <w:p>
            <w:pPr>
              <w:ind w:right="4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 w:right="122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7" w:right="122" w:firstLine="1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0" w:right="122" w:hanging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急管理支出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 w:right="122" w:firstLine="2"/>
              <w:spacing w:before="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 w:right="12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排的支出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37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40" w:id="48"/>
            <w:bookmarkEnd w:id="48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079" w:type="dxa"/>
            <w:vAlign w:val="top"/>
          </w:tcPr>
          <w:p>
            <w:pPr>
              <w:ind w:left="263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930" w:type="dxa"/>
            <w:vAlign w:val="top"/>
          </w:tcPr>
          <w:p>
            <w:pPr>
              <w:ind w:left="42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079" w:type="dxa"/>
            <w:vAlign w:val="top"/>
          </w:tcPr>
          <w:p>
            <w:pPr>
              <w:ind w:left="267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115" w:type="dxa"/>
            <w:vAlign w:val="top"/>
          </w:tcPr>
          <w:p>
            <w:pPr>
              <w:ind w:left="286"/>
              <w:spacing w:before="137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上年财政拨款结转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ind w:left="56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079" w:type="dxa"/>
            <w:vAlign w:val="top"/>
          </w:tcPr>
          <w:p>
            <w:pPr>
              <w:ind w:left="263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930" w:type="dxa"/>
            <w:vAlign w:val="top"/>
          </w:tcPr>
          <w:p>
            <w:pPr>
              <w:ind w:left="600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079" w:type="dxa"/>
            <w:vAlign w:val="top"/>
          </w:tcPr>
          <w:p>
            <w:pPr>
              <w:ind w:left="267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115" w:type="dxa"/>
            <w:vAlign w:val="top"/>
          </w:tcPr>
          <w:p>
            <w:pPr>
              <w:ind w:left="286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0"/>
          <w:pgMar w:top="610" w:right="600" w:bottom="311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2"/>
        <w:gridCol w:w="3021"/>
        <w:gridCol w:w="1535"/>
        <w:gridCol w:w="1415"/>
        <w:gridCol w:w="1373"/>
      </w:tblGrid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预算公开表5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871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1" w:id="49"/>
            <w:bookmarkEnd w:id="49"/>
            <w:bookmarkStart w:name="bookmark10" w:id="50"/>
            <w:bookmarkEnd w:id="5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2024年一般公共预算支出预算表（不含上年结转）</w:t>
            </w:r>
          </w:p>
        </w:tc>
      </w:tr>
      <w:tr>
        <w:trPr>
          <w:trHeight w:val="325" w:hRule="atLeast"/>
        </w:trPr>
        <w:tc>
          <w:tcPr>
            <w:tcW w:w="7643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37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693" w:type="dxa"/>
            <w:vAlign w:val="top"/>
            <w:gridSpan w:val="2"/>
          </w:tcPr>
          <w:p>
            <w:pPr>
              <w:ind w:left="2166"/>
              <w:spacing w:before="6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323" w:type="dxa"/>
            <w:vAlign w:val="top"/>
            <w:gridSpan w:val="3"/>
          </w:tcPr>
          <w:p>
            <w:pPr>
              <w:ind w:left="161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1672" w:type="dxa"/>
            <w:vAlign w:val="top"/>
          </w:tcPr>
          <w:p>
            <w:pPr>
              <w:ind w:left="471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021" w:type="dxa"/>
            <w:vAlign w:val="top"/>
          </w:tcPr>
          <w:p>
            <w:pPr>
              <w:ind w:left="1145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535" w:type="dxa"/>
            <w:vAlign w:val="top"/>
          </w:tcPr>
          <w:p>
            <w:pPr>
              <w:ind w:left="586"/>
              <w:spacing w:before="6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15" w:type="dxa"/>
            <w:vAlign w:val="top"/>
          </w:tcPr>
          <w:p>
            <w:pPr>
              <w:ind w:left="346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73" w:type="dxa"/>
            <w:vAlign w:val="top"/>
          </w:tcPr>
          <w:p>
            <w:pPr>
              <w:ind w:left="327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25" w:hRule="atLeast"/>
        </w:trPr>
        <w:tc>
          <w:tcPr>
            <w:tcW w:w="4693" w:type="dxa"/>
            <w:vAlign w:val="top"/>
            <w:gridSpan w:val="2"/>
          </w:tcPr>
          <w:p>
            <w:pPr>
              <w:ind w:left="2164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982.50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909.44</w:t>
            </w:r>
          </w:p>
        </w:tc>
        <w:tc>
          <w:tcPr>
            <w:tcW w:w="1373" w:type="dxa"/>
            <w:vAlign w:val="top"/>
          </w:tcPr>
          <w:p>
            <w:pPr>
              <w:ind w:right="14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73.06</w:t>
            </w:r>
          </w:p>
        </w:tc>
      </w:tr>
      <w:tr>
        <w:trPr>
          <w:trHeight w:val="325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021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535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912.51</w:t>
            </w:r>
          </w:p>
        </w:tc>
        <w:tc>
          <w:tcPr>
            <w:tcW w:w="1415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839.45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73.06</w:t>
            </w:r>
          </w:p>
        </w:tc>
      </w:tr>
      <w:tr>
        <w:trPr>
          <w:trHeight w:val="325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535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902.51</w:t>
            </w:r>
          </w:p>
        </w:tc>
        <w:tc>
          <w:tcPr>
            <w:tcW w:w="1415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839.45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63.06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021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535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902.51</w:t>
            </w:r>
          </w:p>
        </w:tc>
        <w:tc>
          <w:tcPr>
            <w:tcW w:w="1415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839.45</w:t>
            </w:r>
          </w:p>
        </w:tc>
        <w:tc>
          <w:tcPr>
            <w:tcW w:w="1373" w:type="dxa"/>
            <w:vAlign w:val="top"/>
          </w:tcPr>
          <w:p>
            <w:pPr>
              <w:ind w:right="8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63.06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20599</w:t>
            </w:r>
          </w:p>
        </w:tc>
        <w:tc>
          <w:tcPr>
            <w:tcW w:w="3021" w:type="dxa"/>
            <w:vAlign w:val="top"/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其他教育支出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right="8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2059999</w:t>
            </w:r>
          </w:p>
        </w:tc>
        <w:tc>
          <w:tcPr>
            <w:tcW w:w="3021" w:type="dxa"/>
            <w:vAlign w:val="top"/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其他教育支出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3" w:type="dxa"/>
            <w:vAlign w:val="top"/>
          </w:tcPr>
          <w:p>
            <w:pPr>
              <w:ind w:right="8"/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72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02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535" w:type="dxa"/>
            <w:vAlign w:val="top"/>
          </w:tcPr>
          <w:p>
            <w:pPr>
              <w:ind w:right="4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415" w:type="dxa"/>
            <w:vAlign w:val="top"/>
          </w:tcPr>
          <w:p>
            <w:pPr>
              <w:ind w:right="3"/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8968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67"/>
        <w:gridCol w:w="2158"/>
        <w:gridCol w:w="1367"/>
        <w:gridCol w:w="1307"/>
        <w:gridCol w:w="1169"/>
      </w:tblGrid>
      <w:tr>
        <w:trPr>
          <w:trHeight w:val="331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4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预算公开表6</w:t>
            </w:r>
          </w:p>
        </w:tc>
      </w:tr>
      <w:tr>
        <w:trPr>
          <w:trHeight w:val="325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07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2" w:id="51"/>
            <w:bookmarkEnd w:id="51"/>
            <w:bookmarkStart w:name="bookmark11" w:id="52"/>
            <w:bookmarkEnd w:id="52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2024年一般公共预算安排基本支出分经济科目表（不含上年结转）</w:t>
            </w:r>
          </w:p>
        </w:tc>
      </w:tr>
      <w:tr>
        <w:trPr>
          <w:trHeight w:val="325" w:hRule="atLeast"/>
        </w:trPr>
        <w:tc>
          <w:tcPr>
            <w:tcW w:w="6492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30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  <w:vMerge w:val="restart"/>
            <w:tcBorders>
              <w:bottom w:val="nil"/>
            </w:tcBorders>
          </w:tcPr>
          <w:p>
            <w:pPr>
              <w:ind w:left="401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部门预算支出经济科目名称</w:t>
            </w:r>
          </w:p>
        </w:tc>
        <w:tc>
          <w:tcPr>
            <w:tcW w:w="2158" w:type="dxa"/>
            <w:vAlign w:val="top"/>
            <w:vMerge w:val="restart"/>
            <w:tcBorders>
              <w:bottom w:val="nil"/>
            </w:tcBorders>
          </w:tcPr>
          <w:p>
            <w:pPr>
              <w:ind w:left="983" w:right="91" w:hanging="898"/>
              <w:spacing w:before="121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政府预算支出经济科目名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称</w:t>
            </w:r>
          </w:p>
        </w:tc>
        <w:tc>
          <w:tcPr>
            <w:tcW w:w="3843" w:type="dxa"/>
            <w:vAlign w:val="top"/>
            <w:gridSpan w:val="3"/>
          </w:tcPr>
          <w:p>
            <w:pPr>
              <w:ind w:left="1379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29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left="502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ind w:left="293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人员经费</w:t>
            </w:r>
          </w:p>
        </w:tc>
        <w:tc>
          <w:tcPr>
            <w:tcW w:w="1169" w:type="dxa"/>
            <w:vAlign w:val="top"/>
          </w:tcPr>
          <w:p>
            <w:pPr>
              <w:ind w:left="227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</w:tr>
      <w:tr>
        <w:trPr>
          <w:trHeight w:val="325" w:hRule="atLeast"/>
        </w:trPr>
        <w:tc>
          <w:tcPr>
            <w:tcW w:w="5125" w:type="dxa"/>
            <w:vAlign w:val="top"/>
            <w:gridSpan w:val="2"/>
          </w:tcPr>
          <w:p>
            <w:pPr>
              <w:ind w:left="2375"/>
              <w:spacing w:before="6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909.44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872.09</w:t>
            </w:r>
          </w:p>
        </w:tc>
        <w:tc>
          <w:tcPr>
            <w:tcW w:w="1169" w:type="dxa"/>
            <w:vAlign w:val="top"/>
          </w:tcPr>
          <w:p>
            <w:pPr>
              <w:ind w:right="14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37.35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814.09</w:t>
            </w:r>
          </w:p>
        </w:tc>
        <w:tc>
          <w:tcPr>
            <w:tcW w:w="1307" w:type="dxa"/>
            <w:vAlign w:val="top"/>
          </w:tcPr>
          <w:p>
            <w:pPr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814.09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296.37</w:t>
            </w:r>
          </w:p>
        </w:tc>
        <w:tc>
          <w:tcPr>
            <w:tcW w:w="130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296.37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57.10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57.10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绩效工资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181.70</w:t>
            </w:r>
          </w:p>
        </w:tc>
        <w:tc>
          <w:tcPr>
            <w:tcW w:w="1307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181.70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78.17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78.17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职业年金缴费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20.00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7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职工基本医疗保险缴费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31.76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31.76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22.80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22.80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69.99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56.19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56.19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37.35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37.35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取暖费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10.48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10.48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11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工会经费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9.77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2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9.77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福利费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17.10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9" w:type="dxa"/>
            <w:vAlign w:val="top"/>
          </w:tcPr>
          <w:p>
            <w:pPr>
              <w:ind w:right="8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17.10</w:t>
            </w:r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对个人和家庭的补助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58.01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58.01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2967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退休费</w:t>
            </w:r>
          </w:p>
        </w:tc>
        <w:tc>
          <w:tcPr>
            <w:tcW w:w="2158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离退休费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16.69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16.69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2967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2158" w:type="dxa"/>
            <w:vAlign w:val="top"/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1367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41.32</w:t>
            </w:r>
          </w:p>
        </w:tc>
        <w:tc>
          <w:tcPr>
            <w:tcW w:w="1307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41.32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08"/>
        <w:gridCol w:w="4748"/>
        <w:gridCol w:w="1960"/>
      </w:tblGrid>
      <w:tr>
        <w:trPr>
          <w:trHeight w:val="426" w:hRule="atLeast"/>
        </w:trPr>
        <w:tc>
          <w:tcPr>
            <w:tcW w:w="2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预算公开表7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3" w:id="53"/>
            <w:bookmarkEnd w:id="53"/>
            <w:bookmarkStart w:name="bookmark12" w:id="54"/>
            <w:bookmarkEnd w:id="5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2024年政府性基金预算收入表（不含上年结转）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9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政府性基金收入预算</w:t>
            </w:r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ind w:left="61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4748" w:type="dxa"/>
            <w:vAlign w:val="top"/>
          </w:tcPr>
          <w:p>
            <w:pPr>
              <w:ind w:left="20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9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8"/>
        <w:gridCol w:w="3489"/>
        <w:gridCol w:w="1127"/>
        <w:gridCol w:w="1139"/>
        <w:gridCol w:w="1193"/>
      </w:tblGrid>
      <w:tr>
        <w:trPr>
          <w:trHeight w:val="426" w:hRule="atLeast"/>
        </w:trPr>
        <w:tc>
          <w:tcPr>
            <w:tcW w:w="2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预算公开表8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4" w:id="55"/>
            <w:bookmarkEnd w:id="55"/>
            <w:bookmarkStart w:name="bookmark13" w:id="56"/>
            <w:bookmarkEnd w:id="56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2024年政府性基金预算支出表（不含上年结转）</w:t>
            </w:r>
          </w:p>
        </w:tc>
      </w:tr>
      <w:tr>
        <w:trPr>
          <w:trHeight w:val="420" w:hRule="atLeast"/>
        </w:trPr>
        <w:tc>
          <w:tcPr>
            <w:tcW w:w="555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ind w:left="66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489" w:type="dxa"/>
            <w:vAlign w:val="top"/>
          </w:tcPr>
          <w:p>
            <w:pPr>
              <w:ind w:left="137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</w:tcPr>
          <w:p>
            <w:pPr>
              <w:ind w:left="382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ind w:left="20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193" w:type="dxa"/>
            <w:vAlign w:val="top"/>
          </w:tcPr>
          <w:p>
            <w:pPr>
              <w:ind w:left="237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557" w:type="dxa"/>
            <w:vAlign w:val="top"/>
            <w:gridSpan w:val="2"/>
          </w:tcPr>
          <w:p>
            <w:pPr>
              <w:ind w:left="259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>
        <w:trPr>
          <w:trHeight w:val="427" w:hRule="atLeast"/>
        </w:trPr>
        <w:tc>
          <w:tcPr>
            <w:tcW w:w="10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252" w:line="20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63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5" w:id="57"/>
            <w:bookmarkEnd w:id="57"/>
            <w:bookmarkStart w:name="bookmark14" w:id="58"/>
            <w:bookmarkEnd w:id="5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2024年国有资本经营预算收支预算表（不含上年结转）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759" w:type="dxa"/>
            <w:vAlign w:val="top"/>
            <w:gridSpan w:val="3"/>
          </w:tcPr>
          <w:p>
            <w:pPr>
              <w:ind w:left="99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国有资本经营预算收入</w:t>
            </w:r>
          </w:p>
        </w:tc>
        <w:tc>
          <w:tcPr>
            <w:tcW w:w="5257" w:type="dxa"/>
            <w:vAlign w:val="top"/>
            <w:gridSpan w:val="5"/>
          </w:tcPr>
          <w:p>
            <w:pPr>
              <w:ind w:left="174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国有资本经营预算支出</w:t>
            </w:r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30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ind w:left="17" w:right="21" w:firstLine="12"/>
              <w:spacing w:before="21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营收入预算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4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0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4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1727" w:type="dxa"/>
            <w:vAlign w:val="top"/>
          </w:tcPr>
          <w:p>
            <w:pPr>
              <w:ind w:left="49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28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27"/>
        <w:gridCol w:w="1343"/>
        <w:gridCol w:w="1259"/>
        <w:gridCol w:w="1343"/>
        <w:gridCol w:w="1444"/>
      </w:tblGrid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11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5" w:id="59"/>
            <w:bookmarkEnd w:id="5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2024年财政拨款安排“三公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”经费支出预算表</w:t>
            </w:r>
          </w:p>
        </w:tc>
      </w:tr>
      <w:tr>
        <w:trPr>
          <w:trHeight w:val="421" w:hRule="atLeast"/>
        </w:trPr>
        <w:tc>
          <w:tcPr>
            <w:tcW w:w="622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3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5389" w:type="dxa"/>
            <w:vAlign w:val="top"/>
            <w:gridSpan w:val="4"/>
          </w:tcPr>
          <w:p>
            <w:pPr>
              <w:ind w:left="215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ind w:left="487"/>
              <w:spacing w:before="10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259" w:type="dxa"/>
            <w:vAlign w:val="top"/>
          </w:tcPr>
          <w:p>
            <w:pPr>
              <w:ind w:left="8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43" w:type="dxa"/>
            <w:vAlign w:val="top"/>
          </w:tcPr>
          <w:p>
            <w:pPr>
              <w:ind w:left="3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444" w:type="dxa"/>
            <w:vAlign w:val="top"/>
          </w:tcPr>
          <w:p>
            <w:pPr>
              <w:ind w:left="629" w:right="92" w:hanging="52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109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因公出国（境）费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37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公务接待费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92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094"/>
              <w:spacing w:before="11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913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1630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55"/>
        <w:gridCol w:w="1271"/>
        <w:gridCol w:w="1367"/>
        <w:gridCol w:w="1463"/>
        <w:gridCol w:w="1660"/>
      </w:tblGrid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35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6" w:id="60"/>
            <w:bookmarkEnd w:id="60"/>
            <w:bookmarkStart w:name="bookmark16" w:id="61"/>
            <w:bookmarkEnd w:id="6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2024年财政拨款安排机关运行经费预算表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264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单位名称</w:t>
            </w:r>
          </w:p>
        </w:tc>
        <w:tc>
          <w:tcPr>
            <w:tcW w:w="5761" w:type="dxa"/>
            <w:vAlign w:val="top"/>
            <w:gridSpan w:val="4"/>
          </w:tcPr>
          <w:p>
            <w:pPr>
              <w:ind w:left="242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2024预算数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ind w:left="451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left="143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463" w:type="dxa"/>
            <w:vAlign w:val="top"/>
          </w:tcPr>
          <w:p>
            <w:pPr>
              <w:ind w:left="9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660" w:type="dxa"/>
            <w:vAlign w:val="top"/>
          </w:tcPr>
          <w:p>
            <w:pPr>
              <w:ind w:left="124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国有资本经营预算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ind w:left="1265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部门合计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8"/>
              </w:rPr>
              <w:t>注 ：本表无数据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8"/>
        <w:gridCol w:w="1187"/>
        <w:gridCol w:w="1187"/>
        <w:gridCol w:w="659"/>
        <w:gridCol w:w="1127"/>
        <w:gridCol w:w="1103"/>
        <w:gridCol w:w="845"/>
      </w:tblGrid>
      <w:tr>
        <w:trPr>
          <w:trHeight w:val="427" w:hRule="atLeast"/>
        </w:trPr>
        <w:tc>
          <w:tcPr>
            <w:tcW w:w="29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7" w:id="62"/>
            <w:bookmarkEnd w:id="62"/>
            <w:bookmarkStart w:name="bookmark17" w:id="63"/>
            <w:bookmarkEnd w:id="6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2024年项目支出预算表（本年预算）</w:t>
            </w:r>
          </w:p>
        </w:tc>
      </w:tr>
      <w:tr>
        <w:trPr>
          <w:trHeight w:val="421" w:hRule="atLeast"/>
        </w:trPr>
        <w:tc>
          <w:tcPr>
            <w:tcW w:w="70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94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29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1092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408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2973" w:type="dxa"/>
            <w:vAlign w:val="top"/>
            <w:gridSpan w:val="3"/>
          </w:tcPr>
          <w:p>
            <w:pPr>
              <w:ind w:left="855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  <w:tc>
          <w:tcPr>
            <w:tcW w:w="1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78" w:right="10" w:hanging="367"/>
              <w:spacing w:before="59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资金</w:t>
            </w:r>
          </w:p>
        </w:tc>
        <w:tc>
          <w:tcPr>
            <w:tcW w:w="8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61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</w:tr>
      <w:tr>
        <w:trPr>
          <w:trHeight w:val="613" w:hRule="atLeast"/>
        </w:trPr>
        <w:tc>
          <w:tcPr>
            <w:tcW w:w="290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7" w:type="dxa"/>
            <w:vAlign w:val="top"/>
          </w:tcPr>
          <w:p>
            <w:pPr>
              <w:ind w:left="52"/>
              <w:spacing w:before="2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659" w:type="dxa"/>
            <w:vAlign w:val="top"/>
          </w:tcPr>
          <w:p>
            <w:pPr>
              <w:ind w:left="55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政府性</w:t>
            </w:r>
          </w:p>
          <w:p>
            <w:pPr>
              <w:ind w:left="5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基金预</w:t>
            </w:r>
          </w:p>
          <w:p>
            <w:pPr>
              <w:ind w:left="238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27" w:type="dxa"/>
            <w:vAlign w:val="top"/>
          </w:tcPr>
          <w:p>
            <w:pPr>
              <w:ind w:left="382" w:right="23" w:hanging="343"/>
              <w:spacing w:before="9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1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420"/>
              <w:spacing w:before="138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87" w:type="dxa"/>
            <w:vAlign w:val="top"/>
          </w:tcPr>
          <w:p>
            <w:pPr>
              <w:ind w:left="548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187" w:type="dxa"/>
            <w:vAlign w:val="top"/>
          </w:tcPr>
          <w:p>
            <w:pPr>
              <w:ind w:left="550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59" w:type="dxa"/>
            <w:vAlign w:val="top"/>
          </w:tcPr>
          <w:p>
            <w:pPr>
              <w:ind w:left="283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27" w:type="dxa"/>
            <w:vAlign w:val="top"/>
          </w:tcPr>
          <w:p>
            <w:pPr>
              <w:ind w:left="523"/>
              <w:spacing w:before="140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103" w:type="dxa"/>
            <w:vAlign w:val="top"/>
          </w:tcPr>
          <w:p>
            <w:pPr>
              <w:ind w:left="510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45" w:type="dxa"/>
            <w:vAlign w:val="top"/>
          </w:tcPr>
          <w:p>
            <w:pPr>
              <w:ind w:left="382"/>
              <w:spacing w:before="140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2" w:hRule="atLeast"/>
        </w:trPr>
        <w:tc>
          <w:tcPr>
            <w:tcW w:w="2908" w:type="dxa"/>
            <w:vAlign w:val="top"/>
          </w:tcPr>
          <w:p>
            <w:pPr>
              <w:ind w:left="192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兴县第二实验学校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73.06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73.06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0" w:right="16" w:firstLine="360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2024年城乡义务教育转移支付公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用经费县级配套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12.35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12.35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908" w:type="dxa"/>
            <w:vAlign w:val="top"/>
          </w:tcPr>
          <w:p>
            <w:pPr>
              <w:ind w:left="14" w:right="16" w:firstLine="35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城乡义务教育补助经费中央资金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42.81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4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42.81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08" w:type="dxa"/>
            <w:vAlign w:val="top"/>
          </w:tcPr>
          <w:p>
            <w:pPr>
              <w:ind w:left="10" w:right="16" w:firstLine="360"/>
              <w:spacing w:before="5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2024年义务教育家庭经济困难学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生生活补助</w:t>
            </w:r>
          </w:p>
        </w:tc>
        <w:tc>
          <w:tcPr>
            <w:tcW w:w="1187" w:type="dxa"/>
            <w:vAlign w:val="top"/>
          </w:tcPr>
          <w:p>
            <w:pPr>
              <w:ind w:right="2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7.90</w:t>
            </w:r>
          </w:p>
        </w:tc>
        <w:tc>
          <w:tcPr>
            <w:tcW w:w="1187" w:type="dxa"/>
            <w:vAlign w:val="top"/>
          </w:tcPr>
          <w:p>
            <w:pPr>
              <w:ind w:right="1"/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7.90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908" w:type="dxa"/>
            <w:vAlign w:val="top"/>
          </w:tcPr>
          <w:p>
            <w:pPr>
              <w:ind w:left="372"/>
              <w:spacing w:before="11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办公用房租赁费</w:t>
            </w:r>
          </w:p>
        </w:tc>
        <w:tc>
          <w:tcPr>
            <w:tcW w:w="1187" w:type="dxa"/>
            <w:vAlign w:val="top"/>
          </w:tcPr>
          <w:p>
            <w:pPr>
              <w:ind w:right="8"/>
              <w:spacing w:before="14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1187" w:type="dxa"/>
            <w:vAlign w:val="top"/>
          </w:tcPr>
          <w:p>
            <w:pPr>
              <w:ind w:right="7"/>
              <w:spacing w:before="14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10.00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58"/>
        <w:gridCol w:w="1139"/>
        <w:gridCol w:w="1259"/>
        <w:gridCol w:w="1211"/>
        <w:gridCol w:w="1349"/>
      </w:tblGrid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2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8" w:id="64"/>
            <w:bookmarkEnd w:id="6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2024年项目支出预算表（上年结转）</w:t>
            </w:r>
          </w:p>
        </w:tc>
      </w:tr>
      <w:tr>
        <w:trPr>
          <w:trHeight w:val="421" w:hRule="atLeast"/>
        </w:trPr>
        <w:tc>
          <w:tcPr>
            <w:tcW w:w="7667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单位名称：兴县第二实验学校</w:t>
            </w:r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86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819" w:type="dxa"/>
            <w:vAlign w:val="top"/>
            <w:gridSpan w:val="3"/>
          </w:tcPr>
          <w:p>
            <w:pPr>
              <w:ind w:left="127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9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11" w:type="dxa"/>
            <w:vAlign w:val="top"/>
          </w:tcPr>
          <w:p>
            <w:pPr>
              <w:ind w:left="426" w:right="154" w:hanging="272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349" w:type="dxa"/>
            <w:vAlign w:val="top"/>
          </w:tcPr>
          <w:p>
            <w:pPr>
              <w:ind w:left="313" w:right="315" w:firstLine="16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国有资本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经营预算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ind w:left="1996"/>
              <w:spacing w:before="139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ind w:left="526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ind w:left="589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211" w:type="dxa"/>
            <w:vAlign w:val="top"/>
          </w:tcPr>
          <w:p>
            <w:pPr>
              <w:ind w:left="562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349" w:type="dxa"/>
            <w:vAlign w:val="top"/>
          </w:tcPr>
          <w:p>
            <w:pPr>
              <w:ind w:left="633"/>
              <w:spacing w:before="141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3268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19" w:id="65"/>
      <w:bookmarkEnd w:id="65"/>
      <w:r>
        <w:rPr>
          <w:rFonts w:ascii="SimHei" w:hAnsi="SimHei" w:eastAsia="SimHei" w:cs="SimHei"/>
          <w:sz w:val="25"/>
          <w:szCs w:val="25"/>
          <w:spacing w:val="1"/>
        </w:rPr>
        <w:t>第三部分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2024年度单位预算情况说明</w:t>
      </w:r>
    </w:p>
    <w:p>
      <w:pPr>
        <w:pStyle w:val="BodyText"/>
        <w:spacing w:line="300" w:lineRule="auto"/>
        <w:rPr/>
      </w:pPr>
      <w:r/>
    </w:p>
    <w:p>
      <w:pPr>
        <w:ind w:left="698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66"/>
      <w:bookmarkEnd w:id="66"/>
      <w:r>
        <w:rPr>
          <w:rFonts w:ascii="SimHei" w:hAnsi="SimHei" w:eastAsia="SimHei" w:cs="SimHei"/>
          <w:sz w:val="25"/>
          <w:szCs w:val="25"/>
          <w:spacing w:val="1"/>
        </w:rPr>
        <w:t>一、单位预算收支数据变动情况及原因</w:t>
      </w:r>
    </w:p>
    <w:p>
      <w:pPr>
        <w:ind w:left="706" w:right="913" w:firstLine="499"/>
        <w:spacing w:before="128" w:line="31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2024年度兴县第二实验学校预算收入总计982.50万元，其中：本年收入982.50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万元，上年结转0万元，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比上年减少27.66万元</w:t>
      </w:r>
      <w:r>
        <w:rPr>
          <w:rFonts w:ascii="FangSong" w:hAnsi="FangSong" w:eastAsia="FangSong" w:cs="FangSong"/>
          <w:sz w:val="25"/>
          <w:szCs w:val="25"/>
          <w:spacing w:val="4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，下降2.74%，主要原因是上年度补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发基础绩效奖等工资福利支出，以致上下年对比减少较大。；本年单位预算支出总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计982.50万元，其中：本年预算安排982.50万元，上年结转0万元，</w:t>
      </w:r>
      <w:r>
        <w:rPr>
          <w:rFonts w:ascii="FangSong" w:hAnsi="FangSong" w:eastAsia="FangSong" w:cs="FangSong"/>
          <w:sz w:val="25"/>
          <w:szCs w:val="25"/>
          <w:spacing w:val="-6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比上年减少</w:t>
      </w:r>
    </w:p>
    <w:p>
      <w:pPr>
        <w:ind w:left="708" w:right="925" w:hanging="6"/>
        <w:spacing w:before="44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27.66万元，下降2.74%，主要原因是上年度补发基础绩效</w:t>
      </w:r>
      <w:r>
        <w:rPr>
          <w:rFonts w:ascii="FangSong" w:hAnsi="FangSong" w:eastAsia="FangSong" w:cs="FangSong"/>
          <w:sz w:val="25"/>
          <w:szCs w:val="25"/>
          <w:spacing w:val="1"/>
        </w:rPr>
        <w:t>奖等工资福利支出，以致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上下年对比减少较大。</w:t>
      </w:r>
    </w:p>
    <w:p>
      <w:pPr>
        <w:ind w:left="698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67"/>
      <w:bookmarkEnd w:id="67"/>
      <w:r>
        <w:rPr>
          <w:rFonts w:ascii="SimHei" w:hAnsi="SimHei" w:eastAsia="SimHei" w:cs="SimHei"/>
          <w:sz w:val="25"/>
          <w:szCs w:val="25"/>
        </w:rPr>
        <w:t>二、收入预算情况说明</w:t>
      </w:r>
    </w:p>
    <w:p>
      <w:pPr>
        <w:ind w:left="710" w:right="925" w:firstLine="495"/>
        <w:spacing w:before="129" w:line="311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2024年度兴县第二实验学校预算收入982.50万元，主要包括一般公共预算拨款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收入982.50万元，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占100.00%；政府性基金预算拨款收入0万元，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国有资本经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营预算拨款收入0万元，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占0%；财政专户管理资金收入0万元，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占0%；单位资金0万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7"/>
        </w:rPr>
        <w:t>元，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占0%；上年结转0万元，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占0%。</w:t>
      </w:r>
    </w:p>
    <w:p>
      <w:pPr>
        <w:pStyle w:val="BodyText"/>
        <w:spacing w:line="459" w:lineRule="auto"/>
        <w:rPr/>
      </w:pPr>
      <w:r/>
    </w:p>
    <w:p>
      <w:pPr>
        <w:ind w:firstLine="2824"/>
        <w:spacing w:before="1" w:line="3157" w:lineRule="exact"/>
        <w:rPr/>
      </w:pPr>
      <w:r>
        <w:rPr>
          <w:position w:val="-63"/>
        </w:rPr>
        <w:drawing>
          <wp:inline distT="0" distB="0" distL="0" distR="0">
            <wp:extent cx="2596419" cy="200476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96419" cy="200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699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68"/>
      <w:bookmarkEnd w:id="68"/>
      <w:r>
        <w:rPr>
          <w:rFonts w:ascii="SimHei" w:hAnsi="SimHei" w:eastAsia="SimHei" w:cs="SimHei"/>
          <w:sz w:val="25"/>
          <w:szCs w:val="25"/>
        </w:rPr>
        <w:t>三、支出预算情况说明</w:t>
      </w:r>
    </w:p>
    <w:p>
      <w:pPr>
        <w:ind w:left="750" w:right="856" w:firstLine="455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2024年度兴县第二实验学校支出预算982.5万元，其中：基本支出909.44万元，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占92.56%；项目支出73.06万元，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</w:t>
      </w:r>
      <w:r>
        <w:rPr>
          <w:rFonts w:ascii="FangSong" w:hAnsi="FangSong" w:eastAsia="FangSong" w:cs="FangSong"/>
          <w:sz w:val="25"/>
          <w:szCs w:val="25"/>
          <w:spacing w:val="-4"/>
        </w:rPr>
        <w:t>7.44%。</w:t>
      </w:r>
    </w:p>
    <w:p>
      <w:pPr>
        <w:ind w:left="714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69"/>
      <w:bookmarkEnd w:id="69"/>
      <w:r>
        <w:rPr>
          <w:rFonts w:ascii="SimHei" w:hAnsi="SimHei" w:eastAsia="SimHei" w:cs="SimHei"/>
          <w:sz w:val="25"/>
          <w:szCs w:val="25"/>
        </w:rPr>
        <w:t>四、财政拨款收支预算总体情况说明</w:t>
      </w:r>
    </w:p>
    <w:p>
      <w:pPr>
        <w:ind w:left="708" w:right="937" w:firstLine="497"/>
        <w:spacing w:before="131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2024年度兴县第二实验学校财政拨款收支总预算982.50万元。其中：一般公共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预算拨款982.50万元，政府性基金预算拨款0万元，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国有资本经营预算拨款0万元。</w:t>
      </w:r>
    </w:p>
    <w:p>
      <w:pPr>
        <w:ind w:left="708" w:right="804"/>
        <w:spacing w:before="44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其中：当年拨款收入982.50万元，上年结转收入0万元。支出包括：教育支出912.51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万元、住房保障支出69.99万元等。</w:t>
      </w:r>
    </w:p>
    <w:p>
      <w:pPr>
        <w:ind w:left="706"/>
        <w:spacing w:before="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70"/>
      <w:bookmarkEnd w:id="70"/>
      <w:r>
        <w:rPr>
          <w:rFonts w:ascii="SimHei" w:hAnsi="SimHei" w:eastAsia="SimHei" w:cs="SimHei"/>
          <w:sz w:val="25"/>
          <w:szCs w:val="25"/>
        </w:rPr>
        <w:t>五、一般公共预算支出情况说明</w:t>
      </w:r>
    </w:p>
    <w:p>
      <w:pPr>
        <w:ind w:left="1212"/>
        <w:spacing w:before="13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（一）一般公共预算当年支出规模变化情况</w:t>
      </w:r>
    </w:p>
    <w:p>
      <w:pPr>
        <w:spacing w:line="223" w:lineRule="auto"/>
        <w:sectPr>
          <w:footerReference w:type="default" r:id="rId18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62" w:lineRule="auto"/>
        <w:rPr/>
      </w:pPr>
      <w:r/>
    </w:p>
    <w:p>
      <w:pPr>
        <w:ind w:left="702" w:right="1315" w:firstLine="504"/>
        <w:spacing w:before="8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2024年度兴县第二实验学校一般公共预算当年支出982.50万元,比上年减少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27.66万元</w:t>
      </w:r>
      <w:r>
        <w:rPr>
          <w:rFonts w:ascii="FangSong" w:hAnsi="FangSong" w:eastAsia="FangSong" w:cs="FangSong"/>
          <w:sz w:val="25"/>
          <w:szCs w:val="25"/>
          <w:spacing w:val="3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，下降2.74%。</w:t>
      </w:r>
    </w:p>
    <w:p>
      <w:pPr>
        <w:ind w:left="1212"/>
        <w:spacing w:before="4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（二）一般公共预算当年支出结构情况</w:t>
      </w:r>
    </w:p>
    <w:p>
      <w:pPr>
        <w:ind w:left="711" w:right="811" w:firstLine="494"/>
        <w:spacing w:before="130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2024年度兴县第二实验学校一般公共预算当年支出982.50万元,主要用于以下方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面：教育支出912.51万元，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占92.88%</w:t>
      </w:r>
      <w:r>
        <w:rPr>
          <w:rFonts w:ascii="FangSong" w:hAnsi="FangSong" w:eastAsia="FangSong" w:cs="FangSong"/>
          <w:sz w:val="25"/>
          <w:szCs w:val="25"/>
          <w:spacing w:val="-2"/>
        </w:rPr>
        <w:t>；住房保障支出69.99万元，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占7.12%等。</w:t>
      </w:r>
    </w:p>
    <w:p>
      <w:pPr>
        <w:ind w:firstLine="3901"/>
        <w:spacing w:before="221" w:line="2696" w:lineRule="exact"/>
        <w:rPr/>
      </w:pPr>
      <w:r>
        <w:rPr>
          <w:position w:val="-53"/>
        </w:rPr>
        <w:drawing>
          <wp:inline distT="0" distB="0" distL="0" distR="0">
            <wp:extent cx="1760498" cy="171215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0498" cy="171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707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71"/>
      <w:bookmarkEnd w:id="71"/>
      <w:r>
        <w:rPr>
          <w:rFonts w:ascii="SimHei" w:hAnsi="SimHei" w:eastAsia="SimHei" w:cs="SimHei"/>
          <w:sz w:val="25"/>
          <w:szCs w:val="25"/>
        </w:rPr>
        <w:t>六、一般公共预算基本支出情况说明</w:t>
      </w:r>
    </w:p>
    <w:p>
      <w:pPr>
        <w:ind w:left="12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2024年度兴县第二实验学校一般公共预算安排基本支出909.44万元，其中：</w:t>
      </w:r>
    </w:p>
    <w:p>
      <w:pPr>
        <w:ind w:left="718" w:right="937" w:firstLine="496"/>
        <w:spacing w:before="129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人员经费872.09万元，主要包括：其他对个人和家庭的补助、其他工资福利支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出、其他社会保障缴费、绩效工资、基本工资、退休费、机关事业单位基本养老保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险缴费、住房公积金、职业年金缴费、职工基本医疗保险缴费、津贴补贴等；</w:t>
      </w:r>
    </w:p>
    <w:p>
      <w:pPr>
        <w:ind w:left="1216"/>
        <w:spacing w:before="4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公用经费37.35万元，主要包括：福利费、工会经费、取暖费等。</w:t>
      </w:r>
    </w:p>
    <w:p>
      <w:pPr>
        <w:ind w:left="69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72"/>
      <w:bookmarkEnd w:id="72"/>
      <w:r>
        <w:rPr>
          <w:rFonts w:ascii="SimHei" w:hAnsi="SimHei" w:eastAsia="SimHei" w:cs="SimHei"/>
          <w:sz w:val="25"/>
          <w:szCs w:val="25"/>
          <w:spacing w:val="1"/>
        </w:rPr>
        <w:t>七、“三公”经费增减变动原因说明</w:t>
      </w:r>
    </w:p>
    <w:p>
      <w:pPr>
        <w:ind w:left="121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本单位无“三公</w:t>
      </w:r>
      <w:r>
        <w:rPr>
          <w:rFonts w:ascii="FangSong" w:hAnsi="FangSong" w:eastAsia="FangSong" w:cs="FangSong"/>
          <w:sz w:val="25"/>
          <w:szCs w:val="25"/>
          <w:spacing w:val="-8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”经费预算。</w:t>
      </w:r>
    </w:p>
    <w:p>
      <w:pPr>
        <w:ind w:left="694"/>
        <w:spacing w:before="13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7" w:id="73"/>
      <w:bookmarkEnd w:id="73"/>
      <w:r>
        <w:rPr>
          <w:rFonts w:ascii="SimHei" w:hAnsi="SimHei" w:eastAsia="SimHei" w:cs="SimHei"/>
          <w:sz w:val="25"/>
          <w:szCs w:val="25"/>
          <w:spacing w:val="1"/>
        </w:rPr>
        <w:t>八、机关运行经费增减变动原因说明</w:t>
      </w:r>
    </w:p>
    <w:p>
      <w:pPr>
        <w:ind w:left="121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本单位为事业单位，无机关运行经费。</w:t>
      </w:r>
    </w:p>
    <w:p>
      <w:pPr>
        <w:ind w:left="700"/>
        <w:spacing w:before="130" w:line="225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8" w:id="74"/>
      <w:bookmarkEnd w:id="74"/>
      <w:r>
        <w:rPr>
          <w:rFonts w:ascii="SimHei" w:hAnsi="SimHei" w:eastAsia="SimHei" w:cs="SimHei"/>
          <w:sz w:val="25"/>
          <w:szCs w:val="25"/>
          <w:spacing w:val="-1"/>
        </w:rPr>
        <w:t>九、政府采购情况</w:t>
      </w:r>
    </w:p>
    <w:p>
      <w:pPr>
        <w:ind w:left="706" w:right="1309" w:firstLine="499"/>
        <w:spacing w:before="128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2024年兴县第二实验学校政府采购预算总额0万</w:t>
      </w:r>
      <w:r>
        <w:rPr>
          <w:rFonts w:ascii="FangSong" w:hAnsi="FangSong" w:eastAsia="FangSong" w:cs="FangSong"/>
          <w:sz w:val="25"/>
          <w:szCs w:val="25"/>
          <w:spacing w:val="1"/>
        </w:rPr>
        <w:t>元。其中：政府采购货物预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算0万元、政府采购工程预算0万元、政府采购服务预</w:t>
      </w:r>
      <w:r>
        <w:rPr>
          <w:rFonts w:ascii="FangSong" w:hAnsi="FangSong" w:eastAsia="FangSong" w:cs="FangSong"/>
          <w:sz w:val="25"/>
          <w:szCs w:val="25"/>
          <w:spacing w:val="1"/>
        </w:rPr>
        <w:t>算0万元。</w:t>
      </w:r>
    </w:p>
    <w:p>
      <w:pPr>
        <w:ind w:left="697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9" w:id="75"/>
      <w:bookmarkEnd w:id="75"/>
      <w:r>
        <w:rPr>
          <w:rFonts w:ascii="SimHei" w:hAnsi="SimHei" w:eastAsia="SimHei" w:cs="SimHei"/>
          <w:sz w:val="25"/>
          <w:szCs w:val="25"/>
        </w:rPr>
        <w:t>十、绩效管理情况</w:t>
      </w:r>
    </w:p>
    <w:p>
      <w:pPr>
        <w:ind w:left="122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1、整体绩效目标</w:t>
      </w:r>
    </w:p>
    <w:p>
      <w:pPr>
        <w:ind w:left="702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2024年未编报单位整体绩效目标，涉及资金0万元。</w:t>
      </w:r>
    </w:p>
    <w:p>
      <w:pPr>
        <w:ind w:left="12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2、项目绩效目标</w:t>
      </w:r>
    </w:p>
    <w:p>
      <w:pPr>
        <w:ind w:left="706" w:right="793" w:firstLine="500"/>
        <w:spacing w:before="127" w:line="31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2024年兴县第二实验学校纳入绩效目标管理的二级项目4个</w:t>
      </w:r>
      <w:r>
        <w:rPr>
          <w:rFonts w:ascii="FangSong" w:hAnsi="FangSong" w:eastAsia="FangSong" w:cs="FangSong"/>
          <w:sz w:val="25"/>
          <w:szCs w:val="25"/>
          <w:spacing w:val="1"/>
        </w:rPr>
        <w:t>，共计金额73.06万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元。其中：其他运转类项目1个，涉及金额10.00万元；特定目标类项目</w:t>
      </w:r>
      <w:r>
        <w:rPr>
          <w:rFonts w:ascii="FangSong" w:hAnsi="FangSong" w:eastAsia="FangSong" w:cs="FangSong"/>
          <w:sz w:val="25"/>
          <w:szCs w:val="25"/>
          <w:spacing w:val="1"/>
        </w:rPr>
        <w:t>3个，涉及金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额63.06万元。公开项目绩效目标4个，涉及项目金额73.06万元，</w:t>
      </w:r>
      <w:r>
        <w:rPr>
          <w:rFonts w:ascii="FangSong" w:hAnsi="FangSong" w:eastAsia="FangSong" w:cs="FangSong"/>
          <w:sz w:val="25"/>
          <w:szCs w:val="25"/>
          <w:spacing w:val="-51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占部门（单位）项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目支出总额的100%。其中：其他运转类项目1个，涉及项目金额10.00万元；</w:t>
      </w:r>
      <w:r>
        <w:rPr>
          <w:rFonts w:ascii="FangSong" w:hAnsi="FangSong" w:eastAsia="FangSong" w:cs="FangSong"/>
          <w:sz w:val="25"/>
          <w:szCs w:val="25"/>
          <w:spacing w:val="1"/>
        </w:rPr>
        <w:t>特定目</w:t>
      </w:r>
    </w:p>
    <w:p>
      <w:pPr>
        <w:spacing w:line="311" w:lineRule="auto"/>
        <w:sectPr>
          <w:footerReference w:type="default" r:id="rId20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78" w:lineRule="auto"/>
        <w:rPr/>
      </w:pPr>
      <w:r/>
    </w:p>
    <w:p>
      <w:pPr>
        <w:ind w:left="706" w:right="5490"/>
        <w:spacing w:before="82" w:line="304" w:lineRule="auto"/>
        <w:jc w:val="righ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标类项目3个，涉及项目金额63.06万元。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（项目绩效目标表公开情况见附件）</w:t>
      </w:r>
    </w:p>
    <w:p>
      <w:pPr>
        <w:spacing w:line="304" w:lineRule="auto"/>
        <w:sectPr>
          <w:footerReference w:type="default" r:id="rId22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4728" w:lineRule="exact"/>
        <w:rPr/>
      </w:pPr>
      <w:r>
        <w:rPr>
          <w:position w:val="-294"/>
        </w:rPr>
        <w:drawing>
          <wp:inline distT="0" distB="0" distL="0" distR="0">
            <wp:extent cx="6097700" cy="935234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728" w:lineRule="exact"/>
        <w:sectPr>
          <w:footerReference w:type="default" r:id="rId2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4728" w:lineRule="exact"/>
        <w:rPr/>
      </w:pPr>
      <w:r>
        <w:rPr>
          <w:position w:val="-294"/>
        </w:rPr>
        <w:drawing>
          <wp:inline distT="0" distB="0" distL="0" distR="0">
            <wp:extent cx="6097700" cy="935234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728" w:lineRule="exact"/>
        <w:sectPr>
          <w:footerReference w:type="default" r:id="rId2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4728" w:lineRule="exact"/>
        <w:rPr/>
      </w:pPr>
      <w:r>
        <w:rPr>
          <w:position w:val="-294"/>
        </w:rPr>
        <w:drawing>
          <wp:inline distT="0" distB="0" distL="0" distR="0">
            <wp:extent cx="6097700" cy="935234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728" w:lineRule="exact"/>
        <w:sectPr>
          <w:footerReference w:type="default" r:id="rId2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4728" w:lineRule="exact"/>
        <w:rPr/>
      </w:pPr>
      <w:r>
        <w:rPr>
          <w:position w:val="-294"/>
        </w:rPr>
        <w:drawing>
          <wp:inline distT="0" distB="0" distL="0" distR="0">
            <wp:extent cx="6097700" cy="935234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93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728" w:lineRule="exact"/>
        <w:sectPr>
          <w:footerReference w:type="default" r:id="rId2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62" w:lineRule="auto"/>
        <w:rPr/>
      </w:pPr>
      <w:r/>
    </w:p>
    <w:p>
      <w:pPr>
        <w:ind w:left="697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0" w:id="77"/>
      <w:bookmarkEnd w:id="77"/>
      <w:r>
        <w:rPr>
          <w:rFonts w:ascii="SimHei" w:hAnsi="SimHei" w:eastAsia="SimHei" w:cs="SimHei"/>
          <w:sz w:val="25"/>
          <w:szCs w:val="25"/>
        </w:rPr>
        <w:t>十一、国有资产占有使用情况</w:t>
      </w:r>
    </w:p>
    <w:p>
      <w:pPr>
        <w:ind w:left="1221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1、车辆情况：</w:t>
      </w:r>
    </w:p>
    <w:p>
      <w:pPr>
        <w:ind w:left="1210"/>
        <w:spacing w:before="132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截至2024年5月1</w:t>
      </w:r>
      <w:r>
        <w:rPr>
          <w:rFonts w:ascii="FangSong" w:hAnsi="FangSong" w:eastAsia="FangSong" w:cs="FangSong"/>
          <w:sz w:val="25"/>
          <w:szCs w:val="25"/>
          <w:spacing w:val="-3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日，兴县第二实验学校共有公务用车编制0辆，实有0辆，其</w:t>
      </w:r>
    </w:p>
    <w:p>
      <w:pPr>
        <w:ind w:left="709" w:right="913" w:firstLine="29"/>
        <w:spacing w:before="132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中：领导用车0辆，机要通信用车0辆，应急保障用车0辆，执法执勤用车0辆，特种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专业技术用车0辆，事业单位业务用车0辆，其</w:t>
      </w:r>
      <w:r>
        <w:rPr>
          <w:rFonts w:ascii="FangSong" w:hAnsi="FangSong" w:eastAsia="FangSong" w:cs="FangSong"/>
          <w:sz w:val="25"/>
          <w:szCs w:val="25"/>
          <w:spacing w:val="1"/>
        </w:rPr>
        <w:t>他公务用车0辆。</w:t>
      </w:r>
    </w:p>
    <w:p>
      <w:pPr>
        <w:ind w:left="1206"/>
        <w:spacing w:before="4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2、房屋情况：</w:t>
      </w:r>
    </w:p>
    <w:p>
      <w:pPr>
        <w:ind w:left="709" w:right="925" w:firstLine="501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日，兴县第二实验学校使用的办公</w:t>
      </w:r>
      <w:r>
        <w:rPr>
          <w:rFonts w:ascii="FangSong" w:hAnsi="FangSong" w:eastAsia="FangSong" w:cs="FangSong"/>
          <w:sz w:val="25"/>
          <w:szCs w:val="25"/>
          <w:spacing w:val="-1"/>
        </w:rPr>
        <w:t>用房建筑总面积209.28平方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米。</w:t>
      </w:r>
    </w:p>
    <w:p>
      <w:pPr>
        <w:ind w:left="1208"/>
        <w:spacing w:before="4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3、其他国有资产占有使用情况：</w:t>
      </w:r>
    </w:p>
    <w:p>
      <w:pPr>
        <w:ind w:left="706" w:right="925" w:firstLine="504"/>
        <w:spacing w:before="129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截至2024年5月1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日，兴县第二实验学校占有使</w:t>
      </w:r>
      <w:r>
        <w:rPr>
          <w:rFonts w:ascii="FangSong" w:hAnsi="FangSong" w:eastAsia="FangSong" w:cs="FangSong"/>
          <w:sz w:val="25"/>
          <w:szCs w:val="25"/>
          <w:spacing w:val="-1"/>
        </w:rPr>
        <w:t>用价值50万元（原值）以上的通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用设备0台（套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  <w:spacing w:val="1"/>
        </w:rPr>
        <w:t>兴县第二实验学校占有使用价值100万元（原值）以上</w:t>
      </w:r>
      <w:r>
        <w:rPr>
          <w:rFonts w:ascii="FangSong" w:hAnsi="FangSong" w:eastAsia="FangSong" w:cs="FangSong"/>
          <w:sz w:val="25"/>
          <w:szCs w:val="25"/>
        </w:rPr>
        <w:t>的通用设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备0台（套）。</w:t>
      </w:r>
    </w:p>
    <w:p>
      <w:pPr>
        <w:ind w:left="697"/>
        <w:spacing w:before="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1" w:id="78"/>
      <w:bookmarkEnd w:id="78"/>
      <w:r>
        <w:rPr>
          <w:rFonts w:ascii="SimHei" w:hAnsi="SimHei" w:eastAsia="SimHei" w:cs="SimHei"/>
          <w:sz w:val="25"/>
          <w:szCs w:val="25"/>
          <w:spacing w:val="-1"/>
        </w:rPr>
        <w:t>十二、其他说明</w:t>
      </w:r>
    </w:p>
    <w:p>
      <w:pPr>
        <w:ind w:left="1212"/>
        <w:spacing w:before="130" w:line="222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2" w:id="79"/>
      <w:bookmarkEnd w:id="79"/>
      <w:r>
        <w:rPr>
          <w:rFonts w:ascii="FangSong" w:hAnsi="FangSong" w:eastAsia="FangSong" w:cs="FangSong"/>
          <w:sz w:val="25"/>
          <w:szCs w:val="25"/>
        </w:rPr>
        <w:t>（一）政府购买服务指导性目录</w:t>
      </w:r>
    </w:p>
    <w:p>
      <w:pPr>
        <w:ind w:left="1214"/>
        <w:spacing w:before="276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1212"/>
        <w:spacing w:before="269" w:line="223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3" w:id="80"/>
      <w:bookmarkEnd w:id="80"/>
      <w:r>
        <w:rPr>
          <w:rFonts w:ascii="FangSong" w:hAnsi="FangSong" w:eastAsia="FangSong" w:cs="FangSong"/>
          <w:sz w:val="25"/>
          <w:szCs w:val="25"/>
          <w:spacing w:val="-2"/>
        </w:rPr>
        <w:t>（二）其他</w:t>
      </w:r>
    </w:p>
    <w:p>
      <w:pPr>
        <w:ind w:left="1214"/>
        <w:spacing w:before="274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footerReference w:type="default" r:id="rId31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63" w:lineRule="exact"/>
        <w:rPr/>
      </w:pPr>
      <w:r>
        <w:rPr>
          <w:position w:val="-235"/>
        </w:rPr>
        <w:drawing>
          <wp:inline distT="0" distB="0" distL="0" distR="0">
            <wp:extent cx="5335488" cy="746968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63" w:lineRule="exact"/>
        <w:sectPr>
          <w:footerReference w:type="default" r:id="rId32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63" w:lineRule="exact"/>
        <w:rPr/>
      </w:pPr>
      <w:r>
        <w:rPr>
          <w:position w:val="-235"/>
        </w:rPr>
        <w:drawing>
          <wp:inline distT="0" distB="0" distL="0" distR="0">
            <wp:extent cx="5335488" cy="746968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63" w:lineRule="exact"/>
        <w:sectPr>
          <w:footerReference w:type="default" r:id="rId34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63" w:lineRule="exact"/>
        <w:rPr/>
      </w:pPr>
      <w:r>
        <w:rPr>
          <w:position w:val="-235"/>
        </w:rPr>
        <w:drawing>
          <wp:inline distT="0" distB="0" distL="0" distR="0">
            <wp:extent cx="5335488" cy="746968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63" w:lineRule="exact"/>
        <w:sectPr>
          <w:footerReference w:type="default" r:id="rId36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63" w:lineRule="exact"/>
        <w:rPr/>
      </w:pPr>
      <w:r>
        <w:rPr>
          <w:position w:val="-235"/>
        </w:rPr>
        <w:drawing>
          <wp:inline distT="0" distB="0" distL="0" distR="0">
            <wp:extent cx="5335488" cy="7469683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63" w:lineRule="exact"/>
        <w:sectPr>
          <w:footerReference w:type="default" r:id="rId38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290" w:lineRule="auto"/>
        <w:rPr/>
      </w:pPr>
      <w:r/>
    </w:p>
    <w:p>
      <w:pPr>
        <w:ind w:left="42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4" w:id="82"/>
      <w:bookmarkEnd w:id="82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ind w:left="706" w:right="937" w:firstLine="501"/>
        <w:spacing w:before="20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</w:t>
      </w:r>
      <w:r>
        <w:rPr>
          <w:rFonts w:ascii="FangSong" w:hAnsi="FangSong" w:eastAsia="FangSong" w:cs="FangSong"/>
          <w:sz w:val="25"/>
          <w:szCs w:val="25"/>
          <w:spacing w:val="1"/>
        </w:rPr>
        <w:t>成日常工作任务而发生的人员支出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和公用支出。</w:t>
      </w:r>
    </w:p>
    <w:p>
      <w:pPr>
        <w:ind w:left="721" w:right="937" w:firstLine="486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</w:t>
      </w:r>
      <w:r>
        <w:rPr>
          <w:rFonts w:ascii="FangSong" w:hAnsi="FangSong" w:eastAsia="FangSong" w:cs="FangSong"/>
          <w:sz w:val="25"/>
          <w:szCs w:val="25"/>
          <w:spacing w:val="1"/>
        </w:rPr>
        <w:t>定行政任务和事业发展目标所发生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706" w:right="937" w:firstLine="502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指省直部门用财政拨款安排的因公出国（境）费用、公务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用车购置及运行费和公务接待费。其中：因公出国（境）费用反映单位公务出国</w:t>
      </w:r>
    </w:p>
    <w:p>
      <w:pPr>
        <w:ind w:left="70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（境）的国际旅费、国外城市间交通费、住宿费、伙食费、培训费、公杂费等支</w:t>
      </w:r>
    </w:p>
    <w:p>
      <w:pPr>
        <w:ind w:left="708" w:right="937" w:firstLine="2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出；公务用车购置费反映公务用车购置支出（含车辆购置税、牌照费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711" w:right="937" w:firstLine="3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费、安全奖励费用等支出；公务接待费反映机关和参公事业单位按规定开支的各类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公务接待（含外宾接待）支出。</w:t>
      </w:r>
    </w:p>
    <w:p>
      <w:pPr>
        <w:ind w:left="709" w:right="937" w:firstLine="50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安排的基本支出中的公用经费支出。</w:t>
      </w:r>
    </w:p>
    <w:p>
      <w:pPr>
        <w:ind w:left="707" w:right="937" w:firstLine="50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场机制作用，将国家机关属于自身职责范围且适合通过市场化方式提供的服务事</w:t>
      </w:r>
    </w:p>
    <w:p>
      <w:pPr>
        <w:ind w:left="706" w:right="937" w:firstLine="1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项，按照政府采购方式和程序，交由符合条件的服务供应商承担，并根据服务数量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和质量等情况向其支付费用的行为。</w:t>
      </w:r>
    </w:p>
    <w:p>
      <w:pPr>
        <w:ind w:left="1211"/>
        <w:spacing w:before="13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六、财政专户管理资金：</w:t>
      </w:r>
    </w:p>
    <w:p>
      <w:pPr>
        <w:ind w:left="707" w:right="937" w:firstLine="506"/>
        <w:spacing w:before="167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专指教育收费，包括目前在财政专户管理的高中以上学费、住宿费，高校委托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培养费，党校收费，教育考试考务费，函大、电大、夜大及短训班培训费等。</w:t>
      </w:r>
    </w:p>
    <w:p>
      <w:pPr>
        <w:ind w:left="706" w:right="937" w:firstLine="496"/>
        <w:spacing w:before="78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</w:t>
      </w:r>
      <w:r>
        <w:rPr>
          <w:rFonts w:ascii="FangSong" w:hAnsi="FangSong" w:eastAsia="FangSong" w:cs="FangSong"/>
          <w:sz w:val="25"/>
          <w:szCs w:val="25"/>
          <w:spacing w:val="1"/>
        </w:rPr>
        <w:t>金以外的资金，包括事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业收入、事业单位经营收入、上级补助收入、附属单位上缴收入、其他收入。</w:t>
      </w:r>
    </w:p>
    <w:p>
      <w:pPr>
        <w:ind w:left="719" w:right="937" w:firstLine="484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</w:t>
      </w:r>
      <w:r>
        <w:rPr>
          <w:rFonts w:ascii="FangSong" w:hAnsi="FangSong" w:eastAsia="FangSong" w:cs="FangSong"/>
          <w:sz w:val="25"/>
          <w:szCs w:val="25"/>
          <w:spacing w:val="1"/>
        </w:rPr>
        <w:t>按原规定用途继续使用的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资金。</w:t>
      </w:r>
    </w:p>
    <w:p>
      <w:pPr>
        <w:ind w:left="708" w:right="976" w:firstLine="501"/>
        <w:spacing w:before="126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九、一般公共预算</w:t>
      </w:r>
      <w:r>
        <w:rPr>
          <w:rFonts w:ascii="FangSong" w:hAnsi="FangSong" w:eastAsia="FangSong" w:cs="FangSong"/>
          <w:sz w:val="25"/>
          <w:szCs w:val="25"/>
        </w:rPr>
        <w:t>是指以税收为主体的财政收入，安排用于保障和改善民生、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推动经济社会发展、维护国家安全、维持国家机构正常运转等方面的收支预算。</w:t>
      </w:r>
    </w:p>
    <w:p>
      <w:pPr>
        <w:ind w:left="711" w:right="937" w:firstLine="495"/>
        <w:spacing w:before="13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</w:t>
      </w:r>
      <w:r>
        <w:rPr>
          <w:rFonts w:ascii="FangSong" w:hAnsi="FangSong" w:eastAsia="FangSong" w:cs="FangSong"/>
          <w:sz w:val="25"/>
          <w:szCs w:val="25"/>
          <w:spacing w:val="1"/>
        </w:rPr>
        <w:t>规的规定在一定期限内向特定对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象征收、收取或者以其他方式筹集的资金，专项用于特定公共事业发展的收支预</w:t>
      </w:r>
    </w:p>
    <w:p>
      <w:pPr>
        <w:ind w:left="7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算。</w:t>
      </w:r>
    </w:p>
    <w:p>
      <w:pPr>
        <w:ind w:left="1207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1"/>
        </w:rPr>
        <w:t>是对国有资本收益作出支出安排的收支预算。</w:t>
      </w:r>
    </w:p>
    <w:p>
      <w:pPr>
        <w:ind w:left="12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1"/>
        </w:rPr>
        <w:t>包含一般公共预算、政府性基金预算、国有资本经营预算。</w:t>
      </w:r>
    </w:p>
    <w:sectPr>
      <w:footerReference w:type="default" r:id="rId40"/>
      <w:pgSz w:w="11900" w:h="16840"/>
      <w:pgMar w:top="610" w:right="600" w:bottom="312" w:left="600" w:header="357" w:footer="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bookmarkStart w:name="bookmark48" w:id="76"/>
    <w:bookmarkEnd w:id="76"/>
    <w:r>
      <w:rPr>
        <w:rFonts w:ascii="SimSun" w:hAnsi="SimSun" w:eastAsia="SimSun" w:cs="SimSun"/>
        <w:sz w:val="16"/>
        <w:szCs w:val="16"/>
        <w:spacing w:val="-10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bookmarkStart w:name="bookmark49" w:id="81"/>
    <w:bookmarkEnd w:id="81"/>
    <w:r>
      <w:rPr>
        <w:rFonts w:ascii="SimSun" w:hAnsi="SimSun" w:eastAsia="SimSun" w:cs="SimSun"/>
        <w:sz w:val="16"/>
        <w:szCs w:val="16"/>
        <w:spacing w:val="-10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-27-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-28-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兴县第二实验学校2024年单位预算公开报告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兴县第二实验学校2024年单位预算公开报告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styles" Target="styles.xml"/><Relationship Id="rId41" Type="http://schemas.openxmlformats.org/officeDocument/2006/relationships/settings" Target="settings.xml"/><Relationship Id="rId40" Type="http://schemas.openxmlformats.org/officeDocument/2006/relationships/footer" Target="footer28.xml"/><Relationship Id="rId4" Type="http://schemas.openxmlformats.org/officeDocument/2006/relationships/footer" Target="footer3.xml"/><Relationship Id="rId39" Type="http://schemas.openxmlformats.org/officeDocument/2006/relationships/image" Target="media/image10.jpeg"/><Relationship Id="rId38" Type="http://schemas.openxmlformats.org/officeDocument/2006/relationships/footer" Target="footer27.xml"/><Relationship Id="rId37" Type="http://schemas.openxmlformats.org/officeDocument/2006/relationships/image" Target="media/image9.jpeg"/><Relationship Id="rId36" Type="http://schemas.openxmlformats.org/officeDocument/2006/relationships/footer" Target="footer26.xml"/><Relationship Id="rId35" Type="http://schemas.openxmlformats.org/officeDocument/2006/relationships/image" Target="media/image8.jpeg"/><Relationship Id="rId34" Type="http://schemas.openxmlformats.org/officeDocument/2006/relationships/footer" Target="footer25.xml"/><Relationship Id="rId33" Type="http://schemas.openxmlformats.org/officeDocument/2006/relationships/image" Target="media/image7.jpeg"/><Relationship Id="rId32" Type="http://schemas.openxmlformats.org/officeDocument/2006/relationships/footer" Target="footer24.xml"/><Relationship Id="rId31" Type="http://schemas.openxmlformats.org/officeDocument/2006/relationships/footer" Target="footer23.xml"/><Relationship Id="rId30" Type="http://schemas.openxmlformats.org/officeDocument/2006/relationships/image" Target="media/image6.jpeg"/><Relationship Id="rId3" Type="http://schemas.openxmlformats.org/officeDocument/2006/relationships/footer" Target="footer2.xml"/><Relationship Id="rId29" Type="http://schemas.openxmlformats.org/officeDocument/2006/relationships/footer" Target="footer22.xml"/><Relationship Id="rId28" Type="http://schemas.openxmlformats.org/officeDocument/2006/relationships/image" Target="media/image5.jpeg"/><Relationship Id="rId27" Type="http://schemas.openxmlformats.org/officeDocument/2006/relationships/footer" Target="footer21.xml"/><Relationship Id="rId26" Type="http://schemas.openxmlformats.org/officeDocument/2006/relationships/image" Target="media/image4.jpeg"/><Relationship Id="rId25" Type="http://schemas.openxmlformats.org/officeDocument/2006/relationships/footer" Target="footer20.xml"/><Relationship Id="rId24" Type="http://schemas.openxmlformats.org/officeDocument/2006/relationships/image" Target="media/image3.jpeg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image" Target="media/image2.png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image" Target="media/image1.png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2024-06-02T10:39:35Z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2025-09-28T09:10:59</vt:filetime>
  </property>
</Properties>
</file>