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>
      <w:pPr>
        <w:widowControl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eastAsia="方正小标宋_GBK"/>
          <w:color w:val="000000"/>
          <w:kern w:val="0"/>
          <w:sz w:val="36"/>
          <w:szCs w:val="36"/>
        </w:rPr>
        <w:t>部门整体支出绩效自评表</w:t>
      </w:r>
    </w:p>
    <w:p>
      <w:pPr>
        <w:widowControl/>
        <w:jc w:val="center"/>
        <w:rPr>
          <w:rFonts w:eastAsia="仿宋_GB2312"/>
          <w:color w:val="000000"/>
          <w:kern w:val="0"/>
          <w:szCs w:val="21"/>
        </w:rPr>
      </w:pPr>
      <w:r>
        <w:rPr>
          <w:rFonts w:eastAsia="仿宋_GB2312"/>
          <w:color w:val="000000"/>
          <w:kern w:val="0"/>
          <w:szCs w:val="21"/>
        </w:rPr>
        <w:t>（</w:t>
      </w:r>
      <w:r>
        <w:rPr>
          <w:rFonts w:hint="eastAsia" w:eastAsia="仿宋_GB2312"/>
          <w:color w:val="000000"/>
          <w:kern w:val="0"/>
          <w:szCs w:val="21"/>
          <w:lang w:val="en-US" w:eastAsia="zh-CN"/>
        </w:rPr>
        <w:t>2021</w:t>
      </w:r>
      <w:r>
        <w:rPr>
          <w:rFonts w:eastAsia="仿宋_GB2312"/>
          <w:color w:val="000000"/>
          <w:kern w:val="0"/>
          <w:szCs w:val="21"/>
        </w:rPr>
        <w:t>年度）</w:t>
      </w:r>
    </w:p>
    <w:tbl>
      <w:tblPr>
        <w:tblStyle w:val="3"/>
        <w:tblW w:w="10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395"/>
        <w:gridCol w:w="1252"/>
        <w:gridCol w:w="1114"/>
        <w:gridCol w:w="696"/>
        <w:gridCol w:w="998"/>
        <w:gridCol w:w="735"/>
        <w:gridCol w:w="244"/>
        <w:gridCol w:w="465"/>
        <w:gridCol w:w="244"/>
        <w:gridCol w:w="654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县</w:t>
            </w:r>
            <w:r>
              <w:rPr>
                <w:rFonts w:eastAsia="仿宋_GB2312"/>
                <w:color w:val="000000"/>
                <w:kern w:val="0"/>
                <w:szCs w:val="21"/>
              </w:rPr>
              <w:t>级预算部门名称</w:t>
            </w:r>
          </w:p>
        </w:tc>
        <w:tc>
          <w:tcPr>
            <w:tcW w:w="9243" w:type="dxa"/>
            <w:gridSpan w:val="11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兴县发展研究服务中心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年度预</w:t>
            </w:r>
          </w:p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算申请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年初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预算数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全年预算数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执行数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9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64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51.19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58.84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58.84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</w:t>
            </w:r>
          </w:p>
        </w:tc>
        <w:tc>
          <w:tcPr>
            <w:tcW w:w="898" w:type="dxa"/>
            <w:gridSpan w:val="2"/>
            <w:vAlign w:val="center"/>
          </w:tcPr>
          <w:p>
            <w:pPr>
              <w:jc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100%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按收入性质分：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  其中：  一般公共预算：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58.84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其中：基本支出：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58.84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ind w:firstLine="840" w:firstLineChars="4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政府性基金拨款：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纳入专户管理的非税收入拨款：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ind w:firstLine="1470" w:firstLineChars="7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其他资金：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45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51.19万元</w:t>
            </w:r>
          </w:p>
        </w:tc>
        <w:tc>
          <w:tcPr>
            <w:tcW w:w="3788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58.84万元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46" w:type="dxa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(50分)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完成县领导材料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8篇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6篇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完成课题调研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3个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领导批示或圈阅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2次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2次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政务信息媒体平台采用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3次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调查按时结题率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整体支出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58.84万元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58.84万元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widowControl/>
              <w:ind w:firstLine="200" w:firstLineChars="100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252" w:type="dxa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对全县经济发展提供有效帮助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eastAsia="zh-CN"/>
              </w:rPr>
              <w:t>较大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eastAsia="zh-CN"/>
              </w:rPr>
              <w:t>较大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上级部门对单位工作的认可程度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较为认可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较为认可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研究成果刊发、媒体报道次数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≥1次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对提高单位工作效率的影响程度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较高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较高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建议被采纳次数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3次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研究报告成果利用率或转化率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≥50%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50%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研究成果被引用次数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≥1次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0分）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eastAsia="zh-CN"/>
              </w:rPr>
              <w:t>政府满意度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 w:ascii="仿宋_GB2312" w:hAnsi="Calibri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eastAsia="zh-CN"/>
              </w:rPr>
              <w:t>公众满意度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default" w:ascii="仿宋_GB2312" w:hAnsi="Calibri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514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jc w:val="left"/>
              <w:rPr>
                <w:rFonts w:hint="default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88.5</w:t>
            </w:r>
          </w:p>
        </w:tc>
        <w:tc>
          <w:tcPr>
            <w:tcW w:w="1446" w:type="dxa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yYjE5NjhmNmE1YjgxNGE1Nzc5OGFlY2Q0MmQwM2IifQ=="/>
  </w:docVars>
  <w:rsids>
    <w:rsidRoot w:val="27FA171D"/>
    <w:rsid w:val="10243DFD"/>
    <w:rsid w:val="17EC5B2A"/>
    <w:rsid w:val="27FA171D"/>
    <w:rsid w:val="43082F31"/>
    <w:rsid w:val="59344AC0"/>
    <w:rsid w:val="61850F57"/>
    <w:rsid w:val="6313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504</Words>
  <Characters>587</Characters>
  <Lines>0</Lines>
  <Paragraphs>0</Paragraphs>
  <TotalTime>16</TotalTime>
  <ScaleCrop>false</ScaleCrop>
  <LinksUpToDate>false</LinksUpToDate>
  <CharactersWithSpaces>591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2022-04-28T07:08:00Z</dcterms:created>
  <dc:creator>好名字</dc:creator>
  <cp:lastModifiedBy>Administrator</cp:lastModifiedBy>
  <dcterms:modified xsi:type="dcterms:W3CDTF">2022-10-23T08:49:54Z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7F28F9881C0B407D9C62A066A80E5929</vt:lpwstr>
  </property>
</Properties>
</file>