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235" w:lineRule="exact"/>
        <w:ind w:left="720" w:right="0" w:firstLine="0"/>
        <w:jc w:val="left"/>
        <w:rPr>
          <w:rFonts w:ascii="Times New Roman"/>
          <w:color w:val="000000"/>
          <w:spacing w:val="0"/>
          <w:sz w:val="35"/>
        </w:rPr>
      </w:pPr>
      <w:r>
        <w:bookmarkStart w:name="br1" w:id="br1"/>
      </w:r>
      <w:r>
        <w:bookmarkEnd w:id="br1"/>
      </w:r>
      <w:r>
        <w:rPr>
          <w:noProof w:val="on"/>
        </w:rPr>
        <w:pict>
          <v:shape xmlns:v="urn:schemas-microsoft-com:vml" id="_x00000" style="position:absolute;margin-left:63.5pt;margin-top:47pt;z-index:-3;width:467.75pt;height:333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bookmarkStart w:name="br1" w:id="br1"/>
      </w:r>
      <w:r>
        <w:bookmarkEnd w:id="br1"/>
      </w:r>
      <w:r>
        <w:rPr>
          <w:rFonts w:ascii="HFHDDV+STZhongsong" w:hAnsi="HFHDDV+STZhongsong" w:cs="HFHDDV+STZhongsong"/>
          <w:color w:val="000000"/>
          <w:spacing w:val="0"/>
          <w:sz w:val="35"/>
        </w:rPr>
        <w:t>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县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教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师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进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修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校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91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35"/>
        </w:rPr>
      </w:pPr>
      <w:r>
        <w:rPr>
          <w:rFonts w:ascii="HFHDDV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/>
          <w:color w:val="000000"/>
          <w:spacing w:val="0"/>
          <w:sz w:val="35"/>
        </w:rPr>
        <w:t>0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/>
          <w:color w:val="000000"/>
          <w:spacing w:val="0"/>
          <w:sz w:val="35"/>
        </w:rPr>
        <w:t>2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/>
          <w:color w:val="000000"/>
          <w:spacing w:val="0"/>
          <w:sz w:val="35"/>
        </w:rPr>
        <w:t>4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年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度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单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位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预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算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公</w:t>
      </w:r>
      <w:r>
        <w:rPr>
          <w:rFonts w:ascii="Times New Roman"/>
          <w:color w:val="000000"/>
          <w:spacing w:val="55"/>
          <w:sz w:val="35"/>
        </w:rPr>
        <w:t xml:space="preserve"> </w:t>
      </w:r>
      <w:r>
        <w:rPr>
          <w:rFonts w:ascii="HFHDDV+STZhongsong" w:hAnsi="HFHDDV+STZhongsong" w:cs="HFHDDV+STZhongsong"/>
          <w:color w:val="000000"/>
          <w:spacing w:val="0"/>
          <w:sz w:val="35"/>
        </w:rPr>
        <w:t>开</w:t>
      </w:r>
      <w:r>
        <w:rPr>
          <w:rFonts w:ascii="Times New Roman"/>
          <w:color w:val="000000"/>
          <w:spacing w:val="0"/>
          <w:sz w:val="3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5806" w:right="100" w:bottom="0" w:left="3259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450" w:lineRule="exact"/>
        <w:ind w:left="3970" w:right="0" w:firstLine="0"/>
        <w:jc w:val="left"/>
        <w:rPr>
          <w:rFonts w:ascii="FangSong"/>
          <w:color w:val="000000"/>
          <w:spacing w:val="0"/>
          <w:sz w:val="44"/>
        </w:rPr>
      </w:pPr>
      <w:r>
        <w:bookmarkStart w:name="br2" w:id="br2"/>
      </w:r>
      <w:r>
        <w:bookmarkEnd w:id="br2"/>
      </w:r>
      <w:r>
        <w:rPr>
          <w:noProof w:val="on"/>
        </w:rPr>
        <w:pict>
          <v:shape xmlns:v="urn:schemas-microsoft-com:vml" id="_x00001" style="position:absolute;margin-left:149.5pt;margin-top:118pt;z-index:-7;width:3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182pt;margin-top:143pt;z-index:-11;width:341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95pt;margin-top:168pt;z-index:-15;width:328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53.5pt;margin-top:193pt;z-index:-19;width:27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34pt;margin-top:218pt;z-index:-23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34pt;margin-top:243pt;z-index:-27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34pt;margin-top:268pt;z-index:-31;width:28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60pt;margin-top:293pt;z-index:-35;width:263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403pt;margin-top:318pt;z-index:-39;width:12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94pt;margin-top:343pt;z-index:-43;width:29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90pt;margin-top:368pt;z-index:-47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90pt;margin-top:393pt;z-index:-51;width:12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29pt;margin-top:418pt;z-index:-55;width:8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7pt;margin-top:443pt;z-index:-59;width:140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64pt;margin-top:468pt;z-index:-63;width:15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38pt;margin-top:493pt;z-index:-67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38pt;margin-top:518pt;z-index:-71;width:17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86pt;margin-top:543pt;z-index:-75;width:23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12pt;margin-top:568pt;z-index:-79;width:20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21pt;margin-top:593pt;z-index:-83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21pt;margin-top:618pt;z-index:-87;width:29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9pt;margin-top:643pt;z-index:-91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3pt;margin-top:668pt;z-index:-95;width:24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9pt;margin-top:693pt;z-index:-99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9pt;margin-top:718pt;z-index:-103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9pt;margin-top:743pt;z-index:-10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95pt;margin-top:768pt;z-index:-111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95pt;margin-top:793pt;z-index:-115;width:32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FangSong" w:hAnsi="FangSong" w:cs="FangSong"/>
          <w:color w:val="000000"/>
          <w:spacing w:val="0"/>
          <w:sz w:val="44"/>
        </w:rPr>
        <w:t>目</w:t>
      </w:r>
      <w:r>
        <w:rPr>
          <w:rFonts w:ascii="FangSong"/>
          <w:color w:val="000000"/>
          <w:spacing w:val="220"/>
          <w:sz w:val="44"/>
        </w:rPr>
        <w:t xml:space="preserve"> </w:t>
      </w:r>
      <w:r>
        <w:rPr>
          <w:rFonts w:ascii="FangSong" w:hAnsi="FangSong" w:cs="FangSong"/>
          <w:color w:val="000000"/>
          <w:spacing w:val="0"/>
          <w:sz w:val="44"/>
        </w:rPr>
        <w:t>录</w:t>
      </w:r>
      <w:r>
        <w:rPr>
          <w:rFonts w:ascii="FangSong"/>
          <w:color w:val="000000"/>
          <w:spacing w:val="0"/>
          <w:sz w:val="44"/>
        </w:rPr>
      </w:r>
    </w:p>
    <w:p>
      <w:pPr>
        <w:pStyle w:val="Normal"/>
        <w:spacing w:before="705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第一部分</w:t>
      </w:r>
      <w:r>
        <w:rPr>
          <w:rFonts w:ascii="FangSong"/>
          <w:color w:val="000000"/>
          <w:spacing w:val="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概况</w:t>
      </w:r>
      <w:r>
        <w:rPr>
          <w:rFonts w:ascii="FangSong"/>
          <w:color w:val="000000"/>
          <w:spacing w:val="73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一、本单位职责</w:t>
      </w:r>
      <w:r>
        <w:rPr>
          <w:rFonts w:ascii="FangSong"/>
          <w:color w:val="000000"/>
          <w:spacing w:val="666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二、机构设置情况</w:t>
      </w:r>
      <w:r>
        <w:rPr>
          <w:rFonts w:ascii="FangSong"/>
          <w:color w:val="000000"/>
          <w:spacing w:val="64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第二部分</w:t>
      </w:r>
      <w:r>
        <w:rPr>
          <w:rFonts w:ascii="FangSong"/>
          <w:color w:val="000000"/>
          <w:spacing w:val="26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2024年单位预算报表</w:t>
      </w:r>
      <w:r>
        <w:rPr>
          <w:rFonts w:ascii="FangSong"/>
          <w:color w:val="000000"/>
          <w:spacing w:val="52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表一2024年预算收支总表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表二2024年预算收入总表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表三2024年预算支出总表</w:t>
      </w:r>
      <w:r>
        <w:rPr>
          <w:rFonts w:ascii="FangSong"/>
          <w:color w:val="000000"/>
          <w:spacing w:val="56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表四2024年财政拨款收支总表</w:t>
      </w:r>
      <w:r>
        <w:rPr>
          <w:rFonts w:ascii="FangSong"/>
          <w:color w:val="000000"/>
          <w:spacing w:val="510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表五2024年一般公共预算支出预算表（不含上年结转）</w:t>
      </w:r>
      <w:r>
        <w:rPr>
          <w:rFonts w:ascii="FangSong"/>
          <w:color w:val="000000"/>
          <w:spacing w:val="224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8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表六2024年一般公共预算安排基本支出分经济科目表（不含上年结转）</w:t>
      </w:r>
      <w:r>
        <w:rPr>
          <w:rFonts w:ascii="FangSong"/>
          <w:color w:val="000000"/>
          <w:spacing w:val="42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9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表七2024年政府性基金预算收入表（不含上年结转）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表八2024年政府性基金预算支出表（不含上年结转）</w:t>
      </w:r>
      <w:r>
        <w:rPr>
          <w:rFonts w:ascii="FangSong"/>
          <w:color w:val="000000"/>
          <w:spacing w:val="23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11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表九2024年国有资本经营预算收支预算表（不含上年结转）</w:t>
      </w:r>
      <w:r>
        <w:rPr>
          <w:rFonts w:ascii="FangSong"/>
          <w:color w:val="000000"/>
          <w:spacing w:val="15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表十2024年财政拨款安排“三公”经费支出预算表</w:t>
      </w:r>
      <w:r>
        <w:rPr>
          <w:rFonts w:ascii="FangSong"/>
          <w:color w:val="000000"/>
          <w:spacing w:val="26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12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表十一2024年财政拨款安排机关运行经费预算表</w:t>
      </w:r>
      <w:r>
        <w:rPr>
          <w:rFonts w:ascii="FangSong"/>
          <w:color w:val="000000"/>
          <w:spacing w:val="28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13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表十二2024年项目支出预算表（本年预算）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14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表十三2024年项目支出预算表（上年结转）</w:t>
      </w:r>
      <w:r>
        <w:rPr>
          <w:rFonts w:ascii="FangSong"/>
          <w:color w:val="000000"/>
          <w:spacing w:val="341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第三部分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2024年度单位预算情况说明</w:t>
      </w:r>
      <w:r>
        <w:rPr>
          <w:rFonts w:ascii="FangSong"/>
          <w:color w:val="000000"/>
          <w:spacing w:val="445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16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50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一、单位预算收支数据变动情况及原因</w:t>
      </w:r>
      <w:r>
        <w:rPr>
          <w:rFonts w:ascii="FangSong"/>
          <w:color w:val="000000"/>
          <w:spacing w:val="39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二、收入预算情况说明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三、支出预算情况说明</w:t>
      </w:r>
      <w:r>
        <w:rPr>
          <w:rFonts w:ascii="FangSong"/>
          <w:color w:val="000000"/>
          <w:spacing w:val="575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四、财政拨款收支预算总体情况说明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五、一般公共预算支出情况说明</w:t>
      </w:r>
      <w:r>
        <w:rPr>
          <w:rFonts w:ascii="FangSong"/>
          <w:color w:val="000000"/>
          <w:spacing w:val="471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16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六、一般公共预算基本支出情况说明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七、“三公”经费增减变动原因说明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八、机关运行经费增减变动原因说明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九、政府采购情况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17</w:t>
      </w:r>
      <w:r>
        <w:rPr>
          <w:rFonts w:ascii="FangSong" w:hAnsi="FangSong" w:cs="FangSong"/>
          <w:color w:val="000000"/>
          <w:spacing w:val="0"/>
          <w:sz w:val="26"/>
        </w:rPr>
        <w:cr>""</w:cr>
      </w:r>
      <w:r>
        <w:rPr>
          <w:rFonts w:ascii="FangSong" w:hAnsi="FangSong" w:cs="FangSong"/>
          <w:color w:val="000000"/>
          <w:spacing w:val="0"/>
          <w:sz w:val="26"/>
        </w:rPr>
        <w:t>十、绩效管理情况</w:t>
      </w:r>
      <w:r>
        <w:rPr>
          <w:rFonts w:ascii="FangSong"/>
          <w:color w:val="000000"/>
          <w:spacing w:val="62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17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1002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bookmarkStart w:name="br3" w:id="br3"/>
      </w:r>
      <w:r>
        <w:bookmarkEnd w:id="br3"/>
      </w:r>
      <w:r>
        <w:rPr>
          <w:noProof w:val="on"/>
        </w:rPr>
        <w:pict>
          <v:shape xmlns:v="urn:schemas-microsoft-com:vml" id="_x000029" style="position:absolute;margin-left:260pt;margin-top:60pt;z-index:-119;width:25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82pt;margin-top:85pt;z-index:-123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9pt;margin-top:110pt;z-index:-127;width:21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82pt;margin-top:135pt;z-index:-131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82pt;margin-top:160pt;z-index:-135;width:33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FangSong" w:hAnsi="FangSong" w:cs="FangSong"/>
          <w:color w:val="000000"/>
          <w:spacing w:val="0"/>
          <w:sz w:val="26"/>
        </w:rPr>
        <w:t>十一、国有资产占有使用情况</w:t>
      </w:r>
      <w:r>
        <w:rPr>
          <w:rFonts w:ascii="FangSong"/>
          <w:color w:val="000000"/>
          <w:spacing w:val="497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52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十二、其他说明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（一）政府购买服务指导性目录</w:t>
      </w:r>
      <w:r>
        <w:rPr>
          <w:rFonts w:ascii="FangSong"/>
          <w:color w:val="000000"/>
          <w:spacing w:val="419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104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（二）其他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20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230" w:after="0" w:line="270" w:lineRule="exact"/>
        <w:ind w:left="0" w:right="0" w:firstLine="0"/>
        <w:jc w:val="left"/>
        <w:rPr>
          <w:rFonts w:ascii="FangSong"/>
          <w:color w:val="000000"/>
          <w:spacing w:val="0"/>
          <w:sz w:val="26"/>
        </w:rPr>
      </w:pPr>
      <w:r>
        <w:rPr>
          <w:rFonts w:ascii="FangSong" w:hAnsi="FangSong" w:cs="FangSong"/>
          <w:color w:val="000000"/>
          <w:spacing w:val="0"/>
          <w:sz w:val="26"/>
        </w:rPr>
        <w:t>第四部分</w:t>
      </w:r>
      <w:r>
        <w:rPr>
          <w:rFonts w:ascii="FangSong"/>
          <w:color w:val="000000"/>
          <w:spacing w:val="130"/>
          <w:sz w:val="26"/>
        </w:rPr>
        <w:t xml:space="preserve"> </w:t>
      </w:r>
      <w:r>
        <w:rPr>
          <w:rFonts w:ascii="FangSong" w:hAnsi="FangSong" w:cs="FangSong"/>
          <w:color w:val="000000"/>
          <w:spacing w:val="0"/>
          <w:sz w:val="26"/>
        </w:rPr>
        <w:t>名词解释</w:t>
      </w:r>
      <w:r>
        <w:rPr>
          <w:rFonts w:ascii="FangSong"/>
          <w:color w:val="000000"/>
          <w:spacing w:val="6530"/>
          <w:sz w:val="26"/>
        </w:rPr>
        <w:t xml:space="preserve"> </w:t>
      </w:r>
      <w:r>
        <w:rPr>
          <w:rFonts w:ascii="FangSong"/>
          <w:color w:val="000000"/>
          <w:spacing w:val="0"/>
          <w:sz w:val="26"/>
        </w:rPr>
        <w:t>25</w:t>
      </w:r>
      <w:r>
        <w:rPr>
          <w:rFonts w:ascii="FangSong"/>
          <w:color w:val="000000"/>
          <w:spacing w:val="0"/>
          <w:sz w:val="2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997" w:right="100" w:bottom="0" w:left="132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4" w:id="br4"/>
      </w:r>
      <w:r>
        <w:bookmarkEnd w:id="br4"/>
      </w:r>
      <w:r>
        <w:rPr>
          <w:noProof w:val="on"/>
        </w:rPr>
        <w:pict>
          <v:shape xmlns:v="urn:schemas-microsoft-com:vml" id="_x000034" style="position:absolute;margin-left:63.5pt;margin-top:47pt;z-index:-139;width:467.75pt;height:189.2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29pt;z-index:-1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47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第一部分</w:t>
      </w:r>
      <w:r>
        <w:rPr>
          <w:rFonts w:ascii="SimHei"/>
          <w:color w:val="000000"/>
          <w:spacing w:val="1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概况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一、本单位职责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1，完成全县所有教育的继续教育学习，承担管理员和班主任任务。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2，在全县教师的各类型培训期间，承担培训管理任务及其他相关工作。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3，承担局机关安排的其他日常随机工作。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二、机构设置情况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我校是兴县教育科技局所属二级预算单位，为全额事业单位，执行政府会计准则制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度。内设办公室、财务室等。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191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5" w:id="br5"/>
      </w:r>
      <w:r>
        <w:bookmarkEnd w:id="br5"/>
      </w:r>
      <w:r>
        <w:rPr>
          <w:noProof w:val="on"/>
        </w:rPr>
        <w:pict>
          <v:shape xmlns:v="urn:schemas-microsoft-com:vml" id="_x000036" style="position:absolute;margin-left:70.7pt;margin-top:94.4pt;z-index:-147;width:453.35pt;height:6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3.5pt;margin-top:47pt;z-index:-151;width:467.75pt;height:41.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29pt;z-index:-1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811" w:after="0" w:line="42" w:lineRule="exact"/>
        <w:ind w:left="359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第二部分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2024年单位预算报表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50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RKBFAG+WenQuanYi Zen Hei Sharp" w:hAnsi="RKBFAG+WenQuanYi Zen Hei Sharp" w:cs="RKBFAG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3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7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2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</w:t>
      </w:r>
      <w:r>
        <w:rPr>
          <w:rFonts w:ascii="Times New Roman"/>
          <w:color w:val="212529"/>
          <w:spacing w:val="125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2024年合计</w:t>
      </w:r>
      <w:r>
        <w:rPr>
          <w:rFonts w:ascii="Times New Roman"/>
          <w:color w:val="212529"/>
          <w:spacing w:val="1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当年预算安排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91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安排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37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309.98一、一般公共服务支出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63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229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229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四、财政专户管理资金</w:t>
      </w:r>
      <w:r>
        <w:rPr>
          <w:rFonts w:ascii="Times New Roman"/>
          <w:color w:val="212529"/>
          <w:spacing w:val="145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五、单位资金</w:t>
      </w:r>
      <w:r>
        <w:rPr>
          <w:rFonts w:ascii="Times New Roman"/>
          <w:color w:val="212529"/>
          <w:spacing w:val="217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85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七、文化旅游体育与传媒支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八、社会保障和就业支出</w:t>
      </w:r>
      <w:r>
        <w:rPr>
          <w:rFonts w:ascii="Times New Roman"/>
          <w:color w:val="212529"/>
          <w:spacing w:val="10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十五、资源勘探工业信息等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十六、商业服务业等支出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211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十八、援助其他地区支出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十九、自然资源海洋气象等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139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68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7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二十一、粮油物资储备支出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二十三、灾害防治及应急管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211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9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7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91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6" w:id="br6"/>
      </w:r>
      <w:r>
        <w:bookmarkEnd w:id="br6"/>
      </w:r>
      <w:r>
        <w:rPr>
          <w:noProof w:val="on"/>
        </w:rPr>
        <w:pict>
          <v:shape xmlns:v="urn:schemas-microsoft-com:vml" id="_x000039" style="position:absolute;margin-left:70.7pt;margin-top:47pt;z-index:-159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9pt;z-index:-1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75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157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二十九、债务发行费用支出</w:t>
      </w:r>
      <w:r>
        <w:rPr>
          <w:rFonts w:ascii="Times New Roman"/>
          <w:color w:val="212529"/>
          <w:spacing w:val="12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三十、抗疫特别国债安排的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96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4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66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54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1731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309.98本年支出合计</w:t>
      </w:r>
      <w:r>
        <w:rPr>
          <w:rFonts w:ascii="Times New Roman"/>
          <w:color w:val="212529"/>
          <w:spacing w:val="185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212529"/>
          <w:spacing w:val="25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65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7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0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2092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309.98支出总计</w:t>
      </w:r>
      <w:r>
        <w:rPr>
          <w:rFonts w:ascii="Times New Roman"/>
          <w:color w:val="212529"/>
          <w:spacing w:val="221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5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6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7" w:id="br7"/>
      </w:r>
      <w:r>
        <w:bookmarkEnd w:id="br7"/>
      </w:r>
      <w:r>
        <w:rPr>
          <w:noProof w:val="on"/>
        </w:rPr>
        <w:pict>
          <v:shape xmlns:v="urn:schemas-microsoft-com:vml" id="_x000041" style="position:absolute;margin-left:70.7pt;margin-top:54.8pt;z-index:-167;width:700.8pt;height:359.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29pt;z-index:-171;width:78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RQMT+WenQuanYi Zen Hei Sharp" w:hAnsi="WERQMT+WenQuanYi Zen Hei Sharp" w:cs="WERQMT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98" w:after="0" w:line="31" w:lineRule="exact"/>
        <w:ind w:left="157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81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69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09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56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13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5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961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3" w:after="0" w:line="40" w:lineRule="exact"/>
        <w:ind w:left="66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2024年预算收入总表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8" w:after="0" w:line="31" w:lineRule="exact"/>
        <w:ind w:left="8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28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06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012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26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669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3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583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本年收入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138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上年结转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" w:after="0" w:line="33" w:lineRule="exact"/>
        <w:ind w:left="989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212529"/>
          <w:spacing w:val="4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财政专户管理资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12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70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87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73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1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293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043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212529"/>
          <w:spacing w:val="1126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44" w:after="0" w:line="33" w:lineRule="exact"/>
        <w:ind w:left="30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3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964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300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288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24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1072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6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96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6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342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96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360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96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78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6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314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5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96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1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3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332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58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50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7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407" w:after="0" w:line="170" w:lineRule="exact"/>
        <w:ind w:left="76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372" w:right="100" w:bottom="0" w:left="64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8" w:id="br8"/>
      </w:r>
      <w:r>
        <w:bookmarkEnd w:id="br8"/>
      </w:r>
      <w:r>
        <w:rPr>
          <w:noProof w:val="on"/>
        </w:rPr>
        <w:pict>
          <v:shape xmlns:v="urn:schemas-microsoft-com:vml" id="_x000043" style="position:absolute;margin-left:70.7pt;margin-top:54.8pt;z-index:-175;width:453.35pt;height:380.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9pt;z-index:-1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VQHSP+WenQuanYi Zen Hei Sharp" w:hAnsi="FVQHSP+WenQuanYi Zen Hei Sharp" w:cs="FVQHSP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10" w:after="0" w:line="31" w:lineRule="exact"/>
        <w:ind w:left="166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34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2158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2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084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57" w:after="0" w:line="40" w:lineRule="exact"/>
        <w:ind w:left="4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2024年预算支出总表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92" w:after="0" w:line="31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4245"/>
          <w:sz w:val="16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816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28" w:after="0" w:line="33" w:lineRule="exact"/>
        <w:ind w:left="30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13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6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58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30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10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259.98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2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1251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125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300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318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3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1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7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10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5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49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31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9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28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11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0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89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94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9" w:id="br9"/>
      </w:r>
      <w:r>
        <w:bookmarkEnd w:id="br9"/>
      </w:r>
      <w:r>
        <w:rPr>
          <w:noProof w:val="on"/>
        </w:rPr>
        <w:pict>
          <v:shape xmlns:v="urn:schemas-microsoft-com:vml" id="_x000045" style="position:absolute;margin-left:70.7pt;margin-top:54.8pt;z-index:-183;width:453.35pt;height:737.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29pt;z-index:-1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四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总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DKH+WenQuanYi Zen Hei Sharp" w:hAnsi="STODKH+WenQuanYi Zen Hei Sharp" w:cs="STODKH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1676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366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1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414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006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1546"/>
          <w:sz w:val="17"/>
        </w:rPr>
        <w:t xml:space="preserve"> </w:t>
      </w:r>
      <w:r>
        <w:rPr>
          <w:rFonts w:ascii="SimSun" w:hAnsi="SimSun" w:cs="SimSun"/>
          <w:color w:val="212529"/>
          <w:spacing w:val="-2"/>
          <w:sz w:val="17"/>
        </w:rPr>
        <w:t>预算公开表4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spacing w:before="429" w:after="0" w:line="40" w:lineRule="exact"/>
        <w:ind w:left="39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2024年财政拨款收支总表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20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</w:t>
      </w:r>
      <w:r>
        <w:rPr>
          <w:rFonts w:ascii="Times New Roman"/>
          <w:color w:val="212529"/>
          <w:spacing w:val="410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75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53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金额</w:t>
      </w:r>
      <w:r>
        <w:rPr>
          <w:rFonts w:ascii="Times New Roman"/>
          <w:color w:val="212529"/>
          <w:spacing w:val="11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9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</w:t>
      </w:r>
      <w:r>
        <w:rPr>
          <w:rFonts w:ascii="Times New Roman"/>
          <w:color w:val="212529"/>
          <w:spacing w:val="3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00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小计</w:t>
      </w:r>
      <w:r>
        <w:rPr>
          <w:rFonts w:ascii="Times New Roman"/>
          <w:color w:val="212529"/>
          <w:spacing w:val="33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0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金预算</w:t>
      </w:r>
      <w:r>
        <w:rPr>
          <w:rFonts w:ascii="Times New Roman"/>
          <w:color w:val="212529"/>
          <w:spacing w:val="48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 w:hAnsi="SimSun" w:cs="SimSun"/>
          <w:color w:val="212529"/>
          <w:spacing w:val="1"/>
          <w:sz w:val="18"/>
        </w:rPr>
        <w:t>309.98一、一般公共服务支出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二、外交支出</w:t>
      </w:r>
      <w:r>
        <w:rPr>
          <w:rFonts w:ascii="Times New Roman"/>
          <w:color w:val="212529"/>
          <w:spacing w:val="17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三、国防支出</w:t>
      </w:r>
      <w:r>
        <w:rPr>
          <w:rFonts w:ascii="Times New Roman"/>
          <w:color w:val="212529"/>
          <w:spacing w:val="178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四、公共安全支出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五、教育支出</w:t>
      </w:r>
      <w:r>
        <w:rPr>
          <w:rFonts w:ascii="Times New Roman"/>
          <w:color w:val="212529"/>
          <w:spacing w:val="133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5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7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六、科学技术支出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七、文化旅游体育与传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媒支出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八、社会保障和就业支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55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九、社会保险基金支出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十、卫生健康支出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十一、节能环保支出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十二、城乡社区支出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十三、农林水支出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十四、交通运输支出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十五、资源勘探工业信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息等支出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十六、商业服务业等支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十七、金融支出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十八、援助其他地区支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十九、自然资源海洋气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象等支出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二十、住房保障支出</w:t>
      </w:r>
      <w:r>
        <w:rPr>
          <w:rFonts w:ascii="Times New Roman"/>
          <w:color w:val="212529"/>
          <w:spacing w:val="879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6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72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二十一、粮油物资储备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二十二、国有资本经营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二十三、灾害防治及应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急管理支出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二十四、预备费</w:t>
      </w:r>
      <w:r>
        <w:rPr>
          <w:rFonts w:ascii="Times New Roman"/>
          <w:color w:val="212529"/>
          <w:spacing w:val="159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二十五、其他支出</w:t>
      </w:r>
      <w:r>
        <w:rPr>
          <w:rFonts w:ascii="Times New Roman"/>
          <w:color w:val="212529"/>
          <w:spacing w:val="14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二十六、转移性支出</w:t>
      </w:r>
      <w:r>
        <w:rPr>
          <w:rFonts w:ascii="Times New Roman"/>
          <w:color w:val="212529"/>
          <w:spacing w:val="12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二十七、债务还本支出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二十八、债务付息支出</w:t>
      </w:r>
      <w:r>
        <w:rPr>
          <w:rFonts w:ascii="Times New Roman"/>
          <w:color w:val="212529"/>
          <w:spacing w:val="10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47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0" w:id="br10"/>
      </w:r>
      <w:r>
        <w:bookmarkEnd w:id="br10"/>
      </w:r>
      <w:r>
        <w:rPr>
          <w:noProof w:val="on"/>
        </w:rPr>
        <w:pict>
          <v:shape xmlns:v="urn:schemas-microsoft-com:vml" id="_x000047" style="position:absolute;margin-left:70.7pt;margin-top:47pt;z-index:-191;width:453.35pt;height:218.6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29pt;z-index:-1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7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二十九、债务发行费用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96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三十、抗疫特别国债安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9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72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排的支出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6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8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17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本年收入合计</w:t>
      </w:r>
      <w:r>
        <w:rPr>
          <w:rFonts w:ascii="Times New Roman"/>
          <w:color w:val="212529"/>
          <w:spacing w:val="60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本年支出合计</w:t>
      </w:r>
      <w:r>
        <w:rPr>
          <w:rFonts w:ascii="Times New Roman"/>
          <w:color w:val="212529"/>
          <w:spacing w:val="6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上年财政拨款结转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年终结转</w:t>
      </w:r>
      <w:r>
        <w:rPr>
          <w:rFonts w:ascii="Times New Roman"/>
          <w:color w:val="212529"/>
          <w:spacing w:val="214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一、一般公共预算</w:t>
      </w:r>
      <w:r>
        <w:rPr>
          <w:rFonts w:ascii="Times New Roman"/>
          <w:color w:val="212529"/>
          <w:spacing w:val="132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二、政府性基金预算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三、国有资本经营预算</w:t>
      </w:r>
      <w:r>
        <w:rPr>
          <w:rFonts w:ascii="Times New Roman"/>
          <w:color w:val="212529"/>
          <w:spacing w:val="9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7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8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3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收入总计</w:t>
      </w:r>
      <w:r>
        <w:rPr>
          <w:rFonts w:ascii="Times New Roman"/>
          <w:color w:val="212529"/>
          <w:spacing w:val="78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支出总计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51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212529"/>
          <w:spacing w:val="927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37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1" w:id="br11"/>
      </w:r>
      <w:r>
        <w:bookmarkEnd w:id="br11"/>
      </w:r>
      <w:r>
        <w:rPr>
          <w:noProof w:val="on"/>
        </w:rPr>
        <w:pict>
          <v:shape xmlns:v="urn:schemas-microsoft-com:vml" id="_x000049" style="position:absolute;margin-left:70.7pt;margin-top:54.8pt;z-index:-199;width:453.35pt;height:355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9pt;z-index:-2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五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FLQSL+WenQuanYi Zen Hei Sharp" w:hAnsi="VFLQSL+WenQuanYi Zen Hei Sharp" w:cs="VFLQSL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9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2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2024年一般公共预算支出预算表（不含上年结转）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2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212529"/>
          <w:spacing w:val="37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26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158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169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8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62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112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309.98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259.98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教育支出</w:t>
      </w:r>
      <w:r>
        <w:rPr>
          <w:rFonts w:ascii="Times New Roman"/>
          <w:color w:val="212529"/>
          <w:spacing w:val="32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227.41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普通教育</w:t>
      </w:r>
      <w:r>
        <w:rPr>
          <w:rFonts w:ascii="Times New Roman"/>
          <w:color w:val="212529"/>
          <w:spacing w:val="33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2050299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其他普通教育支出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128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50.00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进修及培训</w:t>
      </w:r>
      <w:r>
        <w:rPr>
          <w:rFonts w:ascii="Times New Roman"/>
          <w:color w:val="212529"/>
          <w:spacing w:val="30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2050801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教师进修</w:t>
      </w:r>
      <w:r>
        <w:rPr>
          <w:rFonts w:ascii="Times New Roman"/>
          <w:color w:val="212529"/>
          <w:spacing w:val="324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83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177.41</w:t>
      </w:r>
      <w:r>
        <w:rPr>
          <w:rFonts w:ascii="Times New Roman"/>
          <w:color w:val="212529"/>
          <w:spacing w:val="1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社会保障和就业支出</w:t>
      </w:r>
      <w:r>
        <w:rPr>
          <w:rFonts w:ascii="Times New Roman"/>
          <w:color w:val="212529"/>
          <w:spacing w:val="242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行政事业单位养老支出</w:t>
      </w:r>
      <w:r>
        <w:rPr>
          <w:rFonts w:ascii="Times New Roman"/>
          <w:color w:val="212529"/>
          <w:spacing w:val="22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52.03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2080502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事业单位离退休</w:t>
      </w:r>
      <w:r>
        <w:rPr>
          <w:rFonts w:ascii="Times New Roman"/>
          <w:color w:val="212529"/>
          <w:spacing w:val="278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31.04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2080505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机关事业单位基本养老保险缴费支出</w:t>
      </w:r>
      <w:r>
        <w:rPr>
          <w:rFonts w:ascii="Times New Roman"/>
          <w:color w:val="212529"/>
          <w:spacing w:val="116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卫生健康支出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行政事业单位医疗</w:t>
      </w:r>
      <w:r>
        <w:rPr>
          <w:rFonts w:ascii="Times New Roman"/>
          <w:color w:val="212529"/>
          <w:spacing w:val="260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2101102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事业单位医疗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12.03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</w:t>
      </w:r>
      <w:r>
        <w:rPr>
          <w:rFonts w:ascii="Times New Roman"/>
          <w:color w:val="212529"/>
          <w:spacing w:val="135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住房保障支出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</w:t>
      </w:r>
      <w:r>
        <w:rPr>
          <w:rFonts w:ascii="Times New Roman"/>
          <w:color w:val="212529"/>
          <w:spacing w:val="117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住房改革支出</w:t>
      </w:r>
      <w:r>
        <w:rPr>
          <w:rFonts w:ascii="Times New Roman"/>
          <w:color w:val="212529"/>
          <w:spacing w:val="296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2210201</w:t>
      </w:r>
      <w:r>
        <w:rPr>
          <w:rFonts w:ascii="Times New Roman"/>
          <w:color w:val="212529"/>
          <w:spacing w:val="9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Times New Roman"/>
          <w:color w:val="212529"/>
          <w:spacing w:val="3148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92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Times New Roman"/>
          <w:color w:val="212529"/>
          <w:spacing w:val="123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43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2" w:id="br12"/>
      </w:r>
      <w:r>
        <w:bookmarkEnd w:id="br12"/>
      </w:r>
      <w:r>
        <w:rPr>
          <w:noProof w:val="on"/>
        </w:rPr>
        <w:pict>
          <v:shape xmlns:v="urn:schemas-microsoft-com:vml" id="_x000051" style="position:absolute;margin-left:70.7pt;margin-top:54.8pt;z-index:-207;width:450.95pt;height:389.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29pt;z-index:-2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六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SKAFP+Nimbus Sans L"/>
          <w:color w:val="000000"/>
          <w:spacing w:val="1"/>
          <w:sz w:val="2"/>
        </w:rPr>
        <w:t>2024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共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分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济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WEHLUP+WenQuanYi Zen Hei Sharp" w:hAnsi="WEHLUP+WenQuanYi Zen Hei Sharp" w:cs="WEHLUP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00" w:after="0" w:line="30" w:lineRule="exact"/>
        <w:ind w:left="8897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预算公开表6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334" w:after="0" w:line="40" w:lineRule="exact"/>
        <w:ind w:left="1797" w:right="0" w:firstLine="0"/>
        <w:jc w:val="left"/>
        <w:rPr>
          <w:rFonts w:ascii="SimSu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2024年一般公共预算安排基本支出分经济科目表（不含上年结转）</w:t>
      </w:r>
      <w:r>
        <w:rPr>
          <w:rFonts w:ascii="SimSun"/>
          <w:color w:val="000000"/>
          <w:spacing w:val="0"/>
          <w:sz w:val="24"/>
        </w:rPr>
      </w:r>
    </w:p>
    <w:p>
      <w:pPr>
        <w:pStyle w:val="Normal"/>
        <w:spacing w:before="269" w:after="0" w:line="30" w:lineRule="exact"/>
        <w:ind w:left="806" w:right="0" w:firstLine="0"/>
        <w:jc w:val="left"/>
        <w:rPr>
          <w:rFonts w:ascii="SimSu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SimSun"/>
          <w:color w:val="212529"/>
          <w:spacing w:val="6066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SimSun"/>
          <w:color w:val="000000"/>
          <w:spacing w:val="0"/>
          <w:sz w:val="16"/>
        </w:rPr>
      </w:r>
    </w:p>
    <w:p>
      <w:pPr>
        <w:pStyle w:val="Normal"/>
        <w:spacing w:before="304" w:after="0" w:line="33" w:lineRule="exact"/>
        <w:ind w:left="733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136" w:after="0" w:line="33" w:lineRule="exact"/>
        <w:ind w:left="1214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部门预算支出经济科目名称</w:t>
      </w:r>
      <w:r>
        <w:rPr>
          <w:rFonts w:ascii="SimSun"/>
          <w:color w:val="212529"/>
          <w:spacing w:val="34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政府预算支出经济科目名称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136" w:after="0" w:line="33" w:lineRule="exact"/>
        <w:ind w:left="6490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SimSun"/>
          <w:color w:val="212529"/>
          <w:spacing w:val="72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人员经费</w:t>
      </w:r>
      <w:r>
        <w:rPr>
          <w:rFonts w:ascii="SimSun"/>
          <w:color w:val="212529"/>
          <w:spacing w:val="39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公用经费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236" w:after="0" w:line="123" w:lineRule="exact"/>
        <w:ind w:left="32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WEHLUP+WenQuanYi Zen Hei Sharp" w:hAnsi="WEHLUP+WenQuanYi Zen Hei Sharp" w:cs="WEHLUP+WenQuanYi Zen Hei Sharp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814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259.98</w:t>
      </w:r>
      <w:r>
        <w:rPr>
          <w:rFonts w:ascii="SimSun"/>
          <w:color w:val="212529"/>
          <w:spacing w:val="6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252.76</w:t>
      </w:r>
      <w:r>
        <w:rPr>
          <w:rFonts w:ascii="SimSun"/>
          <w:color w:val="212529"/>
          <w:spacing w:val="63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7.21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48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198.08</w:t>
      </w:r>
      <w:r>
        <w:rPr>
          <w:rFonts w:ascii="SimSun"/>
          <w:color w:val="212529"/>
          <w:spacing w:val="69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198.08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基本工资</w:t>
      </w:r>
      <w:r>
        <w:rPr>
          <w:rFonts w:ascii="SimSun"/>
          <w:color w:val="212529"/>
          <w:spacing w:val="21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83.46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83.46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津贴补贴</w:t>
      </w:r>
      <w:r>
        <w:rPr>
          <w:rFonts w:ascii="SimSun"/>
          <w:color w:val="212529"/>
          <w:spacing w:val="21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12.48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12.48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绩效工资</w:t>
      </w:r>
      <w:r>
        <w:rPr>
          <w:rFonts w:ascii="SimSun"/>
          <w:color w:val="212529"/>
          <w:spacing w:val="21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45.10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45.10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机关事业单位基本养老保险缴费</w:t>
      </w:r>
      <w:r>
        <w:rPr>
          <w:rFonts w:ascii="SimSun"/>
          <w:color w:val="212529"/>
          <w:spacing w:val="39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20.99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职工基本医疗保险缴费</w:t>
      </w:r>
      <w:r>
        <w:rPr>
          <w:rFonts w:ascii="SimSun"/>
          <w:color w:val="212529"/>
          <w:spacing w:val="111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8.53</w:t>
      </w:r>
      <w:r>
        <w:rPr>
          <w:rFonts w:ascii="SimSun"/>
          <w:color w:val="212529"/>
          <w:spacing w:val="8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8.53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其他社会保障缴费</w:t>
      </w:r>
      <w:r>
        <w:rPr>
          <w:rFonts w:ascii="SimSun"/>
          <w:color w:val="212529"/>
          <w:spacing w:val="147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0.90</w:t>
      </w:r>
      <w:r>
        <w:rPr>
          <w:rFonts w:ascii="SimSun"/>
          <w:color w:val="212529"/>
          <w:spacing w:val="8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0.90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住房公积金</w:t>
      </w:r>
      <w:r>
        <w:rPr>
          <w:rFonts w:ascii="SimSun"/>
          <w:color w:val="212529"/>
          <w:spacing w:val="201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192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18.50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其他工资福利支出</w:t>
      </w:r>
      <w:r>
        <w:rPr>
          <w:rFonts w:ascii="SimSun"/>
          <w:color w:val="212529"/>
          <w:spacing w:val="147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工资福利支出</w:t>
      </w:r>
      <w:r>
        <w:rPr>
          <w:rFonts w:ascii="SimSun"/>
          <w:color w:val="212529"/>
          <w:spacing w:val="202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8.13</w:t>
      </w:r>
      <w:r>
        <w:rPr>
          <w:rFonts w:ascii="SimSun"/>
          <w:color w:val="212529"/>
          <w:spacing w:val="8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8.13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48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7.21</w:t>
      </w:r>
      <w:r>
        <w:rPr>
          <w:rFonts w:ascii="SimSun"/>
          <w:color w:val="212529"/>
          <w:spacing w:val="1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7.21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工会经费</w:t>
      </w:r>
      <w:r>
        <w:rPr>
          <w:rFonts w:ascii="SimSun"/>
          <w:color w:val="212529"/>
          <w:spacing w:val="219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2.62</w:t>
      </w:r>
      <w:r>
        <w:rPr>
          <w:rFonts w:ascii="SimSun"/>
          <w:color w:val="212529"/>
          <w:spacing w:val="1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2.62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福利费</w:t>
      </w:r>
      <w:r>
        <w:rPr>
          <w:rFonts w:ascii="SimSun"/>
          <w:color w:val="212529"/>
          <w:spacing w:val="23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商品和服务支出</w:t>
      </w:r>
      <w:r>
        <w:rPr>
          <w:rFonts w:ascii="SimSun"/>
          <w:color w:val="212529"/>
          <w:spacing w:val="18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SimSun"/>
          <w:color w:val="212529"/>
          <w:spacing w:val="195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4.59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对个人和家庭的补助</w:t>
      </w:r>
      <w:r>
        <w:rPr>
          <w:rFonts w:ascii="SimSun"/>
          <w:color w:val="212529"/>
          <w:spacing w:val="43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54.68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54.68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离休费</w:t>
      </w:r>
      <w:r>
        <w:rPr>
          <w:rFonts w:ascii="SimSun"/>
          <w:color w:val="212529"/>
          <w:spacing w:val="23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离退休费</w:t>
      </w:r>
      <w:r>
        <w:rPr>
          <w:rFonts w:ascii="SimSun"/>
          <w:color w:val="212529"/>
          <w:spacing w:val="2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11.12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11.12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退休费</w:t>
      </w:r>
      <w:r>
        <w:rPr>
          <w:rFonts w:ascii="SimSun"/>
          <w:color w:val="212529"/>
          <w:spacing w:val="237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离退休费</w:t>
      </w:r>
      <w:r>
        <w:rPr>
          <w:rFonts w:ascii="SimSun"/>
          <w:color w:val="212529"/>
          <w:spacing w:val="2287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19.91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19.91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医疗费补助</w:t>
      </w:r>
      <w:r>
        <w:rPr>
          <w:rFonts w:ascii="SimSun"/>
          <w:color w:val="212529"/>
          <w:spacing w:val="201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社会福利和救助</w:t>
      </w:r>
      <w:r>
        <w:rPr>
          <w:rFonts w:ascii="SimSun"/>
          <w:color w:val="212529"/>
          <w:spacing w:val="18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3.00</w:t>
      </w:r>
      <w:r>
        <w:rPr>
          <w:rFonts w:ascii="SimSun"/>
          <w:color w:val="212529"/>
          <w:spacing w:val="87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3.00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806" w:right="0" w:firstLine="0"/>
        <w:jc w:val="left"/>
        <w:rPr>
          <w:rFonts w:ascii="SimSu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其他对个人和家庭的补助</w:t>
      </w:r>
      <w:r>
        <w:rPr>
          <w:rFonts w:ascii="SimSun"/>
          <w:color w:val="212529"/>
          <w:spacing w:val="930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其他对个人和家庭的补助</w:t>
      </w:r>
      <w:r>
        <w:rPr>
          <w:rFonts w:ascii="SimSun"/>
          <w:color w:val="212529"/>
          <w:spacing w:val="1026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20.64</w:t>
      </w:r>
      <w:r>
        <w:rPr>
          <w:rFonts w:ascii="SimSun"/>
          <w:color w:val="212529"/>
          <w:spacing w:val="780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20.64</w:t>
      </w:r>
      <w:r>
        <w:rPr>
          <w:rFonts w:ascii="SimSun"/>
          <w:color w:val="000000"/>
          <w:spacing w:val="0"/>
          <w:sz w:val="18"/>
        </w:rPr>
      </w:r>
    </w:p>
    <w:p>
      <w:pPr>
        <w:pStyle w:val="Normal"/>
        <w:spacing w:before="776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3"/>
          <w:sz w:val="16"/>
        </w:rPr>
        <w:t>-9-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3" w:id="br13"/>
      </w:r>
      <w:r>
        <w:bookmarkEnd w:id="br13"/>
      </w:r>
      <w:r>
        <w:rPr>
          <w:noProof w:val="on"/>
        </w:rPr>
        <w:pict>
          <v:shape xmlns:v="urn:schemas-microsoft-com:vml" id="_x000053" style="position:absolute;margin-left:70.7pt;margin-top:54.8pt;z-index:-215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29pt;z-index:-2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七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STOGLR+WenQuanYi Zen Hei Sharp" w:hAnsi="STOGLR+WenQuanYi Zen Hei Sharp" w:cs="STOGLR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191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437"/>
          <w:sz w:val="17"/>
        </w:rPr>
        <w:t xml:space="preserve"> </w:t>
      </w: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3413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7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2024年政府性基金预算收入表（不含上年结转）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22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4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80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14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258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414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158"/>
          <w:sz w:val="18"/>
        </w:rPr>
        <w:t xml:space="preserve"> </w:t>
      </w:r>
      <w:r>
        <w:rPr>
          <w:rFonts w:ascii="SimSun"/>
          <w:color w:val="212529"/>
          <w:spacing w:val="-47"/>
          <w:sz w:val="18"/>
        </w:rPr>
        <w:t xml:space="preserve"> 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20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6504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4" w:id="br14"/>
      </w:r>
      <w:r>
        <w:bookmarkEnd w:id="br14"/>
      </w:r>
      <w:r>
        <w:rPr>
          <w:noProof w:val="on"/>
        </w:rPr>
        <w:pict>
          <v:shape xmlns:v="urn:schemas-microsoft-com:vml" id="_x000055" style="position:absolute;margin-left:70.7pt;margin-top:54.8pt;z-index:-223;width:453.35pt;height:153.8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29pt;z-index:-2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SKAFP+Nimbus Sans L"/>
          <w:color w:val="000000"/>
          <w:spacing w:val="1"/>
          <w:sz w:val="2"/>
        </w:rPr>
        <w:t>2024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府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性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金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JPRLTA+WenQuanYi Zen Hei Sharp" w:hAnsi="JPRLTA+WenQuanYi Zen Hei Sharp" w:cs="JPRLTA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945" w:right="0" w:firstLine="0"/>
        <w:jc w:val="left"/>
        <w:rPr>
          <w:rFonts w:ascii="UJWPVR+SimSun"/>
          <w:color w:val="000000"/>
          <w:spacing w:val="0"/>
          <w:sz w:val="16"/>
        </w:rPr>
      </w:pPr>
      <w:r>
        <w:rPr>
          <w:rFonts w:ascii="UJWPVR+SimSun" w:hAnsi="UJWPVR+SimSun" w:cs="UJWPVR+SimSun"/>
          <w:color w:val="212529"/>
          <w:spacing w:val="-4"/>
          <w:sz w:val="16"/>
        </w:rPr>
        <w:t>预算公开表8</w:t>
      </w:r>
      <w:r>
        <w:rPr>
          <w:rFonts w:ascii="UJWPVR+SimSu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2781" w:right="0" w:firstLine="0"/>
        <w:jc w:val="left"/>
        <w:rPr>
          <w:rFonts w:ascii="UJWPVR+SimSun"/>
          <w:color w:val="000000"/>
          <w:spacing w:val="0"/>
          <w:sz w:val="24"/>
        </w:rPr>
      </w:pPr>
      <w:r>
        <w:rPr>
          <w:rFonts w:ascii="UJWPVR+SimSun"/>
          <w:color w:val="212529"/>
          <w:spacing w:val="0"/>
          <w:sz w:val="24"/>
        </w:rPr>
        <w:t>2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/>
          <w:color w:val="212529"/>
          <w:spacing w:val="0"/>
          <w:sz w:val="24"/>
        </w:rPr>
        <w:t>0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/>
          <w:color w:val="212529"/>
          <w:spacing w:val="0"/>
          <w:sz w:val="24"/>
        </w:rPr>
        <w:t>2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/>
          <w:color w:val="212529"/>
          <w:spacing w:val="0"/>
          <w:sz w:val="24"/>
        </w:rPr>
        <w:t>4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年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政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府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性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基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金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预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算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支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出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表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（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不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含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上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年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结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转</w:t>
      </w:r>
      <w:r>
        <w:rPr>
          <w:rFonts w:ascii="UJWPVR+SimSun"/>
          <w:color w:val="212529"/>
          <w:spacing w:val="-120"/>
          <w:sz w:val="24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24"/>
        </w:rPr>
        <w:t>）</w:t>
      </w:r>
      <w:r>
        <w:rPr>
          <w:rFonts w:ascii="UJWPVR+SimSu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UJWPVR+SimSun"/>
          <w:color w:val="000000"/>
          <w:spacing w:val="0"/>
          <w:sz w:val="16"/>
        </w:rPr>
      </w:pPr>
      <w:r>
        <w:rPr>
          <w:rFonts w:ascii="UJWPVR+SimSun" w:hAnsi="UJWPVR+SimSun" w:cs="UJWPVR+SimSun"/>
          <w:color w:val="212529"/>
          <w:spacing w:val="-4"/>
          <w:sz w:val="16"/>
        </w:rPr>
        <w:t>单位名称：兴县教师进修学校</w:t>
      </w:r>
      <w:r>
        <w:rPr>
          <w:rFonts w:ascii="UJWPVR+SimSun"/>
          <w:color w:val="212529"/>
          <w:spacing w:val="6186"/>
          <w:sz w:val="16"/>
        </w:rPr>
        <w:t xml:space="preserve"> </w:t>
      </w:r>
      <w:r>
        <w:rPr>
          <w:rFonts w:ascii="UJWPVR+SimSun" w:hAnsi="UJWPVR+SimSun" w:cs="UJWPVR+SimSun"/>
          <w:color w:val="212529"/>
          <w:spacing w:val="-3"/>
          <w:sz w:val="16"/>
        </w:rPr>
        <w:t>单位:万元</w:t>
      </w:r>
      <w:r>
        <w:rPr>
          <w:rFonts w:ascii="UJWPVR+SimSu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466" w:right="0" w:firstLine="0"/>
        <w:jc w:val="left"/>
        <w:rPr>
          <w:rFonts w:ascii="UJWPVR+SimSun"/>
          <w:color w:val="000000"/>
          <w:spacing w:val="0"/>
          <w:sz w:val="18"/>
        </w:rPr>
      </w:pPr>
      <w:r>
        <w:rPr>
          <w:rFonts w:ascii="UJWPVR+SimSun" w:hAnsi="UJWPVR+SimSun" w:cs="UJWPVR+SimSun"/>
          <w:color w:val="212529"/>
          <w:spacing w:val="0"/>
          <w:sz w:val="18"/>
        </w:rPr>
        <w:t>科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目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编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码</w:t>
      </w:r>
      <w:r>
        <w:rPr>
          <w:rFonts w:ascii="UJWPVR+SimSun"/>
          <w:color w:val="212529"/>
          <w:spacing w:val="1969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科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目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名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称</w:t>
      </w:r>
      <w:r>
        <w:rPr>
          <w:rFonts w:ascii="UJWPVR+SimSun"/>
          <w:color w:val="212529"/>
          <w:spacing w:val="1681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合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计</w:t>
      </w:r>
      <w:r>
        <w:rPr>
          <w:rFonts w:ascii="UJWPVR+SimSun"/>
          <w:color w:val="212529"/>
          <w:spacing w:val="504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基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本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支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出</w:t>
      </w:r>
      <w:r>
        <w:rPr>
          <w:rFonts w:ascii="UJWPVR+SimSun"/>
          <w:color w:val="212529"/>
          <w:spacing w:val="354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项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目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支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出</w:t>
      </w:r>
      <w:r>
        <w:rPr>
          <w:rFonts w:ascii="UJWPVR+SimSu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3393" w:right="0" w:firstLine="0"/>
        <w:jc w:val="left"/>
        <w:rPr>
          <w:rFonts w:ascii="UJWPVR+SimSun"/>
          <w:color w:val="000000"/>
          <w:spacing w:val="0"/>
          <w:sz w:val="18"/>
        </w:rPr>
      </w:pPr>
      <w:r>
        <w:rPr>
          <w:rFonts w:ascii="UJWPVR+SimSun" w:hAnsi="UJWPVR+SimSun" w:cs="UJWPVR+SimSun"/>
          <w:color w:val="212529"/>
          <w:spacing w:val="0"/>
          <w:sz w:val="18"/>
        </w:rPr>
        <w:t>合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计</w:t>
      </w:r>
      <w:r>
        <w:rPr>
          <w:rFonts w:ascii="UJWPVR+SimSun"/>
          <w:color w:val="000000"/>
          <w:spacing w:val="0"/>
          <w:sz w:val="18"/>
        </w:rPr>
      </w:r>
    </w:p>
    <w:p>
      <w:pPr>
        <w:pStyle w:val="Normal"/>
        <w:spacing w:before="832" w:after="0" w:line="33" w:lineRule="exact"/>
        <w:ind w:left="800" w:right="0" w:firstLine="0"/>
        <w:jc w:val="left"/>
        <w:rPr>
          <w:rFonts w:ascii="UJWPVR+SimSun"/>
          <w:color w:val="000000"/>
          <w:spacing w:val="0"/>
          <w:sz w:val="18"/>
        </w:rPr>
      </w:pPr>
      <w:r>
        <w:rPr>
          <w:rFonts w:ascii="UJWPVR+SimSun" w:hAnsi="UJWPVR+SimSun" w:cs="UJWPVR+SimSun"/>
          <w:color w:val="212529"/>
          <w:spacing w:val="0"/>
          <w:sz w:val="18"/>
        </w:rPr>
        <w:t>注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：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本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表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无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数</w:t>
      </w:r>
      <w:r>
        <w:rPr>
          <w:rFonts w:ascii="UJWPVR+SimSun"/>
          <w:color w:val="212529"/>
          <w:spacing w:val="-90"/>
          <w:sz w:val="18"/>
        </w:rPr>
        <w:t xml:space="preserve"> </w:t>
      </w:r>
      <w:r>
        <w:rPr>
          <w:rFonts w:ascii="UJWPVR+SimSun" w:hAnsi="UJWPVR+SimSun" w:cs="UJWPVR+SimSun"/>
          <w:color w:val="212529"/>
          <w:spacing w:val="0"/>
          <w:sz w:val="18"/>
        </w:rPr>
        <w:t>据</w:t>
      </w:r>
      <w:r>
        <w:rPr>
          <w:rFonts w:ascii="UJWPVR+SimSun"/>
          <w:color w:val="000000"/>
          <w:spacing w:val="0"/>
          <w:sz w:val="18"/>
        </w:rPr>
      </w:r>
    </w:p>
    <w:p>
      <w:pPr>
        <w:pStyle w:val="Normal"/>
        <w:spacing w:before="1251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5" w:id="br15"/>
      </w:r>
      <w:r>
        <w:bookmarkEnd w:id="br15"/>
      </w:r>
      <w:r>
        <w:rPr>
          <w:noProof w:val="on"/>
        </w:rPr>
        <w:pict>
          <v:shape xmlns:v="urn:schemas-microsoft-com:vml" id="_x000057" style="position:absolute;margin-left:70.7pt;margin-top:54.8pt;z-index:-231;width:453.35pt;height:197.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70.7pt;margin-top:264.85pt;z-index:-235;width:453.35pt;height:261.8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29pt;z-index:-23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九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OIAWN+Nimbus Sans L"/>
          <w:color w:val="000000"/>
          <w:spacing w:val="1"/>
          <w:sz w:val="2"/>
        </w:rPr>
        <w:t>2024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国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营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收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不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含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36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0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642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49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3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885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969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部门公开表9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310" w:after="0" w:line="40" w:lineRule="exact"/>
        <w:ind w:left="24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2024年国有资本经营预算收支预算表（不含上年结转）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177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国有资本经营预算收入</w:t>
      </w:r>
      <w:r>
        <w:rPr>
          <w:rFonts w:ascii="Times New Roman"/>
          <w:color w:val="212529"/>
          <w:spacing w:val="2662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65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科目编码</w:t>
      </w:r>
      <w:r>
        <w:rPr>
          <w:rFonts w:ascii="Times New Roman"/>
          <w:color w:val="212529"/>
          <w:spacing w:val="41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212529"/>
          <w:spacing w:val="609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36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基本支出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项目支出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36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营收入预算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收入科目编码</w:t>
      </w:r>
      <w:r>
        <w:rPr>
          <w:rFonts w:ascii="Times New Roman"/>
          <w:color w:val="212529"/>
          <w:spacing w:val="4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科目名称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2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02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32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9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4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3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218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82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91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49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OIAWN+Nimbus Sans L"/>
          <w:color w:val="000000"/>
          <w:spacing w:val="1"/>
          <w:sz w:val="2"/>
        </w:rPr>
        <w:t>2024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OIAWN+Nimbus Sans L" w:hAnsi="OOIAWN+Nimbus Sans L" w:cs="OOIAWN+Nimbus Sans L"/>
          <w:color w:val="000000"/>
          <w:spacing w:val="1"/>
          <w:sz w:val="2"/>
        </w:rPr>
        <w:t>“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OOIAWN+Nimbus Sans L" w:hAnsi="OOIAWN+Nimbus Sans L" w:cs="OOIAWN+Nimbus Sans L"/>
          <w:color w:val="000000"/>
          <w:spacing w:val="1"/>
          <w:sz w:val="2"/>
        </w:rPr>
        <w:t>”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KOCQME+WenQuanYi Zen Hei Sharp" w:hAnsi="KOCQME+WenQuanYi Zen Hei Sharp" w:cs="KOCQME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6" w:after="0" w:line="31" w:lineRule="exact"/>
        <w:ind w:left="25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6"/>
          <w:sz w:val="17"/>
        </w:rPr>
        <w:t xml:space="preserve"> </w:t>
      </w:r>
      <w:r>
        <w:rPr>
          <w:rFonts w:ascii="Times New Roman"/>
          <w:color w:val="212529"/>
          <w:spacing w:val="6209"/>
          <w:sz w:val="17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29" w:after="0" w:line="40" w:lineRule="exact"/>
        <w:ind w:left="2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2024年财政拨款安排“三公”经费支出预算表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22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57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4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84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国有资本经营预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91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3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87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9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18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因公出国（境）费</w:t>
      </w:r>
      <w:r>
        <w:rPr>
          <w:rFonts w:ascii="Times New Roman"/>
          <w:color w:val="212529"/>
          <w:spacing w:val="229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公务接待费</w:t>
      </w:r>
      <w:r>
        <w:rPr>
          <w:rFonts w:ascii="Times New Roman"/>
          <w:color w:val="212529"/>
          <w:spacing w:val="256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公务用车购置及运行费</w:t>
      </w:r>
      <w:r>
        <w:rPr>
          <w:rFonts w:ascii="Times New Roman"/>
          <w:color w:val="212529"/>
          <w:spacing w:val="21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89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①公务用车购置费</w:t>
      </w:r>
      <w:r>
        <w:rPr>
          <w:rFonts w:ascii="Times New Roman"/>
          <w:color w:val="212529"/>
          <w:spacing w:val="229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171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②公务用车运行维护费</w:t>
      </w:r>
      <w:r>
        <w:rPr>
          <w:rFonts w:ascii="Times New Roman"/>
          <w:color w:val="212529"/>
          <w:spacing w:val="2110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42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2836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4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26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6" w:id="br16"/>
      </w:r>
      <w:r>
        <w:bookmarkEnd w:id="br16"/>
      </w:r>
      <w:r>
        <w:rPr>
          <w:noProof w:val="on"/>
        </w:rPr>
        <w:pict>
          <v:shape xmlns:v="urn:schemas-microsoft-com:vml" id="_x000060" style="position:absolute;margin-left:70.7pt;margin-top:54.8pt;z-index:-243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9pt;z-index:-24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一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SKAFP+Nimbus Sans L"/>
          <w:color w:val="000000"/>
          <w:spacing w:val="1"/>
          <w:sz w:val="2"/>
        </w:rPr>
        <w:t>2024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财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政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款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排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关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运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经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LIDJDO+WenQuanYi Zen Hei Sharp" w:hAnsi="LIDJDO+WenQuanYi Zen Hei Sharp" w:cs="LIDJDO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127" w:after="0" w:line="30" w:lineRule="exact"/>
        <w:ind w:left="660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378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717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1" w:after="0" w:line="30" w:lineRule="exact"/>
        <w:ind w:left="396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1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2024年财政拨款安排机关运行经费预算表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226"/>
          <w:sz w:val="16"/>
        </w:rPr>
        <w:t xml:space="preserve"> </w:t>
      </w:r>
      <w:r>
        <w:rPr>
          <w:rFonts w:ascii="SimSun" w:hAnsi="SimSun" w:cs="SimSun"/>
          <w:color w:val="212529"/>
          <w:spacing w:val="-3"/>
          <w:sz w:val="16"/>
        </w:rPr>
        <w:t>单位:万元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64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2024预算数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单位名称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45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55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201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政府性基金预算</w:t>
      </w:r>
      <w:r>
        <w:rPr>
          <w:rFonts w:ascii="Times New Roman"/>
          <w:color w:val="212529"/>
          <w:spacing w:val="165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20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部门合计</w:t>
      </w:r>
      <w:r>
        <w:rPr>
          <w:rFonts w:ascii="Times New Roman"/>
          <w:color w:val="212529"/>
          <w:spacing w:val="2398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31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71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36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559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32" w:after="0" w:line="12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LIDJDO+WenQuanYi Zen Hei Sharp" w:hAnsi="LIDJDO+WenQuanYi Zen Hei Sharp" w:cs="LIDJDO+WenQuanYi Zen Hei Sharp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7" w:id="br17"/>
      </w:r>
      <w:r>
        <w:bookmarkEnd w:id="br17"/>
      </w:r>
      <w:r>
        <w:rPr>
          <w:noProof w:val="on"/>
        </w:rPr>
        <w:pict>
          <v:shape xmlns:v="urn:schemas-microsoft-com:vml" id="_x000062" style="position:absolute;margin-left:70.7pt;margin-top:54.8pt;z-index:-251;width:453.35pt;height:185.0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29pt;z-index:-25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二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PUTRJV+Nimbus Sans L"/>
          <w:color w:val="000000"/>
          <w:spacing w:val="1"/>
          <w:sz w:val="2"/>
        </w:rPr>
        <w:t>2024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VDMBCU+WenQuanYi Zen Hei Sharp" w:hAnsi="VDMBCU+WenQuanYi Zen Hei Sharp" w:cs="VDMBCU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UBFLW+SimSun"/>
          <w:color w:val="212529"/>
          <w:spacing w:val="0"/>
          <w:sz w:val="16"/>
        </w:rPr>
        <w:t xml:space="preserve"> </w:t>
      </w:r>
      <w:r>
        <w:rPr>
          <w:rFonts w:ascii="Times New Roman"/>
          <w:color w:val="212529"/>
          <w:spacing w:val="2818"/>
          <w:sz w:val="16"/>
        </w:rPr>
        <w:t xml:space="preserve"> </w:t>
      </w:r>
      <w:r>
        <w:rPr>
          <w:rFonts w:ascii="TUBFLW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01"/>
          <w:sz w:val="16"/>
        </w:rPr>
        <w:t xml:space="preserve"> </w:t>
      </w:r>
      <w:r>
        <w:rPr>
          <w:rFonts w:ascii="TUBFLW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01"/>
          <w:sz w:val="16"/>
        </w:rPr>
        <w:t xml:space="preserve"> </w:t>
      </w:r>
      <w:r>
        <w:rPr>
          <w:rFonts w:ascii="TUBFLW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573"/>
          <w:sz w:val="16"/>
        </w:rPr>
        <w:t xml:space="preserve"> </w:t>
      </w:r>
      <w:r>
        <w:rPr>
          <w:rFonts w:ascii="TUBFLW+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2038"/>
          <w:sz w:val="16"/>
        </w:rPr>
        <w:t xml:space="preserve"> </w:t>
      </w:r>
      <w:r>
        <w:rPr>
          <w:rFonts w:ascii="TUBFLW+SimSun" w:hAnsi="TUBFLW+SimSun" w:cs="TUBFLW+SimSun"/>
          <w:color w:val="212529"/>
          <w:spacing w:val="-4"/>
          <w:sz w:val="16"/>
        </w:rPr>
        <w:t>预算公开表12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BFLW+SimSun" w:hAnsi="TUBFLW+SimSun" w:cs="TUBFLW+SimSun"/>
          <w:color w:val="212529"/>
          <w:spacing w:val="0"/>
          <w:sz w:val="24"/>
        </w:rPr>
        <w:t>2024年项目支出预算表（本年预算）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UBFLW+SimSun" w:hAnsi="TUBFLW+SimSun" w:cs="TUBFLW+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TUBFLW+SimSun" w:hAnsi="TUBFLW+SimSun" w:cs="TUBFLW+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57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72" w:after="0" w:line="33" w:lineRule="exact"/>
        <w:ind w:left="787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财政专户管理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18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1461"/>
          <w:sz w:val="18"/>
        </w:rPr>
        <w:t xml:space="preserve"> </w:t>
      </w:r>
      <w:r>
        <w:rPr>
          <w:rFonts w:ascii="TUBFLW+SimSun" w:hAnsi="TUBFLW+SimSun" w:cs="TUBFLW+SimSun"/>
          <w:color w:val="212529"/>
          <w:spacing w:val="0"/>
          <w:sz w:val="18"/>
        </w:rPr>
        <w:t>合计</w:t>
      </w:r>
      <w:r>
        <w:rPr>
          <w:rFonts w:ascii="Times New Roman"/>
          <w:color w:val="212529"/>
          <w:spacing w:val="4510"/>
          <w:sz w:val="18"/>
        </w:rPr>
        <w:t xml:space="preserve"> </w:t>
      </w:r>
      <w:r>
        <w:rPr>
          <w:rFonts w:ascii="TUBFLW+SimSun" w:hAnsi="TUBFLW+SimSun" w:cs="TUBFLW+SimSun"/>
          <w:color w:val="212529"/>
          <w:spacing w:val="0"/>
          <w:sz w:val="18"/>
        </w:rPr>
        <w:t>单位资金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613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政府性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67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国有资本经营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0" w:after="0" w:line="33" w:lineRule="exact"/>
        <w:ind w:left="823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资金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88" w:after="0" w:line="33" w:lineRule="exact"/>
        <w:ind w:left="49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一般公共预算</w:t>
      </w:r>
      <w:r>
        <w:rPr>
          <w:rFonts w:ascii="Times New Roman"/>
          <w:color w:val="212529"/>
          <w:spacing w:val="69"/>
          <w:sz w:val="18"/>
        </w:rPr>
        <w:t xml:space="preserve"> </w:t>
      </w:r>
      <w:r>
        <w:rPr>
          <w:rFonts w:ascii="TUBFLW+SimSun" w:hAnsi="TUBFLW+SimSun" w:cs="TUBFLW+SimSun"/>
          <w:color w:val="212529"/>
          <w:spacing w:val="0"/>
          <w:sz w:val="18"/>
        </w:rPr>
        <w:t>基金预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12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31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220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1912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53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789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759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5</w:t>
      </w:r>
      <w:r>
        <w:rPr>
          <w:rFonts w:ascii="Times New Roman"/>
          <w:color w:val="212529"/>
          <w:spacing w:val="981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6</w:t>
      </w:r>
      <w:r>
        <w:rPr>
          <w:rFonts w:ascii="Times New Roman"/>
          <w:color w:val="212529"/>
          <w:spacing w:val="837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ꢀ兴县教师进修学校</w:t>
      </w:r>
      <w:r>
        <w:rPr>
          <w:rFonts w:ascii="Times New Roman"/>
          <w:color w:val="212529"/>
          <w:spacing w:val="1960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292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ꢀꢀ2024年中小学教师培训费及名师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443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TUBFLW+SimSun"/>
          <w:color w:val="212529"/>
          <w:spacing w:val="0"/>
          <w:sz w:val="18"/>
        </w:rPr>
        <w:t>50.00</w:t>
      </w:r>
      <w:r>
        <w:rPr>
          <w:rFonts w:ascii="Times New Roman"/>
          <w:color w:val="212529"/>
          <w:spacing w:val="525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31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007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742"/>
          <w:sz w:val="18"/>
        </w:rPr>
        <w:t xml:space="preserve"> </w:t>
      </w:r>
      <w:r>
        <w:rPr>
          <w:rFonts w:ascii="TUBFLW+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BFLW+SimSun" w:hAnsi="TUBFLW+SimSun" w:cs="TUBFLW+SimSun"/>
          <w:color w:val="212529"/>
          <w:spacing w:val="0"/>
          <w:sz w:val="18"/>
        </w:rPr>
        <w:t>培养费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1794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8" w:id="br18"/>
      </w:r>
      <w:r>
        <w:bookmarkEnd w:id="br18"/>
      </w:r>
      <w:r>
        <w:rPr>
          <w:noProof w:val="on"/>
        </w:rPr>
        <w:pict>
          <v:shape xmlns:v="urn:schemas-microsoft-com:vml" id="_x000064" style="position:absolute;margin-left:70.7pt;margin-top:54.8pt;z-index:-259;width:453.35pt;height:175.4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9pt;z-index:-26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568" w:after="0" w:line="18" w:lineRule="atLeast"/>
        <w:ind w:left="794" w:right="0" w:firstLine="0"/>
        <w:jc w:val="left"/>
        <w:rPr>
          <w:rFonts w:ascii="Times New Roman"/>
          <w:color w:val="000000"/>
          <w:spacing w:val="0"/>
          <w:sz w:val="2"/>
        </w:rPr>
      </w:pP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十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三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ESKAFP+Nimbus Sans L"/>
          <w:color w:val="000000"/>
          <w:spacing w:val="1"/>
          <w:sz w:val="2"/>
        </w:rPr>
        <w:t>2024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项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目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支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出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预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算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表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（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上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年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结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转</w:t>
      </w:r>
      <w:r>
        <w:rPr>
          <w:rFonts w:ascii="Times New Roman"/>
          <w:color w:val="000000"/>
          <w:spacing w:val="0"/>
          <w:sz w:val="2"/>
        </w:rPr>
        <w:t xml:space="preserve"> </w:t>
      </w:r>
      <w:r>
        <w:rPr>
          <w:rFonts w:ascii="FAFQTA+WenQuanYi Zen Hei Sharp" w:hAnsi="FAFQTA+WenQuanYi Zen Hei Sharp" w:cs="FAFQTA+WenQuanYi Zen Hei Sharp"/>
          <w:color w:val="000000"/>
          <w:spacing w:val="0"/>
          <w:sz w:val="2"/>
        </w:rPr>
        <w:t>）</w:t>
      </w:r>
      <w:r>
        <w:rPr>
          <w:rFonts w:ascii="Times New Roman"/>
          <w:color w:val="000000"/>
          <w:spacing w:val="0"/>
          <w:sz w:val="2"/>
        </w:rPr>
      </w:r>
    </w:p>
    <w:p>
      <w:pPr>
        <w:pStyle w:val="Normal"/>
        <w:spacing w:before="248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3970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05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173"/>
          <w:sz w:val="16"/>
        </w:rPr>
        <w:t xml:space="preserve"> </w:t>
      </w:r>
      <w:r>
        <w:rPr>
          <w:rFonts w:ascii="SimSun"/>
          <w:color w:val="212529"/>
          <w:spacing w:val="-34"/>
          <w:sz w:val="16"/>
        </w:rPr>
        <w:t xml:space="preserve"> </w:t>
      </w:r>
      <w:r>
        <w:rPr>
          <w:rFonts w:ascii="Times New Roman"/>
          <w:color w:val="212529"/>
          <w:spacing w:val="1522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预算公开表13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30" w:after="0" w:line="40" w:lineRule="exact"/>
        <w:ind w:left="3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12529"/>
          <w:spacing w:val="0"/>
          <w:sz w:val="24"/>
        </w:rPr>
        <w:t>2024年项目支出预算表（上年结转）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365" w:after="0" w:line="30" w:lineRule="exact"/>
        <w:ind w:left="80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SimSun" w:hAnsi="SimSun" w:cs="SimSun"/>
          <w:color w:val="212529"/>
          <w:spacing w:val="-4"/>
          <w:sz w:val="16"/>
        </w:rPr>
        <w:t>单位名称：兴县教师进修学校</w:t>
      </w:r>
      <w:r>
        <w:rPr>
          <w:rFonts w:ascii="Times New Roman"/>
          <w:color w:val="212529"/>
          <w:spacing w:val="6154"/>
          <w:sz w:val="16"/>
        </w:rPr>
        <w:t xml:space="preserve"> </w:t>
      </w:r>
      <w:r>
        <w:rPr>
          <w:rFonts w:ascii="SimSun" w:hAnsi="SimSun" w:cs="SimSun"/>
          <w:color w:val="212529"/>
          <w:spacing w:val="-4"/>
          <w:sz w:val="16"/>
        </w:rPr>
        <w:t>单位：万元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400" w:after="0" w:line="33" w:lineRule="exact"/>
        <w:ind w:left="727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2024年财政拨款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84" w:after="0" w:line="33" w:lineRule="exact"/>
        <w:ind w:left="24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项目名称</w:t>
      </w:r>
      <w:r>
        <w:rPr>
          <w:rFonts w:ascii="Times New Roman"/>
          <w:color w:val="212529"/>
          <w:spacing w:val="2014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合计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74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政府性基金</w:t>
      </w:r>
      <w:r>
        <w:rPr>
          <w:rFonts w:ascii="Times New Roman"/>
          <w:color w:val="212529"/>
          <w:spacing w:val="42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国有资本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76" w:after="0" w:line="33" w:lineRule="exact"/>
        <w:ind w:left="608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一般公共预算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64" w:after="0" w:line="33" w:lineRule="exact"/>
        <w:ind w:left="767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预算</w:t>
      </w:r>
      <w:r>
        <w:rPr>
          <w:rFonts w:ascii="Times New Roman"/>
          <w:color w:val="212529"/>
          <w:spacing w:val="693"/>
          <w:sz w:val="18"/>
        </w:rPr>
        <w:t xml:space="preserve"> </w:t>
      </w:r>
      <w:r>
        <w:rPr>
          <w:rFonts w:ascii="SimSun" w:hAnsi="SimSun" w:cs="SimSun"/>
          <w:color w:val="212529"/>
          <w:spacing w:val="0"/>
          <w:sz w:val="18"/>
        </w:rPr>
        <w:t>经营预算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304" w:after="0" w:line="33" w:lineRule="exact"/>
        <w:ind w:left="278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0"/>
          <w:sz w:val="18"/>
        </w:rPr>
        <w:t>1</w:t>
      </w:r>
      <w:r>
        <w:rPr>
          <w:rFonts w:ascii="Times New Roman"/>
          <w:color w:val="212529"/>
          <w:spacing w:val="2464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2</w:t>
      </w:r>
      <w:r>
        <w:rPr>
          <w:rFonts w:ascii="Times New Roman"/>
          <w:color w:val="212529"/>
          <w:spacing w:val="1065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3</w:t>
      </w:r>
      <w:r>
        <w:rPr>
          <w:rFonts w:ascii="Times New Roman"/>
          <w:color w:val="212529"/>
          <w:spacing w:val="1101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4</w:t>
      </w:r>
      <w:r>
        <w:rPr>
          <w:rFonts w:ascii="Times New Roman"/>
          <w:color w:val="212529"/>
          <w:spacing w:val="1143"/>
          <w:sz w:val="18"/>
        </w:rPr>
        <w:t xml:space="preserve"> </w:t>
      </w:r>
      <w:r>
        <w:rPr>
          <w:rFonts w:ascii="SimSun"/>
          <w:color w:val="212529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4992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63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115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212529"/>
          <w:spacing w:val="1247"/>
          <w:sz w:val="18"/>
        </w:rPr>
        <w:t xml:space="preserve"> </w:t>
      </w:r>
      <w:r>
        <w:rPr>
          <w:rFonts w:ascii="SimSun"/>
          <w:color w:val="212529"/>
          <w:spacing w:val="-3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400" w:after="0" w:line="33" w:lineRule="exact"/>
        <w:ind w:left="80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SimSun" w:hAnsi="SimSun" w:cs="SimSun"/>
          <w:color w:val="212529"/>
          <w:spacing w:val="0"/>
          <w:sz w:val="18"/>
        </w:rPr>
        <w:t>注：本表无数据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spacing w:before="12082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-15-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19" w:id="br19"/>
      </w:r>
      <w:r>
        <w:bookmarkEnd w:id="br19"/>
      </w:r>
      <w:r>
        <w:rPr>
          <w:noProof w:val="on"/>
        </w:rPr>
        <w:pict>
          <v:shape xmlns:v="urn:schemas-microsoft-com:vml" id="_x000066" style="position:absolute;margin-left:63.5pt;margin-top:47pt;z-index:-267;width:467.75pt;height:740.2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pt;z-index:-27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955" w:after="0" w:line="42" w:lineRule="exact"/>
        <w:ind w:left="3219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第三部分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2024年度单位预算情况说明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643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一、单位预算收支数据变动情况及原因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2024年度兴县教师进修学校预算收入总计309.98万元，其中：本年收入309.98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万元，上年结转0万元，比上年减少80.03万元</w:t>
      </w:r>
      <w:r>
        <w:rPr>
          <w:rFonts w:ascii="FangSong"/>
          <w:color w:val="000000"/>
          <w:spacing w:val="13"/>
          <w:sz w:val="25"/>
        </w:rPr>
        <w:t xml:space="preserve"> </w:t>
      </w:r>
      <w:r>
        <w:rPr>
          <w:rFonts w:ascii="FangSong" w:hAnsi="FangSong" w:cs="FangSong"/>
          <w:color w:val="000000"/>
          <w:spacing w:val="2"/>
          <w:sz w:val="25"/>
        </w:rPr>
        <w:t>，下降20.52%，主要原因是上年度在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职人员补发基础绩效奖等工资支出、中小学教师培训费本年较上年减少较大。；本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年单位预算支出总计309.98万元，其中：本年预算安排309.98万元，上年结转0万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元，比上年减少80.03万元，下降20.52%，主要原因是上年度在职人员补发基础绩效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奖等工资支出、中小学教师培训费本年较上年减少较大。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二、收入预算情况说明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2024年度兴县教师进修学校预算收入309.98万元，主要包括一般公共预算拨款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收入309.98万元，占100.00%；政府性基金预算拨款收入0万元，占0%；国有资本经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营预算拨款收入0万元，占0%；财政专户管理资金收入0万元，占0%；单位资金0万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元，占0%；上年结转0万元，占0%。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4712" w:after="0" w:line="42" w:lineRule="exact"/>
        <w:ind w:left="64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三、支出预算情况说明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2024年度兴县教师进修学校支出预算309.98万元，其中：基本支出259.98万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元，占83.87%；项目支出50万元，占16.13%。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四、财政拨款收支预算总体情况说明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2024年度兴县教师进修学校财政拨款收支总预算309.98万元。其中：一般公共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预算拨款309.98万元，政府性基金预算拨款0万元，国有资本经营预算拨款0万元。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其中：当年拨款收入309.98万元，上年结转收入0万元。支出包括：教育支出227.41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万元、社会保障和就业支出52.03万元、卫生健康支出12.03万元、住房保障支出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18.50万元等。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五、一般公共预算支出情况说明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89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-16-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0" w:id="br20"/>
      </w:r>
      <w:r>
        <w:bookmarkEnd w:id="br20"/>
      </w:r>
      <w:r>
        <w:rPr>
          <w:noProof w:val="on"/>
        </w:rPr>
        <w:pict>
          <v:shape xmlns:v="urn:schemas-microsoft-com:vml" id="_x000068" style="position:absolute;margin-left:63.5pt;margin-top:47pt;z-index:-275;width:467.75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29pt;z-index:-27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（一）一般公共预算当年支出规模变化情况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2024年度兴县教师进修学校一般公共预算当年支出309.98万元,比上年减少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1"/>
          <w:sz w:val="25"/>
        </w:rPr>
        <w:t>80.03万元</w:t>
      </w:r>
      <w:r>
        <w:rPr>
          <w:rFonts w:ascii="FangSong"/>
          <w:color w:val="000000"/>
          <w:spacing w:val="2"/>
          <w:sz w:val="25"/>
        </w:rPr>
        <w:t xml:space="preserve"> </w:t>
      </w:r>
      <w:r>
        <w:rPr>
          <w:rFonts w:ascii="FangSong" w:hAnsi="FangSong" w:cs="FangSong"/>
          <w:color w:val="000000"/>
          <w:spacing w:val="1"/>
          <w:sz w:val="25"/>
        </w:rPr>
        <w:t>，下降20.52%。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（二）一般公共预算当年支出结构情况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2024年度兴县教师进修学校一般公共预算当年支出309.98万元,主要用于以下方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面：教育支出227.41万元，占73.36%；社会保障和就业支出52.03万元，占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16.78%；卫生健康支出12.03万元，占3.88%；住房保障支出18.50万元，占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5.97%等。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92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六、一般公共预算基本支出情况说明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2024年度兴县教师进修学校一般公共预算安排基本支出259.98万元，其中：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人员经费252.76万元，主要包括：离休费、其他对个人和家庭的补助、其他工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资福利支出、其他社会保障缴费、绩效工资、医疗费补助、基本工资、退休费、机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关事业单位基本养老保险缴费、住房公积金、职工基本医疗保险缴费、津贴补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贴等；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公用经费7.21万元，主要包括：福利费、工会经费等。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七、“三公”经费增减变动原因说明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本单位无“三公”经费预算。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八、机关运行经费增减变动原因说明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我单位为事业单位，无机关运行经费。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九、政府采购情况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2024年兴县教师进修学校政府采购预算总额0万元。其中：政府采购货物预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算0万元、政府采购工程预算0万元、政府采购服务预算0万元。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十、绩效管理情况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1、整体绩效目标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2024年未编报单位整体绩效目标，涉及资金0万元。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FangSong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2、项目绩效目标</w:t>
      </w:r>
      <w:r>
        <w:rPr>
          <w:rFonts w:ascii="FangSong"/>
          <w:color w:val="000000"/>
          <w:spacing w:val="0"/>
          <w:sz w:val="25"/>
        </w:rPr>
      </w:r>
    </w:p>
    <w:p>
      <w:pPr>
        <w:pStyle w:val="Normal"/>
        <w:spacing w:before="82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-17-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1" w:id="br21"/>
      </w:r>
      <w:r>
        <w:bookmarkEnd w:id="br21"/>
      </w:r>
      <w:r>
        <w:rPr>
          <w:noProof w:val="on"/>
        </w:rPr>
        <w:pict>
          <v:shape xmlns:v="urn:schemas-microsoft-com:vml" id="_x000070" style="position:absolute;margin-left:63.5pt;margin-top:42.8pt;z-index:-283;width:467.75pt;height:131.6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9pt;z-index:-28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19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2024年兴县教师进修学校纳入绩效目标管理的二级项目1个，共计金额50.00万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元。其中：其他运转类项目1个，涉及金额50.00万元；特定目标类项目0个，涉及金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额0万元。公开项目绩效目标1个，涉及项目金额50.00万元，占部门（单位）项目支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出总额的100%。其中：其他运转类项目1个，涉及项目金额50.00万元；特定目标类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项目1个，涉及项目金额50.00万元。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（项目绩效目标表公开情况见附件）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3149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-18-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2" w:id="br22"/>
      </w:r>
      <w:r>
        <w:bookmarkEnd w:id="br22"/>
      </w:r>
      <w:r>
        <w:rPr>
          <w:noProof w:val="on"/>
        </w:rPr>
        <w:pict>
          <v:shape xmlns:v="urn:schemas-microsoft-com:vml" id="_x000072" style="position:absolute;margin-left:57.5pt;margin-top:53pt;z-index:-291;width:482.15pt;height:674.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29pt;z-index:-29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383" w:after="0" w:line="33" w:lineRule="exact"/>
        <w:ind w:left="2223" w:right="0" w:firstLine="0"/>
        <w:jc w:val="left"/>
        <w:rPr>
          <w:rFonts w:ascii="FangSong"/>
          <w:color w:val="000000"/>
          <w:spacing w:val="0"/>
          <w:sz w:val="18"/>
        </w:rPr>
      </w:pPr>
      <w:r>
        <w:rPr>
          <w:rFonts w:ascii="FangSong" w:hAnsi="FangSong" w:cs="FangSong"/>
          <w:color w:val="000000"/>
          <w:spacing w:val="0"/>
          <w:sz w:val="18"/>
        </w:rPr>
        <w:t>兴县县(区)级预算部门（单位）项目支出绩效目标表</w:t>
      </w:r>
      <w:r>
        <w:rPr>
          <w:rFonts w:ascii="FangSong"/>
          <w:color w:val="000000"/>
          <w:spacing w:val="0"/>
          <w:sz w:val="18"/>
        </w:rPr>
      </w:r>
    </w:p>
    <w:p>
      <w:pPr>
        <w:pStyle w:val="Normal"/>
        <w:spacing w:before="299" w:after="0" w:line="24" w:lineRule="exact"/>
        <w:ind w:left="421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1"/>
          <w:sz w:val="11"/>
        </w:rPr>
        <w:t>（2024年度）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89" w:after="0" w:line="24" w:lineRule="exact"/>
        <w:ind w:left="144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项目名称</w:t>
      </w:r>
      <w:r>
        <w:rPr>
          <w:rFonts w:ascii="FangSong"/>
          <w:color w:val="000000"/>
          <w:spacing w:val="2346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2024年中小学教师培训费及名师培养费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77" w:after="0" w:line="24" w:lineRule="exact"/>
        <w:ind w:left="127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主管部门及代码</w:t>
      </w:r>
      <w:r>
        <w:rPr>
          <w:rFonts w:ascii="FangSong"/>
          <w:color w:val="000000"/>
          <w:spacing w:val="110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044-兴县教育科技局</w:t>
      </w:r>
      <w:r>
        <w:rPr>
          <w:rFonts w:ascii="FangSong"/>
          <w:color w:val="000000"/>
          <w:spacing w:val="107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实施单位</w:t>
      </w:r>
      <w:r>
        <w:rPr>
          <w:rFonts w:ascii="FangSong"/>
          <w:color w:val="000000"/>
          <w:spacing w:val="82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兴县教师进修学校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65" w:after="0" w:line="24" w:lineRule="exact"/>
        <w:ind w:left="144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项目属性</w:t>
      </w:r>
      <w:r>
        <w:rPr>
          <w:rFonts w:ascii="FangSong"/>
          <w:color w:val="000000"/>
          <w:spacing w:val="118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一次性项目（1年结束）</w:t>
      </w:r>
      <w:r>
        <w:rPr>
          <w:rFonts w:ascii="FangSong"/>
          <w:color w:val="000000"/>
          <w:spacing w:val="105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项目期</w:t>
      </w:r>
      <w:r>
        <w:rPr>
          <w:rFonts w:ascii="FangSong"/>
          <w:color w:val="000000"/>
          <w:spacing w:val="1229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1年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89" w:after="0" w:line="24" w:lineRule="exact"/>
        <w:ind w:left="259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实施期资金总额：</w:t>
      </w:r>
      <w:r>
        <w:rPr>
          <w:rFonts w:ascii="FangSong"/>
          <w:color w:val="000000"/>
          <w:spacing w:val="569"/>
          <w:sz w:val="11"/>
        </w:rPr>
        <w:t xml:space="preserve"> </w:t>
      </w:r>
      <w:r>
        <w:rPr>
          <w:rFonts w:ascii="FangSong"/>
          <w:color w:val="000000"/>
          <w:spacing w:val="-1"/>
          <w:sz w:val="11"/>
        </w:rPr>
        <w:t>500,000</w:t>
      </w:r>
      <w:r>
        <w:rPr>
          <w:rFonts w:ascii="FangSong"/>
          <w:color w:val="000000"/>
          <w:spacing w:val="33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年度资金总额：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6856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-1"/>
          <w:sz w:val="11"/>
        </w:rPr>
        <w:t>500,000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89" w:after="0" w:line="24" w:lineRule="exact"/>
        <w:ind w:left="259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其中：中央财政资金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42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49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其中：中央财政资金</w:t>
      </w:r>
      <w:r>
        <w:rPr>
          <w:rFonts w:ascii="FangSong"/>
          <w:color w:val="000000"/>
          <w:spacing w:val="1145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77" w:after="0" w:line="24" w:lineRule="exact"/>
        <w:ind w:left="286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FangSong"/>
          <w:color w:val="000000"/>
          <w:spacing w:val="683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81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省级财政资金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702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61" w:after="0" w:line="24" w:lineRule="exact"/>
        <w:ind w:left="144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1490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（元）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" w:after="0" w:line="24" w:lineRule="exact"/>
        <w:ind w:left="286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市县（区）财政资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7" w:after="0" w:line="24" w:lineRule="exact"/>
        <w:ind w:left="4083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-1"/>
          <w:sz w:val="11"/>
        </w:rPr>
        <w:t>500,000</w:t>
      </w:r>
      <w:r>
        <w:rPr>
          <w:rFonts w:ascii="FangSong"/>
          <w:color w:val="000000"/>
          <w:spacing w:val="65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市县（区）财政资金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6856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-1"/>
          <w:sz w:val="11"/>
        </w:rPr>
        <w:t>500,000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259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17" w:after="0" w:line="24" w:lineRule="exact"/>
        <w:ind w:left="286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42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814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单位自筹</w:t>
      </w:r>
      <w:r>
        <w:rPr>
          <w:rFonts w:ascii="FangSong"/>
          <w:color w:val="000000"/>
          <w:spacing w:val="1361"/>
          <w:sz w:val="11"/>
        </w:rPr>
        <w:t xml:space="preserve"> </w:t>
      </w:r>
      <w:r>
        <w:rPr>
          <w:rFonts w:ascii="FangSong"/>
          <w:color w:val="000000"/>
          <w:spacing w:val="0"/>
          <w:sz w:val="11"/>
        </w:rPr>
        <w:t>0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89" w:after="0" w:line="24" w:lineRule="exact"/>
        <w:ind w:left="286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517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其他资金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29" w:after="0" w:line="24" w:lineRule="exact"/>
        <w:ind w:left="259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落实县委县政府为办好人民满意的教育，提升全县中小学教育的业务能力，根据年初预算文件精神，2024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144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项目概况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2595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年中小学教师培训费及名师培养费县级配套50万元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65" w:after="0" w:line="24" w:lineRule="exact"/>
        <w:ind w:left="144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立项依据</w:t>
      </w:r>
      <w:r>
        <w:rPr>
          <w:rFonts w:ascii="FangSong"/>
          <w:color w:val="000000"/>
          <w:spacing w:val="665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根据年初预算文件精神，2024年中小学教师培训费及名师培养费县级配套50万元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49" w:after="0" w:line="24" w:lineRule="exact"/>
        <w:ind w:left="127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项目设立必要性</w:t>
      </w:r>
      <w:r>
        <w:rPr>
          <w:rFonts w:ascii="FangSong"/>
          <w:color w:val="000000"/>
          <w:spacing w:val="50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提升全县中小学教育教师的业务能力，促进兴县教育快速发展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37" w:after="0" w:line="24" w:lineRule="exact"/>
        <w:ind w:left="986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保证项目实施的制度、措施</w:t>
      </w:r>
      <w:r>
        <w:rPr>
          <w:rFonts w:ascii="FangSong"/>
          <w:color w:val="000000"/>
          <w:spacing w:val="25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根据年初预算文件精神，2024年中小学教师培训费及名师培养费县级配套50万元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37" w:after="0" w:line="24" w:lineRule="exact"/>
        <w:ind w:left="132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项目实施计划</w:t>
      </w:r>
      <w:r>
        <w:rPr>
          <w:rFonts w:ascii="FangSong"/>
          <w:color w:val="000000"/>
          <w:spacing w:val="569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根据年初预算文件精神，2024年中小学教师培训费及名师培养费县级配套50万元，用于全县教师培训。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709" w:after="0" w:line="24" w:lineRule="exact"/>
        <w:ind w:left="2787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实施期目标</w:t>
      </w:r>
      <w:r>
        <w:rPr>
          <w:rFonts w:ascii="FangSong"/>
          <w:color w:val="000000"/>
          <w:spacing w:val="303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年度目标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73" w:after="0" w:line="24" w:lineRule="exact"/>
        <w:ind w:left="540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提升全县中小学教育教师的业务能力，促进兴县教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78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总体目标</w:t>
      </w:r>
      <w:r>
        <w:rPr>
          <w:rFonts w:ascii="FangSong"/>
          <w:color w:val="000000"/>
          <w:spacing w:val="53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提升全县中小学教育教师的业务能力，促进兴县教育快速发展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7" w:after="0" w:line="24" w:lineRule="exact"/>
        <w:ind w:left="6352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育快速发展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335" w:after="0" w:line="25" w:lineRule="exact"/>
        <w:ind w:left="1286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一级指标</w:t>
      </w:r>
      <w:r>
        <w:rPr>
          <w:rFonts w:ascii="FangSong"/>
          <w:color w:val="000000"/>
          <w:spacing w:val="36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二级指标</w:t>
      </w:r>
      <w:r>
        <w:rPr>
          <w:rFonts w:ascii="FangSong"/>
          <w:color w:val="000000"/>
          <w:spacing w:val="192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三级指标</w:t>
      </w:r>
      <w:r>
        <w:rPr>
          <w:rFonts w:ascii="FangSong"/>
          <w:color w:val="000000"/>
          <w:spacing w:val="2257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二级指标</w:t>
      </w:r>
      <w:r>
        <w:rPr>
          <w:rFonts w:ascii="FangSong"/>
          <w:color w:val="000000"/>
          <w:spacing w:val="30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三级指标</w:t>
      </w:r>
      <w:r>
        <w:rPr>
          <w:rFonts w:ascii="FangSong"/>
          <w:color w:val="000000"/>
          <w:spacing w:val="480"/>
          <w:sz w:val="12"/>
        </w:rPr>
        <w:t xml:space="preserve"> </w:t>
      </w:r>
      <w:r>
        <w:rPr>
          <w:rFonts w:ascii="FangSong" w:hAnsi="FangSong" w:cs="FangSong"/>
          <w:color w:val="000000"/>
          <w:spacing w:val="0"/>
          <w:sz w:val="12"/>
        </w:rPr>
        <w:t>指标值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0" w:after="0" w:line="25" w:lineRule="exact"/>
        <w:ind w:left="3759" w:right="0" w:firstLine="0"/>
        <w:jc w:val="left"/>
        <w:rPr>
          <w:rFonts w:ascii="FangSong"/>
          <w:color w:val="000000"/>
          <w:spacing w:val="0"/>
          <w:sz w:val="12"/>
        </w:rPr>
      </w:pPr>
      <w:r>
        <w:rPr>
          <w:rFonts w:ascii="FangSong" w:hAnsi="FangSong" w:cs="FangSong"/>
          <w:color w:val="000000"/>
          <w:spacing w:val="0"/>
          <w:sz w:val="12"/>
        </w:rPr>
        <w:t>指标值</w:t>
      </w:r>
      <w:r>
        <w:rPr>
          <w:rFonts w:ascii="FangSong"/>
          <w:color w:val="000000"/>
          <w:spacing w:val="0"/>
          <w:sz w:val="12"/>
        </w:rPr>
      </w:r>
    </w:p>
    <w:p>
      <w:pPr>
        <w:pStyle w:val="Normal"/>
        <w:spacing w:before="228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FangSong"/>
          <w:color w:val="000000"/>
          <w:spacing w:val="25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参加培训教师人数</w:t>
      </w:r>
      <w:r>
        <w:rPr>
          <w:rFonts w:ascii="FangSong"/>
          <w:color w:val="000000"/>
          <w:spacing w:val="1878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数量指标</w:t>
      </w:r>
      <w:r>
        <w:rPr>
          <w:rFonts w:ascii="FangSong"/>
          <w:color w:val="000000"/>
          <w:spacing w:val="353"/>
          <w:sz w:val="11"/>
        </w:rPr>
        <w:t xml:space="preserve"> </w:t>
      </w:r>
      <w:r>
        <w:rPr>
          <w:rFonts w:ascii="FangSong" w:hAnsi="FangSong" w:cs="FangSong"/>
          <w:color w:val="000000"/>
          <w:spacing w:val="-9"/>
          <w:sz w:val="11"/>
        </w:rPr>
        <w:t>参加培训教师人数2000人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3759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1"/>
          <w:sz w:val="11"/>
        </w:rPr>
        <w:t>2000人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41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FangSong"/>
          <w:color w:val="000000"/>
          <w:spacing w:val="25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培训教师覆盖率</w:t>
      </w:r>
      <w:r>
        <w:rPr>
          <w:rFonts w:ascii="FangSong"/>
          <w:color w:val="000000"/>
          <w:spacing w:val="1986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质量指标</w:t>
      </w:r>
      <w:r>
        <w:rPr>
          <w:rFonts w:ascii="FangSong"/>
          <w:color w:val="000000"/>
          <w:spacing w:val="353"/>
          <w:sz w:val="11"/>
        </w:rPr>
        <w:t xml:space="preserve"> </w:t>
      </w:r>
      <w:r>
        <w:rPr>
          <w:rFonts w:ascii="FangSong" w:hAnsi="FangSong" w:cs="FangSong"/>
          <w:color w:val="000000"/>
          <w:spacing w:val="0"/>
          <w:sz w:val="11"/>
        </w:rPr>
        <w:t>培训教师覆盖率100%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3759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/>
          <w:color w:val="000000"/>
          <w:spacing w:val="-1"/>
          <w:sz w:val="11"/>
        </w:rPr>
        <w:t>100%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97" w:after="0" w:line="24" w:lineRule="exact"/>
        <w:ind w:left="127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产出指标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FangSong"/>
          <w:color w:val="000000"/>
          <w:spacing w:val="25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使用时间</w:t>
      </w:r>
      <w:r>
        <w:rPr>
          <w:rFonts w:ascii="FangSong"/>
          <w:color w:val="000000"/>
          <w:spacing w:val="67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按要求及时支付</w:t>
      </w:r>
      <w:r>
        <w:rPr>
          <w:rFonts w:ascii="FangSong"/>
          <w:color w:val="000000"/>
          <w:spacing w:val="82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时效指标</w:t>
      </w:r>
      <w:r>
        <w:rPr>
          <w:rFonts w:ascii="FangSong"/>
          <w:color w:val="000000"/>
          <w:spacing w:val="35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使用时间</w:t>
      </w:r>
      <w:r>
        <w:rPr>
          <w:rFonts w:ascii="FangSong"/>
          <w:color w:val="000000"/>
          <w:spacing w:val="28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按要求及时支付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33" w:after="0" w:line="24" w:lineRule="exact"/>
        <w:ind w:left="950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绩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73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FangSong"/>
          <w:color w:val="000000"/>
          <w:spacing w:val="25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所需资金</w:t>
      </w:r>
      <w:r>
        <w:rPr>
          <w:rFonts w:ascii="FangSong"/>
          <w:color w:val="000000"/>
          <w:spacing w:val="231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成本指标</w:t>
      </w:r>
      <w:r>
        <w:rPr>
          <w:rFonts w:ascii="FangSong"/>
          <w:color w:val="000000"/>
          <w:spacing w:val="353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所需资金</w:t>
      </w:r>
      <w:r>
        <w:rPr>
          <w:rFonts w:ascii="FangSong"/>
          <w:color w:val="000000"/>
          <w:spacing w:val="281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500000元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0" w:after="0" w:line="24" w:lineRule="exact"/>
        <w:ind w:left="3759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1"/>
          <w:sz w:val="11"/>
        </w:rPr>
        <w:t>500000元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5" w:after="0" w:line="24" w:lineRule="exact"/>
        <w:ind w:left="950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效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21" w:after="0" w:line="24" w:lineRule="exact"/>
        <w:ind w:left="950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经济效益指标</w:t>
      </w:r>
      <w:r>
        <w:rPr>
          <w:rFonts w:ascii="FangSong"/>
          <w:color w:val="000000"/>
          <w:spacing w:val="2838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经济效益指标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9" w:after="0" w:line="24" w:lineRule="exact"/>
        <w:ind w:left="950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0"/>
          <w:sz w:val="11"/>
        </w:rPr>
        <w:t>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45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社会效益指标</w:t>
      </w:r>
      <w:r>
        <w:rPr>
          <w:rFonts w:ascii="FangSong"/>
          <w:color w:val="000000"/>
          <w:spacing w:val="41"/>
          <w:sz w:val="11"/>
        </w:rPr>
        <w:t xml:space="preserve"> </w:t>
      </w:r>
      <w:r>
        <w:rPr>
          <w:rFonts w:ascii="FangSong" w:hAnsi="FangSong" w:cs="FangSong"/>
          <w:color w:val="000000"/>
          <w:spacing w:val="-12"/>
          <w:sz w:val="11"/>
        </w:rPr>
        <w:t>提升全县中小学教育教师有的效业务能力，促进兴县教育快速发社展会效益指标</w:t>
      </w:r>
      <w:r>
        <w:rPr>
          <w:rFonts w:ascii="FangSong"/>
          <w:color w:val="000000"/>
          <w:spacing w:val="147"/>
          <w:sz w:val="11"/>
        </w:rPr>
        <w:t xml:space="preserve"> </w:t>
      </w:r>
      <w:r>
        <w:rPr>
          <w:rFonts w:ascii="FangSong" w:hAnsi="FangSong" w:cs="FangSong"/>
          <w:color w:val="000000"/>
          <w:spacing w:val="-9"/>
          <w:sz w:val="11"/>
        </w:rPr>
        <w:t>提升全县中小学教有育效教师的业务能力，促进兴县教育快速发展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97" w:after="0" w:line="24" w:lineRule="exact"/>
        <w:ind w:left="127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效益指标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109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生态效益指标</w:t>
      </w:r>
      <w:r>
        <w:rPr>
          <w:rFonts w:ascii="FangSong"/>
          <w:color w:val="000000"/>
          <w:spacing w:val="2838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生态效益指标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29" w:after="0" w:line="24" w:lineRule="exact"/>
        <w:ind w:left="1851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可持续影响指标</w:t>
      </w:r>
      <w:r>
        <w:rPr>
          <w:rFonts w:ascii="FangSong"/>
          <w:color w:val="000000"/>
          <w:spacing w:val="2730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可持续影响指标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217" w:after="0" w:line="24" w:lineRule="exact"/>
        <w:ind w:left="127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满意度指标</w:t>
      </w:r>
      <w:r>
        <w:rPr>
          <w:rFonts w:ascii="FangSong"/>
          <w:color w:val="000000"/>
          <w:spacing w:val="-19"/>
          <w:sz w:val="11"/>
        </w:rPr>
        <w:t xml:space="preserve"> </w:t>
      </w:r>
      <w:r>
        <w:rPr>
          <w:rFonts w:ascii="FangSong" w:hAnsi="FangSong" w:cs="FangSong"/>
          <w:color w:val="000000"/>
          <w:spacing w:val="-18"/>
          <w:sz w:val="11"/>
        </w:rPr>
        <w:t>服务对象满意度教指师标满意度</w:t>
      </w:r>
      <w:r>
        <w:rPr>
          <w:rFonts w:ascii="FangSong"/>
          <w:color w:val="000000"/>
          <w:spacing w:val="585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FangSong"/>
          <w:color w:val="000000"/>
          <w:spacing w:val="1308"/>
          <w:sz w:val="11"/>
        </w:rPr>
        <w:t xml:space="preserve"> </w:t>
      </w:r>
      <w:r>
        <w:rPr>
          <w:rFonts w:ascii="FangSong" w:hAnsi="FangSong" w:cs="FangSong"/>
          <w:color w:val="000000"/>
          <w:spacing w:val="-11"/>
          <w:sz w:val="11"/>
        </w:rPr>
        <w:t>服务对象满意度指教标师满意度</w:t>
      </w:r>
      <w:r>
        <w:rPr>
          <w:rFonts w:ascii="FangSong"/>
          <w:color w:val="000000"/>
          <w:spacing w:val="182"/>
          <w:sz w:val="11"/>
        </w:rPr>
        <w:t xml:space="preserve"> </w:t>
      </w:r>
      <w:r>
        <w:rPr>
          <w:rFonts w:ascii="FangSong" w:hAnsi="FangSong" w:cs="FangSong"/>
          <w:color w:val="000000"/>
          <w:spacing w:val="-1"/>
          <w:sz w:val="11"/>
        </w:rPr>
        <w:t>≥98%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409" w:after="0" w:line="24" w:lineRule="exact"/>
        <w:ind w:left="794" w:right="0" w:firstLine="0"/>
        <w:jc w:val="left"/>
        <w:rPr>
          <w:rFonts w:ascii="FangSong"/>
          <w:color w:val="000000"/>
          <w:spacing w:val="0"/>
          <w:sz w:val="11"/>
        </w:rPr>
      </w:pPr>
      <w:r>
        <w:rPr>
          <w:rFonts w:ascii="FangSong" w:hAnsi="FangSong" w:cs="FangSong"/>
          <w:color w:val="000000"/>
          <w:spacing w:val="-2"/>
          <w:sz w:val="11"/>
        </w:rPr>
        <w:t>负责人：</w:t>
      </w:r>
      <w:r>
        <w:rPr>
          <w:rFonts w:ascii="FangSong"/>
          <w:color w:val="000000"/>
          <w:spacing w:val="701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经办人：</w:t>
      </w:r>
      <w:r>
        <w:rPr>
          <w:rFonts w:ascii="FangSong"/>
          <w:color w:val="000000"/>
          <w:spacing w:val="1806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联系电话：</w:t>
      </w:r>
      <w:r>
        <w:rPr>
          <w:rFonts w:ascii="FangSong"/>
          <w:color w:val="000000"/>
          <w:spacing w:val="1517"/>
          <w:sz w:val="11"/>
        </w:rPr>
        <w:t xml:space="preserve"> </w:t>
      </w:r>
      <w:r>
        <w:rPr>
          <w:rFonts w:ascii="FangSong" w:hAnsi="FangSong" w:cs="FangSong"/>
          <w:color w:val="000000"/>
          <w:spacing w:val="-2"/>
          <w:sz w:val="11"/>
        </w:rPr>
        <w:t>填报日期：</w:t>
      </w:r>
      <w:r>
        <w:rPr>
          <w:rFonts w:ascii="FangSong"/>
          <w:color w:val="000000"/>
          <w:spacing w:val="53"/>
          <w:sz w:val="11"/>
        </w:rPr>
        <w:t xml:space="preserve"> </w:t>
      </w:r>
      <w:r>
        <w:rPr>
          <w:rFonts w:ascii="FangSong"/>
          <w:color w:val="000000"/>
          <w:spacing w:val="-1"/>
          <w:sz w:val="11"/>
        </w:rPr>
        <w:t>20240412100328</w:t>
      </w:r>
      <w:r>
        <w:rPr>
          <w:rFonts w:ascii="FangSong"/>
          <w:color w:val="000000"/>
          <w:spacing w:val="0"/>
          <w:sz w:val="11"/>
        </w:rPr>
      </w:r>
    </w:p>
    <w:p>
      <w:pPr>
        <w:pStyle w:val="Normal"/>
        <w:spacing w:before="5493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-19-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3" w:id="br23"/>
      </w:r>
      <w:r>
        <w:bookmarkEnd w:id="br23"/>
      </w:r>
      <w:r>
        <w:rPr>
          <w:noProof w:val="on"/>
        </w:rPr>
        <w:pict>
          <v:shape xmlns:v="urn:schemas-microsoft-com:vml" id="_x000074" style="position:absolute;margin-left:63.5pt;margin-top:47pt;z-index:-299;width:467.75pt;height:376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9pt;z-index:-30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703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十一、国有资产占有使用情况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1、车辆情况：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截至2024年5月1日，兴县教师进修学校共有公务用车编制0辆，实有0辆，其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中：领导用车0辆，机要通信用车0辆，应急保障用车0辆，执法执勤用车0辆，特种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专业技术用车0辆，事业单位业务用车0辆，其他公务用车0辆。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2、房屋情况：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截至2024年5月1日，兴县教师进修学校使用的办公用房建筑总面积200平方米。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3、其他国有资产占有使用情况：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截至2024年5月1日，兴县教师进修学校占有使用价值50万元（原值）以上的通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用设备0台（套）；兴县教师进修学校占有使用价值100万元（原值）以上的通用设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3"/>
          <w:sz w:val="25"/>
        </w:rPr>
        <w:t>备0台（套）。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4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十二、其他说明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（一）政府购买服务指导性目录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（二）其他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535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0"/>
          <w:sz w:val="25"/>
        </w:rPr>
        <w:t>无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8311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-20-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4" w:id="br24"/>
      </w:r>
      <w:r>
        <w:bookmarkEnd w:id="br24"/>
      </w:r>
      <w:r>
        <w:rPr>
          <w:noProof w:val="on"/>
        </w:rPr>
        <w:pict>
          <v:shape xmlns:v="urn:schemas-microsoft-com:vml" id="_x000076" style="position:absolute;margin-left:57.5pt;margin-top:53pt;z-index:-307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9pt;z-index:-311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-21-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5" w:id="br25"/>
      </w:r>
      <w:r>
        <w:bookmarkEnd w:id="br25"/>
      </w:r>
      <w:r>
        <w:rPr>
          <w:noProof w:val="on"/>
        </w:rPr>
        <w:pict>
          <v:shape xmlns:v="urn:schemas-microsoft-com:vml" id="_x000078" style="position:absolute;margin-left:57.5pt;margin-top:53pt;z-index:-315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9pt;z-index:-319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-22-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6" w:id="br26"/>
      </w:r>
      <w:r>
        <w:bookmarkEnd w:id="br26"/>
      </w:r>
      <w:r>
        <w:rPr>
          <w:noProof w:val="on"/>
        </w:rPr>
        <w:pict>
          <v:shape xmlns:v="urn:schemas-microsoft-com:vml" id="_x000080" style="position:absolute;margin-left:57.5pt;margin-top:53pt;z-index:-323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9pt;z-index:-327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-23-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7" w:id="br27"/>
      </w:r>
      <w:r>
        <w:bookmarkEnd w:id="br27"/>
      </w:r>
      <w:r>
        <w:rPr>
          <w:noProof w:val="on"/>
        </w:rPr>
        <w:pict>
          <v:shape xmlns:v="urn:schemas-microsoft-com:vml" id="_x000082" style="position:absolute;margin-left:57.5pt;margin-top:53pt;z-index:-331;width:422.1pt;height:590.1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29pt;z-index:-335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15970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-24-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bookmarkStart w:name="br28" w:id="br28"/>
      </w:r>
      <w:r>
        <w:bookmarkEnd w:id="br28"/>
      </w:r>
      <w:r>
        <w:rPr>
          <w:noProof w:val="on"/>
        </w:rPr>
        <w:pict>
          <v:shape xmlns:v="urn:schemas-microsoft-com:vml" id="_x000084" style="position:absolute;margin-left:63.5pt;margin-top:47pt;z-index:-339;width:467.75pt;height:69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9pt;z-index:-343;width:53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MingLiU" w:hAnsi="MingLiU" w:cs="MingLiU"/>
          <w:color w:val="000000"/>
          <w:spacing w:val="-1"/>
          <w:sz w:val="16"/>
        </w:rPr>
        <w:t>兴县教师进修学校2024年单位预算公开报告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631" w:after="0" w:line="42" w:lineRule="exact"/>
        <w:ind w:left="4227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第四部分</w:t>
      </w:r>
      <w:r>
        <w:rPr>
          <w:rFonts w:ascii="SimHei"/>
          <w:color w:val="000000"/>
          <w:spacing w:val="7"/>
          <w:sz w:val="25"/>
        </w:rPr>
        <w:t xml:space="preserve"> </w:t>
      </w:r>
      <w:r>
        <w:rPr>
          <w:rFonts w:ascii="SimHei" w:hAnsi="SimHei" w:cs="SimHei"/>
          <w:color w:val="000000"/>
          <w:spacing w:val="2"/>
          <w:sz w:val="25"/>
        </w:rPr>
        <w:t>名词解释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63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一、基本支出：</w:t>
      </w:r>
      <w:r>
        <w:rPr>
          <w:rFonts w:ascii="FangSong" w:hAnsi="FangSong" w:cs="FangSong"/>
          <w:color w:val="000000"/>
          <w:spacing w:val="2"/>
          <w:sz w:val="25"/>
        </w:rPr>
        <w:t>指为保障机构正常运转、完成日常工作任务而发生的人员支出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和公用支出。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二、项目支出：</w:t>
      </w:r>
      <w:r>
        <w:rPr>
          <w:rFonts w:ascii="FangSong" w:hAnsi="FangSong" w:cs="FangSong"/>
          <w:color w:val="000000"/>
          <w:spacing w:val="2"/>
          <w:sz w:val="25"/>
        </w:rPr>
        <w:t>指在基本支出之外为完成特定行政任务和事业发展目标所发生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的支出。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三、“三公”经费：</w:t>
      </w:r>
      <w:r>
        <w:rPr>
          <w:rFonts w:ascii="FangSong" w:hAnsi="FangSong" w:cs="FangSong"/>
          <w:color w:val="000000"/>
          <w:spacing w:val="2"/>
          <w:sz w:val="25"/>
        </w:rPr>
        <w:t>指省直部门用财政拨款安排的因公出国（境）费用、公务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用车购置及运行费和公务接待费。其中：因公出国（境）费用反映单位公务出国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（境）的国际旅费、国外城市间交通费、住宿费、伙食费、培训费、公杂费等支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出；公务用车购置费反映公务用车购置支出（含车辆购置税、牌照费）；公务用车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运行维护费反映单位按规定保留的公务用车燃料费、维修费、过路过桥费、保险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费、安全奖励费用等支出；公务接待费反映机关和参公事业单位按规定开支的各类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公务接待（含外宾接待）支出。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四、机关运行经费：</w:t>
      </w:r>
      <w:r>
        <w:rPr>
          <w:rFonts w:ascii="FangSong" w:hAnsi="FangSong" w:cs="FangSong"/>
          <w:color w:val="000000"/>
          <w:spacing w:val="2"/>
          <w:sz w:val="25"/>
        </w:rPr>
        <w:t>指行政单位和参照公务员法管理的事业单位使用财政拨款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安排的基本支出中的公用经费支出。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五、政府购买服务：</w:t>
      </w:r>
      <w:r>
        <w:rPr>
          <w:rFonts w:ascii="FangSong" w:hAnsi="FangSong" w:cs="FangSong"/>
          <w:color w:val="000000"/>
          <w:spacing w:val="2"/>
          <w:sz w:val="25"/>
        </w:rPr>
        <w:t>根据我国现行政策规定，政府购买服务，是指充分发挥市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场机制作用，将国家机关属于自身职责范围且适合通过市场化方式提供的服务事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项，按照政府采购方式和程序，交由符合条件的服务供应商承担，并根据服务数量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和质量等情况向其支付费用的行为。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SimHei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六、财政专户管理资金：</w:t>
      </w:r>
      <w:r>
        <w:rPr>
          <w:rFonts w:ascii="SimHei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专指教育收费，包括目前在财政专户管理的高中以上学费、住宿费，高校委托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培养费，党校收费，教育考试考务费，函大、电大、夜大及短训班培训费等。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427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七、单位资金：</w:t>
      </w:r>
      <w:r>
        <w:rPr>
          <w:rFonts w:ascii="FangSong" w:hAnsi="FangSong" w:cs="FangSong"/>
          <w:color w:val="000000"/>
          <w:spacing w:val="2"/>
          <w:sz w:val="25"/>
        </w:rPr>
        <w:t>是指除政府预算资金和财政专户管理资金以外的资金，包括事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业收入、事业单位经营收入、上级补助收入、附属单位上缴收入、其他收入。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八、上年结转：</w:t>
      </w:r>
      <w:r>
        <w:rPr>
          <w:rFonts w:ascii="FangSong" w:hAnsi="FangSong" w:cs="FangSong"/>
          <w:color w:val="000000"/>
          <w:spacing w:val="2"/>
          <w:sz w:val="25"/>
        </w:rPr>
        <w:t>指以前年度预算安排、结转到本年仍按原规定用途继续使用的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资金。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九、一般公共预算</w:t>
      </w:r>
      <w:r>
        <w:rPr>
          <w:rFonts w:ascii="FangSong" w:hAnsi="FangSong" w:cs="FangSong"/>
          <w:color w:val="000000"/>
          <w:spacing w:val="2"/>
          <w:sz w:val="25"/>
        </w:rPr>
        <w:t>是指以税收为主体的财政收入，安排用于保障和改善民生、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推动经济社会发展、维护国家安全、维持国家机构正常运转等方面的收支预算。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十、政府性基金预算：</w:t>
      </w:r>
      <w:r>
        <w:rPr>
          <w:rFonts w:ascii="FangSong" w:hAnsi="FangSong" w:cs="FangSong"/>
          <w:color w:val="000000"/>
          <w:spacing w:val="2"/>
          <w:sz w:val="25"/>
        </w:rPr>
        <w:t>是对依照法律、行政法规的规定在一定期限内向特定对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象征收、收取或者以其他方式筹集的资金，专项用于特定公共事业发展的收支预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650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FangSong" w:hAnsi="FangSong" w:cs="FangSong"/>
          <w:color w:val="000000"/>
          <w:spacing w:val="2"/>
          <w:sz w:val="25"/>
        </w:rPr>
        <w:t>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十一、国有资本经营预算</w:t>
      </w:r>
      <w:r>
        <w:rPr>
          <w:rFonts w:ascii="FangSong" w:hAnsi="FangSong" w:cs="FangSong"/>
          <w:color w:val="000000"/>
          <w:spacing w:val="2"/>
          <w:sz w:val="25"/>
        </w:rPr>
        <w:t>是对国有资本收益作出支出安排的收支预算。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391" w:after="0" w:line="42" w:lineRule="exact"/>
        <w:ind w:left="1154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SimHei" w:hAnsi="SimHei" w:cs="SimHei"/>
          <w:color w:val="000000"/>
          <w:spacing w:val="2"/>
          <w:sz w:val="25"/>
        </w:rPr>
        <w:t>十二、财政拨款：</w:t>
      </w:r>
      <w:r>
        <w:rPr>
          <w:rFonts w:ascii="FangSong" w:hAnsi="FangSong" w:cs="FangSong"/>
          <w:color w:val="000000"/>
          <w:spacing w:val="2"/>
          <w:sz w:val="25"/>
        </w:rPr>
        <w:t>包含一般公共预算、政府性基金预算、国有资本经营预算。</w:t>
      </w:r>
      <w:r>
        <w:rPr>
          <w:rFonts w:ascii="Times New Roman"/>
          <w:color w:val="000000"/>
          <w:spacing w:val="0"/>
          <w:sz w:val="25"/>
        </w:rPr>
      </w:r>
    </w:p>
    <w:p>
      <w:pPr>
        <w:pStyle w:val="Normal"/>
        <w:spacing w:before="1758" w:after="0" w:line="170" w:lineRule="exact"/>
        <w:ind w:left="5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ingLiU"/>
          <w:color w:val="000000"/>
          <w:spacing w:val="-11"/>
          <w:sz w:val="16"/>
        </w:rPr>
        <w:t>-25-</w:t>
      </w:r>
      <w:r>
        <w:rPr>
          <w:rFonts w:ascii="Times New Roman"/>
          <w:color w:val="000000"/>
          <w:spacing w:val="0"/>
          <w:sz w:val="16"/>
        </w:rPr>
      </w:r>
    </w:p>
    <w:sectPr>
      <w:pgSz w:w="11900" w:h="16840"/>
      <w:pgMar w:top="372" w:right="100" w:bottom="0" w:left="64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HFHDDV+STZhongsong">
    <w:panose1 w:val="0201060004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5DC3027-0000-0000-0000-000000000000}"/>
  </w:font>
  <w:font w:name="FangSong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MingLiU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RKBFAG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762642C-0000-0000-0000-000000000000}"/>
  </w:font>
  <w:font w:name="PUTRJV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777790C-0000-0000-0000-000000000000}"/>
  </w:font>
  <w:font w:name="SimSun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ERQMT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2352EE7A-0000-0000-0000-000000000000}"/>
  </w:font>
  <w:font w:name="FVQHSP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730E466C-0000-0000-0000-000000000000}"/>
  </w:font>
  <w:font w:name="STODKH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D09C298-0000-0000-0000-000000000000}"/>
  </w:font>
  <w:font w:name="VFLQSL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11539A12-0000-0000-0000-000000000000}"/>
  </w:font>
  <w:font w:name="WEHLUP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351D2537-0000-0000-0000-000000000000}"/>
  </w:font>
  <w:font w:name="ESKAFP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4D16D0FA-0000-0000-0000-000000000000}"/>
  </w:font>
  <w:font w:name="STOGLR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1E3DB02-0000-0000-0000-000000000000}"/>
  </w:font>
  <w:font w:name="JPRLTA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71D086E0-0000-0000-0000-000000000000}"/>
  </w:font>
  <w:font w:name="UJWPVR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860D175-0000-0000-0000-000000000000}"/>
  </w:font>
  <w:font w:name="KOCQME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B58A3EF4-0000-0000-0000-000000000000}"/>
  </w:font>
  <w:font w:name="OOIAWN+Nimbus Sans 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33CB1419-0000-0000-0000-000000000000}"/>
  </w:font>
  <w:font w:name="LIDJDO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76E364FA-0000-0000-0000-000000000000}"/>
  </w:font>
  <w:font w:name="VDMBCU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1E128BEF-0000-0000-0000-000000000000}"/>
  </w:font>
  <w:font w:name="TUBFLW+SimSun">
    <w:panose1 w:val="02010600030101010101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8719D097-0000-0000-0000-000000000000}"/>
  </w:font>
  <w:font w:name="FAFQTA+WenQuanYi Zen Hei Sharp">
    <w:panose1 w:val="020006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0826FAA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styles" Target="styles.xml" /><Relationship Id="rId88" Type="http://schemas.openxmlformats.org/officeDocument/2006/relationships/fontTable" Target="fontTable.xml" /><Relationship Id="rId89" Type="http://schemas.openxmlformats.org/officeDocument/2006/relationships/settings" Target="settings.xml" /><Relationship Id="rId9" Type="http://schemas.openxmlformats.org/officeDocument/2006/relationships/image" Target="media/image9.jpeg" /><Relationship Id="rId90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28</Pages>
  <Words>1245</Words>
  <Characters>8754</Characters>
  <Application>Aspose</Application>
  <DocSecurity>0</DocSecurity>
  <Lines>9</Lines>
  <Paragraphs>548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10578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2025-09-25T17:32:48+08:00</dcterms:created>
  <dcterms:modified xmlns:xsi="http://www.w3.org/2001/XMLSchema-instance" xmlns:dcterms="http://purl.org/dc/terms/" xsi:type="dcterms:W3CDTF">2025-09-25T17:32:48+08:00</dcterms:modified>
</coreProperties>
</file>