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pStyle w:val="BodyText"/>
        <w:ind w:left="1217"/>
        <w:spacing w:before="111" w:line="217" w:lineRule="auto"/>
        <w:outlineLvl w:val="0"/>
        <w:rPr/>
      </w:pPr>
      <w:r>
        <w:rPr>
          <w:spacing w:val="-7"/>
        </w:rPr>
        <w:t>兴 县 教 育</w:t>
      </w:r>
      <w:r>
        <w:rPr>
          <w:spacing w:val="-10"/>
        </w:rPr>
        <w:t xml:space="preserve"> </w:t>
      </w:r>
      <w:r>
        <w:rPr>
          <w:spacing w:val="-7"/>
        </w:rPr>
        <w:t>科</w:t>
      </w:r>
      <w:r>
        <w:rPr>
          <w:spacing w:val="-17"/>
        </w:rPr>
        <w:t xml:space="preserve"> </w:t>
      </w:r>
      <w:r>
        <w:rPr>
          <w:spacing w:val="-7"/>
        </w:rPr>
        <w:t>技 局</w:t>
      </w:r>
      <w:r>
        <w:rPr>
          <w:spacing w:val="-21"/>
        </w:rPr>
        <w:t xml:space="preserve"> </w:t>
      </w:r>
      <w:r>
        <w:rPr>
          <w:spacing w:val="-7"/>
        </w:rPr>
        <w:t>教 学 研 究 室</w:t>
      </w:r>
    </w:p>
    <w:p>
      <w:pPr>
        <w:spacing w:line="320" w:lineRule="auto"/>
        <w:rPr>
          <w:rFonts w:ascii="Arial"/>
          <w:sz w:val="21"/>
        </w:rPr>
      </w:pPr>
      <w:r/>
    </w:p>
    <w:p>
      <w:pPr>
        <w:spacing w:line="320" w:lineRule="auto"/>
        <w:rPr>
          <w:rFonts w:ascii="Arial"/>
          <w:sz w:val="21"/>
        </w:rPr>
      </w:pPr>
      <w:r/>
    </w:p>
    <w:p>
      <w:pPr>
        <w:pStyle w:val="BodyText"/>
        <w:ind w:left="1491"/>
        <w:spacing w:before="111" w:line="217" w:lineRule="auto"/>
        <w:rPr/>
      </w:pPr>
      <w:r>
        <w:rPr>
          <w:spacing w:val="1"/>
        </w:rPr>
        <w:t>2 0 2 4 年</w:t>
      </w:r>
      <w:r>
        <w:rPr>
          <w:spacing w:val="-5"/>
        </w:rPr>
        <w:t xml:space="preserve"> </w:t>
      </w:r>
      <w:r>
        <w:rPr>
          <w:spacing w:val="1"/>
        </w:rPr>
        <w:t>度</w:t>
      </w:r>
      <w:r>
        <w:rPr>
          <w:spacing w:val="-8"/>
        </w:rPr>
        <w:t xml:space="preserve"> </w:t>
      </w:r>
      <w:r>
        <w:rPr>
          <w:spacing w:val="1"/>
        </w:rPr>
        <w:t>单</w:t>
      </w:r>
      <w:r>
        <w:rPr>
          <w:spacing w:val="-14"/>
        </w:rPr>
        <w:t xml:space="preserve"> </w:t>
      </w:r>
      <w:r>
        <w:rPr>
          <w:spacing w:val="1"/>
        </w:rPr>
        <w:t>位</w:t>
      </w:r>
      <w:r>
        <w:rPr>
          <w:spacing w:val="-17"/>
        </w:rPr>
        <w:t xml:space="preserve"> </w:t>
      </w:r>
      <w:r>
        <w:rPr>
          <w:spacing w:val="1"/>
        </w:rPr>
        <w:t>预 算</w:t>
      </w:r>
      <w:r>
        <w:rPr>
          <w:spacing w:val="-15"/>
        </w:rPr>
        <w:t xml:space="preserve"> </w:t>
      </w:r>
      <w:r>
        <w:rPr>
          <w:spacing w:val="1"/>
        </w:rPr>
        <w:t>公</w:t>
      </w:r>
      <w:r>
        <w:rPr>
          <w:spacing w:val="-9"/>
        </w:rPr>
        <w:t xml:space="preserve"> </w:t>
      </w:r>
      <w:r>
        <w:rPr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一、本单位职责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2024年单位预算报表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表一2024年预算收支总表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表二2024年预算收入总表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9"/>
              </w:rPr>
              <w:t>4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表三2024年预算支出总表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表四2024年财政拨款收支总表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0"/>
            <w:spacing w:before="187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表五2024年一般公共预算支出预算表（不含上年结转）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表六2024年一般公共预算安排基本支出分经济科目表（不含上年结转）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表七2024年政府性基金预算收入表（不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10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表八2024年政府性基金预算支出表（不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表九2024年国有资本经营预算收支预算表（不含上年结转）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91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表十2024年财政拨款安排“三公”经费支出预算表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表十一2024年财政拨款安排机关运行经费预算表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表十二2024年项目支出预算表（本年预算）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ind w:left="510"/>
            <w:spacing w:before="188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表十三2024年项目支出预算表（上年结转）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spacing w:before="192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2024年度单位预算情况说明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6</w:t>
            </w:r>
          </w:hyperlink>
        </w:p>
        <w:p>
          <w:pPr>
            <w:ind w:left="512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一、单位预算收支数据变动情况及原因</w:t>
            </w:r>
            <w:r>
              <w:rPr>
                <w:rFonts w:ascii="FangSong" w:hAnsi="FangSong" w:eastAsia="FangSong" w:cs="FangSong"/>
                <w:sz w:val="26"/>
                <w:szCs w:val="26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四、财政拨款收支预算总体情况说明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六、一般公共预算基本支出情况说明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4"/>
            <w:spacing w:before="188" w:line="223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七、“三公”经费增减变动原因说明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08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八、机关运行经费增减变动原因说明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九、政府采购情况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9" w:id="29"/>
          <w:bookmarkEnd w:id="29"/>
          <w:hyperlink w:history="true" w:anchor="bookmark2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十、绩效管理情况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516"/>
            <w:spacing w:before="53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0" w:id="30"/>
          <w:bookmarkEnd w:id="30"/>
          <w:hyperlink w:history="true" w:anchor="bookmark3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十一、国有资产占有使用情况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20</w:t>
            </w:r>
          </w:hyperlink>
        </w:p>
        <w:p>
          <w:pPr>
            <w:ind w:left="516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1" w:id="31"/>
          <w:bookmarkEnd w:id="31"/>
          <w:hyperlink w:history="true" w:anchor="bookmark31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十二、其他说明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20</w:t>
            </w:r>
          </w:hyperlink>
        </w:p>
        <w:p>
          <w:pPr>
            <w:ind w:left="1028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2" w:id="32"/>
          <w:bookmarkEnd w:id="32"/>
          <w:hyperlink w:history="true" w:anchor="bookmark3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（一）政府购买服务指导性目录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20</w:t>
            </w:r>
          </w:hyperlink>
        </w:p>
        <w:p>
          <w:pPr>
            <w:ind w:left="102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3" w:id="33"/>
          <w:bookmarkEnd w:id="33"/>
          <w:hyperlink w:history="true" w:anchor="bookmark33"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（二）其他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20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4" w:id="34"/>
          <w:bookmarkEnd w:id="34"/>
          <w:hyperlink w:history="true" w:anchor="bookmark3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21</w:t>
            </w:r>
          </w:hyperlink>
        </w:p>
      </w:sdtContent>
    </w:sdt>
    <w:p>
      <w:pPr>
        <w:spacing w:line="222" w:lineRule="auto"/>
        <w:sectPr>
          <w:pgSz w:w="11900" w:h="16840"/>
          <w:pgMar w:top="943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291" w:lineRule="auto"/>
        <w:rPr>
          <w:rFonts w:ascii="Arial"/>
          <w:sz w:val="21"/>
        </w:rPr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5" w:id="35"/>
      <w:bookmarkEnd w:id="35"/>
      <w:bookmarkStart w:name="bookmark2" w:id="36"/>
      <w:bookmarkEnd w:id="36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704"/>
        <w:spacing w:before="20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7"/>
      <w:bookmarkEnd w:id="37"/>
      <w:r>
        <w:rPr>
          <w:rFonts w:ascii="SimHei" w:hAnsi="SimHei" w:eastAsia="SimHei" w:cs="SimHei"/>
          <w:sz w:val="25"/>
          <w:szCs w:val="25"/>
          <w:spacing w:val="-1"/>
        </w:rPr>
        <w:t>一、本单位职责</w:t>
      </w:r>
    </w:p>
    <w:p>
      <w:pPr>
        <w:ind w:left="717"/>
        <w:spacing w:before="27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1.深入学习和研究现代教育教学思想和理论，用以指导教学研究工作。</w:t>
      </w:r>
    </w:p>
    <w:p>
      <w:pPr>
        <w:ind w:left="706" w:right="937" w:hanging="4"/>
        <w:spacing w:before="132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2.围绕教育教学中心工作和教育决策有关的重大</w:t>
      </w:r>
      <w:r>
        <w:rPr>
          <w:rFonts w:ascii="FangSong" w:hAnsi="FangSong" w:eastAsia="FangSong" w:cs="FangSong"/>
          <w:sz w:val="25"/>
          <w:szCs w:val="25"/>
          <w:spacing w:val="1"/>
        </w:rPr>
        <w:t>问题及热点、难点问题开展科学研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究和工作调研，及时为教育行政部门提供有学术价值和使用价值的建议和方案，为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领导决策提供咨询服务。</w:t>
      </w:r>
    </w:p>
    <w:p>
      <w:pPr>
        <w:ind w:left="707" w:right="937" w:hanging="3"/>
        <w:spacing w:before="39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3.从教育教学实际出发，开展教育思想、教</w:t>
      </w:r>
      <w:r>
        <w:rPr>
          <w:rFonts w:ascii="FangSong" w:hAnsi="FangSong" w:eastAsia="FangSong" w:cs="FangSong"/>
          <w:sz w:val="25"/>
          <w:szCs w:val="25"/>
          <w:spacing w:val="1"/>
        </w:rPr>
        <w:t>学理论、课程结构、教学内容、教学过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程、教学方法、教学评价等方面的应用研究，努力体现中小学教育教学规律，促进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所管辖区内的教育教学质量。</w:t>
      </w:r>
    </w:p>
    <w:p>
      <w:pPr>
        <w:ind w:left="720" w:right="937" w:hanging="2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4.组织评审优秀教学成果，组织学生参加学科竞赛和科技</w:t>
      </w:r>
      <w:r>
        <w:rPr>
          <w:rFonts w:ascii="FangSong" w:hAnsi="FangSong" w:eastAsia="FangSong" w:cs="FangSong"/>
          <w:sz w:val="25"/>
          <w:szCs w:val="25"/>
          <w:spacing w:val="1"/>
        </w:rPr>
        <w:t>活动。组织开展教育教学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改革实验，推广教育教学经验，探索教育规律，推动教学改革提高教学质量。</w:t>
      </w:r>
    </w:p>
    <w:p>
      <w:pPr>
        <w:ind w:left="701" w:right="937" w:firstLine="3"/>
        <w:spacing w:before="43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5.监控学校的教学质量，对教学工作的全过</w:t>
      </w:r>
      <w:r>
        <w:rPr>
          <w:rFonts w:ascii="FangSong" w:hAnsi="FangSong" w:eastAsia="FangSong" w:cs="FangSong"/>
          <w:sz w:val="25"/>
          <w:szCs w:val="25"/>
          <w:spacing w:val="1"/>
        </w:rPr>
        <w:t>程实施有效的指导和管理。进行教学视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导，检查教学工作及教学研究工作，对教学质量进行评</w:t>
      </w:r>
      <w:r>
        <w:rPr>
          <w:rFonts w:ascii="FangSong" w:hAnsi="FangSong" w:eastAsia="FangSong" w:cs="FangSong"/>
          <w:sz w:val="25"/>
          <w:szCs w:val="25"/>
          <w:spacing w:val="1"/>
        </w:rPr>
        <w:t>估。研究考试方法的改革和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对考试命题进行指导和规范，承担考试命题工作，参与</w:t>
      </w:r>
      <w:r>
        <w:rPr>
          <w:rFonts w:ascii="FangSong" w:hAnsi="FangSong" w:eastAsia="FangSong" w:cs="FangSong"/>
          <w:sz w:val="25"/>
          <w:szCs w:val="25"/>
          <w:spacing w:val="1"/>
        </w:rPr>
        <w:t>考试评卷和进行质量分析。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6.教学计划研讨、制定，教学业绩考核等。</w:t>
      </w:r>
    </w:p>
    <w:p>
      <w:pPr>
        <w:ind w:left="704"/>
        <w:spacing w:before="18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8"/>
      <w:bookmarkEnd w:id="38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07" w:right="937" w:firstLine="8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我单位是兴县教育科技局所属二级预算单位，为全额事业单位，执行政府会计准则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制度。内设办公室、财务室等。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69" w:lineRule="auto"/>
        <w:rPr>
          <w:rFonts w:ascii="Arial"/>
          <w:sz w:val="21"/>
        </w:rPr>
      </w:pPr>
      <w:r/>
    </w:p>
    <w:p>
      <w:pPr>
        <w:ind w:left="3646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6" w:id="39"/>
      <w:bookmarkEnd w:id="39"/>
      <w:bookmarkStart w:name="bookmark5" w:id="40"/>
      <w:bookmarkEnd w:id="40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2024年单位预算报表</w:t>
      </w:r>
    </w:p>
    <w:p>
      <w:pPr>
        <w:spacing w:before="20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6"/>
        <w:gridCol w:w="1175"/>
        <w:gridCol w:w="2326"/>
        <w:gridCol w:w="1199"/>
        <w:gridCol w:w="117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6" w:id="41"/>
            <w:bookmarkEnd w:id="4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2024年预算收支总表</w:t>
            </w:r>
          </w:p>
        </w:tc>
      </w:tr>
      <w:tr>
        <w:trPr>
          <w:trHeight w:val="421" w:hRule="atLeast"/>
        </w:trPr>
        <w:tc>
          <w:tcPr>
            <w:tcW w:w="811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90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3411" w:type="dxa"/>
            <w:vAlign w:val="top"/>
            <w:gridSpan w:val="2"/>
          </w:tcPr>
          <w:p>
            <w:pPr>
              <w:ind w:left="152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5605" w:type="dxa"/>
            <w:vAlign w:val="top"/>
            <w:gridSpan w:val="4"/>
          </w:tcPr>
          <w:p>
            <w:pPr>
              <w:ind w:left="2618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936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75" w:type="dxa"/>
            <w:vAlign w:val="top"/>
          </w:tcPr>
          <w:p>
            <w:pPr>
              <w:ind w:left="31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</w:t>
            </w:r>
          </w:p>
        </w:tc>
        <w:tc>
          <w:tcPr>
            <w:tcW w:w="2326" w:type="dxa"/>
            <w:vAlign w:val="top"/>
          </w:tcPr>
          <w:p>
            <w:pPr>
              <w:ind w:left="982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99" w:type="dxa"/>
            <w:vAlign w:val="top"/>
          </w:tcPr>
          <w:p>
            <w:pPr>
              <w:ind w:left="14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2024年合计</w:t>
            </w:r>
          </w:p>
        </w:tc>
        <w:tc>
          <w:tcPr>
            <w:tcW w:w="1175" w:type="dxa"/>
            <w:vAlign w:val="top"/>
          </w:tcPr>
          <w:p>
            <w:pPr>
              <w:ind w:left="5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当年预算安排</w:t>
            </w:r>
          </w:p>
        </w:tc>
        <w:tc>
          <w:tcPr>
            <w:tcW w:w="905" w:type="dxa"/>
            <w:vAlign w:val="top"/>
          </w:tcPr>
          <w:p>
            <w:pPr>
              <w:ind w:left="273" w:right="92" w:hanging="18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安排</w:t>
            </w:r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75" w:type="dxa"/>
            <w:vAlign w:val="top"/>
          </w:tcPr>
          <w:p>
            <w:pPr>
              <w:ind w:right="2"/>
              <w:spacing w:before="13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2326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2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2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五、单位资金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199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8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22" w:right="156" w:hanging="16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七、文化旅游体育与传媒支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>
            <w:pPr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11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十五、资源勘探工业信息等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自然资源海洋气象等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二十二、国有资本经营预算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二十三、灾害防治及应急管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理支出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6"/>
        <w:gridCol w:w="1175"/>
        <w:gridCol w:w="2326"/>
        <w:gridCol w:w="1199"/>
        <w:gridCol w:w="1175"/>
        <w:gridCol w:w="905"/>
      </w:tblGrid>
      <w:tr>
        <w:trPr>
          <w:trHeight w:val="426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6" w:right="156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三十、抗疫特别国债安排的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2236" w:type="dxa"/>
            <w:vAlign w:val="top"/>
          </w:tcPr>
          <w:p>
            <w:pPr>
              <w:ind w:left="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7" w:id="42"/>
            <w:bookmarkEnd w:id="42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175" w:type="dxa"/>
            <w:vAlign w:val="top"/>
          </w:tcPr>
          <w:p>
            <w:pPr>
              <w:ind w:right="8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2326" w:type="dxa"/>
            <w:vAlign w:val="top"/>
          </w:tcPr>
          <w:p>
            <w:pPr>
              <w:ind w:left="1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23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175" w:type="dxa"/>
            <w:vAlign w:val="top"/>
          </w:tcPr>
          <w:p>
            <w:pPr>
              <w:ind w:right="8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2326" w:type="dxa"/>
            <w:vAlign w:val="top"/>
          </w:tcPr>
          <w:p>
            <w:pPr>
              <w:ind w:left="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>
        <w:trPr>
          <w:trHeight w:val="331" w:hRule="atLeast"/>
        </w:trPr>
        <w:tc>
          <w:tcPr>
            <w:tcW w:w="163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1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预算公开表2</w:t>
            </w:r>
          </w:p>
        </w:tc>
      </w:tr>
      <w:tr>
        <w:trPr>
          <w:trHeight w:val="325" w:hRule="atLeast"/>
        </w:trPr>
        <w:tc>
          <w:tcPr>
            <w:tcW w:w="139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906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7" w:id="43"/>
            <w:bookmarkEnd w:id="4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2024年预算收入总表</w:t>
            </w:r>
          </w:p>
        </w:tc>
      </w:tr>
      <w:tr>
        <w:trPr>
          <w:trHeight w:val="325" w:hRule="atLeast"/>
        </w:trPr>
        <w:tc>
          <w:tcPr>
            <w:tcW w:w="4948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11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608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4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80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948" w:type="dxa"/>
            <w:vAlign w:val="top"/>
            <w:gridSpan w:val="2"/>
          </w:tcPr>
          <w:p>
            <w:pPr>
              <w:ind w:left="2293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7884" w:type="dxa"/>
            <w:vAlign w:val="top"/>
            <w:gridSpan w:val="6"/>
          </w:tcPr>
          <w:p>
            <w:pPr>
              <w:ind w:left="3580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本年收入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ind w:left="205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</w:tr>
      <w:tr>
        <w:trPr>
          <w:trHeight w:val="409" w:hRule="atLeast"/>
        </w:trPr>
        <w:tc>
          <w:tcPr>
            <w:tcW w:w="1637" w:type="dxa"/>
            <w:vAlign w:val="top"/>
          </w:tcPr>
          <w:p>
            <w:pPr>
              <w:ind w:left="453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311" w:type="dxa"/>
            <w:vAlign w:val="top"/>
          </w:tcPr>
          <w:p>
            <w:pPr>
              <w:ind w:left="1289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608" w:type="dxa"/>
            <w:vAlign w:val="top"/>
          </w:tcPr>
          <w:p>
            <w:pPr>
              <w:ind w:left="620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92" w:type="dxa"/>
            <w:vAlign w:val="top"/>
          </w:tcPr>
          <w:p>
            <w:pPr>
              <w:ind w:left="155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104" w:type="dxa"/>
            <w:vAlign w:val="top"/>
          </w:tcPr>
          <w:p>
            <w:pPr>
              <w:ind w:left="98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</w:tc>
        <w:tc>
          <w:tcPr>
            <w:tcW w:w="1356" w:type="dxa"/>
            <w:vAlign w:val="top"/>
          </w:tcPr>
          <w:p>
            <w:pPr>
              <w:ind w:left="587" w:right="47" w:hanging="524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344" w:type="dxa"/>
            <w:vAlign w:val="top"/>
          </w:tcPr>
          <w:p>
            <w:pPr>
              <w:ind w:left="582" w:right="40" w:hanging="541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080" w:type="dxa"/>
            <w:vAlign w:val="top"/>
          </w:tcPr>
          <w:p>
            <w:pPr>
              <w:ind w:left="181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4948" w:type="dxa"/>
            <w:vAlign w:val="top"/>
            <w:gridSpan w:val="2"/>
          </w:tcPr>
          <w:p>
            <w:pPr>
              <w:ind w:left="2291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31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608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392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2050299</w:t>
            </w:r>
          </w:p>
        </w:tc>
        <w:tc>
          <w:tcPr>
            <w:tcW w:w="3311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其他普通教育支出</w:t>
            </w:r>
          </w:p>
        </w:tc>
        <w:tc>
          <w:tcPr>
            <w:tcW w:w="1608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392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</w:t>
            </w:r>
          </w:p>
        </w:tc>
        <w:tc>
          <w:tcPr>
            <w:tcW w:w="3311" w:type="dxa"/>
            <w:vAlign w:val="top"/>
          </w:tcPr>
          <w:p>
            <w:pPr>
              <w:ind w:left="3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进修及培训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346.62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346.62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2050801</w:t>
            </w:r>
          </w:p>
        </w:tc>
        <w:tc>
          <w:tcPr>
            <w:tcW w:w="331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教师进修</w:t>
            </w:r>
          </w:p>
        </w:tc>
        <w:tc>
          <w:tcPr>
            <w:tcW w:w="1608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346.62</w:t>
            </w:r>
          </w:p>
        </w:tc>
        <w:tc>
          <w:tcPr>
            <w:tcW w:w="1392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346.62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311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社会保障和就业支出</w:t>
            </w:r>
          </w:p>
        </w:tc>
        <w:tc>
          <w:tcPr>
            <w:tcW w:w="1608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92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311" w:type="dxa"/>
            <w:vAlign w:val="top"/>
          </w:tcPr>
          <w:p>
            <w:pPr>
              <w:ind w:left="7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608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92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事业单位离退休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2080506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311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311" w:type="dxa"/>
            <w:vAlign w:val="top"/>
          </w:tcPr>
          <w:p>
            <w:pPr>
              <w:ind w:left="7"/>
              <w:spacing w:before="6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5"/>
          <w:footerReference w:type="default" r:id="rId6"/>
          <w:pgSz w:w="16840" w:h="1190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3057"/>
        <w:gridCol w:w="1439"/>
        <w:gridCol w:w="1391"/>
        <w:gridCol w:w="1313"/>
      </w:tblGrid>
      <w:tr>
        <w:trPr>
          <w:trHeight w:val="355" w:hRule="atLeast"/>
        </w:trPr>
        <w:tc>
          <w:tcPr>
            <w:tcW w:w="18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95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预算公开表3</w:t>
            </w:r>
          </w:p>
        </w:tc>
      </w:tr>
      <w:tr>
        <w:trPr>
          <w:trHeight w:val="34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55" w:line="218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8" w:id="44"/>
            <w:bookmarkEnd w:id="44"/>
            <w:bookmarkStart w:name="bookmark8" w:id="45"/>
            <w:bookmarkEnd w:id="45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2024年预算支出总表</w:t>
            </w:r>
          </w:p>
        </w:tc>
      </w:tr>
      <w:tr>
        <w:trPr>
          <w:trHeight w:val="349" w:hRule="atLeast"/>
        </w:trPr>
        <w:tc>
          <w:tcPr>
            <w:tcW w:w="6312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92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92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4873" w:type="dxa"/>
            <w:vAlign w:val="top"/>
            <w:gridSpan w:val="2"/>
          </w:tcPr>
          <w:p>
            <w:pPr>
              <w:ind w:left="2256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143" w:type="dxa"/>
            <w:vAlign w:val="top"/>
            <w:gridSpan w:val="3"/>
          </w:tcPr>
          <w:p>
            <w:pPr>
              <w:ind w:left="1529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54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057" w:type="dxa"/>
            <w:vAlign w:val="top"/>
          </w:tcPr>
          <w:p>
            <w:pPr>
              <w:ind w:left="116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439" w:type="dxa"/>
            <w:vAlign w:val="top"/>
          </w:tcPr>
          <w:p>
            <w:pPr>
              <w:ind w:left="538"/>
              <w:spacing w:before="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91" w:type="dxa"/>
            <w:vAlign w:val="top"/>
          </w:tcPr>
          <w:p>
            <w:pPr>
              <w:ind w:left="33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97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50" w:hRule="atLeast"/>
        </w:trPr>
        <w:tc>
          <w:tcPr>
            <w:tcW w:w="4873" w:type="dxa"/>
            <w:vAlign w:val="top"/>
            <w:gridSpan w:val="2"/>
          </w:tcPr>
          <w:p>
            <w:pPr>
              <w:ind w:left="2254"/>
              <w:spacing w:before="7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596.74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057" w:type="dxa"/>
            <w:vAlign w:val="top"/>
          </w:tcPr>
          <w:p>
            <w:pPr>
              <w:ind w:left="7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398.65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2050299</w:t>
            </w:r>
          </w:p>
        </w:tc>
        <w:tc>
          <w:tcPr>
            <w:tcW w:w="3057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其他普通教育支出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313" w:type="dxa"/>
            <w:vAlign w:val="top"/>
          </w:tcPr>
          <w:p>
            <w:pPr>
              <w:ind w:right="8"/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进修及培训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346.62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2050801</w:t>
            </w:r>
          </w:p>
        </w:tc>
        <w:tc>
          <w:tcPr>
            <w:tcW w:w="3057" w:type="dxa"/>
            <w:vAlign w:val="top"/>
          </w:tcPr>
          <w:p>
            <w:pPr>
              <w:ind w:left="7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教师进修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391" w:type="dxa"/>
            <w:vAlign w:val="top"/>
          </w:tcPr>
          <w:p>
            <w:pPr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057" w:type="dxa"/>
            <w:vAlign w:val="top"/>
          </w:tcPr>
          <w:p>
            <w:pPr>
              <w:ind w:left="6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057" w:type="dxa"/>
            <w:vAlign w:val="top"/>
          </w:tcPr>
          <w:p>
            <w:pPr>
              <w:ind w:left="8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5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2080502</w:t>
            </w:r>
          </w:p>
        </w:tc>
        <w:tc>
          <w:tcPr>
            <w:tcW w:w="3057" w:type="dxa"/>
            <w:vAlign w:val="top"/>
          </w:tcPr>
          <w:p>
            <w:pPr>
              <w:ind w:left="5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事业单位离退休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2080506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057" w:type="dxa"/>
            <w:vAlign w:val="top"/>
          </w:tcPr>
          <w:p>
            <w:pPr>
              <w:ind w:left="6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057" w:type="dxa"/>
            <w:vAlign w:val="top"/>
          </w:tcPr>
          <w:p>
            <w:pPr>
              <w:ind w:left="8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3057" w:type="dxa"/>
            <w:vAlign w:val="top"/>
          </w:tcPr>
          <w:p>
            <w:pPr>
              <w:ind w:left="5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7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rPr>
          <w:trHeight w:val="427" w:hRule="atLeast"/>
        </w:trPr>
        <w:tc>
          <w:tcPr>
            <w:tcW w:w="184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21" w:line="229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12529"/>
                <w:spacing w:val="5"/>
              </w:rPr>
              <w:t>预算公开表4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9" w:id="46"/>
            <w:bookmarkEnd w:id="46"/>
            <w:bookmarkStart w:name="bookmark9" w:id="47"/>
            <w:bookmarkEnd w:id="4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2024年财政拨款收支总表</w:t>
            </w:r>
          </w:p>
        </w:tc>
      </w:tr>
      <w:tr>
        <w:trPr>
          <w:trHeight w:val="421" w:hRule="atLeast"/>
        </w:trPr>
        <w:tc>
          <w:tcPr>
            <w:tcW w:w="7907" w:type="dxa"/>
            <w:vAlign w:val="top"/>
            <w:gridSpan w:val="6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10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920" w:type="dxa"/>
            <w:vAlign w:val="top"/>
            <w:gridSpan w:val="2"/>
          </w:tcPr>
          <w:p>
            <w:pPr>
              <w:ind w:left="128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6096" w:type="dxa"/>
            <w:vAlign w:val="top"/>
            <w:gridSpan w:val="5"/>
          </w:tcPr>
          <w:p>
            <w:pPr>
              <w:ind w:left="2863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2" w:hRule="atLeast"/>
        </w:trPr>
        <w:tc>
          <w:tcPr>
            <w:tcW w:w="1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3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  <w:tc>
          <w:tcPr>
            <w:tcW w:w="19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8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166" w:type="dxa"/>
            <w:vAlign w:val="top"/>
            <w:gridSpan w:val="4"/>
          </w:tcPr>
          <w:p>
            <w:pPr>
              <w:ind w:left="190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</w:tr>
      <w:tr>
        <w:trPr>
          <w:trHeight w:val="421" w:hRule="atLeast"/>
        </w:trPr>
        <w:tc>
          <w:tcPr>
            <w:tcW w:w="18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61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小计</w:t>
            </w:r>
          </w:p>
        </w:tc>
        <w:tc>
          <w:tcPr>
            <w:tcW w:w="1115" w:type="dxa"/>
            <w:vAlign w:val="top"/>
          </w:tcPr>
          <w:p>
            <w:pPr>
              <w:ind w:left="1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863" w:type="dxa"/>
            <w:vAlign w:val="top"/>
          </w:tcPr>
          <w:p>
            <w:pPr>
              <w:ind w:left="162" w:right="70" w:hanging="9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金预算</w:t>
            </w:r>
          </w:p>
        </w:tc>
        <w:tc>
          <w:tcPr>
            <w:tcW w:w="1109" w:type="dxa"/>
            <w:vAlign w:val="top"/>
          </w:tcPr>
          <w:p>
            <w:pPr>
              <w:ind w:left="372" w:right="14" w:hanging="34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ind w:right="3"/>
              <w:spacing w:before="13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930" w:type="dxa"/>
            <w:vAlign w:val="top"/>
          </w:tcPr>
          <w:p>
            <w:pPr>
              <w:ind w:left="8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079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115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7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 w:right="12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媒支出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八、社会保障和就业支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115" w:type="dxa"/>
            <w:vAlign w:val="top"/>
          </w:tcPr>
          <w:p>
            <w:pPr>
              <w:spacing w:before="139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079" w:type="dxa"/>
            <w:vAlign w:val="top"/>
          </w:tcPr>
          <w:p>
            <w:pPr>
              <w:ind w:right="6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115" w:type="dxa"/>
            <w:vAlign w:val="top"/>
          </w:tcPr>
          <w:p>
            <w:pPr>
              <w:ind w:right="4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3" w:right="122" w:hanging="7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息等支出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1" w:right="122" w:hanging="5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自然资源海洋气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象等支出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>
            <w:pPr>
              <w:ind w:right="6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15" w:type="dxa"/>
            <w:vAlign w:val="top"/>
          </w:tcPr>
          <w:p>
            <w:pPr>
              <w:ind w:right="4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 w:right="122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二十一、粮油物资储备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7" w:right="122" w:firstLine="1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二十二、国有资本经营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预算支出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0" w:right="122" w:hanging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二十三、灾害防治及应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急管理支出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 w:right="122" w:firstLine="2"/>
              <w:spacing w:before="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二十九、债务发行费用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 w:right="12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排的支出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37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40" w:id="48"/>
            <w:bookmarkEnd w:id="48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079" w:type="dxa"/>
            <w:vAlign w:val="top"/>
          </w:tcPr>
          <w:p>
            <w:pPr>
              <w:ind w:left="264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930" w:type="dxa"/>
            <w:vAlign w:val="top"/>
          </w:tcPr>
          <w:p>
            <w:pPr>
              <w:ind w:left="42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079" w:type="dxa"/>
            <w:vAlign w:val="top"/>
          </w:tcPr>
          <w:p>
            <w:pPr>
              <w:ind w:left="26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115" w:type="dxa"/>
            <w:vAlign w:val="top"/>
          </w:tcPr>
          <w:p>
            <w:pPr>
              <w:ind w:left="28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上年财政拨款结转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ind w:left="56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079" w:type="dxa"/>
            <w:vAlign w:val="top"/>
          </w:tcPr>
          <w:p>
            <w:pPr>
              <w:ind w:left="264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930" w:type="dxa"/>
            <w:vAlign w:val="top"/>
          </w:tcPr>
          <w:p>
            <w:pPr>
              <w:ind w:left="600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079" w:type="dxa"/>
            <w:vAlign w:val="top"/>
          </w:tcPr>
          <w:p>
            <w:pPr>
              <w:ind w:left="26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115" w:type="dxa"/>
            <w:vAlign w:val="top"/>
          </w:tcPr>
          <w:p>
            <w:pPr>
              <w:ind w:left="28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9"/>
          <w:pgSz w:w="11900" w:h="16840"/>
          <w:pgMar w:top="610" w:right="600" w:bottom="311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2"/>
        <w:gridCol w:w="3021"/>
        <w:gridCol w:w="1535"/>
        <w:gridCol w:w="1415"/>
        <w:gridCol w:w="1373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预算公开表5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871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1" w:id="49"/>
            <w:bookmarkEnd w:id="49"/>
            <w:bookmarkStart w:name="bookmark10" w:id="50"/>
            <w:bookmarkEnd w:id="5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2024年一般公共预算支出预算表（不含上年结转）</w:t>
            </w:r>
          </w:p>
        </w:tc>
      </w:tr>
      <w:tr>
        <w:trPr>
          <w:trHeight w:val="325" w:hRule="atLeast"/>
        </w:trPr>
        <w:tc>
          <w:tcPr>
            <w:tcW w:w="7643" w:type="dxa"/>
            <w:vAlign w:val="top"/>
            <w:gridSpan w:val="4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373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693" w:type="dxa"/>
            <w:vAlign w:val="top"/>
            <w:gridSpan w:val="2"/>
          </w:tcPr>
          <w:p>
            <w:pPr>
              <w:ind w:left="2166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323" w:type="dxa"/>
            <w:vAlign w:val="top"/>
            <w:gridSpan w:val="3"/>
          </w:tcPr>
          <w:p>
            <w:pPr>
              <w:ind w:left="161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1672" w:type="dxa"/>
            <w:vAlign w:val="top"/>
          </w:tcPr>
          <w:p>
            <w:pPr>
              <w:ind w:left="471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021" w:type="dxa"/>
            <w:vAlign w:val="top"/>
          </w:tcPr>
          <w:p>
            <w:pPr>
              <w:ind w:left="1145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535" w:type="dxa"/>
            <w:vAlign w:val="top"/>
          </w:tcPr>
          <w:p>
            <w:pPr>
              <w:ind w:left="586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15" w:type="dxa"/>
            <w:vAlign w:val="top"/>
          </w:tcPr>
          <w:p>
            <w:pPr>
              <w:ind w:left="346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73" w:type="dxa"/>
            <w:vAlign w:val="top"/>
          </w:tcPr>
          <w:p>
            <w:pPr>
              <w:ind w:left="327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693" w:type="dxa"/>
            <w:vAlign w:val="top"/>
            <w:gridSpan w:val="2"/>
          </w:tcPr>
          <w:p>
            <w:pPr>
              <w:ind w:left="2164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646.74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596.74</w:t>
            </w:r>
          </w:p>
        </w:tc>
        <w:tc>
          <w:tcPr>
            <w:tcW w:w="1373" w:type="dxa"/>
            <w:vAlign w:val="top"/>
          </w:tcPr>
          <w:p>
            <w:pPr>
              <w:ind w:right="14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02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53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448.65</w:t>
            </w:r>
          </w:p>
        </w:tc>
        <w:tc>
          <w:tcPr>
            <w:tcW w:w="141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398.65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535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2050299</w:t>
            </w:r>
          </w:p>
        </w:tc>
        <w:tc>
          <w:tcPr>
            <w:tcW w:w="3021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其他普通教育支出</w:t>
            </w:r>
          </w:p>
        </w:tc>
        <w:tc>
          <w:tcPr>
            <w:tcW w:w="1535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102.03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进修及培训</w:t>
            </w:r>
          </w:p>
        </w:tc>
        <w:tc>
          <w:tcPr>
            <w:tcW w:w="153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41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2050801</w:t>
            </w:r>
          </w:p>
        </w:tc>
        <w:tc>
          <w:tcPr>
            <w:tcW w:w="302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教师进修</w:t>
            </w:r>
          </w:p>
        </w:tc>
        <w:tc>
          <w:tcPr>
            <w:tcW w:w="153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41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346.62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208</w:t>
            </w:r>
          </w:p>
        </w:tc>
        <w:tc>
          <w:tcPr>
            <w:tcW w:w="3021" w:type="dxa"/>
            <w:vAlign w:val="top"/>
          </w:tcPr>
          <w:p>
            <w:pPr>
              <w:ind w:left="6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社会保障和就业支出</w:t>
            </w:r>
          </w:p>
        </w:tc>
        <w:tc>
          <w:tcPr>
            <w:tcW w:w="1535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415" w:type="dxa"/>
            <w:vAlign w:val="top"/>
          </w:tcPr>
          <w:p>
            <w:pPr>
              <w:spacing w:before="9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</w:t>
            </w:r>
          </w:p>
        </w:tc>
        <w:tc>
          <w:tcPr>
            <w:tcW w:w="3021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行政事业单位养老支出</w:t>
            </w:r>
          </w:p>
        </w:tc>
        <w:tc>
          <w:tcPr>
            <w:tcW w:w="153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415" w:type="dxa"/>
            <w:vAlign w:val="top"/>
          </w:tcPr>
          <w:p>
            <w:pPr>
              <w:spacing w:before="92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132.96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2080502</w:t>
            </w:r>
          </w:p>
        </w:tc>
        <w:tc>
          <w:tcPr>
            <w:tcW w:w="3021" w:type="dxa"/>
            <w:vAlign w:val="top"/>
          </w:tcPr>
          <w:p>
            <w:pPr>
              <w:ind w:left="5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事业单位离退休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2080505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2080506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210</w:t>
            </w:r>
          </w:p>
        </w:tc>
        <w:tc>
          <w:tcPr>
            <w:tcW w:w="3021" w:type="dxa"/>
            <w:vAlign w:val="top"/>
          </w:tcPr>
          <w:p>
            <w:pPr>
              <w:ind w:left="6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卫生健康支出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</w:t>
            </w:r>
          </w:p>
        </w:tc>
        <w:tc>
          <w:tcPr>
            <w:tcW w:w="3021" w:type="dxa"/>
            <w:vAlign w:val="top"/>
          </w:tcPr>
          <w:p>
            <w:pPr>
              <w:ind w:left="8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行政事业单位医疗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2101102</w:t>
            </w:r>
          </w:p>
        </w:tc>
        <w:tc>
          <w:tcPr>
            <w:tcW w:w="3021" w:type="dxa"/>
            <w:vAlign w:val="top"/>
          </w:tcPr>
          <w:p>
            <w:pPr>
              <w:ind w:left="5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事业单位医疗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20.08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8968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7"/>
        <w:gridCol w:w="2158"/>
        <w:gridCol w:w="1367"/>
        <w:gridCol w:w="1307"/>
        <w:gridCol w:w="1169"/>
      </w:tblGrid>
      <w:tr>
        <w:trPr>
          <w:trHeight w:val="331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4" w:line="226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预算公开表6</w:t>
            </w:r>
          </w:p>
        </w:tc>
      </w:tr>
      <w:tr>
        <w:trPr>
          <w:trHeight w:val="325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07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2" w:id="51"/>
            <w:bookmarkEnd w:id="51"/>
            <w:bookmarkStart w:name="bookmark11" w:id="52"/>
            <w:bookmarkEnd w:id="52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2024年一般公共预算安排基本支出分经济科目表（不含上年结转）</w:t>
            </w:r>
          </w:p>
        </w:tc>
      </w:tr>
      <w:tr>
        <w:trPr>
          <w:trHeight w:val="325" w:hRule="atLeast"/>
        </w:trPr>
        <w:tc>
          <w:tcPr>
            <w:tcW w:w="6492" w:type="dxa"/>
            <w:vAlign w:val="top"/>
            <w:gridSpan w:val="3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81" w:line="225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30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  <w:vMerge w:val="restart"/>
            <w:tcBorders>
              <w:bottom w:val="nil"/>
            </w:tcBorders>
          </w:tcPr>
          <w:p>
            <w:pPr>
              <w:ind w:left="401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部门预算支出经济科目名称</w:t>
            </w:r>
          </w:p>
        </w:tc>
        <w:tc>
          <w:tcPr>
            <w:tcW w:w="2158" w:type="dxa"/>
            <w:vAlign w:val="top"/>
            <w:vMerge w:val="restart"/>
            <w:tcBorders>
              <w:bottom w:val="nil"/>
            </w:tcBorders>
          </w:tcPr>
          <w:p>
            <w:pPr>
              <w:ind w:left="983" w:right="91" w:hanging="898"/>
              <w:spacing w:before="12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政府预算支出经济科目名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称</w:t>
            </w:r>
          </w:p>
        </w:tc>
        <w:tc>
          <w:tcPr>
            <w:tcW w:w="3843" w:type="dxa"/>
            <w:vAlign w:val="top"/>
            <w:gridSpan w:val="3"/>
          </w:tcPr>
          <w:p>
            <w:pPr>
              <w:ind w:left="137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left="502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ind w:left="293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人员经费</w:t>
            </w:r>
          </w:p>
        </w:tc>
        <w:tc>
          <w:tcPr>
            <w:tcW w:w="1169" w:type="dxa"/>
            <w:vAlign w:val="top"/>
          </w:tcPr>
          <w:p>
            <w:pPr>
              <w:ind w:left="227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</w:tr>
      <w:tr>
        <w:trPr>
          <w:trHeight w:val="325" w:hRule="atLeast"/>
        </w:trPr>
        <w:tc>
          <w:tcPr>
            <w:tcW w:w="5125" w:type="dxa"/>
            <w:vAlign w:val="top"/>
            <w:gridSpan w:val="2"/>
          </w:tcPr>
          <w:p>
            <w:pPr>
              <w:ind w:left="2375"/>
              <w:spacing w:before="6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596.74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579.79</w:t>
            </w:r>
          </w:p>
        </w:tc>
        <w:tc>
          <w:tcPr>
            <w:tcW w:w="1169" w:type="dxa"/>
            <w:vAlign w:val="top"/>
          </w:tcPr>
          <w:p>
            <w:pPr>
              <w:ind w:right="14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16.95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482.37</w:t>
            </w:r>
          </w:p>
        </w:tc>
        <w:tc>
          <w:tcPr>
            <w:tcW w:w="1307" w:type="dxa"/>
            <w:vAlign w:val="top"/>
          </w:tcPr>
          <w:p>
            <w:pPr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482.37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基本工资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182.87</w:t>
            </w:r>
          </w:p>
        </w:tc>
        <w:tc>
          <w:tcPr>
            <w:tcW w:w="130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182.87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津贴补贴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28.46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2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28.46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绩效工资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108.04</w:t>
            </w:r>
          </w:p>
        </w:tc>
        <w:tc>
          <w:tcPr>
            <w:tcW w:w="130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108.04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4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47.56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职业年金缴费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40.00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7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19.32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19.32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其他社会保障缴费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3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1.65</w:t>
            </w:r>
          </w:p>
        </w:tc>
        <w:tc>
          <w:tcPr>
            <w:tcW w:w="1307" w:type="dxa"/>
            <w:vAlign w:val="top"/>
          </w:tcPr>
          <w:p>
            <w:pPr>
              <w:spacing w:before="93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1.65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45.05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9.41</w:t>
            </w:r>
          </w:p>
        </w:tc>
        <w:tc>
          <w:tcPr>
            <w:tcW w:w="1307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9.41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right="4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16.95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8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16.95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9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取暖费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0.60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2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0.60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工会经费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5.95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2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5.95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福利费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10.40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8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10.40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对个人和家庭的补助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97.42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97.42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退休费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离退休费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45.40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2158" w:type="dxa"/>
            <w:vAlign w:val="top"/>
          </w:tcPr>
          <w:p>
            <w:pPr>
              <w:ind w:left="6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52.03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8"/>
        <w:gridCol w:w="4748"/>
        <w:gridCol w:w="1960"/>
      </w:tblGrid>
      <w:tr>
        <w:trPr>
          <w:trHeight w:val="426" w:hRule="atLeast"/>
        </w:trPr>
        <w:tc>
          <w:tcPr>
            <w:tcW w:w="2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3" w:id="53"/>
            <w:bookmarkEnd w:id="53"/>
            <w:bookmarkStart w:name="bookmark12" w:id="54"/>
            <w:bookmarkEnd w:id="5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2024年政府性基金预算收入表（不含上年结转）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9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政府性基金收入预算</w:t>
            </w:r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ind w:left="61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ind w:left="20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9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8"/>
        <w:gridCol w:w="3489"/>
        <w:gridCol w:w="1127"/>
        <w:gridCol w:w="1139"/>
        <w:gridCol w:w="1193"/>
      </w:tblGrid>
      <w:tr>
        <w:trPr>
          <w:trHeight w:val="426" w:hRule="atLeast"/>
        </w:trPr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预算公开表8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4" w:id="55"/>
            <w:bookmarkEnd w:id="55"/>
            <w:bookmarkStart w:name="bookmark13" w:id="56"/>
            <w:bookmarkEnd w:id="56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2024年政府性基金预算支出表（不含上年结转）</w:t>
            </w:r>
          </w:p>
        </w:tc>
      </w:tr>
      <w:tr>
        <w:trPr>
          <w:trHeight w:val="420" w:hRule="atLeast"/>
        </w:trPr>
        <w:tc>
          <w:tcPr>
            <w:tcW w:w="555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ind w:left="66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ind w:left="137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ind w:left="382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ind w:left="20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ind w:left="237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557" w:type="dxa"/>
            <w:vAlign w:val="top"/>
            <w:gridSpan w:val="2"/>
          </w:tcPr>
          <w:p>
            <w:pPr>
              <w:ind w:left="259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rPr>
          <w:trHeight w:val="427" w:hRule="atLeast"/>
        </w:trPr>
        <w:tc>
          <w:tcPr>
            <w:tcW w:w="10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252" w:line="20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部门公开表9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63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5" w:id="57"/>
            <w:bookmarkEnd w:id="57"/>
            <w:bookmarkStart w:name="bookmark14" w:id="58"/>
            <w:bookmarkEnd w:id="5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2024年国有资本经营预算收支预算表（不含上年结转）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759" w:type="dxa"/>
            <w:vAlign w:val="top"/>
            <w:gridSpan w:val="3"/>
          </w:tcPr>
          <w:p>
            <w:pPr>
              <w:ind w:left="99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国有资本经营预算收入</w:t>
            </w:r>
          </w:p>
        </w:tc>
        <w:tc>
          <w:tcPr>
            <w:tcW w:w="5257" w:type="dxa"/>
            <w:vAlign w:val="top"/>
            <w:gridSpan w:val="5"/>
          </w:tcPr>
          <w:p>
            <w:pPr>
              <w:ind w:left="174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国有资本经营预算支出</w:t>
            </w:r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30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ind w:left="17" w:right="21" w:firstLine="12"/>
              <w:spacing w:before="21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营收入预算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4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0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4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ind w:left="49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2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1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27"/>
        <w:gridCol w:w="1343"/>
        <w:gridCol w:w="1259"/>
        <w:gridCol w:w="1343"/>
        <w:gridCol w:w="1444"/>
      </w:tblGrid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预算公开表10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11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5" w:id="59"/>
            <w:bookmarkEnd w:id="5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2024年财政拨款安排“三公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”经费支出预算表</w:t>
            </w:r>
          </w:p>
        </w:tc>
      </w:tr>
      <w:tr>
        <w:trPr>
          <w:trHeight w:val="421" w:hRule="atLeast"/>
        </w:trPr>
        <w:tc>
          <w:tcPr>
            <w:tcW w:w="62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7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3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5389" w:type="dxa"/>
            <w:vAlign w:val="top"/>
            <w:gridSpan w:val="4"/>
          </w:tcPr>
          <w:p>
            <w:pPr>
              <w:ind w:left="215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ind w:left="487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ind w:left="8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343" w:type="dxa"/>
            <w:vAlign w:val="top"/>
          </w:tcPr>
          <w:p>
            <w:pPr>
              <w:ind w:left="3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ind w:left="629" w:right="92" w:hanging="52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10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因公出国（境）费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37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公务接待费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920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094"/>
              <w:spacing w:before="11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①公务用车购置费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913"/>
              <w:spacing w:before="113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1630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5"/>
        <w:gridCol w:w="1271"/>
        <w:gridCol w:w="1367"/>
        <w:gridCol w:w="1463"/>
        <w:gridCol w:w="1660"/>
      </w:tblGrid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预算公开表11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35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6" w:id="60"/>
            <w:bookmarkEnd w:id="60"/>
            <w:bookmarkStart w:name="bookmark16" w:id="61"/>
            <w:bookmarkEnd w:id="6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2024年财政拨款安排机关运行经费预算表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26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单位名称</w:t>
            </w:r>
          </w:p>
        </w:tc>
        <w:tc>
          <w:tcPr>
            <w:tcW w:w="5761" w:type="dxa"/>
            <w:vAlign w:val="top"/>
            <w:gridSpan w:val="4"/>
          </w:tcPr>
          <w:p>
            <w:pPr>
              <w:ind w:left="242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2024预算数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ind w:left="451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ind w:left="143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463" w:type="dxa"/>
            <w:vAlign w:val="top"/>
          </w:tcPr>
          <w:p>
            <w:pPr>
              <w:ind w:left="9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660" w:type="dxa"/>
            <w:vAlign w:val="top"/>
          </w:tcPr>
          <w:p>
            <w:pPr>
              <w:ind w:left="124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国有资本经营预算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ind w:left="1265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部门合计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8"/>
              </w:rPr>
              <w:t>注 ：本表无数据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5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08"/>
        <w:gridCol w:w="1187"/>
        <w:gridCol w:w="1187"/>
        <w:gridCol w:w="659"/>
        <w:gridCol w:w="1127"/>
        <w:gridCol w:w="1103"/>
        <w:gridCol w:w="845"/>
      </w:tblGrid>
      <w:tr>
        <w:trPr>
          <w:trHeight w:val="427" w:hRule="atLeast"/>
        </w:trPr>
        <w:tc>
          <w:tcPr>
            <w:tcW w:w="29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预算公开表12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7" w:id="62"/>
            <w:bookmarkEnd w:id="62"/>
            <w:bookmarkStart w:name="bookmark17" w:id="63"/>
            <w:bookmarkEnd w:id="6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2024年项目支出预算表（本年预算）</w:t>
            </w:r>
          </w:p>
        </w:tc>
      </w:tr>
      <w:tr>
        <w:trPr>
          <w:trHeight w:val="421" w:hRule="atLeast"/>
        </w:trPr>
        <w:tc>
          <w:tcPr>
            <w:tcW w:w="70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29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09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40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2973" w:type="dxa"/>
            <w:vAlign w:val="top"/>
            <w:gridSpan w:val="3"/>
          </w:tcPr>
          <w:p>
            <w:pPr>
              <w:ind w:left="855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  <w:tc>
          <w:tcPr>
            <w:tcW w:w="11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78" w:right="10" w:hanging="367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9"/>
              </w:rPr>
              <w:t>资金</w:t>
            </w:r>
          </w:p>
        </w:tc>
        <w:tc>
          <w:tcPr>
            <w:tcW w:w="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6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</w:tr>
      <w:tr>
        <w:trPr>
          <w:trHeight w:val="612" w:hRule="atLeast"/>
        </w:trPr>
        <w:tc>
          <w:tcPr>
            <w:tcW w:w="29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</w:tcPr>
          <w:p>
            <w:pPr>
              <w:ind w:left="52"/>
              <w:spacing w:before="2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659" w:type="dxa"/>
            <w:vAlign w:val="top"/>
          </w:tcPr>
          <w:p>
            <w:pPr>
              <w:ind w:left="55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政府性</w:t>
            </w:r>
          </w:p>
          <w:p>
            <w:pPr>
              <w:ind w:left="5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基金预</w:t>
            </w:r>
          </w:p>
          <w:p>
            <w:pPr>
              <w:ind w:left="238"/>
              <w:spacing w:line="196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27" w:type="dxa"/>
            <w:vAlign w:val="top"/>
          </w:tcPr>
          <w:p>
            <w:pPr>
              <w:ind w:left="382" w:right="23" w:hanging="343"/>
              <w:spacing w:before="9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1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420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87" w:type="dxa"/>
            <w:vAlign w:val="top"/>
          </w:tcPr>
          <w:p>
            <w:pPr>
              <w:ind w:left="548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ind w:left="55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ind w:left="283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ind w:left="523"/>
              <w:spacing w:before="14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  <w:tc>
          <w:tcPr>
            <w:tcW w:w="1103" w:type="dxa"/>
            <w:vAlign w:val="top"/>
          </w:tcPr>
          <w:p>
            <w:pPr>
              <w:ind w:left="510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ind w:left="382"/>
              <w:spacing w:before="14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7</w:t>
            </w:r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92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兴县教育科技局教学研究室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908" w:type="dxa"/>
            <w:vAlign w:val="top"/>
          </w:tcPr>
          <w:p>
            <w:pPr>
              <w:ind w:left="9" w:right="16" w:firstLine="361"/>
              <w:spacing w:before="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2024年中小学教师培训费及名师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培养费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50.00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58"/>
        <w:gridCol w:w="1139"/>
        <w:gridCol w:w="1259"/>
        <w:gridCol w:w="1211"/>
        <w:gridCol w:w="1349"/>
      </w:tblGrid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2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8" w:id="64"/>
            <w:bookmarkEnd w:id="6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2024年项目支出预算表（上年结转）</w:t>
            </w:r>
          </w:p>
        </w:tc>
      </w:tr>
      <w:tr>
        <w:trPr>
          <w:trHeight w:val="421" w:hRule="atLeast"/>
        </w:trPr>
        <w:tc>
          <w:tcPr>
            <w:tcW w:w="766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单位名称：兴县教育科技局教学研究室</w:t>
            </w:r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6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819" w:type="dxa"/>
            <w:vAlign w:val="top"/>
            <w:gridSpan w:val="3"/>
          </w:tcPr>
          <w:p>
            <w:pPr>
              <w:ind w:left="127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9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211" w:type="dxa"/>
            <w:vAlign w:val="top"/>
          </w:tcPr>
          <w:p>
            <w:pPr>
              <w:ind w:left="426" w:right="154" w:hanging="272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349" w:type="dxa"/>
            <w:vAlign w:val="top"/>
          </w:tcPr>
          <w:p>
            <w:pPr>
              <w:ind w:left="313" w:right="315" w:firstLine="16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国有资本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经营预算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ind w:left="199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ind w:left="52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ind w:left="58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ind w:left="56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ind w:left="633"/>
              <w:spacing w:before="14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11900" w:h="16840"/>
          <w:pgMar w:top="610" w:right="600" w:bottom="312" w:left="600" w:header="357" w:footer="15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06" w:lineRule="auto"/>
        <w:rPr>
          <w:rFonts w:ascii="Arial"/>
          <w:sz w:val="21"/>
        </w:rPr>
      </w:pPr>
      <w:r/>
    </w:p>
    <w:p>
      <w:pPr>
        <w:spacing w:line="307" w:lineRule="auto"/>
        <w:rPr>
          <w:rFonts w:ascii="Arial"/>
          <w:sz w:val="21"/>
        </w:rPr>
      </w:pPr>
      <w:r/>
    </w:p>
    <w:p>
      <w:pPr>
        <w:ind w:left="3268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19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第三部分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2024年度单位预算情况说明</w:t>
      </w:r>
    </w:p>
    <w:p>
      <w:pPr>
        <w:spacing w:line="300" w:lineRule="auto"/>
        <w:rPr>
          <w:rFonts w:ascii="Arial"/>
          <w:sz w:val="21"/>
        </w:rPr>
      </w:pPr>
      <w:r/>
    </w:p>
    <w:p>
      <w:pPr>
        <w:ind w:left="698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66"/>
      <w:bookmarkEnd w:id="66"/>
      <w:r>
        <w:rPr>
          <w:rFonts w:ascii="SimHei" w:hAnsi="SimHei" w:eastAsia="SimHei" w:cs="SimHei"/>
          <w:sz w:val="25"/>
          <w:szCs w:val="25"/>
          <w:spacing w:val="1"/>
        </w:rPr>
        <w:t>一、单位预算收支数据变动情况及原因</w:t>
      </w:r>
    </w:p>
    <w:p>
      <w:pPr>
        <w:ind w:left="706" w:right="937" w:firstLine="499"/>
        <w:spacing w:before="130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2024年度兴县教育科技局教学研究室预算收入总计646.74万元，其中：本年收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入646.74万元，上年结转0万元，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比上年减少92.17万元</w:t>
      </w:r>
      <w:r>
        <w:rPr>
          <w:rFonts w:ascii="FangSong" w:hAnsi="FangSong" w:eastAsia="FangSong" w:cs="FangSong"/>
          <w:sz w:val="25"/>
          <w:szCs w:val="25"/>
          <w:spacing w:val="4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，下降12.47%，主要原因</w:t>
      </w:r>
    </w:p>
    <w:p>
      <w:pPr>
        <w:ind w:left="707"/>
        <w:spacing w:before="45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是上年度补发基础绩效奖等工资福利支出金额较大，以致上下年对比减少较大。；</w:t>
      </w:r>
    </w:p>
    <w:p>
      <w:pPr>
        <w:ind w:left="707" w:right="805"/>
        <w:spacing w:before="129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本年单位预算支出总计646.74万元，其中：本年预算安排646.74万元，上年结转0万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元，比上年减少92.17万元，下降12.47%，主要原因是上年度补发基础绩效奖等工资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福利支出金额较大，以致上下年对比减少较大。</w:t>
      </w:r>
    </w:p>
    <w:p>
      <w:pPr>
        <w:ind w:left="698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7"/>
      <w:bookmarkEnd w:id="67"/>
      <w:r>
        <w:rPr>
          <w:rFonts w:ascii="SimHei" w:hAnsi="SimHei" w:eastAsia="SimHei" w:cs="SimHei"/>
          <w:sz w:val="25"/>
          <w:szCs w:val="25"/>
        </w:rPr>
        <w:t>二、收入预算情况说明</w:t>
      </w:r>
    </w:p>
    <w:p>
      <w:pPr>
        <w:ind w:left="704" w:right="925" w:firstLine="502"/>
        <w:spacing w:before="130" w:line="311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2024年度兴县教育科技局教学研究室预算收入646.74万元，主要包括一般公共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预算拨款收入646.74万元，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占100.00%；</w:t>
      </w:r>
      <w:r>
        <w:rPr>
          <w:rFonts w:ascii="FangSong" w:hAnsi="FangSong" w:eastAsia="FangSong" w:cs="FangSong"/>
          <w:sz w:val="25"/>
          <w:szCs w:val="25"/>
          <w:spacing w:val="-3"/>
        </w:rPr>
        <w:t>政府性基金预算拨款收入0万元，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</w:t>
      </w:r>
      <w:r>
        <w:rPr>
          <w:rFonts w:ascii="FangSong" w:hAnsi="FangSong" w:eastAsia="FangSong" w:cs="FangSong"/>
          <w:sz w:val="25"/>
          <w:szCs w:val="25"/>
          <w:spacing w:val="-7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国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有资本经营预算拨款收入0万元，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占0%；财政专户管</w:t>
      </w:r>
      <w:r>
        <w:rPr>
          <w:rFonts w:ascii="FangSong" w:hAnsi="FangSong" w:eastAsia="FangSong" w:cs="FangSong"/>
          <w:sz w:val="25"/>
          <w:szCs w:val="25"/>
          <w:spacing w:val="-2"/>
        </w:rPr>
        <w:t>理资金收入0万元，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占0%；单位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资金0万元，</w:t>
      </w:r>
      <w:r>
        <w:rPr>
          <w:rFonts w:ascii="FangSong" w:hAnsi="FangSong" w:eastAsia="FangSong" w:cs="FangSong"/>
          <w:sz w:val="25"/>
          <w:szCs w:val="25"/>
          <w:spacing w:val="-5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占0%；上年结转0万元，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占0%。</w:t>
      </w:r>
    </w:p>
    <w:p>
      <w:pPr>
        <w:spacing w:line="385" w:lineRule="auto"/>
        <w:rPr>
          <w:rFonts w:ascii="Arial"/>
          <w:sz w:val="21"/>
        </w:rPr>
      </w:pPr>
      <w:r/>
    </w:p>
    <w:p>
      <w:pPr>
        <w:ind w:firstLine="2804"/>
        <w:spacing w:line="3266" w:lineRule="exact"/>
        <w:rPr/>
      </w:pPr>
      <w:r>
        <w:rPr>
          <w:position w:val="-65"/>
        </w:rPr>
        <w:drawing>
          <wp:inline distT="0" distB="0" distL="0" distR="0">
            <wp:extent cx="2609084" cy="2073780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9084" cy="207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699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8"/>
      <w:bookmarkEnd w:id="68"/>
      <w:r>
        <w:rPr>
          <w:rFonts w:ascii="SimHei" w:hAnsi="SimHei" w:eastAsia="SimHei" w:cs="SimHei"/>
          <w:sz w:val="25"/>
          <w:szCs w:val="25"/>
        </w:rPr>
        <w:t>三、支出预算情况说明</w:t>
      </w:r>
    </w:p>
    <w:p>
      <w:pPr>
        <w:ind w:left="704" w:right="1189" w:firstLine="502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2024年度兴县教育科技局教学研究室支出预算646.74万元，其中：基本支出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596.74万元，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占92.27%；项目支出50万元，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占7.73%。</w:t>
      </w:r>
    </w:p>
    <w:p>
      <w:pPr>
        <w:ind w:left="714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9"/>
      <w:bookmarkEnd w:id="69"/>
      <w:r>
        <w:rPr>
          <w:rFonts w:ascii="SimHei" w:hAnsi="SimHei" w:eastAsia="SimHei" w:cs="SimHei"/>
          <w:sz w:val="25"/>
          <w:szCs w:val="25"/>
        </w:rPr>
        <w:t>四、财政拨款收支预算总体情况说明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2024年度兴县教育科技局教学研究室财政拨款收支总预算646.7</w:t>
      </w:r>
      <w:r>
        <w:rPr>
          <w:rFonts w:ascii="FangSong" w:hAnsi="FangSong" w:eastAsia="FangSong" w:cs="FangSong"/>
          <w:sz w:val="25"/>
          <w:szCs w:val="25"/>
          <w:spacing w:val="1"/>
        </w:rPr>
        <w:t>4万元。其</w:t>
      </w:r>
    </w:p>
    <w:p>
      <w:pPr>
        <w:ind w:left="706" w:right="805" w:firstLine="32"/>
        <w:spacing w:before="131" w:line="311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中：一般公共预算拨款646.74万元，政府性基金预算拨款0万元，</w:t>
      </w:r>
      <w:r>
        <w:rPr>
          <w:rFonts w:ascii="FangSong" w:hAnsi="FangSong" w:eastAsia="FangSong" w:cs="FangSong"/>
          <w:sz w:val="25"/>
          <w:szCs w:val="25"/>
          <w:spacing w:val="-5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国有资本经营预算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拨款0万元。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其中：当年拨款收入646.</w:t>
      </w:r>
      <w:r>
        <w:rPr>
          <w:rFonts w:ascii="FangSong" w:hAnsi="FangSong" w:eastAsia="FangSong" w:cs="FangSong"/>
          <w:sz w:val="25"/>
          <w:szCs w:val="25"/>
          <w:spacing w:val="1"/>
        </w:rPr>
        <w:t>74万元，上年结转收入0万元。支出包括：教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育支出448.65万元、社会保障和就业支出132.96万元、卫生健康支出20.08万元、住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房保障支出45.05万元等。</w:t>
      </w:r>
    </w:p>
    <w:p>
      <w:pPr>
        <w:ind w:left="706"/>
        <w:spacing w:before="4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70"/>
      <w:bookmarkEnd w:id="70"/>
      <w:r>
        <w:rPr>
          <w:rFonts w:ascii="SimHei" w:hAnsi="SimHei" w:eastAsia="SimHei" w:cs="SimHei"/>
          <w:sz w:val="25"/>
          <w:szCs w:val="25"/>
        </w:rPr>
        <w:t>五、一般公共预算支出情况说明</w:t>
      </w:r>
    </w:p>
    <w:p>
      <w:pPr>
        <w:spacing w:line="222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1212"/>
        <w:spacing w:before="81" w:line="223" w:lineRule="auto"/>
        <w:rPr>
          <w:rFonts w:ascii="FangSong" w:hAnsi="FangSong" w:eastAsia="FangSong" w:cs="FangSong"/>
          <w:sz w:val="25"/>
          <w:szCs w:val="25"/>
        </w:rPr>
      </w:pPr>
      <w:bookmarkStart w:name="bookmark48" w:id="71"/>
      <w:bookmarkEnd w:id="71"/>
      <w:r>
        <w:rPr>
          <w:rFonts w:ascii="FangSong" w:hAnsi="FangSong" w:eastAsia="FangSong" w:cs="FangSong"/>
          <w:sz w:val="25"/>
          <w:szCs w:val="25"/>
          <w:spacing w:val="1"/>
        </w:rPr>
        <w:t>（一）一般公共预算当年支出规模变化情况</w:t>
      </w:r>
    </w:p>
    <w:p>
      <w:pPr>
        <w:ind w:left="708" w:right="811" w:firstLine="497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2024年度兴县教育科技局教学研究室一般公共预算当年支出646.74万元,比上年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减少92.17万元</w:t>
      </w:r>
      <w:r>
        <w:rPr>
          <w:rFonts w:ascii="FangSong" w:hAnsi="FangSong" w:eastAsia="FangSong" w:cs="FangSong"/>
          <w:sz w:val="25"/>
          <w:szCs w:val="25"/>
          <w:spacing w:val="4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，下降12.47%。</w:t>
      </w:r>
    </w:p>
    <w:p>
      <w:pPr>
        <w:ind w:left="1212"/>
        <w:spacing w:before="4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（二）一般公共预算当年支出结构情况</w:t>
      </w:r>
    </w:p>
    <w:p>
      <w:pPr>
        <w:ind w:left="711" w:right="811" w:firstLine="494"/>
        <w:spacing w:before="13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2024年度兴县教育科技局教学研究室一般公共预算当年支出646.74万元,主要用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于以下方面：教育支出448.65万元，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占69.37%；社会保障</w:t>
      </w:r>
      <w:r>
        <w:rPr>
          <w:rFonts w:ascii="FangSong" w:hAnsi="FangSong" w:eastAsia="FangSong" w:cs="FangSong"/>
          <w:sz w:val="25"/>
          <w:szCs w:val="25"/>
          <w:spacing w:val="-1"/>
        </w:rPr>
        <w:t>和就业支出132.96万元，</w:t>
      </w:r>
    </w:p>
    <w:p>
      <w:pPr>
        <w:ind w:left="701" w:right="1549" w:firstLine="49"/>
        <w:spacing w:before="42" w:line="30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占20.56%；卫生健康支出20.08万元，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占3.10%；住房保障</w:t>
      </w:r>
      <w:r>
        <w:rPr>
          <w:rFonts w:ascii="FangSong" w:hAnsi="FangSong" w:eastAsia="FangSong" w:cs="FangSong"/>
          <w:sz w:val="25"/>
          <w:szCs w:val="25"/>
          <w:spacing w:val="-3"/>
        </w:rPr>
        <w:t>支出45.05万元，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6.97%等。</w:t>
      </w:r>
    </w:p>
    <w:p>
      <w:pPr>
        <w:ind w:firstLine="2744"/>
        <w:spacing w:before="142" w:line="2447" w:lineRule="exact"/>
        <w:rPr/>
      </w:pPr>
      <w:r>
        <w:rPr>
          <w:position w:val="-48"/>
        </w:rPr>
        <w:drawing>
          <wp:inline distT="0" distB="0" distL="0" distR="0">
            <wp:extent cx="2773735" cy="155390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73735" cy="1553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707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72"/>
      <w:bookmarkEnd w:id="72"/>
      <w:r>
        <w:rPr>
          <w:rFonts w:ascii="SimHei" w:hAnsi="SimHei" w:eastAsia="SimHei" w:cs="SimHei"/>
          <w:sz w:val="25"/>
          <w:szCs w:val="25"/>
        </w:rPr>
        <w:t>六、一般公共预算基本支出情况说明</w:t>
      </w:r>
    </w:p>
    <w:p>
      <w:pPr>
        <w:ind w:left="708" w:right="988" w:firstLine="497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2024年度兴县教育科技局教学研究室一般公共预算安排基本支出596.74万元，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6"/>
        </w:rPr>
        <w:t>其中：</w:t>
      </w:r>
    </w:p>
    <w:p>
      <w:pPr>
        <w:ind w:left="718" w:right="937" w:firstLine="496"/>
        <w:spacing w:before="39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人员经费579.79万元，主要包括：其他对个人和家庭的补助、其他工资福利支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出、其他社会保障缴费、绩效工资、基本工资、退休费、机关事业单位基本养老保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险缴费、住房公积金、职业年金缴费、津贴补贴、职工基本医疗保险缴费等；</w:t>
      </w:r>
    </w:p>
    <w:p>
      <w:pPr>
        <w:ind w:left="1216"/>
        <w:spacing w:before="4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公用经费16.95万元，主要包括：福利费、工会经费、取暖费等。</w:t>
      </w:r>
    </w:p>
    <w:p>
      <w:pPr>
        <w:ind w:left="69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73"/>
      <w:bookmarkEnd w:id="73"/>
      <w:r>
        <w:rPr>
          <w:rFonts w:ascii="SimHei" w:hAnsi="SimHei" w:eastAsia="SimHei" w:cs="SimHei"/>
          <w:sz w:val="25"/>
          <w:szCs w:val="25"/>
          <w:spacing w:val="1"/>
        </w:rPr>
        <w:t>七、“三公”经费增减变动原因说明</w:t>
      </w:r>
    </w:p>
    <w:p>
      <w:pPr>
        <w:ind w:left="121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本单位无“三公</w:t>
      </w:r>
      <w:r>
        <w:rPr>
          <w:rFonts w:ascii="FangSong" w:hAnsi="FangSong" w:eastAsia="FangSong" w:cs="FangSong"/>
          <w:sz w:val="25"/>
          <w:szCs w:val="25"/>
          <w:spacing w:val="-8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”经费预算。</w:t>
      </w:r>
    </w:p>
    <w:p>
      <w:pPr>
        <w:ind w:left="694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74"/>
      <w:bookmarkEnd w:id="74"/>
      <w:r>
        <w:rPr>
          <w:rFonts w:ascii="SimHei" w:hAnsi="SimHei" w:eastAsia="SimHei" w:cs="SimHei"/>
          <w:sz w:val="25"/>
          <w:szCs w:val="25"/>
          <w:spacing w:val="1"/>
        </w:rPr>
        <w:t>八、机关运行经费增减变动原因说明</w:t>
      </w:r>
    </w:p>
    <w:p>
      <w:pPr>
        <w:ind w:left="1220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我单位为事业单位，无机关运行经费。</w:t>
      </w:r>
    </w:p>
    <w:p>
      <w:pPr>
        <w:ind w:left="700"/>
        <w:spacing w:before="131" w:line="225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8" w:id="75"/>
      <w:bookmarkEnd w:id="75"/>
      <w:r>
        <w:rPr>
          <w:rFonts w:ascii="SimHei" w:hAnsi="SimHei" w:eastAsia="SimHei" w:cs="SimHei"/>
          <w:sz w:val="25"/>
          <w:szCs w:val="25"/>
          <w:spacing w:val="-1"/>
        </w:rPr>
        <w:t>九、政府采购情况</w:t>
      </w:r>
    </w:p>
    <w:p>
      <w:pPr>
        <w:ind w:left="707" w:right="805" w:firstLine="498"/>
        <w:spacing w:before="129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2024年兴县教育科技局教学研究室政府采购预算总额</w:t>
      </w:r>
      <w:r>
        <w:rPr>
          <w:rFonts w:ascii="FangSong" w:hAnsi="FangSong" w:eastAsia="FangSong" w:cs="FangSong"/>
          <w:sz w:val="25"/>
          <w:szCs w:val="25"/>
          <w:spacing w:val="1"/>
        </w:rPr>
        <w:t>0万元。其中：政府采购货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物预算0万元、政府采购工程预算0万元、政府采购服务</w:t>
      </w:r>
      <w:r>
        <w:rPr>
          <w:rFonts w:ascii="FangSong" w:hAnsi="FangSong" w:eastAsia="FangSong" w:cs="FangSong"/>
          <w:sz w:val="25"/>
          <w:szCs w:val="25"/>
          <w:spacing w:val="1"/>
        </w:rPr>
        <w:t>预算0万元。</w:t>
      </w:r>
    </w:p>
    <w:p>
      <w:pPr>
        <w:ind w:left="697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9" w:id="76"/>
      <w:bookmarkEnd w:id="76"/>
      <w:r>
        <w:rPr>
          <w:rFonts w:ascii="SimHei" w:hAnsi="SimHei" w:eastAsia="SimHei" w:cs="SimHei"/>
          <w:sz w:val="25"/>
          <w:szCs w:val="25"/>
        </w:rPr>
        <w:t>十、绩效管理情况</w:t>
      </w:r>
    </w:p>
    <w:p>
      <w:pPr>
        <w:ind w:left="122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1、整体绩效目标</w:t>
      </w:r>
    </w:p>
    <w:p>
      <w:pPr>
        <w:ind w:left="702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2024年未编报单位整体绩效目标，涉及资金0万元。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2、项目绩效目标</w:t>
      </w:r>
    </w:p>
    <w:p>
      <w:pPr>
        <w:ind w:firstLine="690"/>
        <w:spacing w:before="33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79" w:lineRule="auto"/>
        <w:rPr>
          <w:rFonts w:ascii="Arial"/>
          <w:sz w:val="21"/>
        </w:rPr>
      </w:pPr>
      <w:r/>
    </w:p>
    <w:p>
      <w:pPr>
        <w:ind w:left="706" w:right="1057" w:firstLine="500"/>
        <w:spacing w:before="81" w:line="302" w:lineRule="auto"/>
        <w:rPr>
          <w:rFonts w:ascii="FangSong" w:hAnsi="FangSong" w:eastAsia="FangSong" w:cs="FangSong"/>
          <w:sz w:val="25"/>
          <w:szCs w:val="25"/>
        </w:rPr>
      </w:pPr>
      <w:bookmarkStart w:name="bookmark49" w:id="77"/>
      <w:bookmarkEnd w:id="77"/>
      <w:r>
        <w:rPr>
          <w:rFonts w:ascii="FangSong" w:hAnsi="FangSong" w:eastAsia="FangSong" w:cs="FangSong"/>
          <w:sz w:val="25"/>
          <w:szCs w:val="25"/>
          <w:spacing w:val="2"/>
        </w:rPr>
        <w:t>2024年兴县教育科技局教学研究室纳入绩效目标管</w:t>
      </w:r>
      <w:r>
        <w:rPr>
          <w:rFonts w:ascii="FangSong" w:hAnsi="FangSong" w:eastAsia="FangSong" w:cs="FangSong"/>
          <w:sz w:val="25"/>
          <w:szCs w:val="25"/>
          <w:spacing w:val="1"/>
        </w:rPr>
        <w:t>理的二级项目1个，共计金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额50.00万元。其中：其他运转类项目1个，涉及金额50.0</w:t>
      </w:r>
      <w:r>
        <w:rPr>
          <w:rFonts w:ascii="FangSong" w:hAnsi="FangSong" w:eastAsia="FangSong" w:cs="FangSong"/>
          <w:sz w:val="25"/>
          <w:szCs w:val="25"/>
          <w:spacing w:val="1"/>
        </w:rPr>
        <w:t>0万元；特定目标类项</w:t>
      </w:r>
    </w:p>
    <w:p>
      <w:pPr>
        <w:ind w:left="707" w:right="913" w:firstLine="43"/>
        <w:spacing w:before="45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目0个，涉及金额0万元。公开项目绩效目标1个，涉及项目金额50.00万元，</w:t>
      </w:r>
      <w:r>
        <w:rPr>
          <w:rFonts w:ascii="FangSong" w:hAnsi="FangSong" w:eastAsia="FangSong" w:cs="FangSong"/>
          <w:sz w:val="25"/>
          <w:szCs w:val="25"/>
          <w:spacing w:val="-5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占部门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（单位）项目支出总额的100%。其中：其他运转类项目1个，涉及项目金额5</w:t>
      </w:r>
      <w:r>
        <w:rPr>
          <w:rFonts w:ascii="FangSong" w:hAnsi="FangSong" w:eastAsia="FangSong" w:cs="FangSong"/>
          <w:sz w:val="25"/>
          <w:szCs w:val="25"/>
          <w:spacing w:val="1"/>
        </w:rPr>
        <w:t>0.00万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元；特定目标类项目0个，涉及项目金额0万元。</w:t>
      </w:r>
    </w:p>
    <w:p>
      <w:pPr>
        <w:ind w:left="1212"/>
        <w:spacing w:before="4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（项目绩效目标表公开情况见附件）</w:t>
      </w:r>
    </w:p>
    <w:p>
      <w:pPr>
        <w:spacing w:line="224" w:lineRule="auto"/>
        <w:sectPr>
          <w:footerReference w:type="default" r:id="rId23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467" w:lineRule="auto"/>
        <w:rPr>
          <w:rFonts w:ascii="Arial"/>
          <w:sz w:val="21"/>
        </w:rPr>
      </w:pPr>
      <w:r/>
    </w:p>
    <w:p>
      <w:pPr>
        <w:ind w:firstLine="570"/>
        <w:spacing w:line="13443" w:lineRule="exact"/>
        <w:rPr/>
      </w:pPr>
      <w:r>
        <w:rPr>
          <w:position w:val="-268"/>
        </w:rPr>
        <w:drawing>
          <wp:inline distT="0" distB="0" distL="0" distR="0">
            <wp:extent cx="6097700" cy="8536779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36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43" w:lineRule="exact"/>
        <w:sectPr>
          <w:footerReference w:type="default" r:id="rId24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362" w:lineRule="auto"/>
        <w:rPr>
          <w:rFonts w:ascii="Arial"/>
          <w:sz w:val="21"/>
        </w:rPr>
      </w:pPr>
      <w:r/>
    </w:p>
    <w:p>
      <w:pPr>
        <w:ind w:left="697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0" w:id="78"/>
      <w:bookmarkEnd w:id="78"/>
      <w:r>
        <w:rPr>
          <w:rFonts w:ascii="SimHei" w:hAnsi="SimHei" w:eastAsia="SimHei" w:cs="SimHei"/>
          <w:sz w:val="25"/>
          <w:szCs w:val="25"/>
        </w:rPr>
        <w:t>十一、国有资产占有使用情况</w:t>
      </w:r>
    </w:p>
    <w:p>
      <w:pPr>
        <w:ind w:left="1221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1、车辆情况：</w:t>
      </w:r>
    </w:p>
    <w:p>
      <w:pPr>
        <w:ind w:left="704" w:right="1165" w:firstLine="506"/>
        <w:spacing w:before="133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截至2024年5月1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日，兴县教育科技局教学研究室</w:t>
      </w:r>
      <w:r>
        <w:rPr>
          <w:rFonts w:ascii="FangSong" w:hAnsi="FangSong" w:eastAsia="FangSong" w:cs="FangSong"/>
          <w:sz w:val="25"/>
          <w:szCs w:val="25"/>
          <w:spacing w:val="-1"/>
        </w:rPr>
        <w:t>共有公务用车编制0辆，实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有0辆，其中：领导用车0辆，机要通信用车0辆，应急保障用车0辆，执法执勤用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车0辆，特种专业技术用车0辆，事业单位业务用车0辆，其他公务用车0辆。</w:t>
      </w:r>
    </w:p>
    <w:p>
      <w:pPr>
        <w:ind w:left="1206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2、房屋情况：</w:t>
      </w:r>
    </w:p>
    <w:p>
      <w:pPr>
        <w:ind w:left="708" w:right="1429" w:firstLine="50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截至2024年5月1</w:t>
      </w:r>
      <w:r>
        <w:rPr>
          <w:rFonts w:ascii="FangSong" w:hAnsi="FangSong" w:eastAsia="FangSong" w:cs="FangSong"/>
          <w:sz w:val="25"/>
          <w:szCs w:val="25"/>
          <w:spacing w:val="-3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日，兴县教育科技局教学研究室使用的办公用房建筑总面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积200平方米。</w:t>
      </w:r>
    </w:p>
    <w:p>
      <w:pPr>
        <w:ind w:left="1208"/>
        <w:spacing w:before="4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3、其他国有资产占有使用情况：</w:t>
      </w:r>
    </w:p>
    <w:p>
      <w:pPr>
        <w:ind w:left="706" w:right="931" w:firstLine="504"/>
        <w:spacing w:before="128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截至2024年5月1</w:t>
      </w:r>
      <w:r>
        <w:rPr>
          <w:rFonts w:ascii="FangSong" w:hAnsi="FangSong" w:eastAsia="FangSong" w:cs="FangSong"/>
          <w:sz w:val="25"/>
          <w:szCs w:val="25"/>
          <w:spacing w:val="-4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日，兴县教育科技局教学研究室占有使用价值50万元（原值）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以上的通用设备0台（套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  <w:spacing w:val="1"/>
        </w:rPr>
        <w:t>兴县教育科技局教学研究室占有使用价值100</w:t>
      </w:r>
      <w:r>
        <w:rPr>
          <w:rFonts w:ascii="FangSong" w:hAnsi="FangSong" w:eastAsia="FangSong" w:cs="FangSong"/>
          <w:sz w:val="25"/>
          <w:szCs w:val="25"/>
        </w:rPr>
        <w:t>万元（原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值）以上的通用设备0台（套）。</w:t>
      </w:r>
    </w:p>
    <w:p>
      <w:pPr>
        <w:ind w:left="697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1" w:id="79"/>
      <w:bookmarkEnd w:id="79"/>
      <w:r>
        <w:rPr>
          <w:rFonts w:ascii="SimHei" w:hAnsi="SimHei" w:eastAsia="SimHei" w:cs="SimHei"/>
          <w:sz w:val="25"/>
          <w:szCs w:val="25"/>
          <w:spacing w:val="-1"/>
        </w:rPr>
        <w:t>十二、其他说明</w:t>
      </w:r>
    </w:p>
    <w:p>
      <w:pPr>
        <w:ind w:left="1212"/>
        <w:spacing w:before="131" w:line="222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2" w:id="80"/>
      <w:bookmarkEnd w:id="80"/>
      <w:r>
        <w:rPr>
          <w:rFonts w:ascii="FangSong" w:hAnsi="FangSong" w:eastAsia="FangSong" w:cs="FangSong"/>
          <w:sz w:val="25"/>
          <w:szCs w:val="25"/>
        </w:rPr>
        <w:t>（一）政府购买服务指导性目录</w:t>
      </w:r>
    </w:p>
    <w:p>
      <w:pPr>
        <w:ind w:left="1214"/>
        <w:spacing w:before="276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1212"/>
        <w:spacing w:before="269" w:line="223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3" w:id="81"/>
      <w:bookmarkEnd w:id="81"/>
      <w:r>
        <w:rPr>
          <w:rFonts w:ascii="FangSong" w:hAnsi="FangSong" w:eastAsia="FangSong" w:cs="FangSong"/>
          <w:sz w:val="25"/>
          <w:szCs w:val="25"/>
          <w:spacing w:val="-2"/>
        </w:rPr>
        <w:t>（二）其他</w:t>
      </w:r>
    </w:p>
    <w:p>
      <w:pPr>
        <w:ind w:left="1214"/>
        <w:spacing w:before="27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footerReference w:type="default" r:id="rId26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90" w:lineRule="auto"/>
        <w:rPr>
          <w:rFonts w:ascii="Arial"/>
          <w:sz w:val="21"/>
        </w:rPr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4" w:id="82"/>
      <w:bookmarkEnd w:id="82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ind w:left="706" w:right="937" w:firstLine="501"/>
        <w:spacing w:before="20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一、基本支出：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指为保障机构正常运转、完</w:t>
      </w:r>
      <w:r>
        <w:rPr>
          <w:rFonts w:ascii="FangSong" w:hAnsi="FangSong" w:eastAsia="FangSong" w:cs="FangSong"/>
          <w:sz w:val="25"/>
          <w:szCs w:val="25"/>
          <w:spacing w:val="1"/>
        </w:rPr>
        <w:t>成日常工作任务而发生的人员支出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和公用支出。</w:t>
      </w:r>
    </w:p>
    <w:p>
      <w:pPr>
        <w:ind w:left="721" w:right="937" w:firstLine="486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二、项目支出：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指在基本支出之外为完成特</w:t>
      </w:r>
      <w:r>
        <w:rPr>
          <w:rFonts w:ascii="FangSong" w:hAnsi="FangSong" w:eastAsia="FangSong" w:cs="FangSong"/>
          <w:sz w:val="25"/>
          <w:szCs w:val="25"/>
          <w:spacing w:val="1"/>
        </w:rPr>
        <w:t>定行政任务和事业发展目标所发生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的支出。</w:t>
      </w:r>
    </w:p>
    <w:p>
      <w:pPr>
        <w:ind w:left="706" w:right="937" w:firstLine="502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三、“三公”经费：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指省直部门用财政拨款安排的因公出国（境）费用、公务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用车购置及运行费和公务接待费。其中：因公出国（境）费用反映单位公务出国</w:t>
      </w:r>
    </w:p>
    <w:p>
      <w:pPr>
        <w:ind w:left="70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（境）的国际旅费、国外城市间交通费、住宿费、伙食费、培训费、公杂费等支</w:t>
      </w:r>
    </w:p>
    <w:p>
      <w:pPr>
        <w:ind w:left="708" w:right="937" w:firstLine="2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出；公务用车购置费反映公务用车购置支出（含车辆购置税、牌照费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11" w:right="937" w:firstLine="3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费、安全奖励费用等支出；公务接待费反映机关和参公事业单位按规定开支的各类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公务接待（含外宾接待）支出。</w:t>
      </w:r>
    </w:p>
    <w:p>
      <w:pPr>
        <w:ind w:left="709" w:right="937" w:firstLine="50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四、机关运行经费：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指行政单位和参照公务员法管理的事业单位使用财政拨款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安排的基本支出中的公用经费支出。</w:t>
      </w:r>
    </w:p>
    <w:p>
      <w:pPr>
        <w:ind w:left="707" w:right="937" w:firstLine="50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五、政府购买服务：</w:t>
      </w: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场机制作用，将国家机关属于自身职责范围且适合通过市场化方式提供的服务事</w:t>
      </w:r>
    </w:p>
    <w:p>
      <w:pPr>
        <w:ind w:left="706" w:right="937" w:firstLine="1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项，按照政府采购方式和程序，交由符合条件的服务供应商承担，并根据服务数量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和质量等情况向其支付费用的行为。</w:t>
      </w:r>
    </w:p>
    <w:p>
      <w:pPr>
        <w:ind w:left="1211"/>
        <w:spacing w:before="131" w:line="22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六、财政专户管理资金：</w:t>
      </w:r>
    </w:p>
    <w:p>
      <w:pPr>
        <w:ind w:left="707" w:right="937" w:firstLine="506"/>
        <w:spacing w:before="167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专指教育收费，包括目前在财政专户管理的高中以上学费、住宿费，高校委托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培养费，党校收费，教育考试考务费，函大、电大、夜大及短训班培训费等。</w:t>
      </w:r>
    </w:p>
    <w:p>
      <w:pPr>
        <w:ind w:left="706" w:right="937" w:firstLine="496"/>
        <w:spacing w:before="78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七、单位资金：</w:t>
      </w:r>
      <w:r>
        <w:rPr>
          <w:rFonts w:ascii="FangSong" w:hAnsi="FangSong" w:eastAsia="FangSong" w:cs="FangSong"/>
          <w:sz w:val="25"/>
          <w:szCs w:val="25"/>
          <w:spacing w:val="2"/>
        </w:rPr>
        <w:t>是指除政府预算资金和财政专户管理资</w:t>
      </w:r>
      <w:r>
        <w:rPr>
          <w:rFonts w:ascii="FangSong" w:hAnsi="FangSong" w:eastAsia="FangSong" w:cs="FangSong"/>
          <w:sz w:val="25"/>
          <w:szCs w:val="25"/>
          <w:spacing w:val="1"/>
        </w:rPr>
        <w:t>金以外的资金，包括事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业收入、事业单位经营收入、上级补助收入、附属单位上缴收入、其他收入。</w:t>
      </w:r>
    </w:p>
    <w:p>
      <w:pPr>
        <w:ind w:left="719" w:right="937" w:firstLine="484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八、上年结转：</w:t>
      </w:r>
      <w:r>
        <w:rPr>
          <w:rFonts w:ascii="FangSong" w:hAnsi="FangSong" w:eastAsia="FangSong" w:cs="FangSong"/>
          <w:sz w:val="25"/>
          <w:szCs w:val="25"/>
          <w:spacing w:val="2"/>
        </w:rPr>
        <w:t>指以前年度预算安排、结转到本年仍</w:t>
      </w:r>
      <w:r>
        <w:rPr>
          <w:rFonts w:ascii="FangSong" w:hAnsi="FangSong" w:eastAsia="FangSong" w:cs="FangSong"/>
          <w:sz w:val="25"/>
          <w:szCs w:val="25"/>
          <w:spacing w:val="1"/>
        </w:rPr>
        <w:t>按原规定用途继续使用的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资金。</w:t>
      </w:r>
    </w:p>
    <w:p>
      <w:pPr>
        <w:ind w:left="708" w:right="976" w:firstLine="501"/>
        <w:spacing w:before="12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九、一般公共预算</w:t>
      </w:r>
      <w:r>
        <w:rPr>
          <w:rFonts w:ascii="FangSong" w:hAnsi="FangSong" w:eastAsia="FangSong" w:cs="FangSong"/>
          <w:sz w:val="25"/>
          <w:szCs w:val="25"/>
        </w:rPr>
        <w:t>是指以税收为主体的财政收入，安排用于保障和改善民生、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推动经济社会发展、维护国家安全、维持国家机构正常运转等方面的收支预算。</w:t>
      </w:r>
    </w:p>
    <w:p>
      <w:pPr>
        <w:ind w:left="711" w:right="937" w:firstLine="495"/>
        <w:spacing w:before="13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十、政府性基金预算：</w:t>
      </w:r>
      <w:r>
        <w:rPr>
          <w:rFonts w:ascii="FangSong" w:hAnsi="FangSong" w:eastAsia="FangSong" w:cs="FangSong"/>
          <w:sz w:val="25"/>
          <w:szCs w:val="25"/>
          <w:spacing w:val="2"/>
        </w:rPr>
        <w:t>是对依照法律、行政法</w:t>
      </w:r>
      <w:r>
        <w:rPr>
          <w:rFonts w:ascii="FangSong" w:hAnsi="FangSong" w:eastAsia="FangSong" w:cs="FangSong"/>
          <w:sz w:val="25"/>
          <w:szCs w:val="25"/>
          <w:spacing w:val="1"/>
        </w:rPr>
        <w:t>规的规定在一定期限内向特定对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象征收、收取或者以其他方式筹集的资金，专项用于特定公共事业发展的收支预</w:t>
      </w:r>
    </w:p>
    <w:p>
      <w:pPr>
        <w:ind w:left="7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算。</w:t>
      </w:r>
    </w:p>
    <w:p>
      <w:pPr>
        <w:ind w:left="1207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十一、国有资本经营预算</w:t>
      </w:r>
      <w:r>
        <w:rPr>
          <w:rFonts w:ascii="FangSong" w:hAnsi="FangSong" w:eastAsia="FangSong" w:cs="FangSong"/>
          <w:sz w:val="25"/>
          <w:szCs w:val="25"/>
          <w:spacing w:val="1"/>
        </w:rPr>
        <w:t>是对国有资本收益作出支出安排的收支预算。</w:t>
      </w:r>
    </w:p>
    <w:p>
      <w:pPr>
        <w:ind w:left="120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十二、财政拨款：</w:t>
      </w:r>
      <w:r>
        <w:rPr>
          <w:rFonts w:ascii="FangSong" w:hAnsi="FangSong" w:eastAsia="FangSong" w:cs="FangSong"/>
          <w:sz w:val="25"/>
          <w:szCs w:val="25"/>
          <w:spacing w:val="1"/>
        </w:rPr>
        <w:t>包含一般公共预算、政府性基金预算、国有资本经营预算。</w:t>
      </w:r>
    </w:p>
    <w:sectPr>
      <w:footerReference w:type="default" r:id="rId27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2" w:lineRule="auto"/>
      <w:rPr>
        <w:sz w:val="16"/>
        <w:szCs w:val="16"/>
      </w:rPr>
    </w:pPr>
    <w:r>
      <w:rPr>
        <w:sz w:val="16"/>
        <w:szCs w:val="16"/>
        <w:spacing w:val="-10"/>
      </w:rPr>
      <w:t>-21-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76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0" w:lineRule="auto"/>
      <w:rPr>
        <w:sz w:val="16"/>
        <w:szCs w:val="16"/>
      </w:rPr>
    </w:pPr>
    <w:r>
      <w:rPr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5286"/>
      <w:spacing w:line="171" w:lineRule="auto"/>
      <w:rPr>
        <w:sz w:val="16"/>
        <w:szCs w:val="16"/>
      </w:rPr>
    </w:pPr>
    <w:r>
      <w:rPr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兴县教育科技局教学研究室2024年单位预算公开报告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49"/>
      <w:spacing w:before="1" w:line="210" w:lineRule="exact"/>
      <w:rPr>
        <w:sz w:val="16"/>
        <w:szCs w:val="16"/>
      </w:rPr>
    </w:pPr>
    <w:r>
      <w:rPr>
        <w:sz w:val="16"/>
        <w:szCs w:val="16"/>
        <w:spacing w:val="-2"/>
        <w:position w:val="1"/>
      </w:rPr>
      <w:t>兴县教育科技局教学研究室2024年单位预算公开报告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header" Target="header2.xml"/><Relationship Id="rId4" Type="http://schemas.openxmlformats.org/officeDocument/2006/relationships/footer" Target="footer3.xml"/><Relationship Id="rId30" Type="http://schemas.openxmlformats.org/officeDocument/2006/relationships/fontTable" Target="fontTable.xml"/><Relationship Id="rId3" Type="http://schemas.openxmlformats.org/officeDocument/2006/relationships/footer" Target="footer2.xml"/><Relationship Id="rId29" Type="http://schemas.openxmlformats.org/officeDocument/2006/relationships/styles" Target="styles.xml"/><Relationship Id="rId28" Type="http://schemas.openxmlformats.org/officeDocument/2006/relationships/settings" Target="settings.xml"/><Relationship Id="rId27" Type="http://schemas.openxmlformats.org/officeDocument/2006/relationships/footer" Target="footer21.xml"/><Relationship Id="rId26" Type="http://schemas.openxmlformats.org/officeDocument/2006/relationships/footer" Target="footer20.xml"/><Relationship Id="rId25" Type="http://schemas.openxmlformats.org/officeDocument/2006/relationships/image" Target="media/image4.jpeg"/><Relationship Id="rId24" Type="http://schemas.openxmlformats.org/officeDocument/2006/relationships/footer" Target="footer19.xml"/><Relationship Id="rId23" Type="http://schemas.openxmlformats.org/officeDocument/2006/relationships/footer" Target="footer18.xml"/><Relationship Id="rId22" Type="http://schemas.openxmlformats.org/officeDocument/2006/relationships/image" Target="media/image3.jpeg"/><Relationship Id="rId21" Type="http://schemas.openxmlformats.org/officeDocument/2006/relationships/image" Target="media/image2.png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image" Target="media/image1.png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2024-06-01T17:58:50Z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2025-09-25T13:54:00</vt:filetime>
  </property>
</Properties>
</file>