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235" w:lineRule="exact"/>
        <w:ind w:left="474" w:right="0" w:firstLine="0"/>
        <w:jc w:val="left"/>
        <w:rPr>
          <w:rFonts w:ascii="Times New Roman"/>
          <w:color w:val="000000"/>
          <w:spacing w:val="0"/>
          <w:sz w:val="35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63.5pt;margin-top:32.75pt;z-index:-3;width:467.75pt;height:333.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rFonts w:ascii="GHVJHO+STZhongsong" w:hAnsi="GHVJHO+STZhongsong" w:cs="GHVJHO+STZhongsong"/>
          <w:color w:val="000000"/>
          <w:spacing w:val="0"/>
          <w:sz w:val="35"/>
        </w:rPr>
        <w:t>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县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魏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家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滩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镇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中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心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校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917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GHVJHO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/>
          <w:color w:val="000000"/>
          <w:spacing w:val="0"/>
          <w:sz w:val="35"/>
        </w:rPr>
        <w:t>0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/>
          <w:color w:val="000000"/>
          <w:spacing w:val="0"/>
          <w:sz w:val="35"/>
        </w:rPr>
        <w:t>3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度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单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位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决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算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公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GHVJHO+STZhongsong" w:hAnsi="GHVJHO+STZhongsong" w:cs="GHVJHO+STZhongsong"/>
          <w:color w:val="000000"/>
          <w:spacing w:val="0"/>
          <w:sz w:val="35"/>
        </w:rPr>
        <w:t>开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5521" w:right="100" w:bottom="0" w:left="3259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450" w:lineRule="exact"/>
        <w:ind w:left="3970" w:right="0" w:firstLine="0"/>
        <w:jc w:val="left"/>
        <w:rPr>
          <w:rFonts w:ascii="FangSong"/>
          <w:color w:val="000000"/>
          <w:spacing w:val="0"/>
          <w:sz w:val="44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1" style="position:absolute;margin-left:149.5pt;margin-top:118pt;z-index:-7;width:3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34pt;margin-top:143pt;z-index:-11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95pt;margin-top:168pt;z-index:-15;width:328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40.5pt;margin-top:193pt;z-index:-19;width:28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21pt;margin-top:218pt;z-index:-23;width:302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82pt;margin-top:243pt;z-index:-27;width:34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82pt;margin-top:268pt;z-index:-31;width:34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3pt;margin-top:293pt;z-index:-35;width:25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312pt;margin-top:318pt;z-index:-39;width:21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64pt;margin-top:343pt;z-index:-43;width:15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51pt;margin-top:368pt;z-index:-47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38pt;margin-top:393pt;z-index:-51;width:17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12pt;margin-top:418pt;z-index:-55;width:2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86pt;margin-top:443pt;z-index:-59;width:2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82pt;margin-top:468pt;z-index:-63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3pt;margin-top:493pt;z-index:-67;width:24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21pt;margin-top:518pt;z-index:-71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21pt;margin-top:543pt;z-index:-75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9pt;margin-top:568pt;z-index:-79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51pt;margin-top:593pt;z-index:-83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77pt;margin-top:618pt;z-index:-87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64pt;margin-top:643pt;z-index:-91;width:15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77pt;margin-top:668pt;z-index:-95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351pt;margin-top:693pt;z-index:-99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47pt;margin-top:718pt;z-index:-103;width:27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82pt;margin-top:743pt;z-index:-107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56pt;margin-top:768pt;z-index:-111;width:36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FangSong" w:hAnsi="FangSong" w:cs="FangSong"/>
          <w:color w:val="000000"/>
          <w:spacing w:val="0"/>
          <w:sz w:val="44"/>
        </w:rPr>
        <w:t>目</w:t>
      </w:r>
      <w:r>
        <w:rPr>
          <w:rFonts w:ascii="FangSong"/>
          <w:color w:val="000000"/>
          <w:spacing w:val="220"/>
          <w:sz w:val="44"/>
        </w:rPr>
        <w:t xml:space="preserve"> </w:t>
      </w:r>
      <w:r>
        <w:rPr>
          <w:rFonts w:ascii="FangSong" w:hAnsi="FangSong" w:cs="FangSong"/>
          <w:color w:val="000000"/>
          <w:spacing w:val="0"/>
          <w:sz w:val="44"/>
        </w:rPr>
        <w:t>录</w:t>
      </w:r>
      <w:r>
        <w:rPr>
          <w:rFonts w:ascii="FangSong"/>
          <w:color w:val="000000"/>
          <w:spacing w:val="0"/>
          <w:sz w:val="44"/>
        </w:rPr>
      </w:r>
    </w:p>
    <w:p>
      <w:pPr>
        <w:pStyle w:val="Normal"/>
        <w:spacing w:before="475" w:after="0" w:line="50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第一部分</w:t>
      </w:r>
      <w:r>
        <w:rPr>
          <w:rFonts w:ascii="FangSong"/>
          <w:color w:val="000000"/>
          <w:spacing w:val="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概况</w:t>
      </w:r>
      <w:r>
        <w:rPr>
          <w:rFonts w:ascii="FangSong"/>
          <w:color w:val="000000"/>
          <w:spacing w:val="73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一、本部门（单位）职责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二、机构设置情况</w:t>
      </w:r>
      <w:r>
        <w:rPr>
          <w:rFonts w:ascii="FangSong"/>
          <w:color w:val="000000"/>
          <w:spacing w:val="640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第二部分</w:t>
      </w:r>
      <w:r>
        <w:rPr>
          <w:rFonts w:ascii="FangSong"/>
          <w:color w:val="000000"/>
          <w:spacing w:val="2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2023年部门决算表</w:t>
      </w:r>
      <w:r>
        <w:rPr>
          <w:rFonts w:ascii="FangSong"/>
          <w:color w:val="000000"/>
          <w:spacing w:val="54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一、收入支出决算总表</w:t>
      </w:r>
      <w:r>
        <w:rPr>
          <w:rFonts w:ascii="FangSong"/>
          <w:color w:val="000000"/>
          <w:spacing w:val="588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二、收入决算表</w:t>
      </w:r>
      <w:r>
        <w:rPr>
          <w:rFonts w:ascii="FangSong"/>
          <w:color w:val="000000"/>
          <w:spacing w:val="66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3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三、支出决算表</w:t>
      </w:r>
      <w:r>
        <w:rPr>
          <w:rFonts w:ascii="FangSong"/>
          <w:color w:val="000000"/>
          <w:spacing w:val="66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四、财政拨款收入支出决算总表</w:t>
      </w:r>
      <w:r>
        <w:rPr>
          <w:rFonts w:ascii="FangSong"/>
          <w:color w:val="000000"/>
          <w:spacing w:val="484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五、一般公共预算财政拨款支出决算表</w:t>
      </w:r>
      <w:r>
        <w:rPr>
          <w:rFonts w:ascii="FangSong"/>
          <w:color w:val="000000"/>
          <w:spacing w:val="40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六、一般公共预算财政拨款基本支出决算明细表</w:t>
      </w:r>
      <w:r>
        <w:rPr>
          <w:rFonts w:ascii="FangSong"/>
          <w:color w:val="000000"/>
          <w:spacing w:val="302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8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七、政府性基金预算财政拨款收入支出决算表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10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八、国有资本经营预算财政拨款支出决算表</w:t>
      </w:r>
      <w:r>
        <w:rPr>
          <w:rFonts w:ascii="FangSong"/>
          <w:color w:val="000000"/>
          <w:spacing w:val="34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九、财政拨款“三公”经费支出决算表</w:t>
      </w:r>
      <w:r>
        <w:rPr>
          <w:rFonts w:ascii="FangSong"/>
          <w:color w:val="000000"/>
          <w:spacing w:val="39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12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十、部门决算公开相关信息统计表</w:t>
      </w:r>
      <w:r>
        <w:rPr>
          <w:rFonts w:ascii="FangSong"/>
          <w:color w:val="000000"/>
          <w:spacing w:val="44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13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第三部分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情况说明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一、收入支出决算总体情况说明</w:t>
      </w:r>
      <w:r>
        <w:rPr>
          <w:rFonts w:ascii="FangSong"/>
          <w:color w:val="000000"/>
          <w:spacing w:val="47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二、收入决算情况说明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三、支出决算情况说明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四、财政拨款收支决算总体情况说明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五、一般公共预算财政拨款支出决算情况说明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七、政府性基金预算财政拨款收支决算情况说明</w:t>
      </w:r>
      <w:r>
        <w:rPr>
          <w:rFonts w:ascii="FangSong"/>
          <w:color w:val="000000"/>
          <w:spacing w:val="28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八、国有资本经营预算财政拨款支出决算情况说明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九、财政拨款“三公”经费支出决算情况说明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十、其他重要事项情况说明</w:t>
      </w:r>
      <w:r>
        <w:rPr>
          <w:rFonts w:ascii="FangSong"/>
          <w:color w:val="000000"/>
          <w:spacing w:val="52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第四部分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名词解释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18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第五部分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附件</w:t>
      </w:r>
      <w:r>
        <w:rPr>
          <w:rFonts w:ascii="FangSong"/>
          <w:color w:val="000000"/>
          <w:spacing w:val="705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18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002" w:right="100" w:bottom="0" w:left="132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28" style="position:absolute;margin-left:63.5pt;margin-top:32.75pt;z-index:-115;width:467.75pt;height:484.5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29pt;z-index:-1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94" w:after="0" w:line="42" w:lineRule="exact"/>
        <w:ind w:left="447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第一部分</w:t>
      </w:r>
      <w:r>
        <w:rPr>
          <w:rFonts w:ascii="SimHei"/>
          <w:color w:val="000000"/>
          <w:spacing w:val="1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概况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一、本部门（单位）职责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1.研究拟定本校教育发展战略和教育工作的规定、办法，监督和检查所属学校对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党和国家的教育方针、政策、法规的贯彻执行。要依法办学，不断提高管理水平和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教育质量。不断改善办学水平和搞高教育质量，促进学校教育均衡发展。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2.管理和指导本校教育教学研究工作，规划、指导教育现代化和教育信息化工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作。在县教育科技局的领导下，组织本校教师开展教育教学研究课，教学观摩，教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学竞赛，课题实验，经验交流，教学基本功训练，专题研讨等教学活动。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3.发挥教师进修培训作用。本校负责制定并实施教师培训计划，并有针对性的组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织教师参加教师培训，更新教育观念，提高教师职业道德水平和教育教学能力。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4.管理学生学籍，建立学生档案，严格控制学生辍学，已入学的学生要建立学籍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档案，并报教育行政部门备案。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5.负责本校教师教育教学业务档案管理，教育统计，教师工资统计，学校报帐。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管理本校的教学经费，做好教师编制核定，资格认定，职务评聘，调配和交流，培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训和考核等工作。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6.在教育行政部门的指导下，负责组织学生考试，教育教学质量评估工作，协助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调整好校点布局和改造的有关工作，积极承办上级主管教育部门交办的其他事项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二、机构设置情况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我校是兴县教育科技局所属二级预算单位，为全额事业单位，执行政府会计准则制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度。内设办公室、财务室等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629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30" style="position:absolute;margin-left:70.7pt;margin-top:112.55pt;z-index:-123;width:453.35pt;height:69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63.5pt;margin-top:32.75pt;z-index:-127;width:467.75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29pt;z-index:-13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138" w:after="0" w:line="42" w:lineRule="exact"/>
        <w:ind w:left="3723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第二部分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2023年部门决算表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44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437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收入支出决算总表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9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3"/>
          <w:sz w:val="16"/>
        </w:rPr>
        <w:t>公开01表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3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部门名称：兴县魏家滩镇中心校</w:t>
      </w:r>
      <w:r>
        <w:rPr>
          <w:rFonts w:ascii="Times New Roman"/>
          <w:color w:val="212529"/>
          <w:spacing w:val="2313"/>
          <w:sz w:val="16"/>
        </w:rPr>
        <w:t xml:space="preserve"> </w:t>
      </w:r>
      <w:r>
        <w:rPr>
          <w:rFonts w:ascii="SimSun" w:hAnsi="SimSun" w:cs="SimSun"/>
          <w:color w:val="212529"/>
          <w:spacing w:val="-2"/>
          <w:sz w:val="16"/>
        </w:rPr>
        <w:t>2023年度</w:t>
      </w:r>
      <w:r>
        <w:rPr>
          <w:rFonts w:ascii="Times New Roman"/>
          <w:color w:val="212529"/>
          <w:spacing w:val="2683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金额单位：万元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87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212529"/>
          <w:spacing w:val="15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65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27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73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24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335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804.77</w:t>
      </w:r>
      <w:r>
        <w:rPr>
          <w:rFonts w:ascii="Times New Roman"/>
          <w:color w:val="212529"/>
          <w:spacing w:val="-4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一、一般公共服务支出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二、政府性基金预算财政拨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491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1.50</w:t>
      </w:r>
      <w:r>
        <w:rPr>
          <w:rFonts w:ascii="Times New Roman"/>
          <w:color w:val="212529"/>
          <w:spacing w:val="-4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二、外交支出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款收入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三、国有资本经营预算财政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拨款收入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四、上级补助收入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五、事业收入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36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645.73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六、经营收入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七、文化旅游体育与传媒支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七、附属单位上缴收入</w:t>
      </w:r>
      <w:r>
        <w:rPr>
          <w:rFonts w:ascii="Times New Roman"/>
          <w:color w:val="212529"/>
          <w:spacing w:val="71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566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38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八、其他收入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八、社会保障和就业支出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39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92.80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76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九、卫生健康支出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40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20.68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十、节能环保支出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十一、城乡社区支出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十二、农林水支出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十三、交通运输支出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十四、资源勘探工业信息等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十五、商业服务业等支出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16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十六、金融支出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十七、援助其他地区支出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十八、自然资源海洋气象等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18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49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19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十九、住房保障支出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45.56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20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二十、粮油物资储备支出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二十一、国有资本经营预算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21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二十二、灾害防治及应急管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22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23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二十三、其他支出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1.50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24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二十四、债务还本支出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25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二十五、债务付息支出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二十六、抗疫特别国债安排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26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5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33" style="position:absolute;margin-left:70.7pt;margin-top:32.75pt;z-index:-135;width:453.35pt;height:153.8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70.7pt;margin-top:199.6pt;z-index:-139;width:453.35pt;height:485.1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29pt;z-index:-1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0" w:after="0" w:line="33" w:lineRule="exact"/>
        <w:ind w:left="141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7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27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806.27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7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806.27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使用非财政拨款结余和专用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2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28</w:t>
      </w:r>
      <w:r>
        <w:rPr>
          <w:rFonts w:ascii="Times New Roman"/>
          <w:color w:val="212529"/>
          <w:spacing w:val="1671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结余分配</w:t>
      </w:r>
      <w:r>
        <w:rPr>
          <w:rFonts w:ascii="Times New Roman"/>
          <w:color w:val="212529"/>
          <w:spacing w:val="17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59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年初结转和结余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29</w:t>
      </w:r>
      <w:r>
        <w:rPr>
          <w:rFonts w:ascii="Times New Roman"/>
          <w:color w:val="212529"/>
          <w:spacing w:val="1671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年末结转和结余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60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33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30</w:t>
      </w:r>
      <w:r>
        <w:rPr>
          <w:rFonts w:ascii="Times New Roman"/>
          <w:color w:val="212529"/>
          <w:spacing w:val="43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806.27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114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806.27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EIABDF+WenQuanYi Zen Hei Sharp" w:hAnsi="EIABDF+WenQuanYi Zen Hei Sharp" w:cs="EIABDF+WenQuanYi Zen Hei Sharp"/>
          <w:color w:val="212529"/>
          <w:spacing w:val="0"/>
          <w:sz w:val="18"/>
        </w:rPr>
        <w:t>注：本表反映部门本年度的总收支和年末结转结余情况。本套报表金额单位转换时可能存在尾数误差。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5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IABDF+WenQuanYi Zen Hei Sharp" w:hAnsi="EIABDF+WenQuanYi Zen Hei Sharp" w:cs="EIABDF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16" w:after="0" w:line="39" w:lineRule="exact"/>
        <w:ind w:left="471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收入决算表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57" w:after="0" w:line="30" w:lineRule="exact"/>
        <w:ind w:left="135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372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318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2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4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68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69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94"/>
          <w:sz w:val="16"/>
        </w:rPr>
        <w:t xml:space="preserve"> </w:t>
      </w:r>
      <w:r>
        <w:rPr>
          <w:rFonts w:ascii="SimSun" w:hAnsi="SimSun" w:cs="SimSun"/>
          <w:color w:val="212529"/>
          <w:spacing w:val="3"/>
          <w:sz w:val="14"/>
        </w:rPr>
        <w:t>公开02表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9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部门名称：兴县魏家滩镇中心校</w:t>
      </w:r>
      <w:r>
        <w:rPr>
          <w:rFonts w:ascii="Times New Roman"/>
          <w:color w:val="212529"/>
          <w:spacing w:val="2588"/>
          <w:sz w:val="14"/>
        </w:rPr>
        <w:t xml:space="preserve"> </w:t>
      </w:r>
      <w:r>
        <w:rPr>
          <w:rFonts w:ascii="SimSun" w:hAnsi="SimSun" w:cs="SimSun"/>
          <w:color w:val="212529"/>
          <w:spacing w:val="-2"/>
          <w:sz w:val="16"/>
        </w:rPr>
        <w:t>2023年度</w:t>
      </w:r>
      <w:r>
        <w:rPr>
          <w:rFonts w:ascii="Times New Roman"/>
          <w:color w:val="212529"/>
          <w:spacing w:val="60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69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197"/>
          <w:sz w:val="16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92" w:after="0" w:line="33" w:lineRule="exact"/>
        <w:ind w:left="2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" w:after="0" w:line="33" w:lineRule="exact"/>
        <w:ind w:left="59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上级补助</w:t>
      </w:r>
      <w:r>
        <w:rPr>
          <w:rFonts w:ascii="Times New Roman"/>
          <w:color w:val="212529"/>
          <w:spacing w:val="15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附属单位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7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-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财政拨款收入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事业收入</w:t>
      </w:r>
      <w:r>
        <w:rPr>
          <w:rFonts w:ascii="Times New Roman"/>
          <w:color w:val="212529"/>
          <w:spacing w:val="2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经营收入</w:t>
      </w:r>
      <w:r>
        <w:rPr>
          <w:rFonts w:ascii="Times New Roman"/>
          <w:color w:val="212529"/>
          <w:spacing w:val="77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1" w:after="0" w:line="60" w:lineRule="exact"/>
        <w:ind w:left="1034" w:right="2119" w:firstLine="5095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174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 xml:space="preserve">上缴收入 </w:t>
      </w: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6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6" w:after="0" w:line="124" w:lineRule="exact"/>
        <w:ind w:left="2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EIABDF+WenQuanYi Zen Hei Sharp" w:hAnsi="EIABDF+WenQuanYi Zen Hei Sharp" w:cs="EIABDF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750"/>
          <w:sz w:val="18"/>
        </w:rPr>
        <w:t xml:space="preserve"> </w:t>
      </w:r>
      <w:r>
        <w:rPr>
          <w:rFonts w:ascii="HRHFQW+Nimbus Sans L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HRHFQW+Nimbus Sans L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791"/>
          <w:sz w:val="18"/>
        </w:rPr>
        <w:t xml:space="preserve"> </w:t>
      </w:r>
      <w:r>
        <w:rPr>
          <w:rFonts w:ascii="HRHFQW+Nimbus Sans L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623"/>
          <w:sz w:val="18"/>
        </w:rPr>
        <w:t xml:space="preserve"> </w:t>
      </w:r>
      <w:r>
        <w:rPr>
          <w:rFonts w:ascii="HRHFQW+Nimbus Sans L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641"/>
          <w:sz w:val="18"/>
        </w:rPr>
        <w:t xml:space="preserve"> </w:t>
      </w:r>
      <w:r>
        <w:rPr>
          <w:rFonts w:ascii="HRHFQW+Nimbus Sans L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629"/>
          <w:sz w:val="18"/>
        </w:rPr>
        <w:t xml:space="preserve"> </w:t>
      </w:r>
      <w:r>
        <w:rPr>
          <w:rFonts w:ascii="HRHFQW+Nimbus Sans L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623"/>
          <w:sz w:val="18"/>
        </w:rPr>
        <w:t xml:space="preserve"> </w:t>
      </w:r>
      <w:r>
        <w:rPr>
          <w:rFonts w:ascii="HRHFQW+Nimbus Sans L"/>
          <w:color w:val="212529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00" w:after="0" w:line="123" w:lineRule="exact"/>
        <w:ind w:left="2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EIABDF+WenQuanYi Zen Hei Sharp" w:hAnsi="EIABDF+WenQuanYi Zen Hei Sharp" w:cs="EIABDF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42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806.27</w:t>
      </w:r>
      <w:r>
        <w:rPr>
          <w:rFonts w:ascii="Times New Roman"/>
          <w:color w:val="212529"/>
          <w:spacing w:val="5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806.27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9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14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645.73</w:t>
      </w:r>
      <w:r>
        <w:rPr>
          <w:rFonts w:ascii="Times New Roman"/>
          <w:color w:val="212529"/>
          <w:spacing w:val="5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645.73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72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14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645.73</w:t>
      </w:r>
      <w:r>
        <w:rPr>
          <w:rFonts w:ascii="Times New Roman"/>
          <w:color w:val="212529"/>
          <w:spacing w:val="5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645.73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2050201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学前教育</w:t>
      </w:r>
      <w:r>
        <w:rPr>
          <w:rFonts w:ascii="Times New Roman"/>
          <w:color w:val="212529"/>
          <w:spacing w:val="15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16.20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16.20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2050202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小学教育</w:t>
      </w:r>
      <w:r>
        <w:rPr>
          <w:rFonts w:ascii="Times New Roman"/>
          <w:color w:val="212529"/>
          <w:spacing w:val="14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599.00</w:t>
      </w:r>
      <w:r>
        <w:rPr>
          <w:rFonts w:ascii="Times New Roman"/>
          <w:color w:val="212529"/>
          <w:spacing w:val="5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599.00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其他普通教育支出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30.54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30.54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9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6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行政事业单位养老支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304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10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46.54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46.54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机关事业单位基本养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286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46.17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46.17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老保险缴费支出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机关事业单位职业年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29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0.09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0.09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金缴费支出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9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11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72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11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20.30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20.30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其他行政事业单位医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29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0.37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0.37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9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11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72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11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</w:t>
      </w:r>
      <w:r>
        <w:rPr>
          <w:rFonts w:ascii="Times New Roman"/>
          <w:color w:val="212529"/>
          <w:spacing w:val="9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其他支出</w:t>
      </w:r>
      <w:r>
        <w:rPr>
          <w:rFonts w:ascii="Times New Roman"/>
          <w:color w:val="212529"/>
          <w:spacing w:val="16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彩票公益金安排的支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</w:t>
      </w:r>
      <w:r>
        <w:rPr>
          <w:rFonts w:ascii="Times New Roman"/>
          <w:color w:val="212529"/>
          <w:spacing w:val="314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用于教育事业的彩票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2296004</w:t>
      </w:r>
      <w:r>
        <w:rPr>
          <w:rFonts w:ascii="Times New Roman"/>
          <w:color w:val="212529"/>
          <w:spacing w:val="29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8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公益金支出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6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EIABDF+WenQuanYi Zen Hei Sharp" w:hAnsi="EIABDF+WenQuanYi Zen Hei Sharp" w:cs="EIABDF+WenQuanYi Zen Hei Sharp"/>
          <w:color w:val="212529"/>
          <w:spacing w:val="0"/>
          <w:sz w:val="18"/>
        </w:rPr>
        <w:t>注：本表反映部门本年度取得的各项收入情况。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0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36" style="position:absolute;margin-left:70.7pt;margin-top:40.55pt;z-index:-147;width:453.35pt;height:498.3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29pt;z-index:-15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AGLQNK+WenQuanYi Zen Hei Sharp" w:hAnsi="AGLQNK+WenQuanYi Zen Hei Sharp" w:cs="AGLQNK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GLQNK+WenQuanYi Zen Hei Sharp" w:hAnsi="AGLQNK+WenQuanYi Zen Hei Sharp" w:cs="AGLQNK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GLQNK+WenQuanYi Zen Hei Sharp" w:hAnsi="AGLQNK+WenQuanYi Zen Hei Sharp" w:cs="AGLQNK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GLQNK+WenQuanYi Zen Hei Sharp" w:hAnsi="AGLQNK+WenQuanYi Zen Hei Sharp" w:cs="AGLQNK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GLQNK+WenQuanYi Zen Hei Sharp" w:hAnsi="AGLQNK+WenQuanYi Zen Hei Sharp" w:cs="AGLQNK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GLQNK+WenQuanYi Zen Hei Sharp" w:hAnsi="AGLQNK+WenQuanYi Zen Hei Sharp" w:cs="AGLQNK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AGLQNK+WenQuanYi Zen Hei Sharp" w:hAnsi="AGLQNK+WenQuanYi Zen Hei Sharp" w:cs="AGLQNK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04" w:after="0" w:line="39" w:lineRule="exact"/>
        <w:ind w:left="471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57" w:after="0" w:line="30" w:lineRule="exact"/>
        <w:ind w:left="141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88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76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1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14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公开03表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9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部门名称：兴县魏家滩镇中心校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486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330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25" w:after="0" w:line="12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LQNK+WenQuanYi Zen Hei Sharp" w:hAnsi="AGLQNK+WenQuanYi Zen Hei Sharp" w:cs="AGLQNK+WenQuanYi Zen Hei Sharp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74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上缴</w:t>
      </w:r>
      <w:r>
        <w:rPr>
          <w:rFonts w:ascii="Times New Roman"/>
          <w:color w:val="212529"/>
          <w:spacing w:val="102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对附属单位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36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3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4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212529"/>
          <w:spacing w:val="2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上级</w:t>
      </w:r>
      <w:r>
        <w:rPr>
          <w:rFonts w:ascii="Times New Roman"/>
          <w:color w:val="212529"/>
          <w:spacing w:val="1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经营支出</w:t>
      </w:r>
      <w:r>
        <w:rPr>
          <w:rFonts w:ascii="Times New Roman"/>
          <w:color w:val="212529"/>
          <w:spacing w:val="3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补助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4" w:after="0" w:line="33" w:lineRule="exact"/>
        <w:ind w:left="10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6" w:after="0" w:line="33" w:lineRule="exact"/>
        <w:ind w:left="74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212529"/>
          <w:spacing w:val="12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65" w:after="0" w:line="12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762"/>
          <w:sz w:val="18"/>
        </w:rPr>
        <w:t xml:space="preserve"> </w:t>
      </w:r>
      <w:r>
        <w:rPr>
          <w:rFonts w:ascii="HRHFQW+Nimbus Sans L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157"/>
          <w:sz w:val="18"/>
        </w:rPr>
        <w:t xml:space="preserve"> </w:t>
      </w:r>
      <w:r>
        <w:rPr>
          <w:rFonts w:ascii="HRHFQW+Nimbus Sans L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109"/>
          <w:sz w:val="18"/>
        </w:rPr>
        <w:t xml:space="preserve"> </w:t>
      </w:r>
      <w:r>
        <w:rPr>
          <w:rFonts w:ascii="HRHFQW+Nimbus Sans L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737"/>
          <w:sz w:val="18"/>
        </w:rPr>
        <w:t xml:space="preserve"> </w:t>
      </w:r>
      <w:r>
        <w:rPr>
          <w:rFonts w:ascii="HRHFQW+Nimbus Sans L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605"/>
          <w:sz w:val="18"/>
        </w:rPr>
        <w:t xml:space="preserve"> </w:t>
      </w:r>
      <w:r>
        <w:rPr>
          <w:rFonts w:ascii="HRHFQW+Nimbus Sans L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HRHFQW+Nimbus Sans L"/>
          <w:color w:val="212529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56" w:after="0" w:line="3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190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806.27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723.74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82.53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645.73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564.71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81.03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8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645.73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564.71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81.03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2050201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学前教育</w:t>
      </w:r>
      <w:r>
        <w:rPr>
          <w:rFonts w:ascii="Times New Roman"/>
          <w:color w:val="212529"/>
          <w:spacing w:val="14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16.20</w:t>
      </w:r>
      <w:r>
        <w:rPr>
          <w:rFonts w:ascii="Times New Roman"/>
          <w:color w:val="212529"/>
          <w:spacing w:val="116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5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16.20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小学教育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599.00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564.71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34.29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其他普通教育支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289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30.54</w:t>
      </w:r>
      <w:r>
        <w:rPr>
          <w:rFonts w:ascii="Times New Roman"/>
          <w:color w:val="212529"/>
          <w:spacing w:val="116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5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30.54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社会保障和就业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325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30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老支出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46.54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46.54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本养老保险缴费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46.17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46.17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机关事业单位职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29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0.09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0.09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业年金缴费支出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30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20.30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20.30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其他行政事业单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29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0.37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0.37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位医疗支出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8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其他支出</w:t>
      </w:r>
      <w:r>
        <w:rPr>
          <w:rFonts w:ascii="Times New Roman"/>
          <w:color w:val="212529"/>
          <w:spacing w:val="15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彩票公益金安排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</w:t>
      </w:r>
      <w:r>
        <w:rPr>
          <w:rFonts w:ascii="Times New Roman"/>
          <w:color w:val="212529"/>
          <w:spacing w:val="316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用于教育事业的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2296004</w:t>
      </w:r>
      <w:r>
        <w:rPr>
          <w:rFonts w:ascii="Times New Roman"/>
          <w:color w:val="212529"/>
          <w:spacing w:val="29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彩票公益金支出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64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GLQNK+WenQuanYi Zen Hei Sharp" w:hAnsi="AGLQNK+WenQuanYi Zen Hei Sharp" w:cs="AGLQNK+WenQuanYi Zen Hei Sharp"/>
          <w:color w:val="212529"/>
          <w:spacing w:val="0"/>
          <w:sz w:val="18"/>
        </w:rPr>
        <w:t>注：本表反映部门本年度各项支出情况。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825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38" style="position:absolute;margin-left:70.7pt;margin-top:40.55pt;z-index:-155;width:453.35pt;height:758.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29pt;z-index:-15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四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ONLKH+WenQuanYi Zen Hei Sharp" w:hAnsi="MONLKH+WenQuanYi Zen Hei Sharp" w:cs="MONLKH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92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财政拨款收入支出决算总表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14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04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62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42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92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公开04表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部门名称：兴县魏家滩镇中心校</w:t>
      </w:r>
      <w:r>
        <w:rPr>
          <w:rFonts w:ascii="Times New Roman"/>
          <w:color w:val="212529"/>
          <w:spacing w:val="1273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4036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30" w:lineRule="exact"/>
        <w:ind w:left="624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7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2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30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政府性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9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712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基金预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30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52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5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65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26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12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73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</w:t>
      </w:r>
      <w:r>
        <w:rPr>
          <w:rFonts w:ascii="Times New Roman"/>
          <w:color w:val="212529"/>
          <w:spacing w:val="24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算财政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9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3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8" w:after="0" w:line="124" w:lineRule="exact"/>
        <w:ind w:left="1304" w:right="0" w:firstLine="0"/>
        <w:jc w:val="left"/>
        <w:rPr>
          <w:rFonts w:ascii="PFOKCS+Nimbus Sans L"/>
          <w:color w:val="000000"/>
          <w:spacing w:val="0"/>
          <w:sz w:val="18"/>
        </w:rPr>
      </w:pPr>
      <w:r>
        <w:rPr>
          <w:rFonts w:ascii="MONLKH+WenQuanYi Zen Hei Sharp" w:hAnsi="MONLKH+WenQuanYi Zen Hei Sharp" w:cs="MONLKH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623"/>
          <w:sz w:val="18"/>
        </w:rPr>
        <w:t xml:space="preserve"> </w:t>
      </w:r>
      <w:r>
        <w:rPr>
          <w:rFonts w:ascii="PFOKCS+Nimbus Sans L"/>
          <w:color w:val="212529"/>
          <w:spacing w:val="0"/>
          <w:sz w:val="18"/>
        </w:rPr>
        <w:t>1</w:t>
      </w:r>
      <w:r>
        <w:rPr>
          <w:rFonts w:ascii="PFOKCS+Nimbus Sans L"/>
          <w:color w:val="212529"/>
          <w:spacing w:val="1260"/>
          <w:sz w:val="18"/>
        </w:rPr>
        <w:t xml:space="preserve"> </w:t>
      </w:r>
      <w:r>
        <w:rPr>
          <w:rFonts w:ascii="MONLKH+WenQuanYi Zen Hei Sharp" w:hAnsi="MONLKH+WenQuanYi Zen Hei Sharp" w:cs="MONLKH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461"/>
          <w:sz w:val="18"/>
        </w:rPr>
        <w:t xml:space="preserve"> </w:t>
      </w:r>
      <w:r>
        <w:rPr>
          <w:rFonts w:ascii="PFOKCS+Nimbus Sans L"/>
          <w:color w:val="212529"/>
          <w:spacing w:val="0"/>
          <w:sz w:val="18"/>
        </w:rPr>
        <w:t>2</w:t>
      </w:r>
      <w:r>
        <w:rPr>
          <w:rFonts w:ascii="PFOKCS+Nimbus Sans L"/>
          <w:color w:val="212529"/>
          <w:spacing w:val="858"/>
          <w:sz w:val="18"/>
        </w:rPr>
        <w:t xml:space="preserve"> </w:t>
      </w:r>
      <w:r>
        <w:rPr>
          <w:rFonts w:ascii="PFOKCS+Nimbus Sans L"/>
          <w:color w:val="212529"/>
          <w:spacing w:val="0"/>
          <w:sz w:val="18"/>
        </w:rPr>
        <w:t>3</w:t>
      </w:r>
      <w:r>
        <w:rPr>
          <w:rFonts w:ascii="PFOKCS+Nimbus Sans L"/>
          <w:color w:val="212529"/>
          <w:spacing w:val="768"/>
          <w:sz w:val="18"/>
        </w:rPr>
        <w:t xml:space="preserve"> </w:t>
      </w:r>
      <w:r>
        <w:rPr>
          <w:rFonts w:ascii="PFOKCS+Nimbus Sans L"/>
          <w:color w:val="212529"/>
          <w:spacing w:val="0"/>
          <w:sz w:val="18"/>
        </w:rPr>
        <w:t>4</w:t>
      </w:r>
      <w:r>
        <w:rPr>
          <w:rFonts w:ascii="PFOKCS+Nimbus Sans L"/>
          <w:color w:val="212529"/>
          <w:spacing w:val="630"/>
          <w:sz w:val="18"/>
        </w:rPr>
        <w:t xml:space="preserve"> </w:t>
      </w:r>
      <w:r>
        <w:rPr>
          <w:rFonts w:ascii="PFOKCS+Nimbus Sans L"/>
          <w:color w:val="212529"/>
          <w:spacing w:val="0"/>
          <w:sz w:val="18"/>
        </w:rPr>
        <w:t>5</w:t>
      </w:r>
      <w:r>
        <w:rPr>
          <w:rFonts w:ascii="PFOKCS+Nimbus Sans L"/>
          <w:color w:val="000000"/>
          <w:spacing w:val="0"/>
          <w:sz w:val="18"/>
        </w:rPr>
      </w:r>
    </w:p>
    <w:p>
      <w:pPr>
        <w:pStyle w:val="Normal"/>
        <w:spacing w:before="26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</w:t>
      </w:r>
      <w:r>
        <w:rPr>
          <w:rFonts w:ascii="Times New Roman"/>
          <w:color w:val="212529"/>
          <w:spacing w:val="202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一、一般公共服务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804.77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33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算财政拨款</w:t>
      </w:r>
      <w:r>
        <w:rPr>
          <w:rFonts w:ascii="Times New Roman"/>
          <w:color w:val="212529"/>
          <w:spacing w:val="238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-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二、外交支出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149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35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营预算财政拨款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150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36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150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645.73</w:t>
      </w:r>
      <w:r>
        <w:rPr>
          <w:rFonts w:ascii="Times New Roman"/>
          <w:color w:val="212529"/>
          <w:spacing w:val="5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645.73</w:t>
      </w:r>
      <w:r>
        <w:rPr>
          <w:rFonts w:ascii="Times New Roman"/>
          <w:color w:val="212529"/>
          <w:spacing w:val="5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150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38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50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39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与传媒支出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八、社会保障和就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50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40</w:t>
      </w:r>
      <w:r>
        <w:rPr>
          <w:rFonts w:ascii="Times New Roman"/>
          <w:color w:val="212529"/>
          <w:spacing w:val="4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业支出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150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九、卫生健康支出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</w:t>
      </w:r>
      <w:r>
        <w:rPr>
          <w:rFonts w:ascii="Times New Roman"/>
          <w:color w:val="212529"/>
          <w:spacing w:val="4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3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十、节能环保支出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十一、城乡社区支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43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十二、农林水支出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十三、交通运输支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45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十四、资源勘探工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46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业信息等支出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十五、商业服务业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47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16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十六、金融支出</w:t>
      </w:r>
      <w:r>
        <w:rPr>
          <w:rFonts w:ascii="Times New Roman"/>
          <w:color w:val="212529"/>
          <w:spacing w:val="45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十七、援助其他地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49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区支出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十八、自然资源海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18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50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洋气象等支出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十九、住房保障支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19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51</w:t>
      </w:r>
      <w:r>
        <w:rPr>
          <w:rFonts w:ascii="Times New Roman"/>
          <w:color w:val="212529"/>
          <w:spacing w:val="4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二十、粮油物资储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20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52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备支出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二十一、国有资本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21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53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经营预算支出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二十二、灾害防治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22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54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及应急管理支出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23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二十三、其他支出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</w:t>
      </w:r>
      <w:r>
        <w:rPr>
          <w:rFonts w:ascii="Times New Roman"/>
          <w:color w:val="212529"/>
          <w:spacing w:val="5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0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二十四、债务还本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24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56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二十五、债务付息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25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57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二十六、抗疫特别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26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58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国债安排的支出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9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26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27</w:t>
      </w:r>
      <w:r>
        <w:rPr>
          <w:rFonts w:ascii="Times New Roman"/>
          <w:color w:val="212529"/>
          <w:spacing w:val="9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806.27</w:t>
      </w:r>
      <w:r>
        <w:rPr>
          <w:rFonts w:ascii="Times New Roman"/>
          <w:color w:val="212529"/>
          <w:spacing w:val="24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3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59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806.27</w:t>
      </w:r>
      <w:r>
        <w:rPr>
          <w:rFonts w:ascii="Times New Roman"/>
          <w:color w:val="212529"/>
          <w:spacing w:val="5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804.77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年初财政拨款结</w:t>
      </w:r>
      <w:r>
        <w:rPr>
          <w:rFonts w:ascii="Times New Roman"/>
          <w:color w:val="212529"/>
          <w:spacing w:val="202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年末财政拨款结转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28</w:t>
      </w:r>
      <w:r>
        <w:rPr>
          <w:rFonts w:ascii="Times New Roman"/>
          <w:color w:val="212529"/>
          <w:spacing w:val="14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7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60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转和结余</w:t>
      </w:r>
      <w:r>
        <w:rPr>
          <w:rFonts w:ascii="Times New Roman"/>
          <w:color w:val="212529"/>
          <w:spacing w:val="256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和结余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0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8" w:id="br8"/>
      </w:r>
      <w:r>
        <w:bookmarkEnd w:id="br8"/>
      </w:r>
      <w:r>
        <w:rPr>
          <w:noProof w:val="on"/>
        </w:rPr>
        <w:pict>
          <v:shape xmlns:v="urn:schemas-microsoft-com:vml" id="_x000040" style="position:absolute;margin-left:70.7pt;margin-top:32.75pt;z-index:-163;width:453.35pt;height:135.2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29pt;z-index:-16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29</w:t>
      </w:r>
      <w:r>
        <w:rPr>
          <w:rFonts w:ascii="Times New Roman"/>
          <w:color w:val="212529"/>
          <w:spacing w:val="14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7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61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6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59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30</w:t>
      </w:r>
      <w:r>
        <w:rPr>
          <w:rFonts w:ascii="Times New Roman"/>
          <w:color w:val="212529"/>
          <w:spacing w:val="14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7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62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6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59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国有资本经营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31</w:t>
      </w:r>
      <w:r>
        <w:rPr>
          <w:rFonts w:ascii="Times New Roman"/>
          <w:color w:val="212529"/>
          <w:spacing w:val="14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7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63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6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59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30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</w:t>
      </w:r>
      <w:r>
        <w:rPr>
          <w:rFonts w:ascii="Times New Roman"/>
          <w:color w:val="212529"/>
          <w:spacing w:val="9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806.27</w:t>
      </w:r>
      <w:r>
        <w:rPr>
          <w:rFonts w:ascii="Times New Roman"/>
          <w:color w:val="212529"/>
          <w:spacing w:val="60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7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806.27</w:t>
      </w:r>
      <w:r>
        <w:rPr>
          <w:rFonts w:ascii="Times New Roman"/>
          <w:color w:val="212529"/>
          <w:spacing w:val="5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804.77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8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ONLKH+WenQuanYi Zen Hei Sharp" w:hAnsi="MONLKH+WenQuanYi Zen Hei Sharp" w:cs="MONLKH+WenQuanYi Zen Hei Sharp"/>
          <w:color w:val="212529"/>
          <w:spacing w:val="0"/>
          <w:sz w:val="18"/>
        </w:rPr>
        <w:t>注：本表反映部门本年度一般公共预算财政拨款、政府性基金预算财政拨款和国有资本经营预算财政拨款的总收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7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ONLKH+WenQuanYi Zen Hei Sharp" w:hAnsi="MONLKH+WenQuanYi Zen Hei Sharp" w:cs="MONLKH+WenQuanYi Zen Hei Sharp"/>
          <w:color w:val="212529"/>
          <w:spacing w:val="0"/>
          <w:sz w:val="18"/>
        </w:rPr>
        <w:t>支和年末结转结余情况。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364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9" w:id="br9"/>
      </w:r>
      <w:r>
        <w:bookmarkEnd w:id="br9"/>
      </w:r>
      <w:r>
        <w:rPr>
          <w:noProof w:val="on"/>
        </w:rPr>
        <w:pict>
          <v:shape xmlns:v="urn:schemas-microsoft-com:vml" id="_x000042" style="position:absolute;margin-left:70.7pt;margin-top:40.55pt;z-index:-171;width:453.35pt;height:399.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29pt;z-index:-17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五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EHGBU+WenQuanYi Zen Hei Sharp" w:hAnsi="MEHGBU+WenQuanYi Zen Hei Sharp" w:cs="MEHGBU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118" w:after="0" w:line="154" w:lineRule="exact"/>
        <w:ind w:left="357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MEHGBU+WenQuanYi Zen Hei Sharp" w:hAnsi="MEHGBU+WenQuanYi Zen Hei Sharp" w:cs="MEHGBU+WenQuanYi Zen Hei Sharp"/>
          <w:color w:val="212529"/>
          <w:spacing w:val="-2"/>
          <w:sz w:val="23"/>
        </w:rPr>
        <w:t>一般公共预算财政拨款支出决算表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57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公开05表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68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部门名称：兴县魏家滩镇中心校</w:t>
      </w:r>
      <w:r>
        <w:rPr>
          <w:rFonts w:ascii="Times New Roman"/>
          <w:color w:val="212529"/>
          <w:spacing w:val="404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1797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79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153" w:after="0" w:line="123" w:lineRule="exact"/>
        <w:ind w:left="28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EHGBU+WenQuanYi Zen Hei Sharp" w:hAnsi="MEHGBU+WenQuanYi Zen Hei Sharp" w:cs="MEHGBU+WenQuanYi Zen Hei Sharp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922"/>
          <w:sz w:val="18"/>
        </w:rPr>
        <w:t xml:space="preserve"> </w:t>
      </w:r>
      <w:r>
        <w:rPr>
          <w:rFonts w:ascii="MEHGBU+WenQuanYi Zen Hei Sharp" w:hAnsi="MEHGBU+WenQuanYi Zen Hei Sharp" w:cs="MEHGBU+WenQuanYi Zen Hei Sharp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9" w:after="0" w:line="123" w:lineRule="exact"/>
        <w:ind w:left="13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EHGBU+WenQuanYi Zen Hei Sharp" w:hAnsi="MEHGBU+WenQuanYi Zen Hei Sharp" w:cs="MEHGBU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479"/>
          <w:sz w:val="18"/>
        </w:rPr>
        <w:t xml:space="preserve"> </w:t>
      </w:r>
      <w:r>
        <w:rPr>
          <w:rFonts w:ascii="MEHGBU+WenQuanYi Zen Hei Sharp" w:hAnsi="MEHGBU+WenQuanYi Zen Hei Sharp" w:cs="MEHGBU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557"/>
          <w:sz w:val="18"/>
        </w:rPr>
        <w:t xml:space="preserve"> </w:t>
      </w:r>
      <w:r>
        <w:rPr>
          <w:rFonts w:ascii="MEHGBU+WenQuanYi Zen Hei Sharp" w:hAnsi="MEHGBU+WenQuanYi Zen Hei Sharp" w:cs="MEHGBU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MEHGBU+WenQuanYi Zen Hei Sharp" w:hAnsi="MEHGBU+WenQuanYi Zen Hei Sharp" w:cs="MEHGBU+WenQuanYi Zen Hei Sharp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693"/>
          <w:sz w:val="18"/>
        </w:rPr>
        <w:t xml:space="preserve"> </w:t>
      </w:r>
      <w:r>
        <w:rPr>
          <w:rFonts w:ascii="MEHGBU+WenQuanYi Zen Hei Sharp" w:hAnsi="MEHGBU+WenQuanYi Zen Hei Sharp" w:cs="MEHGBU+WenQuanYi Zen Hei Sharp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9" w:after="0" w:line="123" w:lineRule="exact"/>
        <w:ind w:left="28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EHGBU+WenQuanYi Zen Hei Sharp" w:hAnsi="MEHGBU+WenQuanYi Zen Hei Sharp" w:cs="MEHGBU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60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4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3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28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0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804.77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723.74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81.03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29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645.73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564.71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81.03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29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645.73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564.71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81.03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2050201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学前教育</w:t>
      </w:r>
      <w:r>
        <w:rPr>
          <w:rFonts w:ascii="Times New Roman"/>
          <w:color w:val="212529"/>
          <w:spacing w:val="30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16.20</w:t>
      </w:r>
      <w:r>
        <w:rPr>
          <w:rFonts w:ascii="Times New Roman"/>
          <w:color w:val="212529"/>
          <w:spacing w:val="132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16.20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小学教育</w:t>
      </w:r>
      <w:r>
        <w:rPr>
          <w:rFonts w:ascii="Times New Roman"/>
          <w:color w:val="212529"/>
          <w:spacing w:val="29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599.00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564.71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34.29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其他普通教育支出</w:t>
      </w:r>
      <w:r>
        <w:rPr>
          <w:rFonts w:ascii="Times New Roman"/>
          <w:color w:val="212529"/>
          <w:spacing w:val="23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30.54</w:t>
      </w:r>
      <w:r>
        <w:rPr>
          <w:rFonts w:ascii="Times New Roman"/>
          <w:color w:val="212529"/>
          <w:spacing w:val="132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30.54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1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19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92.80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248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46.54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46.54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6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机关事业单位基本养老保险缴费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493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46.17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46.17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6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机关事业单位职业年金缴费支出</w:t>
      </w:r>
      <w:r>
        <w:rPr>
          <w:rFonts w:ascii="Times New Roman"/>
          <w:color w:val="212529"/>
          <w:spacing w:val="13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0.09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0.09</w:t>
      </w:r>
      <w:r>
        <w:rPr>
          <w:rFonts w:ascii="Times New Roman"/>
          <w:color w:val="212529"/>
          <w:spacing w:val="13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3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20.68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20.30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20.30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其他行政事业单位医疗支出</w:t>
      </w:r>
      <w:r>
        <w:rPr>
          <w:rFonts w:ascii="Times New Roman"/>
          <w:color w:val="212529"/>
          <w:spacing w:val="16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0.37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0.37</w:t>
      </w:r>
      <w:r>
        <w:rPr>
          <w:rFonts w:ascii="Times New Roman"/>
          <w:color w:val="212529"/>
          <w:spacing w:val="13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28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45.56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1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EHGBU+WenQuanYi Zen Hei Sharp" w:hAnsi="MEHGBU+WenQuanYi Zen Hei Sharp" w:cs="MEHGBU+WenQuanYi Zen Hei Sharp"/>
          <w:color w:val="212529"/>
          <w:spacing w:val="0"/>
          <w:sz w:val="18"/>
        </w:rPr>
        <w:t>注：本表反映部门本年度一般公共预算财政拨款支出情况。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79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0" w:id="br10"/>
      </w:r>
      <w:r>
        <w:bookmarkEnd w:id="br10"/>
      </w:r>
      <w:r>
        <w:rPr>
          <w:noProof w:val="on"/>
        </w:rPr>
        <w:pict>
          <v:shape xmlns:v="urn:schemas-microsoft-com:vml" id="_x000044" style="position:absolute;margin-left:70.7pt;margin-top:40.55pt;z-index:-179;width:700.8pt;height:521.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29pt;z-index:-183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六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明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细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QPUOB+WenQuanYi Zen Hei Sharp" w:hAnsi="FQPUOB+WenQuanYi Zen Hei Sharp" w:cs="FQPUOB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559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一般公共预算财政拨款基本支出决算明细表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67" w:after="0" w:line="28" w:lineRule="exact"/>
        <w:ind w:left="1415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公开06表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部门名称：兴县魏家滩镇中心校</w:t>
      </w:r>
      <w:r>
        <w:rPr>
          <w:rFonts w:ascii="Times New Roman"/>
          <w:color w:val="212529"/>
          <w:spacing w:val="3771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6486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45" w:after="0" w:line="123" w:lineRule="exact"/>
        <w:ind w:left="22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人员经费</w:t>
      </w:r>
      <w:r>
        <w:rPr>
          <w:rFonts w:ascii="Times New Roman"/>
          <w:color w:val="212529"/>
          <w:spacing w:val="6217"/>
          <w:sz w:val="18"/>
        </w:rPr>
        <w:t xml:space="preserve"> </w:t>
      </w: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公用经费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25" w:after="0" w:line="123" w:lineRule="exact"/>
        <w:ind w:left="8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567"/>
          <w:sz w:val="18"/>
        </w:rPr>
        <w:t xml:space="preserve"> </w:t>
      </w: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207"/>
          <w:sz w:val="18"/>
        </w:rPr>
        <w:t xml:space="preserve"> </w:t>
      </w: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351"/>
          <w:sz w:val="18"/>
        </w:rPr>
        <w:t xml:space="preserve"> </w:t>
      </w: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141"/>
          <w:sz w:val="18"/>
        </w:rPr>
        <w:t xml:space="preserve"> </w:t>
      </w: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357"/>
          <w:sz w:val="18"/>
        </w:rPr>
        <w:t xml:space="preserve"> </w:t>
      </w: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561"/>
          <w:sz w:val="18"/>
        </w:rPr>
        <w:t xml:space="preserve"> </w:t>
      </w: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922"/>
          <w:sz w:val="18"/>
        </w:rPr>
        <w:t xml:space="preserve"> </w:t>
      </w: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84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</w:t>
      </w:r>
      <w:r>
        <w:rPr>
          <w:rFonts w:ascii="Times New Roman"/>
          <w:color w:val="212529"/>
          <w:spacing w:val="62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工资福利支出</w:t>
      </w:r>
      <w:r>
        <w:rPr>
          <w:rFonts w:ascii="Times New Roman"/>
          <w:color w:val="212529"/>
          <w:spacing w:val="135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672.97</w:t>
      </w:r>
      <w:r>
        <w:rPr>
          <w:rFonts w:ascii="Times New Roman"/>
          <w:color w:val="212529"/>
          <w:spacing w:val="-5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商品和服务支出</w:t>
      </w:r>
      <w:r>
        <w:rPr>
          <w:rFonts w:ascii="Times New Roman"/>
          <w:color w:val="212529"/>
          <w:spacing w:val="8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3.03</w:t>
      </w:r>
      <w:r>
        <w:rPr>
          <w:rFonts w:ascii="Times New Roman"/>
          <w:color w:val="212529"/>
          <w:spacing w:val="-5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债务利息及费用支出</w:t>
      </w:r>
      <w:r>
        <w:rPr>
          <w:rFonts w:ascii="Times New Roman"/>
          <w:color w:val="212529"/>
          <w:spacing w:val="104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地上附着物和青苗补偿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基本工资</w:t>
      </w:r>
      <w:r>
        <w:rPr>
          <w:rFonts w:ascii="Times New Roman"/>
          <w:color w:val="212529"/>
          <w:spacing w:val="149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281.56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国内债务付息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拆迁补偿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津贴补贴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95.35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印刷费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国外债务付息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公务用车购置</w:t>
      </w:r>
      <w:r>
        <w:rPr>
          <w:rFonts w:ascii="Times New Roman"/>
          <w:color w:val="212529"/>
          <w:spacing w:val="204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奖金</w:t>
      </w:r>
      <w:r>
        <w:rPr>
          <w:rFonts w:ascii="Times New Roman"/>
          <w:color w:val="212529"/>
          <w:spacing w:val="213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咨询费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国内债务发行费用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其他交通工具购置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30106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伙食补助费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手续费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国外债务发行费用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31021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文物和陈列品购置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25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资本性支出（基本建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30107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绩效工资</w:t>
      </w:r>
      <w:r>
        <w:rPr>
          <w:rFonts w:ascii="Times New Roman"/>
          <w:color w:val="212529"/>
          <w:spacing w:val="149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116.29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水费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</w:t>
      </w:r>
      <w:r>
        <w:rPr>
          <w:rFonts w:ascii="Times New Roman"/>
          <w:color w:val="212529"/>
          <w:spacing w:val="222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31022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无形资产购置</w:t>
      </w:r>
      <w:r>
        <w:rPr>
          <w:rFonts w:ascii="Times New Roman"/>
          <w:color w:val="212529"/>
          <w:spacing w:val="204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25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设）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6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机关事业单位基本养老保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30108</w:t>
      </w:r>
      <w:r>
        <w:rPr>
          <w:rFonts w:ascii="Times New Roman"/>
          <w:color w:val="212529"/>
          <w:spacing w:val="279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65.73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电费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房屋建筑物构建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其他资本性支出</w:t>
      </w:r>
      <w:r>
        <w:rPr>
          <w:rFonts w:ascii="Times New Roman"/>
          <w:color w:val="212529"/>
          <w:spacing w:val="189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险缴费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职业年金缴费</w:t>
      </w:r>
      <w:r>
        <w:rPr>
          <w:rFonts w:ascii="Times New Roman"/>
          <w:color w:val="212529"/>
          <w:spacing w:val="134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0.09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邮电费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办公设备购置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对企业补助（基本建设）</w:t>
      </w:r>
      <w:r>
        <w:rPr>
          <w:rFonts w:ascii="Times New Roman"/>
          <w:color w:val="212529"/>
          <w:spacing w:val="733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30110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职工基本医疗保险缴费</w:t>
      </w:r>
      <w:r>
        <w:rPr>
          <w:rFonts w:ascii="Times New Roman"/>
          <w:color w:val="212529"/>
          <w:spacing w:val="76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1.11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取暖费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专用设备购置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资本金注入</w:t>
      </w:r>
      <w:r>
        <w:rPr>
          <w:rFonts w:ascii="Times New Roman"/>
          <w:color w:val="212529"/>
          <w:spacing w:val="144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公务员医疗补助缴费</w:t>
      </w:r>
      <w:r>
        <w:rPr>
          <w:rFonts w:ascii="Times New Roman"/>
          <w:color w:val="212529"/>
          <w:spacing w:val="11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物业管理费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基础设施建设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其他对企业补助</w:t>
      </w:r>
      <w:r>
        <w:rPr>
          <w:rFonts w:ascii="Times New Roman"/>
          <w:color w:val="212529"/>
          <w:spacing w:val="1160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其他社会保障缴费</w:t>
      </w:r>
      <w:r>
        <w:rPr>
          <w:rFonts w:ascii="Times New Roman"/>
          <w:color w:val="212529"/>
          <w:spacing w:val="1058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1.22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差旅费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大型修缮</w:t>
      </w:r>
      <w:r>
        <w:rPr>
          <w:rFonts w:ascii="Times New Roman"/>
          <w:color w:val="212529"/>
          <w:spacing w:val="8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对企业补助</w:t>
      </w:r>
      <w:r>
        <w:rPr>
          <w:rFonts w:ascii="Times New Roman"/>
          <w:color w:val="212529"/>
          <w:spacing w:val="233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因公出国（境）费</w:t>
      </w:r>
      <w:r>
        <w:rPr>
          <w:rFonts w:ascii="Times New Roman"/>
          <w:color w:val="212529"/>
          <w:spacing w:val="16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信息网络及软件购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住房公积金</w:t>
      </w:r>
      <w:r>
        <w:rPr>
          <w:rFonts w:ascii="Times New Roman"/>
          <w:color w:val="212529"/>
          <w:spacing w:val="1418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45.56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30212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30907</w:t>
      </w:r>
      <w:r>
        <w:rPr>
          <w:rFonts w:ascii="Times New Roman"/>
          <w:color w:val="212529"/>
          <w:spacing w:val="20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资本金注入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用</w:t>
      </w:r>
      <w:r>
        <w:rPr>
          <w:rFonts w:ascii="Times New Roman"/>
          <w:color w:val="212529"/>
          <w:spacing w:val="285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置更新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30114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医疗费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维修（护）费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物资储备</w:t>
      </w:r>
      <w:r>
        <w:rPr>
          <w:rFonts w:ascii="Times New Roman"/>
          <w:color w:val="212529"/>
          <w:spacing w:val="8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政府投资基金股权投资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30199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其他工资福利支出</w:t>
      </w:r>
      <w:r>
        <w:rPr>
          <w:rFonts w:ascii="Times New Roman"/>
          <w:color w:val="212529"/>
          <w:spacing w:val="98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66.06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租赁费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费用补贴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</w:t>
      </w:r>
      <w:r>
        <w:rPr>
          <w:rFonts w:ascii="Times New Roman"/>
          <w:color w:val="212529"/>
          <w:spacing w:val="62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对个人和家庭的补助</w:t>
      </w:r>
      <w:r>
        <w:rPr>
          <w:rFonts w:ascii="Times New Roman"/>
          <w:color w:val="212529"/>
          <w:spacing w:val="99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47.74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会议费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30919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其他交通工具购置</w:t>
      </w:r>
      <w:r>
        <w:rPr>
          <w:rFonts w:ascii="Times New Roman"/>
          <w:color w:val="212529"/>
          <w:spacing w:val="30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利息补贴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离休费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培训费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30921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文物和陈列品购置</w:t>
      </w:r>
      <w:r>
        <w:rPr>
          <w:rFonts w:ascii="Times New Roman"/>
          <w:color w:val="212529"/>
          <w:spacing w:val="30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其他对企业补助</w:t>
      </w:r>
      <w:r>
        <w:rPr>
          <w:rFonts w:ascii="Times New Roman"/>
          <w:color w:val="212529"/>
          <w:spacing w:val="189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退休费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46.54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公务接待费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30922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无形资产购置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对社会保障基金补助</w:t>
      </w:r>
      <w:r>
        <w:rPr>
          <w:rFonts w:ascii="Times New Roman"/>
          <w:color w:val="212529"/>
          <w:spacing w:val="127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退职（役）费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专用材料费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其他资本性支出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对社会保险基金补助</w:t>
      </w:r>
      <w:r>
        <w:rPr>
          <w:rFonts w:ascii="Times New Roman"/>
          <w:color w:val="212529"/>
          <w:spacing w:val="112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22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1" w:id="br11"/>
      </w:r>
      <w:r>
        <w:bookmarkEnd w:id="br11"/>
      </w:r>
      <w:r>
        <w:rPr>
          <w:noProof w:val="on"/>
        </w:rPr>
        <w:pict>
          <v:shape xmlns:v="urn:schemas-microsoft-com:vml" id="_x000046" style="position:absolute;margin-left:70.7pt;margin-top:32.75pt;z-index:-187;width:700.8pt;height:283.5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29pt;z-index:-191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82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30304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抚恤金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被装购置费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资本性支出</w:t>
      </w:r>
      <w:r>
        <w:rPr>
          <w:rFonts w:ascii="Times New Roman"/>
          <w:color w:val="212529"/>
          <w:spacing w:val="161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补充全国社会保障基金</w:t>
      </w:r>
      <w:r>
        <w:rPr>
          <w:rFonts w:ascii="Times New Roman"/>
          <w:color w:val="212529"/>
          <w:spacing w:val="98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对机关事业单位职业年金的补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30305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生活补助</w:t>
      </w:r>
      <w:r>
        <w:rPr>
          <w:rFonts w:ascii="Times New Roman"/>
          <w:color w:val="212529"/>
          <w:spacing w:val="185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专用燃料费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房屋建筑物构建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31304</w:t>
      </w:r>
      <w:r>
        <w:rPr>
          <w:rFonts w:ascii="Times New Roman"/>
          <w:color w:val="212529"/>
          <w:spacing w:val="30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助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30306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救济费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劳务费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办公设备购置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其他支出</w:t>
      </w:r>
      <w:r>
        <w:rPr>
          <w:rFonts w:ascii="Times New Roman"/>
          <w:color w:val="212529"/>
          <w:spacing w:val="248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30307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医疗费补助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委托业务费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专用设备购置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国家赔偿费用支出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对民间非营利组织和群众性自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30308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助学金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工会经费</w:t>
      </w:r>
      <w:r>
        <w:rPr>
          <w:rFonts w:ascii="Times New Roman"/>
          <w:color w:val="212529"/>
          <w:spacing w:val="110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3.03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基础设施建设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39908</w:t>
      </w:r>
      <w:r>
        <w:rPr>
          <w:rFonts w:ascii="Times New Roman"/>
          <w:color w:val="212529"/>
          <w:spacing w:val="353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治组织补贴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奖励金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福利费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大型修缮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经常性赠与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公务用车运行维护</w:t>
      </w:r>
      <w:r>
        <w:rPr>
          <w:rFonts w:ascii="Times New Roman"/>
          <w:color w:val="212529"/>
          <w:spacing w:val="16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信息网络及软件购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30310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个人农业生产补贴</w:t>
      </w:r>
      <w:r>
        <w:rPr>
          <w:rFonts w:ascii="Times New Roman"/>
          <w:color w:val="212529"/>
          <w:spacing w:val="127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30231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31007</w:t>
      </w:r>
      <w:r>
        <w:rPr>
          <w:rFonts w:ascii="Times New Roman"/>
          <w:color w:val="212529"/>
          <w:spacing w:val="281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39910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资本性赠与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费</w:t>
      </w:r>
      <w:r>
        <w:rPr>
          <w:rFonts w:ascii="Times New Roman"/>
          <w:color w:val="212529"/>
          <w:spacing w:val="285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置更新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30311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代缴社会保险费</w:t>
      </w:r>
      <w:r>
        <w:rPr>
          <w:rFonts w:ascii="Times New Roman"/>
          <w:color w:val="212529"/>
          <w:spacing w:val="141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30239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物资储备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其他支出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30399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其他对个人和家庭的补助</w:t>
      </w:r>
      <w:r>
        <w:rPr>
          <w:rFonts w:ascii="Times New Roman"/>
          <w:color w:val="212529"/>
          <w:spacing w:val="625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1.20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30240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税金及附加费用</w:t>
      </w:r>
      <w:r>
        <w:rPr>
          <w:rFonts w:ascii="Times New Roman"/>
          <w:color w:val="212529"/>
          <w:spacing w:val="89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土地补偿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793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5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其他商品和服务支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829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6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30299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安置补助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793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5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人员经费合计</w:t>
      </w:r>
      <w:r>
        <w:rPr>
          <w:rFonts w:ascii="Times New Roman"/>
          <w:color w:val="212529"/>
          <w:spacing w:val="134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720.71</w:t>
      </w:r>
      <w:r>
        <w:rPr>
          <w:rFonts w:ascii="Times New Roman"/>
          <w:color w:val="212529"/>
          <w:spacing w:val="419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公用经费合计</w:t>
      </w:r>
      <w:r>
        <w:rPr>
          <w:rFonts w:ascii="Times New Roman"/>
          <w:color w:val="212529"/>
          <w:spacing w:val="496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3.03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45" w:after="0" w:line="12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QPUOB+WenQuanYi Zen Hei Sharp" w:hAnsi="FQPUOB+WenQuanYi Zen Hei Sharp" w:cs="FQPUOB+WenQuanYi Zen Hei Sharp"/>
          <w:color w:val="212529"/>
          <w:spacing w:val="0"/>
          <w:sz w:val="18"/>
        </w:rPr>
        <w:t>注：本表反映部门本年度一般公共预算财政拨款基本支出明细情况。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829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2" w:id="br12"/>
      </w:r>
      <w:r>
        <w:bookmarkEnd w:id="br12"/>
      </w:r>
      <w:r>
        <w:rPr>
          <w:noProof w:val="on"/>
        </w:rPr>
        <w:pict>
          <v:shape xmlns:v="urn:schemas-microsoft-com:vml" id="_x000048" style="position:absolute;margin-left:70.7pt;margin-top:40.55pt;z-index:-195;width:453.35pt;height:240.2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29pt;z-index:-19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七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府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性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WUNWG+WenQuanYi Zen Hei Sharp" w:hAnsi="UWUNWG+WenQuanYi Zen Hei Sharp" w:cs="UWUNWG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23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政府性基金预算财政拨款收入支出决算表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94" w:after="0" w:line="39" w:lineRule="exact"/>
        <w:ind w:left="1586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1833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1473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7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35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1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7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公开07表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部门名称：兴县魏家滩镇中心校</w:t>
      </w:r>
      <w:r>
        <w:rPr>
          <w:rFonts w:ascii="Times New Roman"/>
          <w:color w:val="212529"/>
          <w:spacing w:val="344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433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4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461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8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431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64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年初结转和</w:t>
      </w:r>
      <w:r>
        <w:rPr>
          <w:rFonts w:ascii="Times New Roman"/>
          <w:color w:val="212529"/>
          <w:spacing w:val="8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本年收</w:t>
      </w:r>
      <w:r>
        <w:rPr>
          <w:rFonts w:ascii="Times New Roman"/>
          <w:color w:val="212529"/>
          <w:spacing w:val="273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年末结转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491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结余</w:t>
      </w:r>
      <w:r>
        <w:rPr>
          <w:rFonts w:ascii="Times New Roman"/>
          <w:color w:val="212529"/>
          <w:spacing w:val="53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入</w:t>
      </w:r>
      <w:r>
        <w:rPr>
          <w:rFonts w:ascii="Times New Roman"/>
          <w:color w:val="212529"/>
          <w:spacing w:val="300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和结余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8" w:after="0" w:line="33" w:lineRule="exact"/>
        <w:ind w:left="128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260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2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8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13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6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70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7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57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</w:t>
      </w:r>
      <w:r>
        <w:rPr>
          <w:rFonts w:ascii="Times New Roman"/>
          <w:color w:val="212529"/>
          <w:spacing w:val="141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其他支出</w:t>
      </w:r>
      <w:r>
        <w:rPr>
          <w:rFonts w:ascii="Times New Roman"/>
          <w:color w:val="212529"/>
          <w:spacing w:val="218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彩票公益金安排的支出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25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用于教育事业的彩票公益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2296004</w:t>
      </w:r>
      <w:r>
        <w:rPr>
          <w:rFonts w:ascii="Times New Roman"/>
          <w:color w:val="212529"/>
          <w:spacing w:val="400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25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金支出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注：本表反映部门本年度政府性基金预算财政拨款收入、支出及结转和结余情况。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0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3" w:id="br13"/>
      </w:r>
      <w:r>
        <w:bookmarkEnd w:id="br13"/>
      </w:r>
      <w:r>
        <w:rPr>
          <w:noProof w:val="on"/>
        </w:rPr>
        <w:pict>
          <v:shape xmlns:v="urn:schemas-microsoft-com:vml" id="_x000050" style="position:absolute;margin-left:70.7pt;margin-top:40.55pt;z-index:-203;width:453.35pt;height:218.6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29pt;z-index:-20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国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PSGC+WenQuanYi Zen Hei Sharp" w:hAnsi="IVPSGC+WenQuanYi Zen Hei Sharp" w:cs="IVPSGC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35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国有资本经营预算财政拨款支出决算表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17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650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公开08表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部门名称：兴县魏家滩镇中心校</w:t>
      </w:r>
      <w:r>
        <w:rPr>
          <w:rFonts w:ascii="Times New Roman"/>
          <w:color w:val="212529"/>
          <w:spacing w:val="3734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193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12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92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44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97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75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3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30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6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9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4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VPSGC+WenQuanYi Zen Hei Sharp" w:hAnsi="IVPSGC+WenQuanYi Zen Hei Sharp" w:cs="IVPSGC+WenQuanYi Zen Hei Sharp"/>
          <w:color w:val="212529"/>
          <w:spacing w:val="0"/>
          <w:sz w:val="18"/>
        </w:rPr>
        <w:t>注：本表反映部门本年度国有资本经营预算财政拨款支出情况。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25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VPSGC+WenQuanYi Zen Hei Sharp" w:hAnsi="IVPSGC+WenQuanYi Zen Hei Sharp" w:cs="IVPSGC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56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4" w:id="br14"/>
      </w:r>
      <w:r>
        <w:bookmarkEnd w:id="br14"/>
      </w:r>
      <w:r>
        <w:rPr>
          <w:noProof w:val="on"/>
        </w:rPr>
        <w:pict>
          <v:shape xmlns:v="urn:schemas-microsoft-com:vml" id="_x000052" style="position:absolute;margin-left:70.7pt;margin-top:40.55pt;z-index:-211;width:700.8pt;height:178.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70.7pt;margin-top:238.05pt;z-index:-215;width:700.8pt;height:24.2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29pt;z-index:-219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九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PUAU+Nimbus Sans L" w:hAnsi="UDPUAU+Nimbus Sans L" w:cs="UDPUAU+Nimbus Sans L"/>
          <w:color w:val="000000"/>
          <w:spacing w:val="1"/>
          <w:sz w:val="2"/>
        </w:rPr>
        <w:t>“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DPUAU+Nimbus Sans L" w:hAnsi="UDPUAU+Nimbus Sans L" w:cs="UDPUAU+Nimbus Sans L"/>
          <w:color w:val="000000"/>
          <w:spacing w:val="1"/>
          <w:sz w:val="2"/>
        </w:rPr>
        <w:t>”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ESTIO+WenQuanYi Zen Hei Sharp" w:hAnsi="GESTIO+WenQuanYi Zen Hei Sharp" w:cs="GESTIO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6054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财政拨款“三公”经费支出决算表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67" w:after="0" w:line="28" w:lineRule="exact"/>
        <w:ind w:left="1415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公开09表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部门名称：兴县魏家滩镇中心校</w:t>
      </w:r>
      <w:r>
        <w:rPr>
          <w:rFonts w:ascii="Times New Roman"/>
          <w:color w:val="212529"/>
          <w:spacing w:val="3489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684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12" w:after="0" w:line="33" w:lineRule="exact"/>
        <w:ind w:left="39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预算数</w:t>
      </w:r>
      <w:r>
        <w:rPr>
          <w:rFonts w:ascii="Times New Roman"/>
          <w:color w:val="212529"/>
          <w:spacing w:val="63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决算数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389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公务用车购置及运行维护费</w:t>
      </w:r>
      <w:r>
        <w:rPr>
          <w:rFonts w:ascii="Times New Roman"/>
          <w:color w:val="212529"/>
          <w:spacing w:val="4770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公务用车购置及运行维护费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0" w:after="0" w:line="112" w:lineRule="exact"/>
        <w:ind w:left="11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因公出国（境）</w:t>
      </w:r>
      <w:r>
        <w:rPr>
          <w:rFonts w:ascii="Times New Roman"/>
          <w:color w:val="212529"/>
          <w:spacing w:val="5664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因公出国（境）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cr>""</w:cr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178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公务接待费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214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公务接待费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cr>""</w:cr>
      </w:r>
      <w:r>
        <w:rPr>
          <w:rFonts w:ascii="Times New Roman"/>
          <w:color w:val="212529"/>
          <w:spacing w:val="3329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公务用车购</w:t>
      </w:r>
      <w:r>
        <w:rPr>
          <w:rFonts w:ascii="Times New Roman"/>
          <w:color w:val="212529"/>
          <w:spacing w:val="249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公务用车</w:t>
      </w:r>
      <w:r>
        <w:rPr>
          <w:rFonts w:ascii="Times New Roman"/>
          <w:color w:val="212529"/>
          <w:spacing w:val="5016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公务用车购</w:t>
      </w:r>
      <w:r>
        <w:rPr>
          <w:rFonts w:ascii="Times New Roman"/>
          <w:color w:val="212529"/>
          <w:spacing w:val="249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公务用车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cr>""</w:cr>
      </w:r>
      <w:r>
        <w:rPr>
          <w:rFonts w:ascii="Times New Roman"/>
          <w:color w:val="212529"/>
          <w:spacing w:val="2494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6571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12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费</w:t>
      </w:r>
      <w:r>
        <w:rPr>
          <w:rFonts w:ascii="Times New Roman"/>
          <w:color w:val="212529"/>
          <w:spacing w:val="6745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93" w:after="0" w:line="123" w:lineRule="exact"/>
        <w:ind w:left="479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置费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运行维护费</w:t>
      </w:r>
      <w:r>
        <w:rPr>
          <w:rFonts w:ascii="Times New Roman"/>
          <w:color w:val="212529"/>
          <w:spacing w:val="5196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置费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运行维护费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128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13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13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1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1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9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8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7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注：本表反映部门本年度“三公”经费支出预决算情况。其中，预算数为“三公”经费全年预算数，反映按规定程序调整后的预算数；决算数是包括当年财政拨款和以前年度结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7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转资金安排的实际支出。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52" w:after="0" w:line="12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STIO+WenQuanYi Zen Hei Sharp" w:hAnsi="GESTIO+WenQuanYi Zen Hei Sharp" w:cs="GESTIO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562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5" w:id="br15"/>
      </w:r>
      <w:r>
        <w:bookmarkEnd w:id="br15"/>
      </w:r>
      <w:r>
        <w:rPr>
          <w:noProof w:val="on"/>
        </w:rPr>
        <w:pict>
          <v:shape xmlns:v="urn:schemas-microsoft-com:vml" id="_x000055" style="position:absolute;margin-left:70.7pt;margin-top:40.55pt;z-index:-223;width:453.35pt;height:439.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29pt;z-index:-2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相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信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统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计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VNRBR+WenQuanYi Zen Hei Sharp" w:hAnsi="PVNRBR+WenQuanYi Zen Hei Sharp" w:cs="PVNRBR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16" w:after="0" w:line="39" w:lineRule="exact"/>
        <w:ind w:left="380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部门决算公开相关信息统计表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81" w:after="0" w:line="30" w:lineRule="exact"/>
        <w:ind w:left="9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3"/>
          <w:sz w:val="16"/>
        </w:rPr>
        <w:t>公开10表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6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单位名称：兴县魏家滩镇中心校</w:t>
      </w:r>
      <w:r>
        <w:rPr>
          <w:rFonts w:ascii="Times New Roman"/>
          <w:color w:val="212529"/>
          <w:spacing w:val="2648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30" w:lineRule="exact"/>
        <w:ind w:left="869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金额单位：万元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一、政府采购情况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23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统计数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货物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工程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服务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二、机关运行经费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450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统计数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（一）行政单位</w:t>
      </w:r>
      <w:r>
        <w:rPr>
          <w:rFonts w:ascii="Times New Roman"/>
          <w:color w:val="212529"/>
          <w:spacing w:val="363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（二）参照公务员法管理事业单位</w:t>
      </w:r>
      <w:r>
        <w:rPr>
          <w:rFonts w:ascii="Times New Roman"/>
          <w:color w:val="212529"/>
          <w:spacing w:val="219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三、国有资产占用情况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（一）车辆数合计（辆）</w:t>
      </w:r>
      <w:r>
        <w:rPr>
          <w:rFonts w:ascii="Times New Roman"/>
          <w:color w:val="212529"/>
          <w:spacing w:val="291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1.副部（省）级及以上领导用车</w:t>
      </w:r>
      <w:r>
        <w:rPr>
          <w:rFonts w:ascii="Times New Roman"/>
          <w:color w:val="212529"/>
          <w:spacing w:val="22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2.主要负责人用车</w:t>
      </w:r>
      <w:r>
        <w:rPr>
          <w:rFonts w:ascii="Times New Roman"/>
          <w:color w:val="212529"/>
          <w:spacing w:val="33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3.机要通信用车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4.应急保障用车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5.执法执勤用车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6.特种专业技术用车</w:t>
      </w:r>
      <w:r>
        <w:rPr>
          <w:rFonts w:ascii="Times New Roman"/>
          <w:color w:val="212529"/>
          <w:spacing w:val="314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7.离退休干部服务用车</w:t>
      </w:r>
      <w:r>
        <w:rPr>
          <w:rFonts w:ascii="Times New Roman"/>
          <w:color w:val="212529"/>
          <w:spacing w:val="29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8.其他用车</w:t>
      </w:r>
      <w:r>
        <w:rPr>
          <w:rFonts w:ascii="Times New Roman"/>
          <w:color w:val="212529"/>
          <w:spacing w:val="38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（二）单价100万元（含）以上设备（不含车辆）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00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VNRBR+WenQuanYi Zen Hei Sharp" w:hAnsi="PVNRBR+WenQuanYi Zen Hei Sharp" w:cs="PVNRBR+WenQuanYi Zen Hei Sharp"/>
          <w:color w:val="212529"/>
          <w:spacing w:val="0"/>
          <w:sz w:val="18"/>
        </w:rPr>
        <w:t>注：本表反映部门本年度政府采购、机关运行经费和国有资产占用情况。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9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VNRBR+WenQuanYi Zen Hei Sharp" w:hAnsi="PVNRBR+WenQuanYi Zen Hei Sharp" w:cs="PVNRBR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01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6" w:id="br16"/>
      </w:r>
      <w:r>
        <w:bookmarkEnd w:id="br16"/>
      </w:r>
      <w:r>
        <w:rPr>
          <w:noProof w:val="on"/>
        </w:rPr>
        <w:pict>
          <v:shape xmlns:v="urn:schemas-microsoft-com:vml" id="_x000057" style="position:absolute;margin-left:63.5pt;margin-top:32.75pt;z-index:-231;width:467.75pt;height:794.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29pt;z-index:-2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94" w:after="0" w:line="42" w:lineRule="exact"/>
        <w:ind w:left="422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第三部分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一、收入支出决算总体情况说明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393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2023年度收入总计806.27万元，支出总计806.27万元。与上年相比，收入总计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减少132.94万元，下降14.15%，支出总计减少132.94万元，下降14.15%。主要原因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是上年度补发人员乡补金额较大及本年度在职人员减少，以致上下年变动比较大。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SimHei"/>
          <w:color w:val="000000"/>
          <w:spacing w:val="373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 xml:space="preserve">二、收入决算情况说明 </w:t>
      </w:r>
      <w:r>
        <w:rPr>
          <w:rFonts w:ascii="FangSong" w:hAnsi="FangSong" w:cs="FangSong"/>
          <w:color w:val="000000"/>
          <w:spacing w:val="2"/>
          <w:sz w:val="25"/>
        </w:rPr>
        <w:t xml:space="preserve">2023年度收入合计806.27万元，其中： </w:t>
      </w:r>
      <w:r>
        <w:rPr>
          <w:rFonts w:ascii="FangSong" w:hAnsi="FangSong" w:cs="FangSong"/>
          <w:color w:val="000000"/>
          <w:spacing w:val="2"/>
          <w:sz w:val="25"/>
        </w:rPr>
        <w:t xml:space="preserve">财政拨款收入806.27万元，占比100.00%； </w:t>
      </w:r>
      <w:r>
        <w:rPr>
          <w:rFonts w:ascii="FangSong" w:hAnsi="FangSong" w:cs="FangSong"/>
          <w:color w:val="000000"/>
          <w:spacing w:val="2"/>
          <w:sz w:val="25"/>
        </w:rPr>
        <w:t xml:space="preserve">上级补助收入0万元，占比0%； </w:t>
      </w:r>
      <w:r>
        <w:rPr>
          <w:rFonts w:ascii="FangSong" w:hAnsi="FangSong" w:cs="FangSong"/>
          <w:color w:val="000000"/>
          <w:spacing w:val="2"/>
          <w:sz w:val="25"/>
        </w:rPr>
        <w:t xml:space="preserve">事业收入0万元，占比0%； </w:t>
      </w:r>
      <w:r>
        <w:rPr>
          <w:rFonts w:ascii="FangSong" w:hAnsi="FangSong" w:cs="FangSong"/>
          <w:color w:val="000000"/>
          <w:spacing w:val="2"/>
          <w:sz w:val="25"/>
        </w:rPr>
        <w:t xml:space="preserve">经营收入0万元，占比0%； </w:t>
      </w:r>
      <w:r>
        <w:rPr>
          <w:rFonts w:ascii="FangSong" w:hAnsi="FangSong" w:cs="FangSong"/>
          <w:color w:val="000000"/>
          <w:spacing w:val="2"/>
          <w:sz w:val="25"/>
        </w:rPr>
        <w:t xml:space="preserve">附属单位上缴收入0万元，占比0%； </w:t>
      </w:r>
      <w:r>
        <w:rPr>
          <w:rFonts w:ascii="FangSong" w:hAnsi="FangSong" w:cs="FangSong"/>
          <w:color w:val="000000"/>
          <w:spacing w:val="2"/>
          <w:sz w:val="25"/>
        </w:rPr>
        <w:t xml:space="preserve">其他收入0万元，占比0%。 </w:t>
      </w:r>
      <w:r>
        <w:rPr>
          <w:rFonts w:ascii="SimHei" w:hAnsi="SimHei" w:cs="SimHei"/>
          <w:color w:val="000000"/>
          <w:spacing w:val="2"/>
          <w:sz w:val="25"/>
        </w:rPr>
        <w:t xml:space="preserve">三、支出决算情况说明 </w:t>
      </w:r>
      <w:r>
        <w:rPr>
          <w:rFonts w:ascii="FangSong" w:hAnsi="FangSong" w:cs="FangSong"/>
          <w:color w:val="000000"/>
          <w:spacing w:val="2"/>
          <w:sz w:val="25"/>
        </w:rPr>
        <w:t xml:space="preserve">2023年度支出合计806.27万元，其中： </w:t>
      </w:r>
      <w:r>
        <w:rPr>
          <w:rFonts w:ascii="FangSong" w:hAnsi="FangSong" w:cs="FangSong"/>
          <w:color w:val="000000"/>
          <w:spacing w:val="1"/>
          <w:sz w:val="25"/>
        </w:rPr>
        <w:t xml:space="preserve">基本支出723.74万元，占比89.76%； </w:t>
      </w:r>
      <w:r>
        <w:rPr>
          <w:rFonts w:ascii="FangSong" w:hAnsi="FangSong" w:cs="FangSong"/>
          <w:color w:val="000000"/>
          <w:spacing w:val="2"/>
          <w:sz w:val="25"/>
        </w:rPr>
        <w:t xml:space="preserve">项目支出82.53万元，占比10.24%； </w:t>
      </w:r>
      <w:r>
        <w:rPr>
          <w:rFonts w:ascii="FangSong" w:hAnsi="FangSong" w:cs="FangSong"/>
          <w:color w:val="000000"/>
          <w:spacing w:val="2"/>
          <w:sz w:val="25"/>
        </w:rPr>
        <w:t xml:space="preserve">上缴上级支出0万元，占比0%； </w:t>
      </w:r>
      <w:r>
        <w:rPr>
          <w:rFonts w:ascii="FangSong" w:hAnsi="FangSong" w:cs="FangSong"/>
          <w:color w:val="000000"/>
          <w:spacing w:val="2"/>
          <w:sz w:val="25"/>
        </w:rPr>
        <w:t xml:space="preserve">经营支出0万元，占比0%； </w:t>
      </w:r>
      <w:r>
        <w:rPr>
          <w:rFonts w:ascii="FangSong" w:hAnsi="FangSong" w:cs="FangSong"/>
          <w:color w:val="000000"/>
          <w:spacing w:val="2"/>
          <w:sz w:val="25"/>
        </w:rPr>
        <w:t xml:space="preserve">对附属单位补助支出0万元，占比0%。 </w:t>
      </w:r>
      <w:r>
        <w:rPr>
          <w:rFonts w:ascii="SimHei" w:hAnsi="SimHei" w:cs="SimHei"/>
          <w:color w:val="000000"/>
          <w:spacing w:val="2"/>
          <w:sz w:val="25"/>
        </w:rPr>
        <w:t>四、财政拨款收支决算总体情况说明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2023年度财政拨款收入总计806.27万元，支出总计806.27万元。与上年相比，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财政拨款收入总计减少132.94万元，下降14.15%；财政拨款支出总计减少132.94万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元，下降14.15%。主要原因是上年度补发人员乡补金额较大及本年度在职人员减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少，以致上下年变动比较大。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五、一般公共预算财政拨款支出决算情况说明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（一）一般公共预算财政拨款支出决算总体情况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2023年一般公共预算财政拨款决算支出804.77万元，占本年支出合计的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99.81%。与上年相比，一般公共预算财政拨款支出减少132.94万元，下降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14.18%。主要原因是上年度补发人员乡补金额较大及本年度在职人员减少，以致上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下年变动比较大。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1154" w:right="2149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 xml:space="preserve">（二）一般公共预算财政拨款支出决算结构情况 </w:t>
      </w: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2023年度一般公共预算财政拨款支出804.77万元，主要用于以下方面：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1"/>
          <w:sz w:val="25"/>
        </w:rPr>
        <w:t>教育支出(类)645.73万元，占比80.24%；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7" w:id="br17"/>
      </w:r>
      <w:r>
        <w:bookmarkEnd w:id="br17"/>
      </w:r>
      <w:r>
        <w:rPr>
          <w:noProof w:val="on"/>
        </w:rPr>
        <w:pict>
          <v:shape xmlns:v="urn:schemas-microsoft-com:vml" id="_x000059" style="position:absolute;margin-left:29pt;margin-top:28.55pt;z-index:-239;width:537pt;height:823.0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34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社会保障和就业支出(类)92.80万元，占比11.53%；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卫生健康支出(类)20.68万元，占比2.57%；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住房保障支出(类)45.56万元，占比5.66%。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（三）一般公共预算财政拨款支出决算具体情况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2023年度一般公共预算财政拨款支出年初预算1,031.34万元，支出决算804.77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万元，完成年初预算的78.03%。其中：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897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教育支出年初预算762.67万元，支出决算数645.73万元，完成年初预算的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897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84.67%。主要包括基本支出和项目支出。较2022年决算支出712.32万元减少66.59万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元，下降9.35%。主要原因是该功能科目下项目支出变动影响及在职人员减少、上年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补发乡补。社会保障和就业支出年初预算150.94万元，支出决算数92.80万元，完成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年初预算的61.48%。主要包括养老保险等基本支出。较2022年决算支出143.00万元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减少50.20万元，下降35.11%。主要原因是人员减少变动影响。卫生健康支出年初预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算52.67万元，支出决算数20.68万元，完成年初预算的39.26%。主要包括人员医疗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养保险等。较2022年决算支出18.54万元增加2.14万元，增长11.55%。主要原因是人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员减少变动影响。住房保障支出年初预算65.06万元，支出决算数45.56万元，完成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年初预算的70.03%。主要包括在职人员住房公积金基本支出。较2022年决算支出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897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63.85万元减少18.29万元，下降28.65%。主要原因是在职人员减少变动影响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SimHei"/>
          <w:color w:val="000000"/>
          <w:spacing w:val="373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 xml:space="preserve">六、一般公共预算财政拨款基本支出决算情况说明 </w:t>
      </w:r>
      <w:r>
        <w:rPr>
          <w:rFonts w:ascii="FangSong" w:hAnsi="FangSong" w:cs="FangSong"/>
          <w:color w:val="000000"/>
          <w:spacing w:val="2"/>
          <w:sz w:val="25"/>
        </w:rPr>
        <w:t>2023年度财政拨款基本支出723.74万元，其中：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1154" w:right="1393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人员经费720.71万元，主要包括在职人员工资福利支出、退休人员烤火费等；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 xml:space="preserve">公用经费3.03万元，主要包括工会经费等。 </w:t>
      </w:r>
      <w:r>
        <w:rPr>
          <w:rFonts w:ascii="SimHei" w:hAnsi="SimHei" w:cs="SimHei"/>
          <w:color w:val="000000"/>
          <w:spacing w:val="2"/>
          <w:sz w:val="25"/>
        </w:rPr>
        <w:t>七、政府性基金预算财政拨款收支决算情况说明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2023年度政府性基金预算财政拨款收入总计1.50万元、支出总计1.50万元。与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上年相比，政府性基金预算财政拨款收入总计减少0.00万元，下降0.05%；政府性基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金预算财政拨款支出总计减少0.00万元，下降0.05%。主要原因是本年中央专项彩票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公益金支持乡村学校少年宫项目支出有年底结转。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八、国有资本经营预算财政拨款支出决算情况说明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本年度无此项支出。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九、财政拨款“三公”经费支出决算情况说明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（一）“三公”经费财政拨款支出决算总体情况说明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2023年度“三公”经费财政拨款支出全年预算0万元，支出决算0万元，完成全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年预算的0%，与上年“三公”经费财政拨款支出决算相同。其中：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因公出国（境）费支出0万元，完成全年预算的0%，与上年相同，主要原因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是：本单位无“三公”经费财政拨款支出；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公务用车购置费支出0万元，完成全年预算的0%，与上年相同，主要原因是：本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年度无公务用车购置费支出；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8" w:id="br18"/>
      </w:r>
      <w:r>
        <w:bookmarkEnd w:id="br18"/>
      </w:r>
      <w:r>
        <w:rPr>
          <w:noProof w:val="on"/>
        </w:rPr>
        <w:pict>
          <v:shape xmlns:v="urn:schemas-microsoft-com:vml" id="_x000060" style="position:absolute;margin-left:29pt;margin-top:29pt;z-index:-243;width:537pt;height:782.3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4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公务用车运行维护费支出0万元，完成全年预算的0%，与上年相同，主要原因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是：本年度无公务用车运行维护费支出；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公务接待费支出0万元，完成全年预算的0%，与上年相同，主要原因是：本年度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无公务接待费支出。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（二）“三公”经费财政拨款支出决算具体情况说明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1、因公出国（境）费支出0万元，出国团组共0个，0人次。主要用于:本年度无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因公出国（境）费支出。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2、公务用车购置支出0万元，使用财政拨款共购置公务用车0辆，主要用于本年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度无公务用车购置支出。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3、公务用车运行维护费支出0万元，使用财政拨款负担的公务用车保有量共0辆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车，主要用于：本年度无公务用车运行维护费支出。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4、公务接待费支出0万元，共接待0批次，0人次。国内接待费0万元，共接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待0批次，0人次，其中外事接待费0万元，共接待0批次，0人次，主要是接待本年度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无公务接待费支出；国（境）外接待费0万元，共接待国（境）外0批次，0人次，主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要是本年度无国（境）外接待费。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十、其他重要事项情况说明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（一）机关运行经费支出情况说明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本部门无机关运行经费。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（二）政府采购情况说明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2023年度政府采购支出总额0万元，其中：政府采购货物支出0万元、政府采购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工程支出0万元、政府采购服务支出0万元。政府采购授予中小企业合同金额0万元，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占政府采购支出总额的0%。其中：授予小微企业合同金额0万元，占政府采购支出总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额的0%。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（三）国有资产占用情况说明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261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截至2023年12月31日，本部门（单位）共有车辆0辆。其中：副部（省）级及以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3"/>
          <w:sz w:val="25"/>
        </w:rPr>
        <w:t>上领导用车0辆、主要负责人用车0辆、机要通信用车0辆、应急保障用车0辆、执法</w:t>
      </w:r>
      <w:r>
        <w:rPr>
          <w:rFonts w:ascii="FangSong" w:hAnsi="FangSong" w:cs="FangSong"/>
          <w:color w:val="000000"/>
          <w:spacing w:val="3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执勤用车0辆、特种专业技术用车0辆、离退休干部服务用车0辆，其他用车0辆，其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他用车主要是无其他用车；单价100万元（含）以上设备（不含车辆）0台（套）。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SimHei"/>
          <w:color w:val="000000"/>
          <w:spacing w:val="379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 xml:space="preserve">（四）预算绩效情况说明 </w:t>
      </w:r>
      <w:r>
        <w:rPr>
          <w:rFonts w:ascii="FangSong" w:hAnsi="FangSong" w:cs="FangSong"/>
          <w:color w:val="000000"/>
          <w:spacing w:val="2"/>
          <w:sz w:val="25"/>
        </w:rPr>
        <w:t>1、预算绩效管理工作开展情况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2402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2023年二级项目绩效自评个数3个，涉及资金5.06万元：3个项目自评等级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为“优”，0个项目自评等级为“良”，0个项目自评等级为“中”，0个项目自评等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级为“差”。对于自评结果为“中”和“差”的项目，采取的改进管理措施为本单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 xml:space="preserve">位无绩效评价为“中”和“差”的项目。 </w:t>
      </w:r>
      <w:r>
        <w:rPr>
          <w:rFonts w:ascii="FangSong" w:hAnsi="FangSong" w:cs="FangSong"/>
          <w:color w:val="000000"/>
          <w:spacing w:val="2"/>
          <w:sz w:val="25"/>
        </w:rPr>
        <w:t>附件：二级项目绩效自评表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2、其他需要说明的事项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1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9" w:id="br19"/>
      </w:r>
      <w:r>
        <w:bookmarkEnd w:id="br19"/>
      </w:r>
      <w:r>
        <w:rPr>
          <w:noProof w:val="on"/>
        </w:rPr>
        <w:pict>
          <v:shape xmlns:v="urn:schemas-microsoft-com:vml" id="_x000061" style="position:absolute;margin-left:29pt;margin-top:12.95pt;z-index:-247;width:537pt;height:45.2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54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1547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0" w:id="br20"/>
      </w:r>
      <w:r>
        <w:bookmarkEnd w:id="br20"/>
      </w:r>
      <w:r>
        <w:rPr>
          <w:noProof w:val="on"/>
        </w:rPr>
        <w:pict>
          <v:shape xmlns:v="urn:schemas-microsoft-com:vml" id="_x000062" style="position:absolute;margin-left:63.5pt;margin-top:32.75pt;z-index:-251;width:467.75pt;height:697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29pt;z-index:-2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66" w:after="0" w:line="42" w:lineRule="exact"/>
        <w:ind w:left="422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第四部分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名词解释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607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一、财政拨款收入：指单位从同级财政部门取得的财政预算资金。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二、事业收入：指事业单位开展专业业务活动及辅助活动取得的收入。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三、经营收入：指事业单位在专业业务活动及其辅助活动之外开展非独立核算经营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活动取得的收入。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四、其他收入：指单位取得的除上述收入以外的各项收入。主要是事业单位固定资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产出租收入、存款利息收入等。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五、使用非财政拨款结余：指事业单位使用以前年度积累的非财政拨款结余弥补当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年收支差额的金额。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六、年初结转和结余：指单位以前年度尚未完成、结转到本年仍按原规定用途继续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使用的资金，或项目已完成等产生的结余资金。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七、结余分配：指事业单位按照会计制度规定缴纳的所得税、提取的专用结余以及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转入非财政拨款结余的金额等。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八、年末结转和结余：指单位按有关规定结转到下年或以后年度继续使用的资金，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或项目已完成等产生的结余资金。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九、基本支出：指为保障机构正常运转、完成日常工作任务而发生的人员支出和公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用经费支出。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十、项目支出：指在基本支出之外为完成特定行政任务和事业发展目标所发生的支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十一、“三公”经费：指各级部门、单位用财政拨款安排的因公出国（境）费、公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务用车购置及运行维护费和公务接待费支出。其中，因公出国（境）费反映单位公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务出国（境）的国际旅费、国外城市间交通费、住宿费、伙食费、培训费、公杂费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等支出；公务用车购置费反映公务用车车辆购置支出（含车辆购置税）；公务用车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运行维护费反映单位按规定保留的公务用车燃料费、维修费、过路过桥费、保险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费、安全奖励费用等支出；公务接待费反映单位按规定开支的各类公务接待（含外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393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 xml:space="preserve">宾接待）支出。 </w:t>
      </w:r>
      <w:r>
        <w:rPr>
          <w:rFonts w:ascii="FangSong" w:hAnsi="FangSong" w:cs="FangSong"/>
          <w:color w:val="000000"/>
          <w:spacing w:val="2"/>
          <w:sz w:val="25"/>
        </w:rPr>
        <w:t>十二、机关运行经费：指行政单位和参照公务员法管理的事业单位财政拨款基本支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出中的公用经费支出。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在《2023年政府收支功能科目》外未增加新的预算支出科目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447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第五部分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附件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204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1" w:id="br21"/>
      </w:r>
      <w:r>
        <w:bookmarkEnd w:id="br21"/>
      </w:r>
      <w:r>
        <w:rPr>
          <w:noProof w:val="on"/>
        </w:rPr>
        <w:pict>
          <v:shape xmlns:v="urn:schemas-microsoft-com:vml" id="_x000064" style="position:absolute;margin-left:57.5pt;margin-top:38.75pt;z-index:-25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29pt;z-index:-2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项目名称：义务教育转移支付公用经费补助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项目单位：044018-兴县魏家滩镇中心校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2023年</w:t>
      </w:r>
      <w:r>
        <w:rPr>
          <w:rFonts w:ascii="FangSong"/>
          <w:color w:val="000000"/>
          <w:spacing w:val="58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2" w:id="br22"/>
      </w:r>
      <w:r>
        <w:bookmarkEnd w:id="br22"/>
      </w:r>
      <w:r>
        <w:rPr>
          <w:noProof w:val="on"/>
        </w:rPr>
        <w:pict>
          <v:shape xmlns:v="urn:schemas-microsoft-com:vml" id="_x000066" style="position:absolute;margin-left:57.5pt;margin-top:38.75pt;z-index:-26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29pt;z-index:-27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3" w:id="br23"/>
      </w:r>
      <w:r>
        <w:bookmarkEnd w:id="br23"/>
      </w:r>
      <w:r>
        <w:rPr>
          <w:noProof w:val="on"/>
        </w:rPr>
        <w:pict>
          <v:shape xmlns:v="urn:schemas-microsoft-com:vml" id="_x000068" style="position:absolute;margin-left:57.5pt;margin-top:38.75pt;z-index:-27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29pt;z-index:-2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项目概况：根据年初预算，农村义务教育学校按</w:t>
      </w:r>
      <w:r>
        <w:rPr>
          <w:rFonts w:ascii="FangSong"/>
          <w:color w:val="000000"/>
          <w:spacing w:val="66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人，每人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650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100</w:t>
      </w:r>
      <w:r>
        <w:rPr>
          <w:rFonts w:ascii="FangSong"/>
          <w:color w:val="000000"/>
          <w:spacing w:val="827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元，共计</w:t>
      </w:r>
      <w:r>
        <w:rPr>
          <w:rFonts w:ascii="FangSong"/>
          <w:color w:val="000000"/>
          <w:spacing w:val="509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元，确保农村义务学校正常运行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239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10000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244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立项依据：根据年初预算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97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项目设立的必要性：确保乡村义务教育学校正常运行，发展乡村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教育事业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5"/>
          <w:sz w:val="23"/>
        </w:rPr>
        <w:t>保证项目实施的措施与制度：根据年初预算，建立完善保障制度，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确保项目有效，学校正常运行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5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4" w:id="br24"/>
      </w:r>
      <w:r>
        <w:bookmarkEnd w:id="br24"/>
      </w:r>
      <w:r>
        <w:rPr>
          <w:noProof w:val="on"/>
        </w:rPr>
        <w:pict>
          <v:shape xmlns:v="urn:schemas-microsoft-com:vml" id="_x000070" style="position:absolute;margin-left:57.5pt;margin-top:38.75pt;z-index:-28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29pt;z-index:-2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29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38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78" w:after="0" w:line="51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按照相关政策，2023年按时落实到位。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按照相关政策，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3"/>
          <w:sz w:val="23"/>
        </w:rPr>
        <w:t>2023年按时落实到位。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14" w:after="0" w:line="39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按照相关政策，2023按时落实到位。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9305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5" w:id="br25"/>
      </w:r>
      <w:r>
        <w:bookmarkEnd w:id="br25"/>
      </w:r>
      <w:r>
        <w:rPr>
          <w:noProof w:val="on"/>
        </w:rPr>
        <w:pict>
          <v:shape xmlns:v="urn:schemas-microsoft-com:vml" id="_x000072" style="position:absolute;margin-left:57.5pt;margin-top:38.75pt;z-index:-29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29pt;z-index:-2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6" w:id="br26"/>
      </w:r>
      <w:r>
        <w:bookmarkEnd w:id="br26"/>
      </w:r>
      <w:r>
        <w:rPr>
          <w:noProof w:val="on"/>
        </w:rPr>
        <w:pict>
          <v:shape xmlns:v="urn:schemas-microsoft-com:vml" id="_x000074" style="position:absolute;margin-left:57.5pt;margin-top:38.75pt;z-index:-299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29pt;z-index:-3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10,000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10,000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9,999.3</w:t>
      </w:r>
      <w:r>
        <w:rPr>
          <w:rFonts w:ascii="Times New Roman"/>
          <w:color w:val="000000"/>
          <w:spacing w:val="5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9,999.3</w:t>
      </w:r>
      <w:r>
        <w:rPr>
          <w:rFonts w:ascii="Times New Roman"/>
          <w:color w:val="000000"/>
          <w:spacing w:val="7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10,000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10,000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9,999.3</w:t>
      </w:r>
      <w:r>
        <w:rPr>
          <w:rFonts w:ascii="Times New Roman"/>
          <w:color w:val="000000"/>
          <w:spacing w:val="5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9,999.3</w:t>
      </w:r>
      <w:r>
        <w:rPr>
          <w:rFonts w:ascii="Times New Roman"/>
          <w:color w:val="000000"/>
          <w:spacing w:val="7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7" w:id="br27"/>
      </w:r>
      <w:r>
        <w:bookmarkEnd w:id="br27"/>
      </w:r>
      <w:r>
        <w:rPr>
          <w:noProof w:val="on"/>
        </w:rPr>
        <w:pict>
          <v:shape xmlns:v="urn:schemas-microsoft-com:vml" id="_x000076" style="position:absolute;margin-left:57.5pt;margin-top:38.75pt;z-index:-307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29pt;z-index:-3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Times New Roman"/>
          <w:color w:val="000000"/>
          <w:spacing w:val="635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Times New Roman"/>
          <w:color w:val="000000"/>
          <w:spacing w:val="43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Times New Roman"/>
          <w:color w:val="000000"/>
          <w:spacing w:val="235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Times New Roman"/>
          <w:color w:val="000000"/>
          <w:spacing w:val="328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Times New Roman"/>
          <w:color w:val="000000"/>
          <w:spacing w:val="35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Times New Roman"/>
          <w:color w:val="000000"/>
          <w:spacing w:val="668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Times New Roman"/>
          <w:color w:val="000000"/>
          <w:spacing w:val="30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学生人数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＝100人</w:t>
      </w:r>
      <w:r>
        <w:rPr>
          <w:rFonts w:ascii="Times New Roman"/>
          <w:color w:val="000000"/>
          <w:spacing w:val="45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保障农村义务教育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公用经费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完成时间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按时完成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所需资金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＝10000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9999.3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保障义务教育质量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稳步提高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42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稳步提高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社会家长学生</w:t>
      </w:r>
      <w:r>
        <w:rPr>
          <w:rFonts w:ascii="Times New Roman"/>
          <w:color w:val="000000"/>
          <w:spacing w:val="14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98</w:t>
      </w:r>
      <w:r>
        <w:rPr>
          <w:rFonts w:ascii="Times New Roman"/>
          <w:color w:val="000000"/>
          <w:spacing w:val="8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9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17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8" w:id="br28"/>
      </w:r>
      <w:r>
        <w:bookmarkEnd w:id="br28"/>
      </w:r>
      <w:r>
        <w:rPr>
          <w:noProof w:val="on"/>
        </w:rPr>
        <w:pict>
          <v:shape xmlns:v="urn:schemas-microsoft-com:vml" id="_x000078" style="position:absolute;margin-left:57.5pt;margin-top:38.75pt;z-index:-31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29pt;z-index:-3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10分、产出、效益、服务对象满意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度各方面因素，指标完成情况得分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90分，最终评分结果：义务教育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6"/>
          <w:sz w:val="23"/>
        </w:rPr>
        <w:t>转移支付公用经费补助项目绩效自评价结果为:总得分</w:t>
      </w:r>
      <w:r>
        <w:rPr>
          <w:rFonts w:ascii="FangSong"/>
          <w:color w:val="000000"/>
          <w:spacing w:val="-9"/>
          <w:sz w:val="23"/>
        </w:rPr>
        <w:t xml:space="preserve"> </w:t>
      </w:r>
      <w:r>
        <w:rPr>
          <w:rFonts w:ascii="FangSong" w:hAnsi="FangSong" w:cs="FangSong"/>
          <w:color w:val="000000"/>
          <w:spacing w:val="-10"/>
          <w:sz w:val="23"/>
        </w:rPr>
        <w:t>100分，属于</w:t>
      </w:r>
      <w:r>
        <w:rPr>
          <w:rFonts w:ascii="FangSong"/>
          <w:color w:val="000000"/>
          <w:spacing w:val="-69"/>
          <w:sz w:val="23"/>
        </w:rPr>
        <w:t xml:space="preserve"> </w:t>
      </w:r>
      <w:r>
        <w:rPr>
          <w:rFonts w:ascii="FangSong"/>
          <w:color w:val="000000"/>
          <w:spacing w:val="0"/>
          <w:sz w:val="23"/>
        </w:rPr>
        <w:t>"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0"/>
          <w:sz w:val="23"/>
        </w:rPr>
        <w:t>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按时全部完成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完成情况良好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效果明显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有效保障学校正常运行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满意度较高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0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9" w:id="br29"/>
      </w:r>
      <w:r>
        <w:bookmarkEnd w:id="br29"/>
      </w:r>
      <w:r>
        <w:rPr>
          <w:noProof w:val="on"/>
        </w:rPr>
        <w:pict>
          <v:shape xmlns:v="urn:schemas-microsoft-com:vml" id="_x000080" style="position:absolute;margin-left:57.5pt;margin-top:38.75pt;z-index:-32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29pt;z-index:-3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706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合理分配，加强制度管理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合理分配，加强制度管理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775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0" w:id="br30"/>
      </w:r>
      <w:r>
        <w:bookmarkEnd w:id="br30"/>
      </w:r>
      <w:r>
        <w:rPr>
          <w:noProof w:val="on"/>
        </w:rPr>
        <w:pict>
          <v:shape xmlns:v="urn:schemas-microsoft-com:vml" id="_x000082" style="position:absolute;margin-left:57.5pt;margin-top:38.75pt;z-index:-33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29pt;z-index:-3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项目名称：2023年农村义务教育寄宿生免费就餐资金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项目单位：044018-兴县魏家滩镇中心校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2023年</w:t>
      </w:r>
      <w:r>
        <w:rPr>
          <w:rFonts w:ascii="FangSong"/>
          <w:color w:val="000000"/>
          <w:spacing w:val="58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1" w:id="br31"/>
      </w:r>
      <w:r>
        <w:bookmarkEnd w:id="br31"/>
      </w:r>
      <w:r>
        <w:rPr>
          <w:noProof w:val="on"/>
        </w:rPr>
        <w:pict>
          <v:shape xmlns:v="urn:schemas-microsoft-com:vml" id="_x000084" style="position:absolute;margin-left:57.5pt;margin-top:38.75pt;z-index:-33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29pt;z-index:-3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2" w:id="br32"/>
      </w:r>
      <w:r>
        <w:bookmarkEnd w:id="br32"/>
      </w:r>
      <w:r>
        <w:rPr>
          <w:noProof w:val="on"/>
        </w:rPr>
        <w:pict>
          <v:shape xmlns:v="urn:schemas-microsoft-com:vml" id="_x000086" style="position:absolute;margin-left:57.5pt;margin-top:38.75pt;z-index:-34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29pt;z-index:-35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项目概况：根据年初预算，农村义务教育阶段寄宿生免费就餐，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整合义务教育营养餐，贫困寄生生生活补助，小学生每天</w:t>
      </w:r>
      <w:r>
        <w:rPr>
          <w:rFonts w:ascii="FangSong"/>
          <w:color w:val="000000"/>
          <w:spacing w:val="149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元，全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716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11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年按</w:t>
      </w:r>
      <w:r>
        <w:rPr>
          <w:rFonts w:ascii="FangSong"/>
          <w:color w:val="000000"/>
          <w:spacing w:val="28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天计算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194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250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244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立项依据：根据兴财【</w:t>
      </w:r>
      <w:r>
        <w:rPr>
          <w:rFonts w:ascii="FangSong"/>
          <w:color w:val="000000"/>
          <w:spacing w:val="330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23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号文件精神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4083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2023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240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95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项目设立的必要性：减轻义务教育家庭上学经济负担，提高学生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身体素质。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6"/>
          <w:sz w:val="23"/>
        </w:rPr>
        <w:t>保证项目实施的措施与制度：根据兴财【</w:t>
      </w:r>
      <w:r>
        <w:rPr>
          <w:rFonts w:ascii="FangSong"/>
          <w:color w:val="000000"/>
          <w:spacing w:val="262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207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号文件精神，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5764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2023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240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按兴县教育科技局扶贫资助实施方案执行。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24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3" w:id="br33"/>
      </w:r>
      <w:r>
        <w:bookmarkEnd w:id="br33"/>
      </w:r>
      <w:r>
        <w:rPr>
          <w:noProof w:val="on"/>
        </w:rPr>
        <w:pict>
          <v:shape xmlns:v="urn:schemas-microsoft-com:vml" id="_x000088" style="position:absolute;margin-left:57.5pt;margin-top:38.75pt;z-index:-35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29pt;z-index:-35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62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02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农村义务教育阶段寄宿生免费就餐，整合义务教育营养餐，贫困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寄生生生活补助，小学生每天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9"/>
          <w:sz w:val="23"/>
        </w:rPr>
        <w:t>11元，全年按</w:t>
      </w:r>
      <w:r>
        <w:rPr>
          <w:rFonts w:ascii="FangSong"/>
          <w:color w:val="000000"/>
          <w:spacing w:val="42"/>
          <w:sz w:val="23"/>
        </w:rPr>
        <w:t xml:space="preserve"> </w:t>
      </w:r>
      <w:r>
        <w:rPr>
          <w:rFonts w:ascii="FangSong" w:hAnsi="FangSong" w:cs="FangSong"/>
          <w:color w:val="000000"/>
          <w:spacing w:val="-11"/>
          <w:sz w:val="23"/>
        </w:rPr>
        <w:t>250天计算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54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农村义务教育阶段寄宿生免费就餐，整合义务教育营养餐，贫困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寄生生生活补助，小学生每天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9"/>
          <w:sz w:val="23"/>
        </w:rPr>
        <w:t>11元，全年按</w:t>
      </w:r>
      <w:r>
        <w:rPr>
          <w:rFonts w:ascii="FangSong"/>
          <w:color w:val="000000"/>
          <w:spacing w:val="42"/>
          <w:sz w:val="23"/>
        </w:rPr>
        <w:t xml:space="preserve"> </w:t>
      </w:r>
      <w:r>
        <w:rPr>
          <w:rFonts w:ascii="FangSong" w:hAnsi="FangSong" w:cs="FangSong"/>
          <w:color w:val="000000"/>
          <w:spacing w:val="-11"/>
          <w:sz w:val="23"/>
        </w:rPr>
        <w:t>250天计算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02" w:after="0" w:line="39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按兴县教育科技局扶贫资助实施方案执行。农村义务教育阶段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寄宿生免费就餐，整合义务教育营养餐，贫困寄生生生活补助，小学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生每天</w:t>
      </w:r>
      <w:r>
        <w:rPr>
          <w:rFonts w:ascii="FangSong"/>
          <w:color w:val="000000"/>
          <w:spacing w:val="-1"/>
          <w:sz w:val="23"/>
        </w:rPr>
        <w:t xml:space="preserve"> </w:t>
      </w:r>
      <w:r>
        <w:rPr>
          <w:rFonts w:ascii="FangSong" w:hAnsi="FangSong" w:cs="FangSong"/>
          <w:color w:val="000000"/>
          <w:spacing w:val="-11"/>
          <w:sz w:val="23"/>
        </w:rPr>
        <w:t>11元，全年按</w:t>
      </w:r>
      <w:r>
        <w:rPr>
          <w:rFonts w:ascii="FangSong"/>
          <w:color w:val="000000"/>
          <w:spacing w:val="56"/>
          <w:sz w:val="23"/>
        </w:rPr>
        <w:t xml:space="preserve"> </w:t>
      </w:r>
      <w:r>
        <w:rPr>
          <w:rFonts w:ascii="FangSong" w:hAnsi="FangSong" w:cs="FangSong"/>
          <w:color w:val="000000"/>
          <w:spacing w:val="-11"/>
          <w:sz w:val="23"/>
        </w:rPr>
        <w:t>250天计算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698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4" w:id="br34"/>
      </w:r>
      <w:r>
        <w:bookmarkEnd w:id="br34"/>
      </w:r>
      <w:r>
        <w:rPr>
          <w:noProof w:val="on"/>
        </w:rPr>
        <w:pict>
          <v:shape xmlns:v="urn:schemas-microsoft-com:vml" id="_x000090" style="position:absolute;margin-left:57.5pt;margin-top:38.75pt;z-index:-36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29pt;z-index:-36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5" w:id="br35"/>
      </w:r>
      <w:r>
        <w:bookmarkEnd w:id="br35"/>
      </w:r>
      <w:r>
        <w:rPr>
          <w:noProof w:val="on"/>
        </w:rPr>
        <w:pict>
          <v:shape xmlns:v="urn:schemas-microsoft-com:vml" id="_x000092" style="position:absolute;margin-left:57.5pt;margin-top:38.75pt;z-index:-371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29pt;z-index:-37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8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8,750</w:t>
      </w:r>
      <w:r>
        <w:rPr>
          <w:rFonts w:ascii="Times New Roman"/>
          <w:color w:val="000000"/>
          <w:spacing w:val="4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8,750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7,625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7,625</w:t>
      </w:r>
      <w:r>
        <w:rPr>
          <w:rFonts w:ascii="Times New Roman"/>
          <w:color w:val="000000"/>
          <w:spacing w:val="8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8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8,750</w:t>
      </w:r>
      <w:r>
        <w:rPr>
          <w:rFonts w:ascii="Times New Roman"/>
          <w:color w:val="000000"/>
          <w:spacing w:val="4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8,750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7,625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7,625</w:t>
      </w:r>
      <w:r>
        <w:rPr>
          <w:rFonts w:ascii="Times New Roman"/>
          <w:color w:val="000000"/>
          <w:spacing w:val="8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6" w:id="br36"/>
      </w:r>
      <w:r>
        <w:bookmarkEnd w:id="br36"/>
      </w:r>
      <w:r>
        <w:rPr>
          <w:noProof w:val="on"/>
        </w:rPr>
        <w:pict>
          <v:shape xmlns:v="urn:schemas-microsoft-com:vml" id="_x000094" style="position:absolute;margin-left:57.5pt;margin-top:38.75pt;z-index:-379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29pt;z-index:-38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FangSong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FangSong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FangSong"/>
          <w:color w:val="000000"/>
          <w:spacing w:val="6321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FangSong"/>
          <w:color w:val="000000"/>
          <w:spacing w:val="40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FangSong"/>
          <w:color w:val="000000"/>
          <w:spacing w:val="232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FangSong"/>
          <w:color w:val="000000"/>
          <w:spacing w:val="295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FangSong"/>
          <w:color w:val="000000"/>
          <w:spacing w:val="31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FangSong"/>
          <w:color w:val="000000"/>
          <w:spacing w:val="6657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FangSong"/>
          <w:color w:val="000000"/>
          <w:spacing w:val="271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FangSong"/>
          <w:color w:val="000000"/>
          <w:spacing w:val="20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2023</w:t>
      </w:r>
      <w:r>
        <w:rPr>
          <w:rFonts w:ascii="FangSong"/>
          <w:color w:val="000000"/>
          <w:spacing w:val="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年农村义务教</w:t>
      </w:r>
      <w:r>
        <w:rPr>
          <w:rFonts w:ascii="FangSong"/>
          <w:color w:val="000000"/>
          <w:spacing w:val="108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＝11</w:t>
      </w:r>
      <w:r>
        <w:rPr>
          <w:rFonts w:ascii="FangSong"/>
          <w:color w:val="000000"/>
          <w:spacing w:val="24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元/（生</w:t>
      </w:r>
      <w:r>
        <w:rPr>
          <w:rFonts w:ascii="FangSong"/>
          <w:color w:val="000000"/>
          <w:spacing w:val="10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11</w:t>
      </w:r>
      <w:r>
        <w:rPr>
          <w:rFonts w:ascii="FangSong"/>
          <w:color w:val="000000"/>
          <w:spacing w:val="8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FangSong"/>
          <w:color w:val="000000"/>
          <w:spacing w:val="88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育寄</w:t>
      </w:r>
      <w:r>
        <w:rPr>
          <w:rFonts w:ascii="FangSong"/>
          <w:color w:val="000000"/>
          <w:spacing w:val="1873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天）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寄宿生人数占比</w:t>
      </w:r>
      <w:r>
        <w:rPr>
          <w:rFonts w:ascii="FangSong"/>
          <w:color w:val="000000"/>
          <w:spacing w:val="127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≥17%</w:t>
      </w:r>
      <w:r>
        <w:rPr>
          <w:rFonts w:ascii="FangSong"/>
          <w:color w:val="000000"/>
          <w:spacing w:val="56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17</w:t>
      </w:r>
      <w:r>
        <w:rPr>
          <w:rFonts w:ascii="FangSong"/>
          <w:color w:val="000000"/>
          <w:spacing w:val="8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完成时间</w:t>
      </w:r>
      <w:r>
        <w:rPr>
          <w:rFonts w:ascii="FangSong"/>
          <w:color w:val="000000"/>
          <w:spacing w:val="163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2023</w:t>
      </w:r>
      <w:r>
        <w:rPr>
          <w:rFonts w:ascii="FangSong"/>
          <w:color w:val="000000"/>
          <w:spacing w:val="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年底完成</w:t>
      </w:r>
      <w:r>
        <w:rPr>
          <w:rFonts w:ascii="FangSong"/>
          <w:color w:val="000000"/>
          <w:spacing w:val="7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FangSong"/>
          <w:color w:val="000000"/>
          <w:spacing w:val="2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所需资金</w:t>
      </w:r>
      <w:r>
        <w:rPr>
          <w:rFonts w:ascii="FangSong"/>
          <w:color w:val="000000"/>
          <w:spacing w:val="163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＝8750</w:t>
      </w:r>
      <w:r>
        <w:rPr>
          <w:rFonts w:ascii="FangSong"/>
          <w:color w:val="000000"/>
          <w:spacing w:val="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FangSong"/>
          <w:color w:val="000000"/>
          <w:spacing w:val="31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7625</w:t>
      </w:r>
      <w:r>
        <w:rPr>
          <w:rFonts w:ascii="FangSong"/>
          <w:color w:val="000000"/>
          <w:spacing w:val="73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FangSong"/>
          <w:color w:val="000000"/>
          <w:spacing w:val="8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减轻上学家庭经济</w:t>
      </w:r>
      <w:r>
        <w:rPr>
          <w:rFonts w:ascii="FangSong"/>
          <w:color w:val="000000"/>
          <w:spacing w:val="115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FangSong"/>
          <w:color w:val="000000"/>
          <w:spacing w:val="62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FangSong"/>
          <w:color w:val="000000"/>
          <w:spacing w:val="2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FangSong"/>
          <w:color w:val="000000"/>
          <w:spacing w:val="39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FangSong"/>
          <w:color w:val="000000"/>
          <w:spacing w:val="3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负担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FangSong"/>
          <w:color w:val="000000"/>
          <w:spacing w:val="8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学生满意度</w:t>
      </w:r>
      <w:r>
        <w:rPr>
          <w:rFonts w:ascii="FangSong"/>
          <w:color w:val="000000"/>
          <w:spacing w:val="15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FangSong"/>
          <w:color w:val="000000"/>
          <w:spacing w:val="56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98</w:t>
      </w:r>
      <w:r>
        <w:rPr>
          <w:rFonts w:ascii="FangSong"/>
          <w:color w:val="000000"/>
          <w:spacing w:val="8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FangSong"/>
          <w:color w:val="000000"/>
          <w:spacing w:val="20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938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117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7" w:id="br37"/>
      </w:r>
      <w:r>
        <w:bookmarkEnd w:id="br37"/>
      </w:r>
      <w:r>
        <w:rPr>
          <w:noProof w:val="on"/>
        </w:rPr>
        <w:pict>
          <v:shape xmlns:v="urn:schemas-microsoft-com:vml" id="_x000096" style="position:absolute;margin-left:57.5pt;margin-top:38.75pt;z-index:-38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29pt;z-index:-39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10分、产出、效益、服务对象满意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度各方面因素，指标完成情况得分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8"/>
          <w:sz w:val="23"/>
        </w:rPr>
        <w:t>90分，最终评分结果：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3"/>
          <w:sz w:val="23"/>
        </w:rPr>
        <w:t>2023年农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村义务教育寄宿生免费就餐资金项目绩效自评价结果为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15"/>
          <w:sz w:val="23"/>
        </w:rPr>
        <w:t>:总得分</w:t>
      </w:r>
      <w:r>
        <w:rPr>
          <w:rFonts w:ascii="FangSong"/>
          <w:color w:val="000000"/>
          <w:spacing w:val="24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7"/>
          <w:sz w:val="23"/>
        </w:rPr>
        <w:t>分，属于"优"。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按时完成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完成情况良好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保障学生正常上学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效果明显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满意度较高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0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8" w:id="br38"/>
      </w:r>
      <w:r>
        <w:bookmarkEnd w:id="br38"/>
      </w:r>
      <w:r>
        <w:rPr>
          <w:noProof w:val="on"/>
        </w:rPr>
        <w:pict>
          <v:shape xmlns:v="urn:schemas-microsoft-com:vml" id="_x000098" style="position:absolute;margin-left:57.5pt;margin-top:38.75pt;z-index:-39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29pt;z-index:-39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706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合理分配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合理分配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775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9" w:id="br39"/>
      </w:r>
      <w:r>
        <w:bookmarkEnd w:id="br39"/>
      </w:r>
      <w:r>
        <w:rPr>
          <w:noProof w:val="on"/>
        </w:rPr>
        <w:pict>
          <v:shape xmlns:v="urn:schemas-microsoft-com:vml" id="_x0000100" style="position:absolute;margin-left:57.5pt;margin-top:38.75pt;z-index:-40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29pt;z-index:-40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项目名称：2023年春季义务教育阶段学校课后服务费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项目单位：044018-兴县魏家滩镇中心校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2023年</w:t>
      </w:r>
      <w:r>
        <w:rPr>
          <w:rFonts w:ascii="FangSong"/>
          <w:color w:val="000000"/>
          <w:spacing w:val="58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0" w:id="br40"/>
      </w:r>
      <w:r>
        <w:bookmarkEnd w:id="br40"/>
      </w:r>
      <w:r>
        <w:rPr>
          <w:noProof w:val="on"/>
        </w:rPr>
        <w:pict>
          <v:shape xmlns:v="urn:schemas-microsoft-com:vml" id="_x0000102" style="position:absolute;margin-left:57.5pt;margin-top:38.75pt;z-index:-41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29pt;z-index:-41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1" w:id="br41"/>
      </w:r>
      <w:r>
        <w:bookmarkEnd w:id="br41"/>
      </w:r>
      <w:r>
        <w:rPr>
          <w:noProof w:val="on"/>
        </w:rPr>
        <w:pict>
          <v:shape xmlns:v="urn:schemas-microsoft-com:vml" id="_x0000104" style="position:absolute;margin-left:57.5pt;margin-top:38.75pt;z-index:-41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29pt;z-index:-42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项目概况：学校课后服务费补助经费，共需资金</w:t>
      </w:r>
      <w:r>
        <w:rPr>
          <w:rFonts w:ascii="FangSong"/>
          <w:color w:val="000000"/>
          <w:spacing w:val="486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元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668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33000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2449" w:after="0" w:line="36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立项依据：兴财预</w:t>
      </w:r>
      <w:r>
        <w:rPr>
          <w:rFonts w:ascii="FangSong"/>
          <w:color w:val="000000"/>
          <w:spacing w:val="833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号和《兴县中小学课后服务工作设</w:t>
      </w:r>
      <w:r>
        <w:rPr>
          <w:rFonts w:ascii="FangSong" w:hAnsi="FangSong" w:cs="FangSong"/>
          <w:color w:val="000000"/>
          <w:spacing w:val="-2"/>
          <w:sz w:val="23"/>
        </w:rPr>
        <w:cr>""</w:cr>
      </w:r>
      <w:r>
        <w:rPr>
          <w:rFonts w:ascii="FangSong"/>
          <w:color w:val="000000"/>
          <w:spacing w:val="1710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[2023]240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3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施方案》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97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项目设立的必要性：保障学校正常开展课后服务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4"/>
          <w:sz w:val="23"/>
        </w:rPr>
        <w:t>保证项目实施的措施与制度：保障学校正常开展课后服务、补贴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及时到位。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62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2" w:id="br42"/>
      </w:r>
      <w:r>
        <w:bookmarkEnd w:id="br42"/>
      </w:r>
      <w:r>
        <w:rPr>
          <w:noProof w:val="on"/>
        </w:rPr>
        <w:pict>
          <v:shape xmlns:v="urn:schemas-microsoft-com:vml" id="_x0000106" style="position:absolute;margin-left:57.5pt;margin-top:38.75pt;z-index:-42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29pt;z-index:-43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725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38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02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保障学校正常开展课后服务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54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50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保障学校正常开展课后服务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14" w:after="0" w:line="39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按时支付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980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3" w:id="br43"/>
      </w:r>
      <w:r>
        <w:bookmarkEnd w:id="br43"/>
      </w:r>
      <w:r>
        <w:rPr>
          <w:noProof w:val="on"/>
        </w:rPr>
        <w:pict>
          <v:shape xmlns:v="urn:schemas-microsoft-com:vml" id="_x0000108" style="position:absolute;margin-left:57.5pt;margin-top:38.75pt;z-index:-43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29pt;z-index:-43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4" w:id="br44"/>
      </w:r>
      <w:r>
        <w:bookmarkEnd w:id="br44"/>
      </w:r>
      <w:r>
        <w:rPr>
          <w:noProof w:val="on"/>
        </w:rPr>
        <w:pict>
          <v:shape xmlns:v="urn:schemas-microsoft-com:vml" id="_x0000110" style="position:absolute;margin-left:57.5pt;margin-top:38.75pt;z-index:-443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29pt;z-index:-44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33,000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33,000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33,000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33,000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33,000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33,000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33,000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33,000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5" w:id="br45"/>
      </w:r>
      <w:r>
        <w:bookmarkEnd w:id="br45"/>
      </w:r>
      <w:r>
        <w:rPr>
          <w:noProof w:val="on"/>
        </w:rPr>
        <w:pict>
          <v:shape xmlns:v="urn:schemas-microsoft-com:vml" id="_x0000112" style="position:absolute;margin-left:57.5pt;margin-top:38.75pt;z-index:-451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29pt;z-index:-4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Times New Roman"/>
          <w:color w:val="000000"/>
          <w:spacing w:val="635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Times New Roman"/>
          <w:color w:val="000000"/>
          <w:spacing w:val="43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Times New Roman"/>
          <w:color w:val="000000"/>
          <w:spacing w:val="235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Times New Roman"/>
          <w:color w:val="000000"/>
          <w:spacing w:val="328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Times New Roman"/>
          <w:color w:val="000000"/>
          <w:spacing w:val="35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Times New Roman"/>
          <w:color w:val="000000"/>
          <w:spacing w:val="668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Times New Roman"/>
          <w:color w:val="000000"/>
          <w:spacing w:val="30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学校课后服务费补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＝1个</w:t>
      </w:r>
      <w:r>
        <w:rPr>
          <w:rFonts w:ascii="Times New Roman"/>
          <w:color w:val="000000"/>
          <w:spacing w:val="57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9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9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助经费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保障课后服务正常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进行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按时发放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所需资金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＝33000</w:t>
      </w:r>
      <w:r>
        <w:rPr>
          <w:rFonts w:ascii="Times New Roman"/>
          <w:color w:val="000000"/>
          <w:spacing w:val="-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33000</w:t>
      </w:r>
      <w:r>
        <w:rPr>
          <w:rFonts w:ascii="Times New Roman"/>
          <w:color w:val="000000"/>
          <w:spacing w:val="70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保障课后服务正常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42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开展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学生及教师满意度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98</w:t>
      </w:r>
      <w:r>
        <w:rPr>
          <w:rFonts w:ascii="Times New Roman"/>
          <w:color w:val="000000"/>
          <w:spacing w:val="8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9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17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6" w:id="br46"/>
      </w:r>
      <w:r>
        <w:bookmarkEnd w:id="br46"/>
      </w:r>
      <w:r>
        <w:rPr>
          <w:noProof w:val="on"/>
        </w:rPr>
        <w:pict>
          <v:shape xmlns:v="urn:schemas-microsoft-com:vml" id="_x0000114" style="position:absolute;margin-left:57.5pt;margin-top:38.75pt;z-index:-45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29pt;z-index:-4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10分、产出、效益、服务对象满意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度各方面因素，指标完成情况得分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8"/>
          <w:sz w:val="23"/>
        </w:rPr>
        <w:t>90分，最终评分结果：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3"/>
          <w:sz w:val="23"/>
        </w:rPr>
        <w:t>2023年春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季义务教育阶段学校课后服务费项目绩效自评价结果为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15"/>
          <w:sz w:val="23"/>
        </w:rPr>
        <w:t>:总得分</w:t>
      </w:r>
      <w:r>
        <w:rPr>
          <w:rFonts w:ascii="FangSong"/>
          <w:color w:val="000000"/>
          <w:spacing w:val="24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7"/>
          <w:sz w:val="23"/>
        </w:rPr>
        <w:t>分，属于"优"。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全部完成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完成情况良好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保障教学正常进行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效果良好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满意度较高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0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7" w:id="br47"/>
      </w:r>
      <w:r>
        <w:bookmarkEnd w:id="br47"/>
      </w:r>
      <w:r>
        <w:rPr>
          <w:noProof w:val="on"/>
        </w:rPr>
        <w:pict>
          <v:shape xmlns:v="urn:schemas-microsoft-com:vml" id="_x0000116" style="position:absolute;margin-left:57.5pt;margin-top:38.75pt;z-index:-46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29pt;z-index:-47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706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完善各种制度，加强管理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无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完善各种制度，合理分配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775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8" w:id="br48"/>
      </w:r>
      <w:r>
        <w:bookmarkEnd w:id="br48"/>
      </w:r>
      <w:r>
        <w:rPr>
          <w:noProof w:val="on"/>
        </w:rPr>
        <w:pict>
          <v:shape xmlns:v="urn:schemas-microsoft-com:vml" id="_x0000118" style="position:absolute;margin-left:57.5pt;margin-top:38.75pt;z-index:-475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29pt;z-index:-4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29" w:after="0" w:line="57" w:lineRule="exact"/>
        <w:ind w:left="794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2023年春季义务教育阶段学校课后服务费项目支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64" w:after="0" w:line="57" w:lineRule="exact"/>
        <w:ind w:left="3567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出绩效自评表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8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66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2023年春季义务教育阶段学校课后服务费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0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044018-兴县魏家滩镇中心校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81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3.3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3.3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3.3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3.3</w:t>
      </w:r>
      <w:r>
        <w:rPr>
          <w:rFonts w:ascii="Times New Roman"/>
          <w:color w:val="000000"/>
          <w:spacing w:val="6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16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3.3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3.3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3.3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3.3</w:t>
      </w:r>
      <w:r>
        <w:rPr>
          <w:rFonts w:ascii="Times New Roman"/>
          <w:color w:val="000000"/>
          <w:spacing w:val="6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100.00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22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保障学校正常开展课后服务</w:t>
      </w:r>
      <w:r>
        <w:rPr>
          <w:rFonts w:ascii="Times New Roman"/>
          <w:color w:val="000000"/>
          <w:spacing w:val="2872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全部完成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23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7"/>
          <w:sz w:val="12"/>
        </w:rPr>
        <w:t>学校课后服务费补＝助个经费</w:t>
      </w:r>
      <w:r>
        <w:rPr>
          <w:rFonts w:ascii="Times New Roman"/>
          <w:color w:val="000000"/>
          <w:spacing w:val="59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＝1个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＝1个</w:t>
      </w:r>
      <w:r>
        <w:rPr>
          <w:rFonts w:ascii="Times New Roman"/>
          <w:color w:val="000000"/>
          <w:spacing w:val="15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3"/>
          <w:sz w:val="12"/>
        </w:rPr>
        <w:t>保障课后服务正常＝进%行</w:t>
      </w:r>
      <w:r>
        <w:rPr>
          <w:rFonts w:ascii="Times New Roman"/>
          <w:color w:val="000000"/>
          <w:spacing w:val="139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24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1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按时发放</w:t>
      </w:r>
      <w:r>
        <w:rPr>
          <w:rFonts w:ascii="Times New Roman"/>
          <w:color w:val="000000"/>
          <w:spacing w:val="914"/>
          <w:sz w:val="12"/>
        </w:rPr>
        <w:t xml:space="preserve"> </w:t>
      </w:r>
      <w:r>
        <w:rPr>
          <w:rFonts w:ascii="FangSong" w:hAnsi="FangSong" w:cs="FangSong"/>
          <w:color w:val="000000"/>
          <w:spacing w:val="12"/>
          <w:sz w:val="12"/>
        </w:rPr>
        <w:t>有效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成预期指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8"/>
          <w:sz w:val="12"/>
        </w:rPr>
        <w:t>标10</w:t>
      </w:r>
      <w:r>
        <w:rPr>
          <w:rFonts w:ascii="Times New Roman"/>
          <w:color w:val="000000"/>
          <w:spacing w:val="7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所需资金</w:t>
      </w:r>
      <w:r>
        <w:rPr>
          <w:rFonts w:ascii="Times New Roman"/>
          <w:color w:val="000000"/>
          <w:spacing w:val="3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＝元</w:t>
      </w:r>
      <w:r>
        <w:rPr>
          <w:rFonts w:ascii="Times New Roman"/>
          <w:color w:val="000000"/>
          <w:spacing w:val="10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＝33000元</w:t>
      </w:r>
      <w:r>
        <w:rPr>
          <w:rFonts w:ascii="Times New Roman"/>
          <w:color w:val="000000"/>
          <w:spacing w:val="5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＝33000元</w:t>
      </w:r>
      <w:r>
        <w:rPr>
          <w:rFonts w:ascii="Times New Roman"/>
          <w:color w:val="000000"/>
          <w:spacing w:val="4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保障课后服务正常开展</w:t>
      </w:r>
      <w:r>
        <w:rPr>
          <w:rFonts w:ascii="Times New Roman"/>
          <w:color w:val="000000"/>
          <w:spacing w:val="183"/>
          <w:sz w:val="12"/>
        </w:rPr>
        <w:t xml:space="preserve"> </w:t>
      </w:r>
      <w:r>
        <w:rPr>
          <w:rFonts w:ascii="FangSong" w:hAnsi="FangSong" w:cs="FangSong"/>
          <w:color w:val="000000"/>
          <w:spacing w:val="12"/>
          <w:sz w:val="12"/>
        </w:rPr>
        <w:t>有效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成预期指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8"/>
          <w:sz w:val="12"/>
        </w:rPr>
        <w:t>标30</w:t>
      </w:r>
      <w:r>
        <w:rPr>
          <w:rFonts w:ascii="Times New Roman"/>
          <w:color w:val="000000"/>
          <w:spacing w:val="7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2"/>
        </w:rPr>
        <w:t>学生及教师满意度≥%</w:t>
      </w:r>
      <w:r>
        <w:rPr>
          <w:rFonts w:ascii="Times New Roman"/>
          <w:color w:val="000000"/>
          <w:spacing w:val="27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47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16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8" w:after="0" w:line="28" w:lineRule="exact"/>
        <w:ind w:left="533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2"/>
          <w:sz w:val="14"/>
        </w:rPr>
        <w:t>完成情况良好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2765"/>
          <w:sz w:val="12"/>
        </w:rPr>
        <w:t xml:space="preserve"> </w:t>
      </w:r>
      <w:r>
        <w:rPr>
          <w:rFonts w:ascii="FangSong" w:hAnsi="FangSong" w:cs="FangSong"/>
          <w:color w:val="000000"/>
          <w:spacing w:val="5"/>
          <w:sz w:val="11"/>
        </w:rPr>
        <w:t>保障教学正常进行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552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6"/>
          <w:sz w:val="11"/>
        </w:rPr>
        <w:t>效果良好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2883"/>
          <w:sz w:val="12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满意度较高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286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1"/>
        </w:rPr>
        <w:t>完善各种制度，加强管理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611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70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无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51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4"/>
          <w:sz w:val="11"/>
        </w:rPr>
        <w:t>完善各种制度，合理分配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9" w:id="br49"/>
      </w:r>
      <w:r>
        <w:bookmarkEnd w:id="br49"/>
      </w:r>
      <w:r>
        <w:rPr>
          <w:noProof w:val="on"/>
        </w:rPr>
        <w:pict>
          <v:shape xmlns:v="urn:schemas-microsoft-com:vml" id="_x0000120" style="position:absolute;margin-left:57.5pt;margin-top:32.75pt;z-index:-483;width:482.15pt;height:8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29pt;z-index:-4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0" w:id="br50"/>
      </w:r>
      <w:r>
        <w:bookmarkEnd w:id="br50"/>
      </w:r>
      <w:r>
        <w:rPr>
          <w:noProof w:val="on"/>
        </w:rPr>
        <w:pict>
          <v:shape xmlns:v="urn:schemas-microsoft-com:vml" id="_x0000122" style="position:absolute;margin-left:57.5pt;margin-top:38.75pt;z-index:-491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29pt;z-index:-4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29" w:after="0" w:line="57" w:lineRule="exact"/>
        <w:ind w:left="794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2023年农村义务教育寄宿生免费就餐资金项目支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64" w:after="0" w:line="57" w:lineRule="exact"/>
        <w:ind w:left="3567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出绩效自评表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8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66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2023年农村义务教育寄宿生免费就餐资金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0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044018-兴县魏家滩镇中心校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75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0.875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0.875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0.762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0.762</w:t>
      </w:r>
      <w:r>
        <w:rPr>
          <w:rFonts w:ascii="Times New Roman"/>
          <w:color w:val="000000"/>
          <w:spacing w:val="6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10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0.875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0.875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0.762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0.762</w:t>
      </w:r>
      <w:r>
        <w:rPr>
          <w:rFonts w:ascii="Times New Roman"/>
          <w:color w:val="000000"/>
          <w:spacing w:val="6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100.00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0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农村义务教育阶段寄宿生免费就餐，整合义务教育营养餐，贫困寄生生生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664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按时完成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80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活补助，小学生每天11元，全年按250天计算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3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2023年农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48"/>
          <w:sz w:val="12"/>
        </w:rPr>
        <w:t>村＝义元务/教（育生＝寄1天1元）/（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28"/>
          <w:sz w:val="12"/>
        </w:rPr>
        <w:t>生＝天11）元/（生</w:t>
      </w:r>
      <w:r>
        <w:rPr>
          <w:rFonts w:ascii="Times New Roman"/>
          <w:color w:val="000000"/>
          <w:spacing w:val="70"/>
          <w:sz w:val="12"/>
        </w:rPr>
        <w:t xml:space="preserve"> </w:t>
      </w:r>
      <w:r>
        <w:rPr>
          <w:rFonts w:ascii="FangSong" w:hAnsi="FangSong" w:cs="FangSong"/>
          <w:color w:val="000000"/>
          <w:spacing w:val="-36"/>
          <w:sz w:val="12"/>
        </w:rPr>
        <w:t>天2）0</w:t>
      </w:r>
      <w:r>
        <w:rPr>
          <w:rFonts w:ascii="Times New Roman"/>
          <w:color w:val="000000"/>
          <w:spacing w:val="75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寄宿生人数占比</w:t>
      </w:r>
      <w:r>
        <w:rPr>
          <w:rFonts w:ascii="Times New Roman"/>
          <w:color w:val="000000"/>
          <w:spacing w:val="5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≥%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≥17%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≥17%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完成时间</w:t>
      </w:r>
      <w:r>
        <w:rPr>
          <w:rFonts w:ascii="Times New Roman"/>
          <w:color w:val="000000"/>
          <w:spacing w:val="674"/>
          <w:sz w:val="12"/>
        </w:rPr>
        <w:t xml:space="preserve"> </w:t>
      </w:r>
      <w:r>
        <w:rPr>
          <w:rFonts w:ascii="FangSong" w:hAnsi="FangSong" w:cs="FangSong"/>
          <w:color w:val="000000"/>
          <w:spacing w:val="-6"/>
          <w:sz w:val="12"/>
        </w:rPr>
        <w:t>2023年底完成达成预期指标10</w:t>
      </w:r>
      <w:r>
        <w:rPr>
          <w:rFonts w:ascii="Times New Roman"/>
          <w:color w:val="000000"/>
          <w:spacing w:val="72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所需资金</w:t>
      </w:r>
      <w:r>
        <w:rPr>
          <w:rFonts w:ascii="Times New Roman"/>
          <w:color w:val="000000"/>
          <w:spacing w:val="3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＝元</w:t>
      </w:r>
      <w:r>
        <w:rPr>
          <w:rFonts w:ascii="Times New Roman"/>
          <w:color w:val="000000"/>
          <w:spacing w:val="138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＝8750元</w:t>
      </w:r>
      <w:r>
        <w:rPr>
          <w:rFonts w:ascii="Times New Roman"/>
          <w:color w:val="000000"/>
          <w:spacing w:val="1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＝7625元</w:t>
      </w:r>
      <w:r>
        <w:rPr>
          <w:rFonts w:ascii="Times New Roman"/>
          <w:color w:val="000000"/>
          <w:spacing w:val="7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减轻上学家庭经济负担</w:t>
      </w:r>
      <w:r>
        <w:rPr>
          <w:rFonts w:ascii="Times New Roman"/>
          <w:color w:val="000000"/>
          <w:spacing w:val="183"/>
          <w:sz w:val="12"/>
        </w:rPr>
        <w:t xml:space="preserve"> </w:t>
      </w:r>
      <w:r>
        <w:rPr>
          <w:rFonts w:ascii="FangSong" w:hAnsi="FangSong" w:cs="FangSong"/>
          <w:color w:val="000000"/>
          <w:spacing w:val="12"/>
          <w:sz w:val="12"/>
        </w:rPr>
        <w:t>有效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成预期指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8"/>
          <w:sz w:val="12"/>
        </w:rPr>
        <w:t>标30</w:t>
      </w:r>
      <w:r>
        <w:rPr>
          <w:rFonts w:ascii="Times New Roman"/>
          <w:color w:val="000000"/>
          <w:spacing w:val="7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学生满意度</w:t>
      </w:r>
      <w:r>
        <w:rPr>
          <w:rFonts w:ascii="Times New Roman"/>
          <w:color w:val="000000"/>
          <w:spacing w:val="27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≥%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47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16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8" w:after="0" w:line="28" w:lineRule="exact"/>
        <w:ind w:left="533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2"/>
          <w:sz w:val="14"/>
        </w:rPr>
        <w:t>完成情况良好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2765"/>
          <w:sz w:val="12"/>
        </w:rPr>
        <w:t xml:space="preserve"> </w:t>
      </w:r>
      <w:r>
        <w:rPr>
          <w:rFonts w:ascii="FangSong" w:hAnsi="FangSong" w:cs="FangSong"/>
          <w:color w:val="000000"/>
          <w:spacing w:val="5"/>
          <w:sz w:val="11"/>
        </w:rPr>
        <w:t>保障学生正常上学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552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6"/>
          <w:sz w:val="11"/>
        </w:rPr>
        <w:t>效果明显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2883"/>
          <w:sz w:val="12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满意度较高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3257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1"/>
        </w:rPr>
        <w:t>合理分配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611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70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无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552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6"/>
          <w:sz w:val="11"/>
        </w:rPr>
        <w:t>合理分配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1" w:id="br51"/>
      </w:r>
      <w:r>
        <w:bookmarkEnd w:id="br51"/>
      </w:r>
      <w:r>
        <w:rPr>
          <w:noProof w:val="on"/>
        </w:rPr>
        <w:pict>
          <v:shape xmlns:v="urn:schemas-microsoft-com:vml" id="_x0000124" style="position:absolute;margin-left:57.5pt;margin-top:32.75pt;z-index:-499;width:482.15pt;height:8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29pt;z-index:-5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2" w:id="br52"/>
      </w:r>
      <w:r>
        <w:bookmarkEnd w:id="br52"/>
      </w:r>
      <w:r>
        <w:rPr>
          <w:noProof w:val="on"/>
        </w:rPr>
        <w:pict>
          <v:shape xmlns:v="urn:schemas-microsoft-com:vml" id="_x0000126" style="position:absolute;margin-left:57.5pt;margin-top:38.75pt;z-index:-507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29pt;z-index:-5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29" w:after="0" w:line="57" w:lineRule="exact"/>
        <w:ind w:left="794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义务教育转移支付公用经费补助项目支出绩效自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64" w:after="0" w:line="57" w:lineRule="exact"/>
        <w:ind w:left="4311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2"/>
          <w:sz w:val="37"/>
        </w:rPr>
        <w:t>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8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91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义务教育转移支付公用经费补助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0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044018-兴县魏家滩镇中心校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87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22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100.00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按照相关政策，2023年按时落实到位。</w:t>
      </w:r>
      <w:r>
        <w:rPr>
          <w:rFonts w:ascii="Times New Roman"/>
          <w:color w:val="000000"/>
          <w:spacing w:val="2439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按时全部完成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23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学生人数</w:t>
      </w:r>
      <w:r>
        <w:rPr>
          <w:rFonts w:ascii="Times New Roman"/>
          <w:color w:val="000000"/>
          <w:spacing w:val="3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＝人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＝100人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＝100人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3"/>
          <w:sz w:val="12"/>
        </w:rPr>
        <w:t>保障农村义务教育＝公%用经费＝100%</w:t>
      </w:r>
      <w:r>
        <w:rPr>
          <w:rFonts w:ascii="Times New Roman"/>
          <w:color w:val="000000"/>
          <w:spacing w:val="259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1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完成时间</w:t>
      </w:r>
      <w:r>
        <w:rPr>
          <w:rFonts w:ascii="Times New Roman"/>
          <w:color w:val="000000"/>
          <w:spacing w:val="794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按时完成达成预期指标10</w:t>
      </w:r>
      <w:r>
        <w:rPr>
          <w:rFonts w:ascii="Times New Roman"/>
          <w:color w:val="000000"/>
          <w:spacing w:val="71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所需资金</w:t>
      </w:r>
      <w:r>
        <w:rPr>
          <w:rFonts w:ascii="Times New Roman"/>
          <w:color w:val="000000"/>
          <w:spacing w:val="3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＝元</w:t>
      </w:r>
      <w:r>
        <w:rPr>
          <w:rFonts w:ascii="Times New Roman"/>
          <w:color w:val="000000"/>
          <w:spacing w:val="10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＝10000元</w:t>
      </w:r>
      <w:r>
        <w:rPr>
          <w:rFonts w:ascii="Times New Roman"/>
          <w:color w:val="000000"/>
          <w:spacing w:val="28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＝9999.3元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4"/>
          <w:sz w:val="12"/>
        </w:rPr>
        <w:t>保障义务教育质量稳步提稳高步提高达成预期指标30</w:t>
      </w:r>
      <w:r>
        <w:rPr>
          <w:rFonts w:ascii="Times New Roman"/>
          <w:color w:val="000000"/>
          <w:spacing w:val="71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5"/>
          <w:sz w:val="12"/>
        </w:rPr>
        <w:t>社会家长学生</w:t>
      </w:r>
      <w:r>
        <w:rPr>
          <w:rFonts w:ascii="Times New Roman"/>
          <w:color w:val="000000"/>
          <w:spacing w:val="15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≥%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47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16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8" w:after="0" w:line="28" w:lineRule="exact"/>
        <w:ind w:left="533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2"/>
          <w:sz w:val="14"/>
        </w:rPr>
        <w:t>完成情况良好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2993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1"/>
        </w:rPr>
        <w:t>效果明显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518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1"/>
        </w:rPr>
        <w:t>有效保障学校正常运行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2883"/>
          <w:sz w:val="12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满意度较高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286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1"/>
        </w:rPr>
        <w:t>合理分配，加强制度管理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611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70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无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51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4"/>
          <w:sz w:val="11"/>
        </w:rPr>
        <w:t>合理分配，加强制度管理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3" w:id="br53"/>
      </w:r>
      <w:r>
        <w:bookmarkEnd w:id="br53"/>
      </w:r>
      <w:r>
        <w:rPr>
          <w:noProof w:val="on"/>
        </w:rPr>
        <w:pict>
          <v:shape xmlns:v="urn:schemas-microsoft-com:vml" id="_x0000128" style="position:absolute;margin-left:57.5pt;margin-top:32.75pt;z-index:-515;width:482.15pt;height:8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29pt;z-index:-5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-51-</w:t>
      </w:r>
      <w:r>
        <w:rPr>
          <w:rFonts w:ascii="Times New Roman"/>
          <w:color w:val="000000"/>
          <w:spacing w:val="0"/>
          <w:sz w:val="16"/>
        </w:rPr>
      </w:r>
    </w:p>
    <w:sectPr>
      <w:pgSz w:w="11900" w:h="16840"/>
      <w:pgMar w:top="372" w:right="100" w:bottom="0" w:left="64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GHVJHO+STZhongsong">
    <w:panose1 w:val="0201060004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2EB143E3-0000-0000-0000-000000000000}"/>
  </w:font>
  <w:font w:name="FangSong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MingLiU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SimHei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EIABDF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7F56779D-0000-0000-0000-000000000000}"/>
  </w:font>
  <w:font w:name="SimSun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HRHFQW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D9145638-0000-0000-0000-000000000000}"/>
  </w:font>
  <w:font w:name="AGLQNK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EDDB1EAD-0000-0000-0000-000000000000}"/>
  </w:font>
  <w:font w:name="MONLKH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CFC2EC7A-0000-0000-0000-000000000000}"/>
  </w:font>
  <w:font w:name="PFOKCS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CD2D6E41-0000-0000-0000-000000000000}"/>
  </w:font>
  <w:font w:name="MEHGBU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E246A50A-0000-0000-0000-000000000000}"/>
  </w:font>
  <w:font w:name="FQPUOB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27155FE9-0000-0000-0000-000000000000}"/>
  </w:font>
  <w:font w:name="UWUNWG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8C22E005-0000-0000-0000-000000000000}"/>
  </w:font>
  <w:font w:name="IVPSGC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68F74F25-0000-0000-0000-000000000000}"/>
  </w:font>
  <w:font w:name="GESTIO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D84D761E-0000-0000-0000-000000000000}"/>
  </w:font>
  <w:font w:name="UDPUAU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7CEA78F8-0000-0000-0000-000000000000}"/>
  </w:font>
  <w:font w:name="PVNRBR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46AB44C0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styles" Target="styles.xml" /><Relationship Id="rId132" Type="http://schemas.openxmlformats.org/officeDocument/2006/relationships/fontTable" Target="fontTable.xml" /><Relationship Id="rId133" Type="http://schemas.openxmlformats.org/officeDocument/2006/relationships/settings" Target="settings.xml" /><Relationship Id="rId134" Type="http://schemas.openxmlformats.org/officeDocument/2006/relationships/webSettings" Target="webSettings.xml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53</Pages>
  <Words>2583</Words>
  <Characters>18709</Characters>
  <Application>Aspose</Application>
  <DocSecurity>0</DocSecurity>
  <Lines>64</Lines>
  <Paragraphs>1083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21819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2025-09-25T16:17:25+08:00</dcterms:created>
  <dcterms:modified xmlns:xsi="http://www.w3.org/2001/XMLSchema-instance" xmlns:dcterms="http://purl.org/dc/terms/" xsi:type="dcterms:W3CDTF">2025-09-25T16:17:25+08:00</dcterms:modified>
</coreProperties>
</file>