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567"/>
        <w:spacing w:before="139" w:line="215" w:lineRule="auto"/>
        <w:rPr/>
      </w:pPr>
      <w:r>
        <w:rPr>
          <w:spacing w:val="94"/>
        </w:rPr>
        <w:t>兴县阳光小学</w:t>
      </w:r>
    </w:p>
    <w:p>
      <w:pPr>
        <w:spacing w:line="385" w:lineRule="auto"/>
        <w:rPr>
          <w:rFonts w:ascii="Arial"/>
          <w:sz w:val="21"/>
        </w:rPr>
      </w:pPr>
      <w:r/>
    </w:p>
    <w:p>
      <w:pPr>
        <w:pStyle w:val="BodyText"/>
        <w:ind w:left="1294"/>
        <w:spacing w:before="139"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7"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22</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22</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22</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b/>
                <w:bCs/>
                <w:spacing w:val="-13"/>
              </w:rPr>
              <w:t>30</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921" w:right="874" w:firstLine="377"/>
        <w:spacing w:before="284" w:line="281" w:lineRule="auto"/>
        <w:rPr>
          <w:rFonts w:ascii="FangSong" w:hAnsi="FangSong" w:eastAsia="FangSong" w:cs="FangSong"/>
          <w:sz w:val="24"/>
          <w:szCs w:val="24"/>
        </w:rPr>
      </w:pPr>
      <w:r>
        <w:rPr>
          <w:rFonts w:ascii="FangSong" w:hAnsi="FangSong" w:eastAsia="FangSong" w:cs="FangSong"/>
          <w:sz w:val="24"/>
          <w:szCs w:val="24"/>
          <w:spacing w:val="3"/>
        </w:rPr>
        <w:t>1.研究拟定本校教育发展战略和教育工作的规定、办法，监督和检查所属学校对</w:t>
      </w:r>
      <w:r>
        <w:rPr>
          <w:rFonts w:ascii="FangSong" w:hAnsi="FangSong" w:eastAsia="FangSong" w:cs="FangSong"/>
          <w:sz w:val="24"/>
          <w:szCs w:val="24"/>
          <w:spacing w:val="1"/>
        </w:rPr>
        <w:t>党和国家的教育方针、政策、法规的贯彻执行。要</w:t>
      </w:r>
      <w:r>
        <w:rPr>
          <w:rFonts w:ascii="FangSong" w:hAnsi="FangSong" w:eastAsia="FangSong" w:cs="FangSong"/>
          <w:sz w:val="24"/>
          <w:szCs w:val="24"/>
        </w:rPr>
        <w:t>依法办学，不断提高管理水平和教</w:t>
      </w:r>
      <w:r>
        <w:rPr>
          <w:rFonts w:ascii="FangSong" w:hAnsi="FangSong" w:eastAsia="FangSong" w:cs="FangSong"/>
          <w:sz w:val="24"/>
          <w:szCs w:val="24"/>
          <w:spacing w:val="-2"/>
        </w:rPr>
        <w:t>育质量。不断改善办学水平和搞高教育质量，促进学校教育均衡发展。</w:t>
      </w:r>
    </w:p>
    <w:p>
      <w:pPr>
        <w:ind w:left="919" w:right="874" w:firstLine="385"/>
        <w:spacing w:before="101" w:line="282" w:lineRule="auto"/>
        <w:rPr>
          <w:rFonts w:ascii="FangSong" w:hAnsi="FangSong" w:eastAsia="FangSong" w:cs="FangSong"/>
          <w:sz w:val="24"/>
          <w:szCs w:val="24"/>
        </w:rPr>
      </w:pPr>
      <w:r>
        <w:rPr>
          <w:rFonts w:ascii="FangSong" w:hAnsi="FangSong" w:eastAsia="FangSong" w:cs="FangSong"/>
          <w:sz w:val="24"/>
          <w:szCs w:val="24"/>
          <w:spacing w:val="10"/>
        </w:rPr>
        <w:t>2.管理和指导本校教育教学研究工作，规划、指导教育现代化和教育信息化工</w:t>
      </w:r>
      <w:r>
        <w:rPr>
          <w:rFonts w:ascii="FangSong" w:hAnsi="FangSong" w:eastAsia="FangSong" w:cs="FangSong"/>
          <w:sz w:val="24"/>
          <w:szCs w:val="24"/>
          <w:spacing w:val="1"/>
        </w:rPr>
        <w:t>作。在县教育科技局的领导下，组织本校教师开展教育</w:t>
      </w:r>
      <w:r>
        <w:rPr>
          <w:rFonts w:ascii="FangSong" w:hAnsi="FangSong" w:eastAsia="FangSong" w:cs="FangSong"/>
          <w:sz w:val="24"/>
          <w:szCs w:val="24"/>
        </w:rPr>
        <w:t>教学研究课，教学观摩，教学</w:t>
      </w:r>
      <w:r>
        <w:rPr>
          <w:rFonts w:ascii="FangSong" w:hAnsi="FangSong" w:eastAsia="FangSong" w:cs="FangSong"/>
          <w:sz w:val="24"/>
          <w:szCs w:val="24"/>
          <w:spacing w:val="-2"/>
        </w:rPr>
        <w:t>竞赛，课题实验，经验交流，教学基本功训练，专题研讨等教学活动。</w:t>
      </w:r>
    </w:p>
    <w:p>
      <w:pPr>
        <w:ind w:left="919" w:right="874" w:firstLine="366"/>
        <w:spacing w:before="100" w:line="267" w:lineRule="auto"/>
        <w:rPr>
          <w:rFonts w:ascii="FangSong" w:hAnsi="FangSong" w:eastAsia="FangSong" w:cs="FangSong"/>
          <w:sz w:val="24"/>
          <w:szCs w:val="24"/>
        </w:rPr>
      </w:pPr>
      <w:r>
        <w:rPr>
          <w:rFonts w:ascii="FangSong" w:hAnsi="FangSong" w:eastAsia="FangSong" w:cs="FangSong"/>
          <w:sz w:val="24"/>
          <w:szCs w:val="24"/>
          <w:spacing w:val="4"/>
        </w:rPr>
        <w:t>3.发挥教师进修培训作用。本校负责制定并实施教师培训计划，</w:t>
      </w:r>
      <w:r>
        <w:rPr>
          <w:rFonts w:ascii="FangSong" w:hAnsi="FangSong" w:eastAsia="FangSong" w:cs="FangSong"/>
          <w:sz w:val="24"/>
          <w:szCs w:val="24"/>
          <w:spacing w:val="3"/>
        </w:rPr>
        <w:t>并有针对性的组</w:t>
      </w:r>
      <w:r>
        <w:rPr>
          <w:rFonts w:ascii="FangSong" w:hAnsi="FangSong" w:eastAsia="FangSong" w:cs="FangSong"/>
          <w:sz w:val="24"/>
          <w:szCs w:val="24"/>
          <w:spacing w:val="-2"/>
        </w:rPr>
        <w:t>织教师参加教师培训，更新教育观念，提高教师职业道德水平和教育教学能力。</w:t>
      </w:r>
    </w:p>
    <w:p>
      <w:pPr>
        <w:ind w:left="915" w:right="874" w:firstLine="365"/>
        <w:spacing w:before="117" w:line="260" w:lineRule="auto"/>
        <w:rPr>
          <w:rFonts w:ascii="FangSong" w:hAnsi="FangSong" w:eastAsia="FangSong" w:cs="FangSong"/>
          <w:sz w:val="24"/>
          <w:szCs w:val="24"/>
        </w:rPr>
      </w:pPr>
      <w:r>
        <w:rPr>
          <w:rFonts w:ascii="FangSong" w:hAnsi="FangSong" w:eastAsia="FangSong" w:cs="FangSong"/>
          <w:sz w:val="24"/>
          <w:szCs w:val="24"/>
          <w:spacing w:val="3"/>
        </w:rPr>
        <w:t>4.管理学生学籍，建立学生档案，严格控</w:t>
      </w:r>
      <w:r>
        <w:rPr>
          <w:rFonts w:ascii="FangSong" w:hAnsi="FangSong" w:eastAsia="FangSong" w:cs="FangSong"/>
          <w:sz w:val="24"/>
          <w:szCs w:val="24"/>
          <w:spacing w:val="2"/>
        </w:rPr>
        <w:t>制学生辍学，</w:t>
      </w:r>
      <w:r>
        <w:rPr>
          <w:rFonts w:ascii="FangSong" w:hAnsi="FangSong" w:eastAsia="FangSong" w:cs="FangSong"/>
          <w:sz w:val="24"/>
          <w:szCs w:val="24"/>
          <w:spacing w:val="-68"/>
        </w:rPr>
        <w:t xml:space="preserve"> </w:t>
      </w:r>
      <w:r>
        <w:rPr>
          <w:rFonts w:ascii="FangSong" w:hAnsi="FangSong" w:eastAsia="FangSong" w:cs="FangSong"/>
          <w:sz w:val="24"/>
          <w:szCs w:val="24"/>
          <w:spacing w:val="2"/>
        </w:rPr>
        <w:t>已入学的学生要建立学籍</w:t>
      </w:r>
      <w:r>
        <w:rPr>
          <w:rFonts w:ascii="FangSong" w:hAnsi="FangSong" w:eastAsia="FangSong" w:cs="FangSong"/>
          <w:sz w:val="24"/>
          <w:szCs w:val="24"/>
          <w:spacing w:val="-4"/>
        </w:rPr>
        <w:t>档案，并报教育行政部门备案。</w:t>
      </w:r>
    </w:p>
    <w:p>
      <w:pPr>
        <w:ind w:left="915" w:right="874" w:firstLine="370"/>
        <w:spacing w:before="119" w:line="277" w:lineRule="auto"/>
        <w:rPr>
          <w:rFonts w:ascii="FangSong" w:hAnsi="FangSong" w:eastAsia="FangSong" w:cs="FangSong"/>
          <w:sz w:val="24"/>
          <w:szCs w:val="24"/>
        </w:rPr>
      </w:pPr>
      <w:r>
        <w:rPr>
          <w:rFonts w:ascii="FangSong" w:hAnsi="FangSong" w:eastAsia="FangSong" w:cs="FangSong"/>
          <w:sz w:val="24"/>
          <w:szCs w:val="24"/>
          <w:spacing w:val="4"/>
        </w:rPr>
        <w:t>5.负责本校教师教育教学业务档案管理，教育统计，教师工资统</w:t>
      </w:r>
      <w:r>
        <w:rPr>
          <w:rFonts w:ascii="FangSong" w:hAnsi="FangSong" w:eastAsia="FangSong" w:cs="FangSong"/>
          <w:sz w:val="24"/>
          <w:szCs w:val="24"/>
          <w:spacing w:val="3"/>
        </w:rPr>
        <w:t>计，学校报帐。</w:t>
      </w:r>
      <w:r>
        <w:rPr>
          <w:rFonts w:ascii="FangSong" w:hAnsi="FangSong" w:eastAsia="FangSong" w:cs="FangSong"/>
          <w:sz w:val="24"/>
          <w:szCs w:val="24"/>
          <w:spacing w:val="1"/>
        </w:rPr>
        <w:t>管理本校的教学经费，做好教师编制核定，资格认定，职务评聘</w:t>
      </w:r>
      <w:r>
        <w:rPr>
          <w:rFonts w:ascii="FangSong" w:hAnsi="FangSong" w:eastAsia="FangSong" w:cs="FangSong"/>
          <w:sz w:val="24"/>
          <w:szCs w:val="24"/>
        </w:rPr>
        <w:t>，调配和交流，培训</w:t>
      </w:r>
      <w:r>
        <w:rPr>
          <w:rFonts w:ascii="FangSong" w:hAnsi="FangSong" w:eastAsia="FangSong" w:cs="FangSong"/>
          <w:sz w:val="24"/>
          <w:szCs w:val="24"/>
          <w:spacing w:val="-6"/>
        </w:rPr>
        <w:t>和考核等工作。</w:t>
      </w:r>
    </w:p>
    <w:p>
      <w:pPr>
        <w:ind w:left="915" w:right="875" w:firstLine="358"/>
        <w:spacing w:before="120" w:line="311" w:lineRule="auto"/>
        <w:rPr>
          <w:rFonts w:ascii="FangSong" w:hAnsi="FangSong" w:eastAsia="FangSong" w:cs="FangSong"/>
          <w:sz w:val="24"/>
          <w:szCs w:val="24"/>
        </w:rPr>
      </w:pPr>
      <w:r>
        <w:rPr>
          <w:rFonts w:ascii="FangSong" w:hAnsi="FangSong" w:eastAsia="FangSong" w:cs="FangSong"/>
          <w:sz w:val="24"/>
          <w:szCs w:val="24"/>
          <w:spacing w:val="1"/>
        </w:rPr>
        <w:t>6在教育行政部门的指导下，负责组织学生考试，教育教学质量评估</w:t>
      </w:r>
      <w:r>
        <w:rPr>
          <w:rFonts w:ascii="FangSong" w:hAnsi="FangSong" w:eastAsia="FangSong" w:cs="FangSong"/>
          <w:sz w:val="24"/>
          <w:szCs w:val="24"/>
        </w:rPr>
        <w:t>工作，协助调</w:t>
      </w:r>
      <w:r>
        <w:rPr>
          <w:rFonts w:ascii="FangSong" w:hAnsi="FangSong" w:eastAsia="FangSong" w:cs="FangSong"/>
          <w:sz w:val="24"/>
          <w:szCs w:val="24"/>
          <w:spacing w:val="-1"/>
        </w:rPr>
        <w:t>整好校点布局和改造的有关工作，积极承办上级主</w:t>
      </w:r>
      <w:r>
        <w:rPr>
          <w:rFonts w:ascii="FangSong" w:hAnsi="FangSong" w:eastAsia="FangSong" w:cs="FangSong"/>
          <w:sz w:val="24"/>
          <w:szCs w:val="24"/>
          <w:spacing w:val="-2"/>
        </w:rPr>
        <w:t>管教育部门交办的其他事项。</w:t>
      </w:r>
    </w:p>
    <w:p>
      <w:pPr>
        <w:ind w:left="913"/>
        <w:spacing w:before="165"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16"/>
        <w:spacing w:before="117" w:line="221" w:lineRule="auto"/>
        <w:rPr>
          <w:rFonts w:ascii="FangSong" w:hAnsi="FangSong" w:eastAsia="FangSong" w:cs="FangSong"/>
          <w:sz w:val="24"/>
          <w:szCs w:val="24"/>
        </w:rPr>
      </w:pPr>
      <w:r>
        <w:rPr>
          <w:rFonts w:ascii="FangSong" w:hAnsi="FangSong" w:eastAsia="FangSong" w:cs="FangSong"/>
          <w:sz w:val="24"/>
          <w:szCs w:val="24"/>
          <w:spacing w:val="-2"/>
        </w:rPr>
        <w:t>本单位属于教育科技局的二级全额事业单位，内部设有办公室、财务室等。</w:t>
      </w:r>
    </w:p>
    <w:p>
      <w:pPr>
        <w:spacing w:line="221" w:lineRule="auto"/>
        <w:sectPr>
          <w:headerReference w:type="default" r:id="rId2"/>
          <w:footerReference w:type="default" r:id="rId3"/>
          <w:pgSz w:w="11900" w:h="16840"/>
          <w:pgMar w:top="642" w:right="600" w:bottom="340" w:left="60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37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248"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单位名称：兴县阳光小学</w:t>
            </w:r>
          </w:p>
        </w:tc>
        <w:tc>
          <w:tcPr>
            <w:tcW w:w="3301" w:type="dxa"/>
            <w:vAlign w:val="top"/>
            <w:gridSpan w:val="3"/>
            <w:tcBorders>
              <w:top w:val="single" w:color="FFFFFF" w:sz="6" w:space="0"/>
              <w:left w:val="single" w:color="FFFFFF" w:sz="2" w:space="0"/>
              <w:right w:val="single" w:color="FFFFFF" w:sz="2" w:space="0"/>
            </w:tcBorders>
          </w:tcPr>
          <w:p>
            <w:pPr>
              <w:ind w:left="237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82" w:type="dxa"/>
            <w:vAlign w:val="top"/>
            <w:gridSpan w:val="2"/>
          </w:tcPr>
          <w:p>
            <w:pPr>
              <w:ind w:left="140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7" w:type="dxa"/>
            <w:vAlign w:val="top"/>
            <w:gridSpan w:val="4"/>
          </w:tcPr>
          <w:p>
            <w:pPr>
              <w:ind w:left="248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99" w:type="dxa"/>
            <w:vAlign w:val="top"/>
          </w:tcPr>
          <w:p>
            <w:pPr>
              <w:ind w:left="79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66" w:type="dxa"/>
            <w:vAlign w:val="top"/>
          </w:tcPr>
          <w:p>
            <w:pPr>
              <w:ind w:left="835"/>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2" w:type="dxa"/>
            <w:vAlign w:val="top"/>
          </w:tcPr>
          <w:p>
            <w:pPr>
              <w:ind w:left="14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1"/>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91" w:type="dxa"/>
            <w:vAlign w:val="top"/>
          </w:tcPr>
          <w:p>
            <w:pPr>
              <w:ind w:left="250" w:right="85"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199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2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1109.58</w:t>
            </w:r>
          </w:p>
        </w:tc>
        <w:tc>
          <w:tcPr>
            <w:tcW w:w="2066" w:type="dxa"/>
            <w:vAlign w:val="top"/>
          </w:tcPr>
          <w:p>
            <w:pPr>
              <w:ind w:left="11"/>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66" w:type="dxa"/>
            <w:vAlign w:val="top"/>
          </w:tcPr>
          <w:p>
            <w:pPr>
              <w:ind w:left="1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66" w:type="dxa"/>
            <w:vAlign w:val="top"/>
          </w:tcPr>
          <w:p>
            <w:pPr>
              <w:ind w:left="8"/>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66" w:type="dxa"/>
            <w:vAlign w:val="top"/>
          </w:tcPr>
          <w:p>
            <w:pPr>
              <w:ind w:left="2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66" w:type="dxa"/>
            <w:vAlign w:val="top"/>
          </w:tcPr>
          <w:p>
            <w:pPr>
              <w:ind w:left="1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12" w:type="dxa"/>
            <w:vAlign w:val="top"/>
          </w:tcPr>
          <w:p>
            <w:pPr>
              <w:ind w:right="27"/>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899.18</w:t>
            </w:r>
          </w:p>
        </w:tc>
        <w:tc>
          <w:tcPr>
            <w:tcW w:w="1198" w:type="dxa"/>
            <w:vAlign w:val="top"/>
          </w:tcPr>
          <w:p>
            <w:pPr>
              <w:ind w:right="24"/>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899.15</w:t>
            </w:r>
          </w:p>
        </w:tc>
        <w:tc>
          <w:tcPr>
            <w:tcW w:w="891" w:type="dxa"/>
            <w:vAlign w:val="top"/>
          </w:tcPr>
          <w:p>
            <w:pPr>
              <w:ind w:right="26"/>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12"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95.73</w:t>
            </w:r>
          </w:p>
        </w:tc>
        <w:tc>
          <w:tcPr>
            <w:tcW w:w="1198" w:type="dxa"/>
            <w:vAlign w:val="top"/>
          </w:tcPr>
          <w:p>
            <w:pPr>
              <w:ind w:right="2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95.73</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12"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198" w:type="dxa"/>
            <w:vAlign w:val="top"/>
          </w:tcPr>
          <w:p>
            <w:pPr>
              <w:ind w:right="2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12"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19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891" w:type="dxa"/>
            <w:vAlign w:val="top"/>
          </w:tcPr>
          <w:p>
            <w:pPr>
              <w:pStyle w:val="TableText"/>
              <w:rPr/>
            </w:pPr>
            <w:r/>
          </w:p>
        </w:tc>
      </w:tr>
      <w:tr>
        <w:trPr>
          <w:trHeight w:val="532"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77"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bl>
    <w:p>
      <w:pPr>
        <w:rPr>
          <w:rFonts w:ascii="Arial"/>
          <w:sz w:val="21"/>
        </w:rPr>
      </w:pPr>
      <w:r/>
    </w:p>
    <w:p>
      <w:pPr>
        <w:sectPr>
          <w:footerReference w:type="default" r:id="rId4"/>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1"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3"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right="68"/>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68"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3" w:right="68"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pStyle w:val="TableText"/>
              <w:rPr/>
            </w:pPr>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31"/>
              <w:spacing w:before="186" w:line="184" w:lineRule="auto"/>
              <w:rPr>
                <w:sz w:val="15"/>
                <w:szCs w:val="15"/>
              </w:rPr>
            </w:pPr>
            <w:r>
              <w:rPr>
                <w:sz w:val="15"/>
                <w:szCs w:val="15"/>
                <w:color w:val="212529"/>
                <w:spacing w:val="1"/>
              </w:rPr>
              <w:t>1109.</w:t>
            </w:r>
            <w:r>
              <w:rPr>
                <w:sz w:val="15"/>
                <w:szCs w:val="15"/>
                <w:color w:val="212529"/>
                <w:spacing w:val="14"/>
                <w:w w:val="101"/>
              </w:rPr>
              <w:t xml:space="preserve"> </w:t>
            </w:r>
            <w:r>
              <w:rPr>
                <w:sz w:val="15"/>
                <w:szCs w:val="15"/>
                <w:color w:val="212529"/>
                <w:spacing w:val="1"/>
              </w:rPr>
              <w:t>58</w:t>
            </w:r>
          </w:p>
        </w:tc>
        <w:tc>
          <w:tcPr>
            <w:tcW w:w="2066" w:type="dxa"/>
            <w:vAlign w:val="top"/>
          </w:tcPr>
          <w:p>
            <w:pPr>
              <w:ind w:left="9"/>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12" w:type="dxa"/>
            <w:vAlign w:val="top"/>
          </w:tcPr>
          <w:p>
            <w:pPr>
              <w:pStyle w:val="TableText"/>
              <w:ind w:left="558"/>
              <w:spacing w:before="186" w:line="172" w:lineRule="auto"/>
              <w:rPr>
                <w:sz w:val="16"/>
                <w:szCs w:val="16"/>
              </w:rPr>
            </w:pPr>
            <w:r>
              <w:rPr>
                <w:sz w:val="16"/>
                <w:szCs w:val="16"/>
                <w:color w:val="212529"/>
                <w:spacing w:val="4"/>
              </w:rPr>
              <w:t>1109.60</w:t>
            </w:r>
          </w:p>
        </w:tc>
        <w:tc>
          <w:tcPr>
            <w:tcW w:w="1198" w:type="dxa"/>
            <w:vAlign w:val="top"/>
          </w:tcPr>
          <w:p>
            <w:pPr>
              <w:pStyle w:val="TableText"/>
              <w:ind w:left="547"/>
              <w:spacing w:before="186" w:line="172" w:lineRule="auto"/>
              <w:rPr>
                <w:sz w:val="16"/>
                <w:szCs w:val="16"/>
              </w:rPr>
            </w:pPr>
            <w:r>
              <w:rPr>
                <w:sz w:val="16"/>
                <w:szCs w:val="16"/>
                <w:color w:val="212529"/>
                <w:spacing w:val="4"/>
              </w:rPr>
              <w:t>1109.58</w:t>
            </w:r>
          </w:p>
        </w:tc>
        <w:tc>
          <w:tcPr>
            <w:tcW w:w="891" w:type="dxa"/>
            <w:vAlign w:val="top"/>
          </w:tcPr>
          <w:p>
            <w:pPr>
              <w:pStyle w:val="TableText"/>
              <w:ind w:left="495"/>
              <w:spacing w:before="186" w:line="211" w:lineRule="auto"/>
              <w:rPr>
                <w:sz w:val="13"/>
                <w:szCs w:val="13"/>
              </w:rPr>
            </w:pPr>
            <w:r>
              <w:rPr>
                <w:sz w:val="13"/>
                <w:szCs w:val="13"/>
                <w:color w:val="212529"/>
                <w:spacing w:val="10"/>
              </w:rPr>
              <w:t>0.</w:t>
            </w:r>
            <w:r>
              <w:rPr>
                <w:sz w:val="13"/>
                <w:szCs w:val="13"/>
                <w:color w:val="212529"/>
                <w:spacing w:val="17"/>
                <w:w w:val="101"/>
              </w:rPr>
              <w:t xml:space="preserve"> </w:t>
            </w:r>
            <w:r>
              <w:rPr>
                <w:sz w:val="13"/>
                <w:szCs w:val="13"/>
                <w:color w:val="212529"/>
                <w:spacing w:val="10"/>
              </w:rPr>
              <w:t>03</w:t>
            </w:r>
          </w:p>
        </w:tc>
      </w:tr>
      <w:tr>
        <w:trPr>
          <w:trHeight w:val="524" w:hRule="atLeast"/>
        </w:trPr>
        <w:tc>
          <w:tcPr>
            <w:tcW w:w="199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832"/>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0.03</w:t>
            </w:r>
          </w:p>
        </w:tc>
        <w:tc>
          <w:tcPr>
            <w:tcW w:w="2066" w:type="dxa"/>
            <w:vAlign w:val="top"/>
          </w:tcPr>
          <w:p>
            <w:pPr>
              <w:ind w:left="19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31" w:hRule="atLeast"/>
        </w:trPr>
        <w:tc>
          <w:tcPr>
            <w:tcW w:w="199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31"/>
              <w:spacing w:before="188" w:line="184" w:lineRule="auto"/>
              <w:rPr>
                <w:sz w:val="15"/>
                <w:szCs w:val="15"/>
              </w:rPr>
            </w:pPr>
            <w:r>
              <w:rPr>
                <w:sz w:val="15"/>
                <w:szCs w:val="15"/>
                <w:color w:val="212529"/>
                <w:spacing w:val="2"/>
              </w:rPr>
              <w:t>1109.</w:t>
            </w:r>
            <w:r>
              <w:rPr>
                <w:sz w:val="15"/>
                <w:szCs w:val="15"/>
                <w:color w:val="212529"/>
                <w:spacing w:val="9"/>
              </w:rPr>
              <w:t xml:space="preserve"> </w:t>
            </w:r>
            <w:r>
              <w:rPr>
                <w:sz w:val="15"/>
                <w:szCs w:val="15"/>
                <w:color w:val="212529"/>
                <w:spacing w:val="2"/>
              </w:rPr>
              <w:t>60</w:t>
            </w:r>
          </w:p>
        </w:tc>
        <w:tc>
          <w:tcPr>
            <w:tcW w:w="2066" w:type="dxa"/>
            <w:vAlign w:val="top"/>
          </w:tcPr>
          <w:p>
            <w:pPr>
              <w:ind w:left="8"/>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12" w:type="dxa"/>
            <w:vAlign w:val="top"/>
          </w:tcPr>
          <w:p>
            <w:pPr>
              <w:pStyle w:val="TableText"/>
              <w:ind w:left="558"/>
              <w:spacing w:before="188" w:line="172" w:lineRule="auto"/>
              <w:rPr>
                <w:sz w:val="16"/>
                <w:szCs w:val="16"/>
              </w:rPr>
            </w:pPr>
            <w:r>
              <w:rPr>
                <w:sz w:val="16"/>
                <w:szCs w:val="16"/>
                <w:color w:val="212529"/>
                <w:spacing w:val="4"/>
              </w:rPr>
              <w:t>1109.60</w:t>
            </w:r>
          </w:p>
        </w:tc>
        <w:tc>
          <w:tcPr>
            <w:tcW w:w="1198" w:type="dxa"/>
            <w:vAlign w:val="top"/>
          </w:tcPr>
          <w:p>
            <w:pPr>
              <w:pStyle w:val="TableText"/>
              <w:ind w:left="547"/>
              <w:spacing w:before="188" w:line="172" w:lineRule="auto"/>
              <w:rPr>
                <w:sz w:val="16"/>
                <w:szCs w:val="16"/>
              </w:rPr>
            </w:pPr>
            <w:r>
              <w:rPr>
                <w:sz w:val="16"/>
                <w:szCs w:val="16"/>
                <w:color w:val="212529"/>
                <w:spacing w:val="4"/>
              </w:rPr>
              <w:t>1109.58</w:t>
            </w:r>
          </w:p>
        </w:tc>
        <w:tc>
          <w:tcPr>
            <w:tcW w:w="891" w:type="dxa"/>
            <w:vAlign w:val="top"/>
          </w:tcPr>
          <w:p>
            <w:pPr>
              <w:pStyle w:val="TableText"/>
              <w:ind w:left="495"/>
              <w:spacing w:before="188" w:line="211" w:lineRule="auto"/>
              <w:rPr>
                <w:sz w:val="13"/>
                <w:szCs w:val="13"/>
              </w:rPr>
            </w:pPr>
            <w:r>
              <w:rPr>
                <w:sz w:val="13"/>
                <w:szCs w:val="13"/>
                <w:color w:val="212529"/>
                <w:spacing w:val="10"/>
              </w:rPr>
              <w:t>0.</w:t>
            </w:r>
            <w:r>
              <w:rPr>
                <w:sz w:val="13"/>
                <w:szCs w:val="13"/>
                <w:color w:val="212529"/>
                <w:spacing w:val="17"/>
                <w:w w:val="101"/>
              </w:rPr>
              <w:t xml:space="preserve"> </w:t>
            </w:r>
            <w:r>
              <w:rPr>
                <w:sz w:val="13"/>
                <w:szCs w:val="13"/>
                <w:color w:val="212529"/>
                <w:spacing w:val="10"/>
              </w:rPr>
              <w:t>03</w:t>
            </w:r>
          </w:p>
        </w:tc>
      </w:tr>
    </w:tbl>
    <w:p>
      <w:pPr>
        <w:rPr>
          <w:rFonts w:ascii="Arial"/>
          <w:sz w:val="21"/>
        </w:rPr>
      </w:pPr>
      <w:r/>
    </w:p>
    <w:p>
      <w:pPr>
        <w:sectPr>
          <w:footerReference w:type="default" r:id="rId5"/>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68"/>
        <w:gridCol w:w="1289"/>
        <w:gridCol w:w="1303"/>
        <w:gridCol w:w="1498"/>
        <w:gridCol w:w="1483"/>
        <w:gridCol w:w="959"/>
        <w:gridCol w:w="110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60" w:type="dxa"/>
            <w:vAlign w:val="top"/>
            <w:gridSpan w:val="2"/>
            <w:tcBorders>
              <w:left w:val="single" w:color="FFFFFF" w:sz="2" w:space="0"/>
              <w:right w:val="single" w:color="FFFFFF" w:sz="2" w:space="0"/>
              <w:bottom w:val="single" w:color="FFFFFF" w:sz="6" w:space="0"/>
              <w:top w:val="single" w:color="FFFFFF" w:sz="6" w:space="0"/>
            </w:tcBorders>
          </w:tcPr>
          <w:p>
            <w:pPr>
              <w:ind w:left="103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单位名称：兴县阳光小学</w:t>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60" w:type="dxa"/>
            <w:vAlign w:val="top"/>
            <w:gridSpan w:val="2"/>
            <w:tcBorders>
              <w:left w:val="single" w:color="FFFFFF" w:sz="2" w:space="0"/>
              <w:right w:val="single" w:color="FFFFFF" w:sz="2" w:space="0"/>
              <w:top w:val="single" w:color="FFFFFF" w:sz="6" w:space="0"/>
            </w:tcBorders>
          </w:tcPr>
          <w:p>
            <w:pPr>
              <w:ind w:left="112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00" w:type="dxa"/>
            <w:vAlign w:val="top"/>
            <w:gridSpan w:val="6"/>
          </w:tcPr>
          <w:p>
            <w:pPr>
              <w:ind w:left="3630"/>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8"/>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68" w:type="dxa"/>
            <w:vAlign w:val="top"/>
          </w:tcPr>
          <w:p>
            <w:pPr>
              <w:ind w:left="53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89"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8"/>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07"/>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9"/>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68" w:type="dxa"/>
            <w:vAlign w:val="top"/>
          </w:tcPr>
          <w:p>
            <w:pPr>
              <w:pStyle w:val="TableText"/>
              <w:ind w:left="806"/>
              <w:spacing w:before="149" w:line="184" w:lineRule="auto"/>
              <w:rPr>
                <w:sz w:val="15"/>
                <w:szCs w:val="15"/>
              </w:rPr>
            </w:pPr>
            <w:r>
              <w:rPr>
                <w:sz w:val="15"/>
                <w:szCs w:val="15"/>
                <w:color w:val="212529"/>
                <w:spacing w:val="2"/>
              </w:rPr>
              <w:t>1109.</w:t>
            </w:r>
            <w:r>
              <w:rPr>
                <w:sz w:val="15"/>
                <w:szCs w:val="15"/>
                <w:color w:val="212529"/>
                <w:spacing w:val="2"/>
              </w:rPr>
              <w:t xml:space="preserve"> </w:t>
            </w:r>
            <w:r>
              <w:rPr>
                <w:sz w:val="15"/>
                <w:szCs w:val="15"/>
                <w:color w:val="212529"/>
                <w:spacing w:val="2"/>
              </w:rPr>
              <w:t>58</w:t>
            </w:r>
          </w:p>
        </w:tc>
        <w:tc>
          <w:tcPr>
            <w:tcW w:w="1289" w:type="dxa"/>
            <w:vAlign w:val="top"/>
          </w:tcPr>
          <w:p>
            <w:pPr>
              <w:pStyle w:val="TableText"/>
              <w:ind w:left="632"/>
              <w:spacing w:before="149" w:line="172" w:lineRule="auto"/>
              <w:rPr>
                <w:sz w:val="16"/>
                <w:szCs w:val="16"/>
              </w:rPr>
            </w:pPr>
            <w:r>
              <w:rPr>
                <w:sz w:val="16"/>
                <w:szCs w:val="16"/>
                <w:color w:val="212529"/>
                <w:spacing w:val="4"/>
              </w:rPr>
              <w:t>1109.58</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ind w:left="705"/>
              <w:spacing w:before="149" w:line="211" w:lineRule="auto"/>
              <w:rPr>
                <w:sz w:val="13"/>
                <w:szCs w:val="13"/>
              </w:rPr>
            </w:pPr>
            <w:r>
              <w:rPr>
                <w:sz w:val="13"/>
                <w:szCs w:val="13"/>
                <w:color w:val="212529"/>
                <w:spacing w:val="10"/>
              </w:rPr>
              <w:t>0.</w:t>
            </w:r>
            <w:r>
              <w:rPr>
                <w:sz w:val="13"/>
                <w:szCs w:val="13"/>
                <w:color w:val="212529"/>
                <w:spacing w:val="17"/>
                <w:w w:val="101"/>
              </w:rPr>
              <w:t xml:space="preserve"> </w:t>
            </w:r>
            <w:r>
              <w:rPr>
                <w:sz w:val="13"/>
                <w:szCs w:val="13"/>
                <w:color w:val="212529"/>
                <w:spacing w:val="10"/>
              </w:rPr>
              <w:t>03</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52" w:type="dxa"/>
            <w:vAlign w:val="top"/>
          </w:tcPr>
          <w:p>
            <w:pPr>
              <w:ind w:left="8"/>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68" w:type="dxa"/>
            <w:vAlign w:val="top"/>
          </w:tcPr>
          <w:p>
            <w:pPr>
              <w:ind w:left="884"/>
              <w:spacing w:before="129" w:line="238" w:lineRule="auto"/>
              <w:rPr>
                <w:rFonts w:ascii="SimSun" w:hAnsi="SimSun" w:eastAsia="SimSun" w:cs="SimSun"/>
                <w:sz w:val="18"/>
                <w:szCs w:val="18"/>
              </w:rPr>
            </w:pPr>
            <w:r>
              <w:rPr>
                <w:rFonts w:ascii="SimSun" w:hAnsi="SimSun" w:eastAsia="SimSun" w:cs="SimSun"/>
                <w:sz w:val="18"/>
                <w:szCs w:val="18"/>
                <w:color w:val="212529"/>
                <w:spacing w:val="-2"/>
              </w:rPr>
              <w:t>899.15</w:t>
            </w:r>
          </w:p>
        </w:tc>
        <w:tc>
          <w:tcPr>
            <w:tcW w:w="1289" w:type="dxa"/>
            <w:vAlign w:val="top"/>
          </w:tcPr>
          <w:p>
            <w:pPr>
              <w:ind w:right="3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899.15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52" w:type="dxa"/>
            <w:vAlign w:val="top"/>
          </w:tcPr>
          <w:p>
            <w:pPr>
              <w:ind w:left="5"/>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68" w:type="dxa"/>
            <w:vAlign w:val="top"/>
          </w:tcPr>
          <w:p>
            <w:pPr>
              <w:ind w:left="884"/>
              <w:spacing w:before="130" w:line="238" w:lineRule="auto"/>
              <w:rPr>
                <w:rFonts w:ascii="SimSun" w:hAnsi="SimSun" w:eastAsia="SimSun" w:cs="SimSun"/>
                <w:sz w:val="18"/>
                <w:szCs w:val="18"/>
              </w:rPr>
            </w:pPr>
            <w:r>
              <w:rPr>
                <w:rFonts w:ascii="SimSun" w:hAnsi="SimSun" w:eastAsia="SimSun" w:cs="SimSun"/>
                <w:sz w:val="18"/>
                <w:szCs w:val="18"/>
                <w:color w:val="212529"/>
                <w:spacing w:val="-2"/>
              </w:rPr>
              <w:t>899.15</w:t>
            </w:r>
          </w:p>
        </w:tc>
        <w:tc>
          <w:tcPr>
            <w:tcW w:w="1289" w:type="dxa"/>
            <w:vAlign w:val="top"/>
          </w:tcPr>
          <w:p>
            <w:pPr>
              <w:ind w:right="30"/>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899.15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2050202</w:t>
            </w:r>
          </w:p>
        </w:tc>
        <w:tc>
          <w:tcPr>
            <w:tcW w:w="2952" w:type="dxa"/>
            <w:vAlign w:val="top"/>
          </w:tcPr>
          <w:p>
            <w:pPr>
              <w:ind w:left="11"/>
              <w:spacing w:before="130" w:line="219" w:lineRule="auto"/>
              <w:rPr>
                <w:rFonts w:ascii="SimSun" w:hAnsi="SimSun" w:eastAsia="SimSun" w:cs="SimSun"/>
                <w:sz w:val="18"/>
                <w:szCs w:val="18"/>
              </w:rPr>
            </w:pPr>
            <w:r>
              <w:rPr>
                <w:rFonts w:ascii="SimSun" w:hAnsi="SimSun" w:eastAsia="SimSun" w:cs="SimSun"/>
                <w:sz w:val="18"/>
                <w:szCs w:val="18"/>
                <w:color w:val="212529"/>
                <w:spacing w:val="-3"/>
              </w:rPr>
              <w:t>小学教育</w:t>
            </w:r>
          </w:p>
        </w:tc>
        <w:tc>
          <w:tcPr>
            <w:tcW w:w="1468" w:type="dxa"/>
            <w:vAlign w:val="top"/>
          </w:tcPr>
          <w:p>
            <w:pPr>
              <w:ind w:left="884"/>
              <w:spacing w:before="131" w:line="238" w:lineRule="auto"/>
              <w:rPr>
                <w:rFonts w:ascii="SimSun" w:hAnsi="SimSun" w:eastAsia="SimSun" w:cs="SimSun"/>
                <w:sz w:val="18"/>
                <w:szCs w:val="18"/>
              </w:rPr>
            </w:pPr>
            <w:r>
              <w:rPr>
                <w:rFonts w:ascii="SimSun" w:hAnsi="SimSun" w:eastAsia="SimSun" w:cs="SimSun"/>
                <w:sz w:val="18"/>
                <w:szCs w:val="18"/>
                <w:color w:val="212529"/>
                <w:spacing w:val="-2"/>
              </w:rPr>
              <w:t>899.15</w:t>
            </w:r>
          </w:p>
        </w:tc>
        <w:tc>
          <w:tcPr>
            <w:tcW w:w="1289" w:type="dxa"/>
            <w:vAlign w:val="top"/>
          </w:tcPr>
          <w:p>
            <w:pPr>
              <w:ind w:right="3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899.15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7"/>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68" w:type="dxa"/>
            <w:vAlign w:val="top"/>
          </w:tcPr>
          <w:p>
            <w:pPr>
              <w:ind w:left="974"/>
              <w:spacing w:before="132" w:line="238" w:lineRule="auto"/>
              <w:rPr>
                <w:rFonts w:ascii="SimSun" w:hAnsi="SimSun" w:eastAsia="SimSun" w:cs="SimSun"/>
                <w:sz w:val="18"/>
                <w:szCs w:val="18"/>
              </w:rPr>
            </w:pPr>
            <w:r>
              <w:rPr>
                <w:rFonts w:ascii="SimSun" w:hAnsi="SimSun" w:eastAsia="SimSun" w:cs="SimSun"/>
                <w:sz w:val="18"/>
                <w:szCs w:val="18"/>
                <w:color w:val="212529"/>
                <w:spacing w:val="-2"/>
              </w:rPr>
              <w:t>95.73</w:t>
            </w:r>
          </w:p>
        </w:tc>
        <w:tc>
          <w:tcPr>
            <w:tcW w:w="1289" w:type="dxa"/>
            <w:vAlign w:val="top"/>
          </w:tcPr>
          <w:p>
            <w:pPr>
              <w:ind w:right="30"/>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95.73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6"/>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68" w:type="dxa"/>
            <w:vAlign w:val="top"/>
          </w:tcPr>
          <w:p>
            <w:pPr>
              <w:ind w:left="974"/>
              <w:spacing w:before="133" w:line="238" w:lineRule="auto"/>
              <w:rPr>
                <w:rFonts w:ascii="SimSun" w:hAnsi="SimSun" w:eastAsia="SimSun" w:cs="SimSun"/>
                <w:sz w:val="18"/>
                <w:szCs w:val="18"/>
              </w:rPr>
            </w:pPr>
            <w:r>
              <w:rPr>
                <w:rFonts w:ascii="SimSun" w:hAnsi="SimSun" w:eastAsia="SimSun" w:cs="SimSun"/>
                <w:sz w:val="18"/>
                <w:szCs w:val="18"/>
                <w:color w:val="212529"/>
                <w:spacing w:val="-2"/>
              </w:rPr>
              <w:t>95.73</w:t>
            </w:r>
          </w:p>
        </w:tc>
        <w:tc>
          <w:tcPr>
            <w:tcW w:w="1289" w:type="dxa"/>
            <w:vAlign w:val="top"/>
          </w:tcPr>
          <w:p>
            <w:pPr>
              <w:ind w:right="3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95.73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5"/>
              <w:spacing w:before="133"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68" w:type="dxa"/>
            <w:vAlign w:val="top"/>
          </w:tcPr>
          <w:p>
            <w:pPr>
              <w:ind w:left="974"/>
              <w:spacing w:before="134" w:line="238" w:lineRule="auto"/>
              <w:rPr>
                <w:rFonts w:ascii="SimSun" w:hAnsi="SimSun" w:eastAsia="SimSun" w:cs="SimSun"/>
                <w:sz w:val="18"/>
                <w:szCs w:val="18"/>
              </w:rPr>
            </w:pPr>
            <w:r>
              <w:rPr>
                <w:rFonts w:ascii="SimSun" w:hAnsi="SimSun" w:eastAsia="SimSun" w:cs="SimSun"/>
                <w:sz w:val="18"/>
                <w:szCs w:val="18"/>
                <w:color w:val="212529"/>
                <w:spacing w:val="-2"/>
              </w:rPr>
              <w:t>95.73</w:t>
            </w:r>
          </w:p>
        </w:tc>
        <w:tc>
          <w:tcPr>
            <w:tcW w:w="1289" w:type="dxa"/>
            <w:vAlign w:val="top"/>
          </w:tcPr>
          <w:p>
            <w:pPr>
              <w:ind w:right="3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95.73</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7"/>
              <w:spacing w:before="13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68" w:type="dxa"/>
            <w:vAlign w:val="top"/>
          </w:tcPr>
          <w:p>
            <w:pPr>
              <w:ind w:right="3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289" w:type="dxa"/>
            <w:vAlign w:val="top"/>
          </w:tcPr>
          <w:p>
            <w:pPr>
              <w:ind w:right="29"/>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6"/>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68" w:type="dxa"/>
            <w:vAlign w:val="top"/>
          </w:tcPr>
          <w:p>
            <w:pPr>
              <w:ind w:right="3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289" w:type="dxa"/>
            <w:vAlign w:val="top"/>
          </w:tcPr>
          <w:p>
            <w:pPr>
              <w:ind w:right="29"/>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52" w:type="dxa"/>
            <w:vAlign w:val="top"/>
          </w:tcPr>
          <w:p>
            <w:pPr>
              <w:ind w:left="7"/>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68" w:type="dxa"/>
            <w:vAlign w:val="top"/>
          </w:tcPr>
          <w:p>
            <w:pPr>
              <w:ind w:right="3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289" w:type="dxa"/>
            <w:vAlign w:val="top"/>
          </w:tcPr>
          <w:p>
            <w:pPr>
              <w:ind w:right="29"/>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39.24</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4" w:hRule="atLeast"/>
        </w:trPr>
        <w:tc>
          <w:tcPr>
            <w:tcW w:w="1416"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6"/>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68" w:type="dxa"/>
            <w:vAlign w:val="top"/>
          </w:tcPr>
          <w:p>
            <w:pPr>
              <w:ind w:right="3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289" w:type="dxa"/>
            <w:vAlign w:val="top"/>
          </w:tcPr>
          <w:p>
            <w:pPr>
              <w:ind w:right="29"/>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6"/>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6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289"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6"/>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6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289"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75.45</w:t>
            </w:r>
          </w:p>
        </w:tc>
        <w:tc>
          <w:tcPr>
            <w:tcW w:w="1303"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6"/>
          <w:footerReference w:type="default" r:id="rId7"/>
          <w:pgSz w:w="16840" w:h="1190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44"/>
        <w:gridCol w:w="3272"/>
        <w:gridCol w:w="1469"/>
        <w:gridCol w:w="1328"/>
        <w:gridCol w:w="1345"/>
      </w:tblGrid>
      <w:tr>
        <w:trPr>
          <w:trHeight w:val="319" w:hRule="atLeast"/>
        </w:trPr>
        <w:tc>
          <w:tcPr>
            <w:tcW w:w="174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85"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16" w:type="dxa"/>
            <w:vAlign w:val="top"/>
            <w:gridSpan w:val="2"/>
          </w:tcPr>
          <w:p>
            <w:pPr>
              <w:ind w:left="2333"/>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42" w:type="dxa"/>
            <w:vAlign w:val="top"/>
            <w:gridSpan w:val="3"/>
          </w:tcPr>
          <w:p>
            <w:pPr>
              <w:ind w:left="157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44" w:type="dxa"/>
            <w:vAlign w:val="top"/>
          </w:tcPr>
          <w:p>
            <w:pPr>
              <w:ind w:left="53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72" w:type="dxa"/>
            <w:vAlign w:val="top"/>
          </w:tcPr>
          <w:p>
            <w:pPr>
              <w:ind w:left="129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69" w:type="dxa"/>
            <w:vAlign w:val="top"/>
          </w:tcPr>
          <w:p>
            <w:pPr>
              <w:ind w:left="5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32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9"/>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16" w:type="dxa"/>
            <w:vAlign w:val="top"/>
            <w:gridSpan w:val="2"/>
          </w:tcPr>
          <w:p>
            <w:pPr>
              <w:ind w:left="2335"/>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69" w:type="dxa"/>
            <w:vAlign w:val="top"/>
          </w:tcPr>
          <w:p>
            <w:pPr>
              <w:pStyle w:val="TableText"/>
              <w:ind w:left="884"/>
              <w:spacing w:before="98" w:line="162" w:lineRule="auto"/>
              <w:rPr>
                <w:sz w:val="15"/>
                <w:szCs w:val="15"/>
              </w:rPr>
            </w:pPr>
            <w:r>
              <w:rPr>
                <w:sz w:val="15"/>
                <w:szCs w:val="15"/>
                <w:color w:val="212529"/>
              </w:rPr>
              <w:t>1109.60</w:t>
            </w:r>
          </w:p>
        </w:tc>
        <w:tc>
          <w:tcPr>
            <w:tcW w:w="1328" w:type="dxa"/>
            <w:vAlign w:val="top"/>
          </w:tcPr>
          <w:p>
            <w:pPr>
              <w:pStyle w:val="TableText"/>
              <w:ind w:left="823"/>
              <w:spacing w:before="99" w:line="172" w:lineRule="auto"/>
              <w:rPr>
                <w:sz w:val="14"/>
                <w:szCs w:val="14"/>
              </w:rPr>
            </w:pPr>
            <w:r>
              <w:rPr>
                <w:sz w:val="14"/>
                <w:szCs w:val="14"/>
                <w:color w:val="212529"/>
              </w:rPr>
              <w:t>993.</w:t>
            </w:r>
            <w:r>
              <w:rPr>
                <w:sz w:val="14"/>
                <w:szCs w:val="14"/>
                <w:color w:val="212529"/>
                <w:spacing w:val="7"/>
              </w:rPr>
              <w:t xml:space="preserve"> </w:t>
            </w:r>
            <w:r>
              <w:rPr>
                <w:sz w:val="14"/>
                <w:szCs w:val="14"/>
                <w:color w:val="212529"/>
              </w:rPr>
              <w:t>38</w:t>
            </w:r>
          </w:p>
        </w:tc>
        <w:tc>
          <w:tcPr>
            <w:tcW w:w="1345" w:type="dxa"/>
            <w:vAlign w:val="top"/>
          </w:tcPr>
          <w:p>
            <w:pPr>
              <w:pStyle w:val="TableText"/>
              <w:ind w:left="844"/>
              <w:spacing w:before="99" w:line="186" w:lineRule="auto"/>
              <w:rPr>
                <w:sz w:val="13"/>
                <w:szCs w:val="13"/>
              </w:rPr>
            </w:pPr>
            <w:r>
              <w:rPr>
                <w:sz w:val="13"/>
                <w:szCs w:val="13"/>
                <w:color w:val="212529"/>
                <w:spacing w:val="2"/>
              </w:rPr>
              <w:t>116.</w:t>
            </w:r>
            <w:r>
              <w:rPr>
                <w:sz w:val="13"/>
                <w:szCs w:val="13"/>
                <w:color w:val="212529"/>
                <w:spacing w:val="17"/>
              </w:rPr>
              <w:t xml:space="preserve"> </w:t>
            </w:r>
            <w:r>
              <w:rPr>
                <w:sz w:val="13"/>
                <w:szCs w:val="13"/>
                <w:color w:val="212529"/>
                <w:spacing w:val="2"/>
              </w:rPr>
              <w:t>22</w:t>
            </w:r>
          </w:p>
        </w:tc>
      </w:tr>
      <w:tr>
        <w:trPr>
          <w:trHeight w:val="314" w:hRule="atLeast"/>
        </w:trPr>
        <w:tc>
          <w:tcPr>
            <w:tcW w:w="1744"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272" w:type="dxa"/>
            <w:vAlign w:val="top"/>
          </w:tcPr>
          <w:p>
            <w:pPr>
              <w:ind w:left="8"/>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899.18</w:t>
            </w:r>
          </w:p>
        </w:tc>
        <w:tc>
          <w:tcPr>
            <w:tcW w:w="1328" w:type="dxa"/>
            <w:vAlign w:val="top"/>
          </w:tcPr>
          <w:p>
            <w:pPr>
              <w:pStyle w:val="TableText"/>
              <w:ind w:left="825"/>
              <w:spacing w:before="100" w:line="172" w:lineRule="auto"/>
              <w:rPr>
                <w:sz w:val="14"/>
                <w:szCs w:val="14"/>
              </w:rPr>
            </w:pPr>
            <w:r>
              <w:rPr>
                <w:sz w:val="14"/>
                <w:szCs w:val="14"/>
                <w:color w:val="212529"/>
              </w:rPr>
              <w:t>782.</w:t>
            </w:r>
            <w:r>
              <w:rPr>
                <w:sz w:val="14"/>
                <w:szCs w:val="14"/>
                <w:color w:val="212529"/>
                <w:spacing w:val="6"/>
              </w:rPr>
              <w:t xml:space="preserve"> </w:t>
            </w:r>
            <w:r>
              <w:rPr>
                <w:sz w:val="14"/>
                <w:szCs w:val="14"/>
                <w:color w:val="212529"/>
              </w:rPr>
              <w:t>96</w:t>
            </w:r>
          </w:p>
        </w:tc>
        <w:tc>
          <w:tcPr>
            <w:tcW w:w="1345" w:type="dxa"/>
            <w:vAlign w:val="top"/>
          </w:tcPr>
          <w:p>
            <w:pPr>
              <w:pStyle w:val="TableText"/>
              <w:ind w:left="844"/>
              <w:spacing w:before="99" w:line="187" w:lineRule="auto"/>
              <w:rPr>
                <w:sz w:val="13"/>
                <w:szCs w:val="13"/>
              </w:rPr>
            </w:pPr>
            <w:r>
              <w:rPr>
                <w:sz w:val="13"/>
                <w:szCs w:val="13"/>
                <w:color w:val="212529"/>
                <w:spacing w:val="2"/>
              </w:rPr>
              <w:t>116.</w:t>
            </w:r>
            <w:r>
              <w:rPr>
                <w:sz w:val="13"/>
                <w:szCs w:val="13"/>
                <w:color w:val="212529"/>
                <w:spacing w:val="17"/>
              </w:rPr>
              <w:t xml:space="preserve"> </w:t>
            </w:r>
            <w:r>
              <w:rPr>
                <w:sz w:val="13"/>
                <w:szCs w:val="13"/>
                <w:color w:val="212529"/>
                <w:spacing w:val="2"/>
              </w:rPr>
              <w:t>22</w:t>
            </w:r>
          </w:p>
        </w:tc>
      </w:tr>
      <w:tr>
        <w:trPr>
          <w:trHeight w:val="313" w:hRule="atLeast"/>
        </w:trPr>
        <w:tc>
          <w:tcPr>
            <w:tcW w:w="1744"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272"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899.18</w:t>
            </w:r>
          </w:p>
        </w:tc>
        <w:tc>
          <w:tcPr>
            <w:tcW w:w="1328" w:type="dxa"/>
            <w:vAlign w:val="top"/>
          </w:tcPr>
          <w:p>
            <w:pPr>
              <w:pStyle w:val="TableText"/>
              <w:ind w:left="825"/>
              <w:spacing w:before="100" w:line="172" w:lineRule="auto"/>
              <w:rPr>
                <w:sz w:val="14"/>
                <w:szCs w:val="14"/>
              </w:rPr>
            </w:pPr>
            <w:r>
              <w:rPr>
                <w:sz w:val="14"/>
                <w:szCs w:val="14"/>
                <w:color w:val="212529"/>
              </w:rPr>
              <w:t>782.</w:t>
            </w:r>
            <w:r>
              <w:rPr>
                <w:sz w:val="14"/>
                <w:szCs w:val="14"/>
                <w:color w:val="212529"/>
                <w:spacing w:val="6"/>
              </w:rPr>
              <w:t xml:space="preserve"> </w:t>
            </w:r>
            <w:r>
              <w:rPr>
                <w:sz w:val="14"/>
                <w:szCs w:val="14"/>
                <w:color w:val="212529"/>
              </w:rPr>
              <w:t>96</w:t>
            </w:r>
          </w:p>
        </w:tc>
        <w:tc>
          <w:tcPr>
            <w:tcW w:w="1345" w:type="dxa"/>
            <w:vAlign w:val="top"/>
          </w:tcPr>
          <w:p>
            <w:pPr>
              <w:pStyle w:val="TableText"/>
              <w:ind w:left="844"/>
              <w:spacing w:before="99" w:line="186" w:lineRule="auto"/>
              <w:rPr>
                <w:sz w:val="13"/>
                <w:szCs w:val="13"/>
              </w:rPr>
            </w:pPr>
            <w:r>
              <w:rPr>
                <w:sz w:val="13"/>
                <w:szCs w:val="13"/>
                <w:color w:val="212529"/>
                <w:spacing w:val="2"/>
              </w:rPr>
              <w:t>116.</w:t>
            </w:r>
            <w:r>
              <w:rPr>
                <w:sz w:val="13"/>
                <w:szCs w:val="13"/>
                <w:color w:val="212529"/>
                <w:spacing w:val="17"/>
              </w:rPr>
              <w:t xml:space="preserve"> </w:t>
            </w:r>
            <w:r>
              <w:rPr>
                <w:sz w:val="13"/>
                <w:szCs w:val="13"/>
                <w:color w:val="212529"/>
                <w:spacing w:val="2"/>
              </w:rPr>
              <w:t>22</w:t>
            </w:r>
          </w:p>
        </w:tc>
      </w:tr>
      <w:tr>
        <w:trPr>
          <w:trHeight w:val="314" w:hRule="atLeast"/>
        </w:trPr>
        <w:tc>
          <w:tcPr>
            <w:tcW w:w="1744"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2050202</w:t>
            </w:r>
          </w:p>
        </w:tc>
        <w:tc>
          <w:tcPr>
            <w:tcW w:w="3272" w:type="dxa"/>
            <w:vAlign w:val="top"/>
          </w:tcPr>
          <w:p>
            <w:pPr>
              <w:ind w:left="11"/>
              <w:spacing w:before="82"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899.18</w:t>
            </w:r>
          </w:p>
        </w:tc>
        <w:tc>
          <w:tcPr>
            <w:tcW w:w="1328" w:type="dxa"/>
            <w:vAlign w:val="top"/>
          </w:tcPr>
          <w:p>
            <w:pPr>
              <w:ind w:right="1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782.96</w:t>
            </w:r>
          </w:p>
        </w:tc>
        <w:tc>
          <w:tcPr>
            <w:tcW w:w="134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116.22</w:t>
            </w:r>
          </w:p>
        </w:tc>
      </w:tr>
      <w:tr>
        <w:trPr>
          <w:trHeight w:val="314" w:hRule="atLeast"/>
        </w:trPr>
        <w:tc>
          <w:tcPr>
            <w:tcW w:w="1744"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72" w:type="dxa"/>
            <w:vAlign w:val="top"/>
          </w:tcPr>
          <w:p>
            <w:pPr>
              <w:ind w:left="8"/>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28" w:type="dxa"/>
            <w:vAlign w:val="top"/>
          </w:tcPr>
          <w:p>
            <w:pPr>
              <w:pStyle w:val="TableText"/>
              <w:ind w:left="904"/>
              <w:spacing w:before="101" w:line="186" w:lineRule="auto"/>
              <w:rPr>
                <w:sz w:val="13"/>
                <w:szCs w:val="13"/>
              </w:rPr>
            </w:pPr>
            <w:r>
              <w:rPr>
                <w:sz w:val="13"/>
                <w:szCs w:val="13"/>
                <w:color w:val="212529"/>
                <w:spacing w:val="4"/>
              </w:rPr>
              <w:t>95.</w:t>
            </w:r>
            <w:r>
              <w:rPr>
                <w:sz w:val="13"/>
                <w:szCs w:val="13"/>
                <w:color w:val="212529"/>
                <w:spacing w:val="11"/>
              </w:rPr>
              <w:t xml:space="preserve"> </w:t>
            </w:r>
            <w:r>
              <w:rPr>
                <w:sz w:val="13"/>
                <w:szCs w:val="13"/>
                <w:color w:val="212529"/>
                <w:spacing w:val="4"/>
              </w:rPr>
              <w:t>73</w:t>
            </w:r>
          </w:p>
        </w:tc>
        <w:tc>
          <w:tcPr>
            <w:tcW w:w="1345" w:type="dxa"/>
            <w:vAlign w:val="top"/>
          </w:tcPr>
          <w:p>
            <w:pPr>
              <w:pStyle w:val="TableText"/>
              <w:rPr/>
            </w:pPr>
            <w:r/>
          </w:p>
        </w:tc>
      </w:tr>
      <w:tr>
        <w:trPr>
          <w:trHeight w:val="314" w:hRule="atLeast"/>
        </w:trPr>
        <w:tc>
          <w:tcPr>
            <w:tcW w:w="1744"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72"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28" w:type="dxa"/>
            <w:vAlign w:val="top"/>
          </w:tcPr>
          <w:p>
            <w:pPr>
              <w:pStyle w:val="TableText"/>
              <w:ind w:left="904"/>
              <w:spacing w:before="102" w:line="186" w:lineRule="auto"/>
              <w:rPr>
                <w:sz w:val="13"/>
                <w:szCs w:val="13"/>
              </w:rPr>
            </w:pPr>
            <w:r>
              <w:rPr>
                <w:sz w:val="13"/>
                <w:szCs w:val="13"/>
                <w:color w:val="212529"/>
                <w:spacing w:val="4"/>
              </w:rPr>
              <w:t>95.</w:t>
            </w:r>
            <w:r>
              <w:rPr>
                <w:sz w:val="13"/>
                <w:szCs w:val="13"/>
                <w:color w:val="212529"/>
                <w:spacing w:val="11"/>
              </w:rPr>
              <w:t xml:space="preserve"> </w:t>
            </w:r>
            <w:r>
              <w:rPr>
                <w:sz w:val="13"/>
                <w:szCs w:val="13"/>
                <w:color w:val="212529"/>
                <w:spacing w:val="4"/>
              </w:rPr>
              <w:t>73</w:t>
            </w:r>
          </w:p>
        </w:tc>
        <w:tc>
          <w:tcPr>
            <w:tcW w:w="1345" w:type="dxa"/>
            <w:vAlign w:val="top"/>
          </w:tcPr>
          <w:p>
            <w:pPr>
              <w:pStyle w:val="TableText"/>
              <w:rPr/>
            </w:pPr>
            <w:r/>
          </w:p>
        </w:tc>
      </w:tr>
      <w:tr>
        <w:trPr>
          <w:trHeight w:val="314" w:hRule="atLeast"/>
        </w:trPr>
        <w:tc>
          <w:tcPr>
            <w:tcW w:w="1744"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72" w:type="dxa"/>
            <w:vAlign w:val="top"/>
          </w:tcPr>
          <w:p>
            <w:pPr>
              <w:ind w:left="6"/>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69"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28"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45" w:type="dxa"/>
            <w:vAlign w:val="top"/>
          </w:tcPr>
          <w:p>
            <w:pPr>
              <w:pStyle w:val="TableText"/>
              <w:rPr/>
            </w:pPr>
            <w:r/>
          </w:p>
        </w:tc>
      </w:tr>
      <w:tr>
        <w:trPr>
          <w:trHeight w:val="314" w:hRule="atLeast"/>
        </w:trPr>
        <w:tc>
          <w:tcPr>
            <w:tcW w:w="1744"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72"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69"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28" w:type="dxa"/>
            <w:vAlign w:val="top"/>
          </w:tcPr>
          <w:p>
            <w:pPr>
              <w:pStyle w:val="TableText"/>
              <w:ind w:right="15"/>
              <w:spacing w:before="102" w:line="186" w:lineRule="auto"/>
              <w:jc w:val="right"/>
              <w:rPr>
                <w:sz w:val="13"/>
                <w:szCs w:val="13"/>
              </w:rPr>
            </w:pPr>
            <w:r>
              <w:rPr>
                <w:sz w:val="13"/>
                <w:szCs w:val="13"/>
                <w:color w:val="212529"/>
                <w:spacing w:val="4"/>
              </w:rPr>
              <w:t>39.</w:t>
            </w:r>
            <w:r>
              <w:rPr>
                <w:sz w:val="13"/>
                <w:szCs w:val="13"/>
                <w:color w:val="212529"/>
                <w:spacing w:val="12"/>
                <w:w w:val="102"/>
              </w:rPr>
              <w:t xml:space="preserve"> </w:t>
            </w:r>
            <w:r>
              <w:rPr>
                <w:sz w:val="13"/>
                <w:szCs w:val="13"/>
                <w:color w:val="212529"/>
                <w:spacing w:val="4"/>
              </w:rPr>
              <w:t>24</w:t>
            </w:r>
          </w:p>
        </w:tc>
        <w:tc>
          <w:tcPr>
            <w:tcW w:w="1345" w:type="dxa"/>
            <w:vAlign w:val="top"/>
          </w:tcPr>
          <w:p>
            <w:pPr>
              <w:pStyle w:val="TableText"/>
              <w:rPr/>
            </w:pPr>
            <w:r/>
          </w:p>
        </w:tc>
      </w:tr>
      <w:tr>
        <w:trPr>
          <w:trHeight w:val="314" w:hRule="atLeast"/>
        </w:trPr>
        <w:tc>
          <w:tcPr>
            <w:tcW w:w="1744"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72" w:type="dxa"/>
            <w:vAlign w:val="top"/>
          </w:tcPr>
          <w:p>
            <w:pPr>
              <w:ind w:left="7"/>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69" w:type="dxa"/>
            <w:vAlign w:val="top"/>
          </w:tcPr>
          <w:p>
            <w:pPr>
              <w:ind w:right="26"/>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28" w:type="dxa"/>
            <w:vAlign w:val="top"/>
          </w:tcPr>
          <w:p>
            <w:pPr>
              <w:pStyle w:val="TableText"/>
              <w:ind w:right="15"/>
              <w:spacing w:before="103" w:line="186" w:lineRule="auto"/>
              <w:jc w:val="right"/>
              <w:rPr>
                <w:sz w:val="13"/>
                <w:szCs w:val="13"/>
              </w:rPr>
            </w:pPr>
            <w:r>
              <w:rPr>
                <w:sz w:val="13"/>
                <w:szCs w:val="13"/>
                <w:color w:val="212529"/>
                <w:spacing w:val="4"/>
              </w:rPr>
              <w:t>39.</w:t>
            </w:r>
            <w:r>
              <w:rPr>
                <w:sz w:val="13"/>
                <w:szCs w:val="13"/>
                <w:color w:val="212529"/>
                <w:spacing w:val="12"/>
                <w:w w:val="102"/>
              </w:rPr>
              <w:t xml:space="preserve"> </w:t>
            </w:r>
            <w:r>
              <w:rPr>
                <w:sz w:val="13"/>
                <w:szCs w:val="13"/>
                <w:color w:val="212529"/>
                <w:spacing w:val="4"/>
              </w:rPr>
              <w:t>24</w:t>
            </w:r>
          </w:p>
        </w:tc>
        <w:tc>
          <w:tcPr>
            <w:tcW w:w="1345" w:type="dxa"/>
            <w:vAlign w:val="top"/>
          </w:tcPr>
          <w:p>
            <w:pPr>
              <w:pStyle w:val="TableText"/>
              <w:rPr/>
            </w:pPr>
            <w:r/>
          </w:p>
        </w:tc>
      </w:tr>
      <w:tr>
        <w:trPr>
          <w:trHeight w:val="314" w:hRule="atLeast"/>
        </w:trPr>
        <w:tc>
          <w:tcPr>
            <w:tcW w:w="1744"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72" w:type="dxa"/>
            <w:vAlign w:val="top"/>
          </w:tcPr>
          <w:p>
            <w:pPr>
              <w:ind w:left="8"/>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69"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28"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45" w:type="dxa"/>
            <w:vAlign w:val="top"/>
          </w:tcPr>
          <w:p>
            <w:pPr>
              <w:pStyle w:val="TableText"/>
              <w:rPr/>
            </w:pPr>
            <w:r/>
          </w:p>
        </w:tc>
      </w:tr>
      <w:tr>
        <w:trPr>
          <w:trHeight w:val="314" w:hRule="atLeast"/>
        </w:trPr>
        <w:tc>
          <w:tcPr>
            <w:tcW w:w="1744"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72" w:type="dxa"/>
            <w:vAlign w:val="top"/>
          </w:tcPr>
          <w:p>
            <w:pPr>
              <w:ind w:left="7"/>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69"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28" w:type="dxa"/>
            <w:vAlign w:val="top"/>
          </w:tcPr>
          <w:p>
            <w:pPr>
              <w:pStyle w:val="TableText"/>
              <w:ind w:left="906"/>
              <w:spacing w:before="103" w:line="186" w:lineRule="auto"/>
              <w:rPr>
                <w:sz w:val="13"/>
                <w:szCs w:val="13"/>
              </w:rPr>
            </w:pPr>
            <w:r>
              <w:rPr>
                <w:sz w:val="13"/>
                <w:szCs w:val="13"/>
                <w:color w:val="212529"/>
                <w:spacing w:val="4"/>
              </w:rPr>
              <w:t>75.</w:t>
            </w:r>
            <w:r>
              <w:rPr>
                <w:sz w:val="13"/>
                <w:szCs w:val="13"/>
                <w:color w:val="212529"/>
                <w:spacing w:val="9"/>
              </w:rPr>
              <w:t xml:space="preserve"> </w:t>
            </w:r>
            <w:r>
              <w:rPr>
                <w:sz w:val="13"/>
                <w:szCs w:val="13"/>
                <w:color w:val="212529"/>
                <w:spacing w:val="4"/>
              </w:rPr>
              <w:t>45</w:t>
            </w:r>
          </w:p>
        </w:tc>
        <w:tc>
          <w:tcPr>
            <w:tcW w:w="1345" w:type="dxa"/>
            <w:vAlign w:val="top"/>
          </w:tcPr>
          <w:p>
            <w:pPr>
              <w:pStyle w:val="TableText"/>
              <w:rPr/>
            </w:pPr>
            <w:r/>
          </w:p>
        </w:tc>
      </w:tr>
      <w:tr>
        <w:trPr>
          <w:trHeight w:val="314" w:hRule="atLeast"/>
        </w:trPr>
        <w:tc>
          <w:tcPr>
            <w:tcW w:w="1744"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72"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69" w:type="dxa"/>
            <w:vAlign w:val="top"/>
          </w:tcPr>
          <w:p>
            <w:pPr>
              <w:ind w:right="26"/>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28" w:type="dxa"/>
            <w:vAlign w:val="top"/>
          </w:tcPr>
          <w:p>
            <w:pPr>
              <w:pStyle w:val="TableText"/>
              <w:ind w:left="906"/>
              <w:spacing w:before="104" w:line="186" w:lineRule="auto"/>
              <w:rPr>
                <w:sz w:val="13"/>
                <w:szCs w:val="13"/>
              </w:rPr>
            </w:pPr>
            <w:r>
              <w:rPr>
                <w:sz w:val="13"/>
                <w:szCs w:val="13"/>
                <w:color w:val="212529"/>
                <w:spacing w:val="4"/>
              </w:rPr>
              <w:t>75.</w:t>
            </w:r>
            <w:r>
              <w:rPr>
                <w:sz w:val="13"/>
                <w:szCs w:val="13"/>
                <w:color w:val="212529"/>
                <w:spacing w:val="9"/>
              </w:rPr>
              <w:t xml:space="preserve"> </w:t>
            </w:r>
            <w:r>
              <w:rPr>
                <w:sz w:val="13"/>
                <w:szCs w:val="13"/>
                <w:color w:val="212529"/>
                <w:spacing w:val="4"/>
              </w:rPr>
              <w:t>45</w:t>
            </w:r>
          </w:p>
        </w:tc>
        <w:tc>
          <w:tcPr>
            <w:tcW w:w="1345" w:type="dxa"/>
            <w:vAlign w:val="top"/>
          </w:tcPr>
          <w:p>
            <w:pPr>
              <w:pStyle w:val="TableText"/>
              <w:rPr/>
            </w:pPr>
            <w:r/>
          </w:p>
        </w:tc>
      </w:tr>
      <w:tr>
        <w:trPr>
          <w:trHeight w:val="319" w:hRule="atLeast"/>
        </w:trPr>
        <w:tc>
          <w:tcPr>
            <w:tcW w:w="1744"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72" w:type="dxa"/>
            <w:vAlign w:val="top"/>
          </w:tcPr>
          <w:p>
            <w:pPr>
              <w:ind w:left="7"/>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69"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28"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45" w:type="dxa"/>
            <w:vAlign w:val="top"/>
          </w:tcPr>
          <w:p>
            <w:pPr>
              <w:pStyle w:val="TableText"/>
              <w:rPr/>
            </w:pPr>
            <w:r/>
          </w:p>
        </w:tc>
      </w:tr>
    </w:tbl>
    <w:p>
      <w:pPr>
        <w:rPr>
          <w:rFonts w:ascii="Arial"/>
          <w:sz w:val="21"/>
        </w:rPr>
      </w:pPr>
      <w:r/>
    </w:p>
    <w:p>
      <w:pPr>
        <w:sectPr>
          <w:headerReference w:type="default" r:id="rId2"/>
          <w:footerReference w:type="default" r:id="rId8"/>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286" w:right="56"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042" w:type="dxa"/>
            <w:vAlign w:val="top"/>
          </w:tcPr>
          <w:p>
            <w:pPr>
              <w:ind w:left="344" w:right="43"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1109.58</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ind w:right="25"/>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899.18</w:t>
            </w:r>
          </w:p>
        </w:tc>
        <w:tc>
          <w:tcPr>
            <w:tcW w:w="1123" w:type="dxa"/>
            <w:vAlign w:val="top"/>
          </w:tcPr>
          <w:p>
            <w:pPr>
              <w:ind w:right="1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899.18</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right="172"/>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68"/>
              <w:spacing w:before="137" w:line="162" w:lineRule="auto"/>
              <w:rPr>
                <w:sz w:val="15"/>
                <w:szCs w:val="15"/>
              </w:rPr>
            </w:pPr>
            <w:r>
              <w:rPr>
                <w:sz w:val="15"/>
                <w:szCs w:val="15"/>
                <w:color w:val="212529"/>
              </w:rPr>
              <w:t>1109.58</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74"/>
              <w:spacing w:before="137" w:line="162" w:lineRule="auto"/>
              <w:rPr>
                <w:sz w:val="15"/>
                <w:szCs w:val="15"/>
              </w:rPr>
            </w:pPr>
            <w:r>
              <w:rPr>
                <w:sz w:val="15"/>
                <w:szCs w:val="15"/>
                <w:color w:val="212529"/>
              </w:rPr>
              <w:t>1109.60</w:t>
            </w:r>
          </w:p>
        </w:tc>
        <w:tc>
          <w:tcPr>
            <w:tcW w:w="1123" w:type="dxa"/>
            <w:vAlign w:val="top"/>
          </w:tcPr>
          <w:p>
            <w:pPr>
              <w:pStyle w:val="TableText"/>
              <w:ind w:left="282"/>
              <w:spacing w:before="137" w:line="162" w:lineRule="auto"/>
              <w:rPr>
                <w:sz w:val="15"/>
                <w:szCs w:val="15"/>
              </w:rPr>
            </w:pPr>
            <w:r>
              <w:rPr>
                <w:sz w:val="15"/>
                <w:szCs w:val="15"/>
                <w:color w:val="212529"/>
              </w:rPr>
              <w:t>1109.60</w:t>
            </w:r>
          </w:p>
        </w:tc>
        <w:tc>
          <w:tcPr>
            <w:tcW w:w="918" w:type="dxa"/>
            <w:vAlign w:val="top"/>
          </w:tcPr>
          <w:p>
            <w:pPr>
              <w:pStyle w:val="TableText"/>
              <w:rPr/>
            </w:pPr>
            <w:r/>
          </w:p>
        </w:tc>
        <w:tc>
          <w:tcPr>
            <w:tcW w:w="1042" w:type="dxa"/>
            <w:vAlign w:val="top"/>
          </w:tcPr>
          <w:p>
            <w:pPr>
              <w:pStyle w:val="TableText"/>
              <w:rPr/>
            </w:pPr>
            <w:r/>
          </w:p>
        </w:tc>
      </w:tr>
    </w:tbl>
    <w:p>
      <w:pPr>
        <w:rPr>
          <w:rFonts w:ascii="Arial"/>
          <w:sz w:val="21"/>
        </w:rPr>
      </w:pPr>
      <w:r/>
    </w:p>
    <w:p>
      <w:pPr>
        <w:sectPr>
          <w:footerReference w:type="default" r:id="rId9"/>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10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68"/>
              <w:spacing w:before="135" w:line="162" w:lineRule="auto"/>
              <w:rPr>
                <w:sz w:val="15"/>
                <w:szCs w:val="15"/>
              </w:rPr>
            </w:pPr>
            <w:r>
              <w:rPr>
                <w:sz w:val="15"/>
                <w:szCs w:val="15"/>
                <w:color w:val="212529"/>
              </w:rPr>
              <w:t>1109.60</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74"/>
              <w:spacing w:before="135" w:line="162" w:lineRule="auto"/>
              <w:rPr>
                <w:sz w:val="15"/>
                <w:szCs w:val="15"/>
              </w:rPr>
            </w:pPr>
            <w:r>
              <w:rPr>
                <w:sz w:val="15"/>
                <w:szCs w:val="15"/>
                <w:color w:val="212529"/>
              </w:rPr>
              <w:t>1109.60</w:t>
            </w:r>
          </w:p>
        </w:tc>
        <w:tc>
          <w:tcPr>
            <w:tcW w:w="1123" w:type="dxa"/>
            <w:vAlign w:val="top"/>
          </w:tcPr>
          <w:p>
            <w:pPr>
              <w:pStyle w:val="TableText"/>
              <w:ind w:left="282"/>
              <w:spacing w:before="135" w:line="162" w:lineRule="auto"/>
              <w:rPr>
                <w:sz w:val="15"/>
                <w:szCs w:val="15"/>
              </w:rPr>
            </w:pPr>
            <w:r>
              <w:rPr>
                <w:sz w:val="15"/>
                <w:szCs w:val="15"/>
                <w:color w:val="212529"/>
              </w:rPr>
              <w:t>1109.60</w:t>
            </w:r>
          </w:p>
        </w:tc>
        <w:tc>
          <w:tcPr>
            <w:tcW w:w="918" w:type="dxa"/>
            <w:vAlign w:val="top"/>
          </w:tcPr>
          <w:p>
            <w:pPr>
              <w:pStyle w:val="TableText"/>
              <w:rPr/>
            </w:pPr>
            <w:r/>
          </w:p>
        </w:tc>
        <w:tc>
          <w:tcPr>
            <w:tcW w:w="1042" w:type="dxa"/>
            <w:vAlign w:val="top"/>
          </w:tcPr>
          <w:p>
            <w:pPr>
              <w:pStyle w:val="TableText"/>
              <w:rPr/>
            </w:pPr>
            <w:r/>
          </w:p>
        </w:tc>
      </w:tr>
    </w:tbl>
    <w:p>
      <w:pPr>
        <w:rPr>
          <w:rFonts w:ascii="Arial"/>
          <w:sz w:val="21"/>
        </w:rPr>
      </w:pPr>
      <w:r/>
    </w:p>
    <w:p>
      <w:pPr>
        <w:sectPr>
          <w:footerReference w:type="default" r:id="rId10"/>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7"/>
        <w:gridCol w:w="3089"/>
        <w:gridCol w:w="1598"/>
        <w:gridCol w:w="1382"/>
        <w:gridCol w:w="1442"/>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16"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442" w:type="dxa"/>
            <w:vAlign w:val="top"/>
            <w:tcBorders>
              <w:top w:val="single" w:color="FFFFFF" w:sz="4" w:space="0"/>
              <w:left w:val="single" w:color="FFFFFF" w:sz="2" w:space="0"/>
              <w:right w:val="single" w:color="FFFFFF" w:sz="2" w:space="0"/>
            </w:tcBorders>
          </w:tcPr>
          <w:p>
            <w:pPr>
              <w:ind w:left="769"/>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36" w:type="dxa"/>
            <w:vAlign w:val="top"/>
            <w:gridSpan w:val="2"/>
          </w:tcPr>
          <w:p>
            <w:pPr>
              <w:ind w:left="219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22" w:type="dxa"/>
            <w:vAlign w:val="top"/>
            <w:gridSpan w:val="3"/>
          </w:tcPr>
          <w:p>
            <w:pPr>
              <w:ind w:left="171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47" w:type="dxa"/>
            <w:vAlign w:val="top"/>
          </w:tcPr>
          <w:p>
            <w:pPr>
              <w:ind w:left="48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89" w:type="dxa"/>
            <w:vAlign w:val="top"/>
          </w:tcPr>
          <w:p>
            <w:pPr>
              <w:ind w:left="1205"/>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98" w:type="dxa"/>
            <w:vAlign w:val="top"/>
          </w:tcPr>
          <w:p>
            <w:pPr>
              <w:ind w:left="6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3"/>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42" w:type="dxa"/>
            <w:vAlign w:val="top"/>
          </w:tcPr>
          <w:p>
            <w:pPr>
              <w:ind w:left="38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36" w:type="dxa"/>
            <w:vAlign w:val="top"/>
            <w:gridSpan w:val="2"/>
          </w:tcPr>
          <w:p>
            <w:pPr>
              <w:ind w:left="2195"/>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98" w:type="dxa"/>
            <w:vAlign w:val="top"/>
          </w:tcPr>
          <w:p>
            <w:pPr>
              <w:pStyle w:val="TableText"/>
              <w:ind w:left="1012"/>
              <w:spacing w:before="86" w:line="162" w:lineRule="auto"/>
              <w:rPr>
                <w:sz w:val="15"/>
                <w:szCs w:val="15"/>
              </w:rPr>
            </w:pPr>
            <w:r>
              <w:rPr>
                <w:sz w:val="15"/>
                <w:szCs w:val="15"/>
                <w:color w:val="212529"/>
              </w:rPr>
              <w:t>1109.58</w:t>
            </w:r>
          </w:p>
        </w:tc>
        <w:tc>
          <w:tcPr>
            <w:tcW w:w="1382" w:type="dxa"/>
            <w:vAlign w:val="top"/>
          </w:tcPr>
          <w:p>
            <w:pPr>
              <w:pStyle w:val="TableText"/>
              <w:ind w:left="877"/>
              <w:spacing w:before="87" w:line="172" w:lineRule="auto"/>
              <w:rPr>
                <w:sz w:val="14"/>
                <w:szCs w:val="14"/>
              </w:rPr>
            </w:pPr>
            <w:r>
              <w:rPr>
                <w:sz w:val="14"/>
                <w:szCs w:val="14"/>
                <w:color w:val="212529"/>
                <w:spacing w:val="1"/>
              </w:rPr>
              <w:t>993.</w:t>
            </w:r>
            <w:r>
              <w:rPr>
                <w:sz w:val="14"/>
                <w:szCs w:val="14"/>
                <w:color w:val="212529"/>
                <w:spacing w:val="1"/>
              </w:rPr>
              <w:t xml:space="preserve"> </w:t>
            </w:r>
            <w:r>
              <w:rPr>
                <w:sz w:val="14"/>
                <w:szCs w:val="14"/>
                <w:color w:val="212529"/>
                <w:spacing w:val="1"/>
              </w:rPr>
              <w:t>38</w:t>
            </w:r>
          </w:p>
        </w:tc>
        <w:tc>
          <w:tcPr>
            <w:tcW w:w="1442" w:type="dxa"/>
            <w:vAlign w:val="top"/>
          </w:tcPr>
          <w:p>
            <w:pPr>
              <w:pStyle w:val="TableText"/>
              <w:ind w:left="941"/>
              <w:spacing w:before="87" w:line="186" w:lineRule="auto"/>
              <w:rPr>
                <w:sz w:val="13"/>
                <w:szCs w:val="13"/>
              </w:rPr>
            </w:pPr>
            <w:r>
              <w:rPr>
                <w:sz w:val="13"/>
                <w:szCs w:val="13"/>
                <w:color w:val="212529"/>
                <w:spacing w:val="2"/>
              </w:rPr>
              <w:t>116.</w:t>
            </w:r>
            <w:r>
              <w:rPr>
                <w:sz w:val="13"/>
                <w:szCs w:val="13"/>
                <w:color w:val="212529"/>
                <w:spacing w:val="18"/>
                <w:w w:val="101"/>
              </w:rPr>
              <w:t xml:space="preserve"> </w:t>
            </w:r>
            <w:r>
              <w:rPr>
                <w:sz w:val="13"/>
                <w:szCs w:val="13"/>
                <w:color w:val="212529"/>
                <w:spacing w:val="2"/>
              </w:rPr>
              <w:t>20</w:t>
            </w:r>
          </w:p>
        </w:tc>
      </w:tr>
      <w:tr>
        <w:trPr>
          <w:trHeight w:val="292" w:hRule="atLeast"/>
        </w:trPr>
        <w:tc>
          <w:tcPr>
            <w:tcW w:w="1647"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089" w:type="dxa"/>
            <w:vAlign w:val="top"/>
          </w:tcPr>
          <w:p>
            <w:pPr>
              <w:ind w:left="8"/>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98" w:type="dxa"/>
            <w:vAlign w:val="top"/>
          </w:tcPr>
          <w:p>
            <w:pPr>
              <w:ind w:right="2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899.15</w:t>
            </w:r>
          </w:p>
        </w:tc>
        <w:tc>
          <w:tcPr>
            <w:tcW w:w="1382"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782.96</w:t>
            </w:r>
          </w:p>
        </w:tc>
        <w:tc>
          <w:tcPr>
            <w:tcW w:w="1442"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116.20</w:t>
            </w:r>
          </w:p>
        </w:tc>
      </w:tr>
      <w:tr>
        <w:trPr>
          <w:trHeight w:val="292" w:hRule="atLeast"/>
        </w:trPr>
        <w:tc>
          <w:tcPr>
            <w:tcW w:w="1647"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089" w:type="dxa"/>
            <w:vAlign w:val="top"/>
          </w:tcPr>
          <w:p>
            <w:pPr>
              <w:ind w:left="5"/>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98" w:type="dxa"/>
            <w:vAlign w:val="top"/>
          </w:tcPr>
          <w:p>
            <w:pPr>
              <w:ind w:right="2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899.15</w:t>
            </w:r>
          </w:p>
        </w:tc>
        <w:tc>
          <w:tcPr>
            <w:tcW w:w="1382"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782.96</w:t>
            </w:r>
          </w:p>
        </w:tc>
        <w:tc>
          <w:tcPr>
            <w:tcW w:w="1442"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116.20</w:t>
            </w:r>
          </w:p>
        </w:tc>
      </w:tr>
      <w:tr>
        <w:trPr>
          <w:trHeight w:val="292" w:hRule="atLeast"/>
        </w:trPr>
        <w:tc>
          <w:tcPr>
            <w:tcW w:w="1647"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2050202</w:t>
            </w:r>
          </w:p>
        </w:tc>
        <w:tc>
          <w:tcPr>
            <w:tcW w:w="3089" w:type="dxa"/>
            <w:vAlign w:val="top"/>
          </w:tcPr>
          <w:p>
            <w:pPr>
              <w:ind w:left="11"/>
              <w:spacing w:before="70" w:line="229" w:lineRule="auto"/>
              <w:rPr>
                <w:rFonts w:ascii="SimSun" w:hAnsi="SimSun" w:eastAsia="SimSun" w:cs="SimSun"/>
                <w:sz w:val="15"/>
                <w:szCs w:val="15"/>
              </w:rPr>
            </w:pPr>
            <w:r>
              <w:rPr>
                <w:rFonts w:ascii="SimSun" w:hAnsi="SimSun" w:eastAsia="SimSun" w:cs="SimSun"/>
                <w:sz w:val="15"/>
                <w:szCs w:val="15"/>
                <w:color w:val="212529"/>
                <w:spacing w:val="8"/>
              </w:rPr>
              <w:t>小学教育</w:t>
            </w:r>
          </w:p>
        </w:tc>
        <w:tc>
          <w:tcPr>
            <w:tcW w:w="1598" w:type="dxa"/>
            <w:vAlign w:val="top"/>
          </w:tcPr>
          <w:p>
            <w:pPr>
              <w:ind w:right="2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899.15</w:t>
            </w:r>
          </w:p>
        </w:tc>
        <w:tc>
          <w:tcPr>
            <w:tcW w:w="1382"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782.96</w:t>
            </w:r>
          </w:p>
        </w:tc>
        <w:tc>
          <w:tcPr>
            <w:tcW w:w="1442"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116.20</w:t>
            </w:r>
          </w:p>
        </w:tc>
      </w:tr>
      <w:tr>
        <w:trPr>
          <w:trHeight w:val="292" w:hRule="atLeast"/>
        </w:trPr>
        <w:tc>
          <w:tcPr>
            <w:tcW w:w="1647"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89" w:type="dxa"/>
            <w:vAlign w:val="top"/>
          </w:tcPr>
          <w:p>
            <w:pPr>
              <w:ind w:left="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98" w:type="dxa"/>
            <w:vAlign w:val="top"/>
          </w:tcPr>
          <w:p>
            <w:pPr>
              <w:ind w:right="2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82"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442" w:type="dxa"/>
            <w:vAlign w:val="top"/>
          </w:tcPr>
          <w:p>
            <w:pPr>
              <w:pStyle w:val="TableText"/>
              <w:rPr/>
            </w:pPr>
            <w:r/>
          </w:p>
        </w:tc>
      </w:tr>
      <w:tr>
        <w:trPr>
          <w:trHeight w:val="292" w:hRule="atLeast"/>
        </w:trPr>
        <w:tc>
          <w:tcPr>
            <w:tcW w:w="1647"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89"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98" w:type="dxa"/>
            <w:vAlign w:val="top"/>
          </w:tcPr>
          <w:p>
            <w:pPr>
              <w:ind w:right="2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82"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442" w:type="dxa"/>
            <w:vAlign w:val="top"/>
          </w:tcPr>
          <w:p>
            <w:pPr>
              <w:pStyle w:val="TableText"/>
              <w:rPr/>
            </w:pPr>
            <w:r/>
          </w:p>
        </w:tc>
      </w:tr>
      <w:tr>
        <w:trPr>
          <w:trHeight w:val="292" w:hRule="atLeast"/>
        </w:trPr>
        <w:tc>
          <w:tcPr>
            <w:tcW w:w="1647"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89" w:type="dxa"/>
            <w:vAlign w:val="top"/>
          </w:tcPr>
          <w:p>
            <w:pPr>
              <w:ind w:left="5"/>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98" w:type="dxa"/>
            <w:vAlign w:val="top"/>
          </w:tcPr>
          <w:p>
            <w:pPr>
              <w:ind w:right="2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382"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442" w:type="dxa"/>
            <w:vAlign w:val="top"/>
          </w:tcPr>
          <w:p>
            <w:pPr>
              <w:pStyle w:val="TableText"/>
              <w:rPr/>
            </w:pPr>
            <w:r/>
          </w:p>
        </w:tc>
      </w:tr>
      <w:tr>
        <w:trPr>
          <w:trHeight w:val="292" w:hRule="atLeast"/>
        </w:trPr>
        <w:tc>
          <w:tcPr>
            <w:tcW w:w="1647"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89" w:type="dxa"/>
            <w:vAlign w:val="top"/>
          </w:tcPr>
          <w:p>
            <w:pPr>
              <w:ind w:left="7"/>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98" w:type="dxa"/>
            <w:vAlign w:val="top"/>
          </w:tcPr>
          <w:p>
            <w:pPr>
              <w:ind w:right="2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82"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442" w:type="dxa"/>
            <w:vAlign w:val="top"/>
          </w:tcPr>
          <w:p>
            <w:pPr>
              <w:pStyle w:val="TableText"/>
              <w:rPr/>
            </w:pPr>
            <w:r/>
          </w:p>
        </w:tc>
      </w:tr>
      <w:tr>
        <w:trPr>
          <w:trHeight w:val="292" w:hRule="atLeast"/>
        </w:trPr>
        <w:tc>
          <w:tcPr>
            <w:tcW w:w="1647"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89" w:type="dxa"/>
            <w:vAlign w:val="top"/>
          </w:tcPr>
          <w:p>
            <w:pPr>
              <w:ind w:left="6"/>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98" w:type="dxa"/>
            <w:vAlign w:val="top"/>
          </w:tcPr>
          <w:p>
            <w:pPr>
              <w:ind w:right="2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82"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442" w:type="dxa"/>
            <w:vAlign w:val="top"/>
          </w:tcPr>
          <w:p>
            <w:pPr>
              <w:pStyle w:val="TableText"/>
              <w:rPr/>
            </w:pPr>
            <w:r/>
          </w:p>
        </w:tc>
      </w:tr>
      <w:tr>
        <w:trPr>
          <w:trHeight w:val="292"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89"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382"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39.24</w:t>
            </w:r>
          </w:p>
        </w:tc>
        <w:tc>
          <w:tcPr>
            <w:tcW w:w="1442" w:type="dxa"/>
            <w:vAlign w:val="top"/>
          </w:tcPr>
          <w:p>
            <w:pPr>
              <w:pStyle w:val="TableText"/>
              <w:rPr/>
            </w:pPr>
            <w:r/>
          </w:p>
        </w:tc>
      </w:tr>
      <w:tr>
        <w:trPr>
          <w:trHeight w:val="292" w:hRule="atLeast"/>
        </w:trPr>
        <w:tc>
          <w:tcPr>
            <w:tcW w:w="1647"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89"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82"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442" w:type="dxa"/>
            <w:vAlign w:val="top"/>
          </w:tcPr>
          <w:p>
            <w:pPr>
              <w:pStyle w:val="TableText"/>
              <w:rPr/>
            </w:pPr>
            <w:r/>
          </w:p>
        </w:tc>
      </w:tr>
      <w:tr>
        <w:trPr>
          <w:trHeight w:val="293" w:hRule="atLeast"/>
        </w:trPr>
        <w:tc>
          <w:tcPr>
            <w:tcW w:w="1647"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89" w:type="dxa"/>
            <w:vAlign w:val="top"/>
          </w:tcPr>
          <w:p>
            <w:pPr>
              <w:ind w:left="6"/>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98" w:type="dxa"/>
            <w:vAlign w:val="top"/>
          </w:tcPr>
          <w:p>
            <w:pPr>
              <w:ind w:right="2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82"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442" w:type="dxa"/>
            <w:vAlign w:val="top"/>
          </w:tcPr>
          <w:p>
            <w:pPr>
              <w:pStyle w:val="TableText"/>
              <w:rPr/>
            </w:pPr>
            <w:r/>
          </w:p>
        </w:tc>
      </w:tr>
      <w:tr>
        <w:trPr>
          <w:trHeight w:val="298" w:hRule="atLeast"/>
        </w:trPr>
        <w:tc>
          <w:tcPr>
            <w:tcW w:w="1647"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89" w:type="dxa"/>
            <w:vAlign w:val="top"/>
          </w:tcPr>
          <w:p>
            <w:pPr>
              <w:ind w:left="6"/>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382"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442" w:type="dxa"/>
            <w:vAlign w:val="top"/>
          </w:tcPr>
          <w:p>
            <w:pPr>
              <w:pStyle w:val="TableText"/>
              <w:rPr/>
            </w:pPr>
            <w:r/>
          </w:p>
        </w:tc>
      </w:tr>
    </w:tbl>
    <w:p>
      <w:pPr>
        <w:rPr>
          <w:rFonts w:ascii="Arial"/>
          <w:sz w:val="21"/>
        </w:rPr>
      </w:pPr>
      <w:r/>
    </w:p>
    <w:p>
      <w:pPr>
        <w:sectPr>
          <w:footerReference w:type="default" r:id="rId11"/>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0"/>
              <w:spacing w:before="87" w:line="172" w:lineRule="auto"/>
              <w:rPr>
                <w:sz w:val="14"/>
                <w:szCs w:val="14"/>
              </w:rPr>
            </w:pPr>
            <w:r>
              <w:rPr>
                <w:sz w:val="14"/>
                <w:szCs w:val="14"/>
                <w:color w:val="212529"/>
              </w:rPr>
              <w:t>993.</w:t>
            </w:r>
            <w:r>
              <w:rPr>
                <w:sz w:val="14"/>
                <w:szCs w:val="14"/>
                <w:color w:val="212529"/>
                <w:spacing w:val="7"/>
              </w:rPr>
              <w:t xml:space="preserve"> </w:t>
            </w:r>
            <w:r>
              <w:rPr>
                <w:sz w:val="14"/>
                <w:szCs w:val="14"/>
                <w:color w:val="212529"/>
              </w:rPr>
              <w:t>38</w:t>
            </w:r>
          </w:p>
        </w:tc>
        <w:tc>
          <w:tcPr>
            <w:tcW w:w="1188" w:type="dxa"/>
            <w:vAlign w:val="top"/>
          </w:tcPr>
          <w:p>
            <w:pPr>
              <w:pStyle w:val="TableText"/>
              <w:ind w:left="683"/>
              <w:spacing w:before="87" w:line="172" w:lineRule="auto"/>
              <w:rPr>
                <w:sz w:val="14"/>
                <w:szCs w:val="14"/>
              </w:rPr>
            </w:pPr>
            <w:r>
              <w:rPr>
                <w:sz w:val="14"/>
                <w:szCs w:val="14"/>
                <w:color w:val="212529"/>
              </w:rPr>
              <w:t>936.</w:t>
            </w:r>
            <w:r>
              <w:rPr>
                <w:sz w:val="14"/>
                <w:szCs w:val="14"/>
                <w:color w:val="212529"/>
                <w:spacing w:val="6"/>
              </w:rPr>
              <w:t xml:space="preserve"> </w:t>
            </w:r>
            <w:r>
              <w:rPr>
                <w:sz w:val="14"/>
                <w:szCs w:val="14"/>
                <w:color w:val="212529"/>
              </w:rPr>
              <w:t>02</w:t>
            </w:r>
          </w:p>
        </w:tc>
        <w:tc>
          <w:tcPr>
            <w:tcW w:w="1118" w:type="dxa"/>
            <w:vAlign w:val="top"/>
          </w:tcPr>
          <w:p>
            <w:pPr>
              <w:pStyle w:val="TableText"/>
              <w:ind w:left="691"/>
              <w:spacing w:before="87" w:line="186" w:lineRule="auto"/>
              <w:rPr>
                <w:sz w:val="13"/>
                <w:szCs w:val="13"/>
              </w:rPr>
            </w:pPr>
            <w:r>
              <w:rPr>
                <w:sz w:val="13"/>
                <w:szCs w:val="13"/>
                <w:color w:val="212529"/>
                <w:spacing w:val="3"/>
              </w:rPr>
              <w:t>57.</w:t>
            </w:r>
            <w:r>
              <w:rPr>
                <w:sz w:val="13"/>
                <w:szCs w:val="13"/>
                <w:color w:val="212529"/>
                <w:spacing w:val="15"/>
                <w:w w:val="101"/>
              </w:rPr>
              <w:t xml:space="preserve"> </w:t>
            </w:r>
            <w:r>
              <w:rPr>
                <w:sz w:val="13"/>
                <w:szCs w:val="13"/>
                <w:color w:val="212529"/>
                <w:spacing w:val="3"/>
              </w:rPr>
              <w:t>36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926.55</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926.55</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355.06</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355.06</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61.42</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61.42</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229.75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229.75</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95.73</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38.89</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38.89</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2.15</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2.15</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75.45</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68.10</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68.10</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57.36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57.36</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24.45</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24.45</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11.97</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11.97</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20.94</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20.94</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118" w:type="dxa"/>
            <w:vAlign w:val="top"/>
          </w:tcPr>
          <w:p>
            <w:pPr>
              <w:pStyle w:val="TableText"/>
              <w:rPr/>
            </w:pPr>
            <w:r/>
          </w:p>
        </w:tc>
      </w:tr>
      <w:tr>
        <w:trPr>
          <w:trHeight w:val="298" w:hRule="atLeast"/>
        </w:trPr>
        <w:tc>
          <w:tcPr>
            <w:tcW w:w="3310"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9.47</w:t>
            </w:r>
          </w:p>
        </w:tc>
        <w:tc>
          <w:tcPr>
            <w:tcW w:w="1118" w:type="dxa"/>
            <w:vAlign w:val="top"/>
          </w:tcPr>
          <w:p>
            <w:pPr>
              <w:pStyle w:val="TableText"/>
              <w:rPr/>
            </w:pPr>
            <w:r/>
          </w:p>
        </w:tc>
      </w:tr>
    </w:tbl>
    <w:p>
      <w:pPr>
        <w:rPr>
          <w:rFonts w:ascii="Arial"/>
          <w:sz w:val="21"/>
        </w:rPr>
      </w:pPr>
      <w:r/>
    </w:p>
    <w:p>
      <w:pPr>
        <w:sectPr>
          <w:footerReference w:type="default" r:id="rId12"/>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5"/>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6" w:id="28"/>
            <w:bookmarkEnd w:id="28"/>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ind w:left="113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7" w:id="30"/>
            <w:bookmarkEnd w:id="30"/>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378" w:right="51"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53" w:type="dxa"/>
            <w:vAlign w:val="top"/>
          </w:tcPr>
          <w:p>
            <w:pPr>
              <w:ind w:left="533" w:right="61"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8" w:hRule="atLeast"/>
        </w:trPr>
        <w:tc>
          <w:tcPr>
            <w:tcW w:w="2802" w:type="dxa"/>
            <w:vAlign w:val="top"/>
          </w:tcPr>
          <w:p>
            <w:pPr>
              <w:ind w:left="1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802"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兴县阳光小学</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116.20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116.20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10"/>
              </w:rPr>
              <w:t>2025年义务教育三区补助县级资金</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9.36</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9.36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9" w:right="37"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2025年义务教育家庭经济困难学生生</w:t>
            </w:r>
            <w:r>
              <w:rPr>
                <w:rFonts w:ascii="SimSun" w:hAnsi="SimSun" w:eastAsia="SimSun" w:cs="SimSun"/>
                <w:sz w:val="15"/>
                <w:szCs w:val="15"/>
                <w:color w:val="212529"/>
                <w:spacing w:val="10"/>
              </w:rPr>
              <w:t>活补助中央资金</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12.38</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12.38</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9" w:right="37"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8"/>
              </w:rPr>
              <w:t>央资金</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92.46</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92.46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9" w:right="37" w:firstLine="161"/>
              <w:spacing w:before="31" w:line="211" w:lineRule="auto"/>
              <w:rPr>
                <w:rFonts w:ascii="SimSun" w:hAnsi="SimSun" w:eastAsia="SimSun" w:cs="SimSun"/>
                <w:sz w:val="15"/>
                <w:szCs w:val="15"/>
              </w:rPr>
            </w:pPr>
            <w:r>
              <w:rPr>
                <w:rFonts w:ascii="SimSun" w:hAnsi="SimSun" w:eastAsia="SimSun" w:cs="SimSun"/>
                <w:sz w:val="15"/>
                <w:szCs w:val="15"/>
                <w:color w:val="212529"/>
                <w:spacing w:val="10"/>
              </w:rPr>
              <w:t>2025年城乡义务教育补助公用经费中</w:t>
            </w:r>
            <w:r>
              <w:rPr>
                <w:rFonts w:ascii="SimSun" w:hAnsi="SimSun" w:eastAsia="SimSun" w:cs="SimSun"/>
                <w:sz w:val="15"/>
                <w:szCs w:val="15"/>
                <w:color w:val="212529"/>
                <w:spacing w:val="8"/>
              </w:rPr>
              <w:t>央资金（采购）</w:t>
            </w:r>
          </w:p>
        </w:tc>
        <w:tc>
          <w:tcPr>
            <w:tcW w:w="1166"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66"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rPr>
          <w:rFonts w:ascii="Arial"/>
          <w:sz w:val="21"/>
        </w:rPr>
      </w:pPr>
      <w:r/>
    </w:p>
    <w:p>
      <w:pPr>
        <w:sectPr>
          <w:footerReference w:type="default" r:id="rId17"/>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15"/>
        <w:gridCol w:w="1274"/>
        <w:gridCol w:w="1393"/>
        <w:gridCol w:w="1350"/>
        <w:gridCol w:w="1226"/>
      </w:tblGrid>
      <w:tr>
        <w:trPr>
          <w:trHeight w:val="383" w:hRule="atLeast"/>
        </w:trPr>
        <w:tc>
          <w:tcPr>
            <w:tcW w:w="39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6" w:type="dxa"/>
            <w:vAlign w:val="top"/>
            <w:tcBorders>
              <w:bottom w:val="single" w:color="FFFFFF" w:sz="4" w:space="0"/>
              <w:top w:val="single" w:color="FFFFFF" w:sz="4" w:space="0"/>
              <w:left w:val="single" w:color="FFFFFF" w:sz="2" w:space="0"/>
              <w:right w:val="single" w:color="FFFFFF" w:sz="2" w:space="0"/>
            </w:tcBorders>
          </w:tcPr>
          <w:p>
            <w:pPr>
              <w:ind w:left="423"/>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1"/>
            <w:bookmarkEnd w:id="31"/>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32"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单位名称：兴县阳光小学</w:t>
            </w:r>
          </w:p>
        </w:tc>
        <w:tc>
          <w:tcPr>
            <w:tcW w:w="1226" w:type="dxa"/>
            <w:vAlign w:val="top"/>
            <w:tcBorders>
              <w:top w:val="single" w:color="FFFFFF" w:sz="4" w:space="0"/>
              <w:left w:val="single" w:color="FFFFFF" w:sz="2" w:space="0"/>
              <w:right w:val="single" w:color="FFFFFF" w:sz="2" w:space="0"/>
            </w:tcBorders>
          </w:tcPr>
          <w:p>
            <w:pPr>
              <w:ind w:left="553"/>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15" w:type="dxa"/>
            <w:vAlign w:val="top"/>
            <w:vMerge w:val="restart"/>
            <w:tcBorders>
              <w:bottom w:val="nil"/>
            </w:tcBorders>
          </w:tcPr>
          <w:p>
            <w:pPr>
              <w:ind w:left="1618"/>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2"/>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69" w:type="dxa"/>
            <w:vAlign w:val="top"/>
            <w:gridSpan w:val="3"/>
          </w:tcPr>
          <w:p>
            <w:pPr>
              <w:ind w:left="1408"/>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15"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393" w:type="dxa"/>
            <w:vAlign w:val="top"/>
          </w:tcPr>
          <w:p>
            <w:pPr>
              <w:ind w:left="196"/>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50" w:type="dxa"/>
            <w:vAlign w:val="top"/>
          </w:tcPr>
          <w:p>
            <w:pPr>
              <w:ind w:left="498" w:right="27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26" w:type="dxa"/>
            <w:vAlign w:val="top"/>
          </w:tcPr>
          <w:p>
            <w:pPr>
              <w:ind w:left="29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7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15" w:type="dxa"/>
            <w:vAlign w:val="top"/>
          </w:tcPr>
          <w:p>
            <w:pPr>
              <w:ind w:left="1916"/>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5"/>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93" w:type="dxa"/>
            <w:vAlign w:val="top"/>
          </w:tcPr>
          <w:p>
            <w:pPr>
              <w:ind w:left="648"/>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50" w:type="dxa"/>
            <w:vAlign w:val="top"/>
          </w:tcPr>
          <w:p>
            <w:pPr>
              <w:ind w:left="623"/>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6" w:type="dxa"/>
            <w:vAlign w:val="top"/>
          </w:tcPr>
          <w:p>
            <w:pPr>
              <w:ind w:left="56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15"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兴县教育科技局</w:t>
            </w:r>
          </w:p>
        </w:tc>
        <w:tc>
          <w:tcPr>
            <w:tcW w:w="1274"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93"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50" w:type="dxa"/>
            <w:vAlign w:val="top"/>
          </w:tcPr>
          <w:p>
            <w:pPr>
              <w:pStyle w:val="TableText"/>
              <w:rPr/>
            </w:pPr>
            <w:r/>
          </w:p>
        </w:tc>
        <w:tc>
          <w:tcPr>
            <w:tcW w:w="1226" w:type="dxa"/>
            <w:vAlign w:val="top"/>
          </w:tcPr>
          <w:p>
            <w:pPr>
              <w:pStyle w:val="TableText"/>
              <w:rPr/>
            </w:pPr>
            <w:r/>
          </w:p>
        </w:tc>
      </w:tr>
      <w:tr>
        <w:trPr>
          <w:trHeight w:val="378" w:hRule="atLeast"/>
        </w:trPr>
        <w:tc>
          <w:tcPr>
            <w:tcW w:w="3915" w:type="dxa"/>
            <w:vAlign w:val="top"/>
          </w:tcPr>
          <w:p>
            <w:pPr>
              <w:ind w:left="91"/>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兴县阳光小学</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93"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50" w:type="dxa"/>
            <w:vAlign w:val="top"/>
          </w:tcPr>
          <w:p>
            <w:pPr>
              <w:pStyle w:val="TableText"/>
              <w:rPr/>
            </w:pPr>
            <w:r/>
          </w:p>
        </w:tc>
        <w:tc>
          <w:tcPr>
            <w:tcW w:w="1226" w:type="dxa"/>
            <w:vAlign w:val="top"/>
          </w:tcPr>
          <w:p>
            <w:pPr>
              <w:pStyle w:val="TableText"/>
              <w:rPr/>
            </w:pPr>
            <w:r/>
          </w:p>
        </w:tc>
      </w:tr>
      <w:tr>
        <w:trPr>
          <w:trHeight w:val="384" w:hRule="atLeast"/>
        </w:trPr>
        <w:tc>
          <w:tcPr>
            <w:tcW w:w="3915" w:type="dxa"/>
            <w:vAlign w:val="top"/>
          </w:tcPr>
          <w:p>
            <w:pPr>
              <w:ind w:left="8" w:right="177" w:firstLine="162"/>
              <w:spacing w:before="32" w:line="210" w:lineRule="auto"/>
              <w:rPr>
                <w:rFonts w:ascii="SimSun" w:hAnsi="SimSun" w:eastAsia="SimSun" w:cs="SimSun"/>
                <w:sz w:val="15"/>
                <w:szCs w:val="15"/>
              </w:rPr>
            </w:pPr>
            <w:r>
              <w:rPr>
                <w:rFonts w:ascii="SimSun" w:hAnsi="SimSun" w:eastAsia="SimSun" w:cs="SimSun"/>
                <w:sz w:val="15"/>
                <w:szCs w:val="15"/>
                <w:color w:val="212529"/>
                <w:spacing w:val="10"/>
              </w:rPr>
              <w:t>2024年义务教育家庭经济困难学生生活补助兴财社</w:t>
            </w:r>
            <w:r>
              <w:rPr>
                <w:rFonts w:ascii="SimSun" w:hAnsi="SimSun" w:eastAsia="SimSun" w:cs="SimSun"/>
                <w:sz w:val="15"/>
                <w:szCs w:val="15"/>
                <w:color w:val="212529"/>
                <w:spacing w:val="5"/>
              </w:rPr>
              <w:t>202429号</w:t>
            </w:r>
          </w:p>
        </w:tc>
        <w:tc>
          <w:tcPr>
            <w:tcW w:w="1274"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93"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50" w:type="dxa"/>
            <w:vAlign w:val="top"/>
          </w:tcPr>
          <w:p>
            <w:pPr>
              <w:pStyle w:val="TableText"/>
              <w:rPr/>
            </w:pPr>
            <w:r/>
          </w:p>
        </w:tc>
        <w:tc>
          <w:tcPr>
            <w:tcW w:w="1226" w:type="dxa"/>
            <w:vAlign w:val="top"/>
          </w:tcPr>
          <w:p>
            <w:pPr>
              <w:pStyle w:val="TableText"/>
              <w:rPr/>
            </w:pPr>
            <w:r/>
          </w:p>
        </w:tc>
      </w:tr>
    </w:tbl>
    <w:p>
      <w:pPr>
        <w:rPr>
          <w:rFonts w:ascii="Arial"/>
          <w:sz w:val="21"/>
        </w:rPr>
      </w:pPr>
      <w:r/>
    </w:p>
    <w:p>
      <w:pPr>
        <w:sectPr>
          <w:footerReference w:type="default" r:id="rId18"/>
          <w:pgSz w:w="11900" w:h="16840"/>
          <w:pgMar w:top="642" w:right="600" w:bottom="340" w:left="60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9"/>
          <w:position w:val="-1"/>
        </w:rPr>
        <w:t>一、单位预算收支数据变动情况及原因</w:t>
      </w:r>
    </w:p>
    <w:p>
      <w:pPr>
        <w:ind w:left="663" w:right="623" w:firstLine="457"/>
        <w:spacing w:before="185"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2025年度兴县阳光小学预算收入总计1,10</w:t>
      </w:r>
      <w:r>
        <w:rPr>
          <w:rFonts w:ascii="FangSong" w:hAnsi="FangSong" w:eastAsia="FangSong" w:cs="FangSong"/>
          <w:sz w:val="23"/>
          <w:szCs w:val="23"/>
          <w:spacing w:val="4"/>
        </w:rPr>
        <w:t>9.60万元，其中：本年收入1,109.58万元，上</w:t>
      </w:r>
      <w:r>
        <w:rPr>
          <w:rFonts w:ascii="FangSong" w:hAnsi="FangSong" w:eastAsia="FangSong" w:cs="FangSong"/>
          <w:sz w:val="23"/>
          <w:szCs w:val="23"/>
          <w:spacing w:val="4"/>
        </w:rPr>
        <w:t>年结转0.03万元，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比上年增加112.1</w:t>
      </w:r>
      <w:r>
        <w:rPr>
          <w:rFonts w:ascii="FangSong" w:hAnsi="FangSong" w:eastAsia="FangSong" w:cs="FangSong"/>
          <w:sz w:val="23"/>
          <w:szCs w:val="23"/>
          <w:spacing w:val="3"/>
        </w:rPr>
        <w:t>6万元，增长11.24%，主要原因是本年度较上年度人员调</w:t>
      </w:r>
      <w:r>
        <w:rPr>
          <w:rFonts w:ascii="FangSong" w:hAnsi="FangSong" w:eastAsia="FangSong" w:cs="FangSong"/>
          <w:sz w:val="23"/>
          <w:szCs w:val="23"/>
          <w:spacing w:val="5"/>
        </w:rPr>
        <w:t>动增加及项目支出安排增加，详情见项目附表，以致上下年对比变动增加。；本年单位预算</w:t>
      </w:r>
      <w:r>
        <w:rPr>
          <w:rFonts w:ascii="FangSong" w:hAnsi="FangSong" w:eastAsia="FangSong" w:cs="FangSong"/>
          <w:sz w:val="23"/>
          <w:szCs w:val="23"/>
          <w:spacing w:val="3"/>
        </w:rPr>
        <w:t>支出总计1,109.60万元，其中：本年预算安排1,109.58万元，上年结转0.03万元，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比上年增</w:t>
      </w:r>
      <w:r>
        <w:rPr>
          <w:rFonts w:ascii="FangSong" w:hAnsi="FangSong" w:eastAsia="FangSong" w:cs="FangSong"/>
          <w:sz w:val="23"/>
          <w:szCs w:val="23"/>
          <w:spacing w:val="10"/>
        </w:rPr>
        <w:t>加112.16万元，增长11.24%，主要原因是本年度较上年度人员调动增加</w:t>
      </w:r>
      <w:r>
        <w:rPr>
          <w:rFonts w:ascii="FangSong" w:hAnsi="FangSong" w:eastAsia="FangSong" w:cs="FangSong"/>
          <w:sz w:val="23"/>
          <w:szCs w:val="23"/>
          <w:spacing w:val="9"/>
        </w:rPr>
        <w:t>及项目支出安排增</w:t>
      </w:r>
      <w:r>
        <w:rPr>
          <w:rFonts w:ascii="FangSong" w:hAnsi="FangSong" w:eastAsia="FangSong" w:cs="FangSong"/>
          <w:sz w:val="23"/>
          <w:szCs w:val="23"/>
          <w:spacing w:val="-1"/>
        </w:rPr>
        <w:t>加，详情见项目附表，以致上下年对比变动增加。</w:t>
      </w:r>
    </w:p>
    <w:p>
      <w:pPr>
        <w:ind w:left="661"/>
        <w:spacing w:before="3"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8"/>
          <w:position w:val="-1"/>
        </w:rPr>
        <w:t>二、收入预算情况说明</w:t>
      </w:r>
    </w:p>
    <w:p>
      <w:pPr>
        <w:ind w:left="658" w:right="623" w:firstLine="462"/>
        <w:spacing w:before="176" w:line="325" w:lineRule="auto"/>
        <w:jc w:val="both"/>
        <w:rPr>
          <w:rFonts w:ascii="FangSong" w:hAnsi="FangSong" w:eastAsia="FangSong" w:cs="FangSong"/>
          <w:sz w:val="23"/>
          <w:szCs w:val="23"/>
        </w:rPr>
      </w:pPr>
      <w:r>
        <w:rPr>
          <w:rFonts w:ascii="FangSong" w:hAnsi="FangSong" w:eastAsia="FangSong" w:cs="FangSong"/>
          <w:sz w:val="23"/>
          <w:szCs w:val="23"/>
          <w:spacing w:val="-2"/>
        </w:rPr>
        <w:t>2025</w:t>
      </w:r>
      <w:r>
        <w:rPr>
          <w:rFonts w:ascii="FangSong" w:hAnsi="FangSong" w:eastAsia="FangSong" w:cs="FangSong"/>
          <w:sz w:val="23"/>
          <w:szCs w:val="23"/>
          <w:spacing w:val="-63"/>
        </w:rPr>
        <w:t xml:space="preserve"> </w:t>
      </w:r>
      <w:r>
        <w:rPr>
          <w:rFonts w:ascii="FangSong" w:hAnsi="FangSong" w:eastAsia="FangSong" w:cs="FangSong"/>
          <w:sz w:val="23"/>
          <w:szCs w:val="23"/>
          <w:spacing w:val="-2"/>
        </w:rPr>
        <w:t>年度</w:t>
      </w:r>
      <w:r>
        <w:rPr>
          <w:rFonts w:ascii="FangSong" w:hAnsi="FangSong" w:eastAsia="FangSong" w:cs="FangSong"/>
          <w:sz w:val="23"/>
          <w:szCs w:val="23"/>
          <w:spacing w:val="-64"/>
        </w:rPr>
        <w:t xml:space="preserve"> </w:t>
      </w:r>
      <w:r>
        <w:rPr>
          <w:rFonts w:ascii="FangSong" w:hAnsi="FangSong" w:eastAsia="FangSong" w:cs="FangSong"/>
          <w:sz w:val="23"/>
          <w:szCs w:val="23"/>
          <w:spacing w:val="-2"/>
        </w:rPr>
        <w:t>兴</w:t>
      </w:r>
      <w:r>
        <w:rPr>
          <w:rFonts w:ascii="FangSong" w:hAnsi="FangSong" w:eastAsia="FangSong" w:cs="FangSong"/>
          <w:sz w:val="23"/>
          <w:szCs w:val="23"/>
          <w:spacing w:val="-68"/>
        </w:rPr>
        <w:t xml:space="preserve"> </w:t>
      </w:r>
      <w:r>
        <w:rPr>
          <w:rFonts w:ascii="FangSong" w:hAnsi="FangSong" w:eastAsia="FangSong" w:cs="FangSong"/>
          <w:sz w:val="23"/>
          <w:szCs w:val="23"/>
          <w:spacing w:val="-2"/>
        </w:rPr>
        <w:t>县</w:t>
      </w:r>
      <w:r>
        <w:rPr>
          <w:rFonts w:ascii="FangSong" w:hAnsi="FangSong" w:eastAsia="FangSong" w:cs="FangSong"/>
          <w:sz w:val="23"/>
          <w:szCs w:val="23"/>
          <w:spacing w:val="-56"/>
        </w:rPr>
        <w:t xml:space="preserve"> </w:t>
      </w:r>
      <w:r>
        <w:rPr>
          <w:rFonts w:ascii="FangSong" w:hAnsi="FangSong" w:eastAsia="FangSong" w:cs="FangSong"/>
          <w:sz w:val="23"/>
          <w:szCs w:val="23"/>
          <w:spacing w:val="-2"/>
        </w:rPr>
        <w:t>阳</w:t>
      </w:r>
      <w:r>
        <w:rPr>
          <w:rFonts w:ascii="FangSong" w:hAnsi="FangSong" w:eastAsia="FangSong" w:cs="FangSong"/>
          <w:sz w:val="23"/>
          <w:szCs w:val="23"/>
          <w:spacing w:val="-65"/>
        </w:rPr>
        <w:t xml:space="preserve"> </w:t>
      </w:r>
      <w:r>
        <w:rPr>
          <w:rFonts w:ascii="FangSong" w:hAnsi="FangSong" w:eastAsia="FangSong" w:cs="FangSong"/>
          <w:sz w:val="23"/>
          <w:szCs w:val="23"/>
          <w:spacing w:val="-2"/>
        </w:rPr>
        <w:t>光小</w:t>
      </w:r>
      <w:r>
        <w:rPr>
          <w:rFonts w:ascii="FangSong" w:hAnsi="FangSong" w:eastAsia="FangSong" w:cs="FangSong"/>
          <w:sz w:val="23"/>
          <w:szCs w:val="23"/>
          <w:spacing w:val="-60"/>
        </w:rPr>
        <w:t xml:space="preserve"> </w:t>
      </w:r>
      <w:r>
        <w:rPr>
          <w:rFonts w:ascii="FangSong" w:hAnsi="FangSong" w:eastAsia="FangSong" w:cs="FangSong"/>
          <w:sz w:val="23"/>
          <w:szCs w:val="23"/>
          <w:spacing w:val="-2"/>
        </w:rPr>
        <w:t>学</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收入1,109.60</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7"/>
        </w:rPr>
        <w:t xml:space="preserve"> </w:t>
      </w:r>
      <w:r>
        <w:rPr>
          <w:rFonts w:ascii="FangSong" w:hAnsi="FangSong" w:eastAsia="FangSong" w:cs="FangSong"/>
          <w:sz w:val="23"/>
          <w:szCs w:val="23"/>
          <w:spacing w:val="-2"/>
        </w:rPr>
        <w:t>元</w:t>
      </w:r>
      <w:r>
        <w:rPr>
          <w:rFonts w:ascii="FangSong" w:hAnsi="FangSong" w:eastAsia="FangSong" w:cs="FangSong"/>
          <w:sz w:val="23"/>
          <w:szCs w:val="23"/>
          <w:spacing w:val="-53"/>
        </w:rPr>
        <w:t xml:space="preserve"> </w:t>
      </w:r>
      <w:r>
        <w:rPr>
          <w:rFonts w:ascii="FangSong" w:hAnsi="FangSong" w:eastAsia="FangSong" w:cs="FangSong"/>
          <w:sz w:val="23"/>
          <w:szCs w:val="23"/>
          <w:spacing w:val="-2"/>
        </w:rPr>
        <w:t>，</w:t>
      </w:r>
      <w:r>
        <w:rPr>
          <w:rFonts w:ascii="FangSong" w:hAnsi="FangSong" w:eastAsia="FangSong" w:cs="FangSong"/>
          <w:sz w:val="23"/>
          <w:szCs w:val="23"/>
          <w:spacing w:val="-63"/>
        </w:rPr>
        <w:t xml:space="preserve"> </w:t>
      </w:r>
      <w:r>
        <w:rPr>
          <w:rFonts w:ascii="FangSong" w:hAnsi="FangSong" w:eastAsia="FangSong" w:cs="FangSong"/>
          <w:sz w:val="23"/>
          <w:szCs w:val="23"/>
          <w:spacing w:val="-2"/>
        </w:rPr>
        <w:t>主</w:t>
      </w:r>
      <w:r>
        <w:rPr>
          <w:rFonts w:ascii="FangSong" w:hAnsi="FangSong" w:eastAsia="FangSong" w:cs="FangSong"/>
          <w:sz w:val="23"/>
          <w:szCs w:val="23"/>
          <w:spacing w:val="-66"/>
        </w:rPr>
        <w:t xml:space="preserve"> </w:t>
      </w:r>
      <w:r>
        <w:rPr>
          <w:rFonts w:ascii="FangSong" w:hAnsi="FangSong" w:eastAsia="FangSong" w:cs="FangSong"/>
          <w:sz w:val="23"/>
          <w:szCs w:val="23"/>
          <w:spacing w:val="-2"/>
        </w:rPr>
        <w:t>要</w:t>
      </w:r>
      <w:r>
        <w:rPr>
          <w:rFonts w:ascii="FangSong" w:hAnsi="FangSong" w:eastAsia="FangSong" w:cs="FangSong"/>
          <w:sz w:val="23"/>
          <w:szCs w:val="23"/>
          <w:spacing w:val="-60"/>
        </w:rPr>
        <w:t xml:space="preserve"> </w:t>
      </w:r>
      <w:r>
        <w:rPr>
          <w:rFonts w:ascii="FangSong" w:hAnsi="FangSong" w:eastAsia="FangSong" w:cs="FangSong"/>
          <w:sz w:val="23"/>
          <w:szCs w:val="23"/>
          <w:spacing w:val="-2"/>
        </w:rPr>
        <w:t>包括</w:t>
      </w:r>
      <w:r>
        <w:rPr>
          <w:rFonts w:ascii="FangSong" w:hAnsi="FangSong" w:eastAsia="FangSong" w:cs="FangSong"/>
          <w:sz w:val="23"/>
          <w:szCs w:val="23"/>
          <w:spacing w:val="-67"/>
        </w:rPr>
        <w:t xml:space="preserve"> </w:t>
      </w:r>
      <w:r>
        <w:rPr>
          <w:rFonts w:ascii="FangSong" w:hAnsi="FangSong" w:eastAsia="FangSong" w:cs="FangSong"/>
          <w:sz w:val="23"/>
          <w:szCs w:val="23"/>
          <w:spacing w:val="-2"/>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2"/>
        </w:rPr>
        <w:t>公</w:t>
      </w:r>
      <w:r>
        <w:rPr>
          <w:rFonts w:ascii="FangSong" w:hAnsi="FangSong" w:eastAsia="FangSong" w:cs="FangSong"/>
          <w:sz w:val="23"/>
          <w:szCs w:val="23"/>
          <w:spacing w:val="-63"/>
        </w:rPr>
        <w:t xml:space="preserve"> </w:t>
      </w:r>
      <w:r>
        <w:rPr>
          <w:rFonts w:ascii="FangSong" w:hAnsi="FangSong" w:eastAsia="FangSong" w:cs="FangSong"/>
          <w:sz w:val="23"/>
          <w:szCs w:val="23"/>
          <w:spacing w:val="-2"/>
        </w:rPr>
        <w:t>共</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预算拨款</w:t>
      </w:r>
      <w:r>
        <w:rPr>
          <w:rFonts w:ascii="FangSong" w:hAnsi="FangSong" w:eastAsia="FangSong" w:cs="FangSong"/>
          <w:sz w:val="23"/>
          <w:szCs w:val="23"/>
          <w:spacing w:val="-58"/>
        </w:rPr>
        <w:t xml:space="preserve"> </w:t>
      </w:r>
      <w:r>
        <w:rPr>
          <w:rFonts w:ascii="FangSong" w:hAnsi="FangSong" w:eastAsia="FangSong" w:cs="FangSong"/>
          <w:sz w:val="23"/>
          <w:szCs w:val="23"/>
          <w:spacing w:val="-2"/>
        </w:rPr>
        <w:t>收入</w:t>
      </w:r>
      <w:r>
        <w:rPr>
          <w:rFonts w:ascii="FangSong" w:hAnsi="FangSong" w:eastAsia="FangSong" w:cs="FangSong"/>
          <w:sz w:val="23"/>
          <w:szCs w:val="23"/>
          <w:spacing w:val="1"/>
        </w:rPr>
        <w:t>1,109.58万元，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w:t>
      </w:r>
      <w:r>
        <w:rPr>
          <w:rFonts w:ascii="FangSong" w:hAnsi="FangSong" w:eastAsia="FangSong" w:cs="FangSong"/>
          <w:sz w:val="23"/>
          <w:szCs w:val="23"/>
        </w:rPr>
        <w:t>营预算拨款</w:t>
      </w:r>
      <w:r>
        <w:rPr>
          <w:rFonts w:ascii="FangSong" w:hAnsi="FangSong" w:eastAsia="FangSong" w:cs="FangSong"/>
          <w:sz w:val="23"/>
          <w:szCs w:val="23"/>
          <w:spacing w:val="3"/>
        </w:rPr>
        <w:t>收入0万元，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占0%；单位资金0万元，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占0%；上年结转</w:t>
      </w:r>
      <w:r>
        <w:rPr>
          <w:rFonts w:ascii="FangSong" w:hAnsi="FangSong" w:eastAsia="FangSong" w:cs="FangSong"/>
          <w:sz w:val="23"/>
          <w:szCs w:val="23"/>
          <w:spacing w:val="-5"/>
        </w:rPr>
        <w:t>0.03万元，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占0.00%。</w:t>
      </w:r>
    </w:p>
    <w:p>
      <w:pPr>
        <w:spacing w:line="422" w:lineRule="auto"/>
        <w:rPr>
          <w:rFonts w:ascii="Arial"/>
          <w:sz w:val="21"/>
        </w:rPr>
      </w:pPr>
      <w:r/>
    </w:p>
    <w:p>
      <w:pPr>
        <w:ind w:firstLine="2725"/>
        <w:spacing w:before="1" w:line="3154" w:lineRule="exact"/>
        <w:rPr/>
      </w:pPr>
      <w:r>
        <w:rPr>
          <w:position w:val="-63"/>
        </w:rPr>
        <w:drawing>
          <wp:inline distT="0" distB="0" distL="0" distR="0">
            <wp:extent cx="2574719" cy="2002554"/>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574719" cy="2002554"/>
                    </a:xfrm>
                    <a:prstGeom prst="rect">
                      <a:avLst/>
                    </a:prstGeom>
                  </pic:spPr>
                </pic:pic>
              </a:graphicData>
            </a:graphic>
          </wp:inline>
        </w:drawing>
      </w:r>
    </w:p>
    <w:p>
      <w:pPr>
        <w:ind w:left="662"/>
        <w:spacing w:before="298"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7"/>
          <w:position w:val="-1"/>
        </w:rPr>
        <w:t>三、支出预算情况说明</w:t>
      </w:r>
    </w:p>
    <w:p>
      <w:pPr>
        <w:ind w:left="664" w:right="674" w:firstLine="455"/>
        <w:spacing w:before="186" w:line="319" w:lineRule="auto"/>
        <w:rPr>
          <w:rFonts w:ascii="FangSong" w:hAnsi="FangSong" w:eastAsia="FangSong" w:cs="FangSong"/>
          <w:sz w:val="23"/>
          <w:szCs w:val="23"/>
        </w:rPr>
      </w:pPr>
      <w:r>
        <w:rPr>
          <w:rFonts w:ascii="FangSong" w:hAnsi="FangSong" w:eastAsia="FangSong" w:cs="FangSong"/>
          <w:sz w:val="23"/>
          <w:szCs w:val="23"/>
          <w:spacing w:val="2"/>
        </w:rPr>
        <w:t>2025年度兴县阳光小学支出预算1109.6万元，其中：基本支出993.38万元，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占89.53%；</w:t>
      </w:r>
      <w:r>
        <w:rPr>
          <w:rFonts w:ascii="FangSong" w:hAnsi="FangSong" w:eastAsia="FangSong" w:cs="FangSong"/>
          <w:sz w:val="23"/>
          <w:szCs w:val="23"/>
          <w:spacing w:val="-3"/>
        </w:rPr>
        <w:t>项目支出116.22万元，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占10.47</w:t>
      </w:r>
      <w:r>
        <w:rPr>
          <w:rFonts w:ascii="FangSong" w:hAnsi="FangSong" w:eastAsia="FangSong" w:cs="FangSong"/>
          <w:sz w:val="23"/>
          <w:szCs w:val="23"/>
          <w:spacing w:val="-4"/>
        </w:rPr>
        <w:t>%。</w:t>
      </w:r>
    </w:p>
    <w:p>
      <w:pPr>
        <w:ind w:left="671"/>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8"/>
          <w:position w:val="-1"/>
        </w:rPr>
        <w:t>四、财政拨款收支预算总体情况说明</w:t>
      </w:r>
    </w:p>
    <w:p>
      <w:pPr>
        <w:ind w:left="663" w:right="6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8"/>
        </w:rPr>
        <w:t>2025年度兴县阳光小学财政拨款收支总预算1,109.60万元</w:t>
      </w:r>
      <w:r>
        <w:rPr>
          <w:rFonts w:ascii="FangSong" w:hAnsi="FangSong" w:eastAsia="FangSong" w:cs="FangSong"/>
          <w:sz w:val="23"/>
          <w:szCs w:val="23"/>
          <w:spacing w:val="-62"/>
        </w:rPr>
        <w:t xml:space="preserve"> </w:t>
      </w:r>
      <w:r>
        <w:rPr>
          <w:rFonts w:ascii="FangSong" w:hAnsi="FangSong" w:eastAsia="FangSong" w:cs="FangSong"/>
          <w:sz w:val="23"/>
          <w:szCs w:val="23"/>
          <w:spacing w:val="8"/>
        </w:rPr>
        <w:t>。其中：</w:t>
      </w:r>
      <w:r>
        <w:rPr>
          <w:rFonts w:ascii="FangSong" w:hAnsi="FangSong" w:eastAsia="FangSong" w:cs="FangSong"/>
          <w:sz w:val="23"/>
          <w:szCs w:val="23"/>
          <w:spacing w:val="-68"/>
        </w:rPr>
        <w:t xml:space="preserve"> </w:t>
      </w:r>
      <w:r>
        <w:rPr>
          <w:rFonts w:ascii="FangSong" w:hAnsi="FangSong" w:eastAsia="FangSong" w:cs="FangSong"/>
          <w:sz w:val="23"/>
          <w:szCs w:val="23"/>
          <w:spacing w:val="8"/>
        </w:rPr>
        <w:t>一般公共预算拨款</w:t>
      </w:r>
      <w:r>
        <w:rPr>
          <w:rFonts w:ascii="FangSong" w:hAnsi="FangSong" w:eastAsia="FangSong" w:cs="FangSong"/>
          <w:sz w:val="23"/>
          <w:szCs w:val="23"/>
          <w:spacing w:val="3"/>
        </w:rPr>
        <w:t>1,109.60万元，政府性基金预算拨款0万</w:t>
      </w:r>
      <w:r>
        <w:rPr>
          <w:rFonts w:ascii="FangSong" w:hAnsi="FangSong" w:eastAsia="FangSong" w:cs="FangSong"/>
          <w:sz w:val="23"/>
          <w:szCs w:val="23"/>
          <w:spacing w:val="2"/>
        </w:rPr>
        <w:t>元，</w:t>
      </w:r>
      <w:r>
        <w:rPr>
          <w:rFonts w:ascii="FangSong" w:hAnsi="FangSong" w:eastAsia="FangSong" w:cs="FangSong"/>
          <w:sz w:val="23"/>
          <w:szCs w:val="23"/>
          <w:spacing w:val="-67"/>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spacing w:val="4"/>
        </w:rPr>
        <w:t>收入1,109.58万元，上年结转收入0.03万元。支出包括：教育支出899.18万元、社会保障和</w:t>
      </w:r>
      <w:r>
        <w:rPr>
          <w:rFonts w:ascii="FangSong" w:hAnsi="FangSong" w:eastAsia="FangSong" w:cs="FangSong"/>
          <w:sz w:val="23"/>
          <w:szCs w:val="23"/>
        </w:rPr>
        <w:t>就业支出95.73万元、卫生健康支出39.24万元、住房保障支出75.45万元等。</w:t>
      </w:r>
    </w:p>
    <w:p>
      <w:pPr>
        <w:ind w:left="664"/>
        <w:spacing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8"/>
          <w:position w:val="-1"/>
        </w:rPr>
        <w:t>五、一般公共预算支出情况说明</w:t>
      </w:r>
    </w:p>
    <w:p>
      <w:pPr>
        <w:ind w:left="11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3" w:right="623" w:firstLine="456"/>
        <w:spacing w:before="134" w:line="321" w:lineRule="auto"/>
        <w:rPr>
          <w:rFonts w:ascii="FangSong" w:hAnsi="FangSong" w:eastAsia="FangSong" w:cs="FangSong"/>
          <w:sz w:val="23"/>
          <w:szCs w:val="23"/>
        </w:rPr>
      </w:pPr>
      <w:r>
        <w:rPr>
          <w:rFonts w:ascii="FangSong" w:hAnsi="FangSong" w:eastAsia="FangSong" w:cs="FangSong"/>
          <w:sz w:val="23"/>
          <w:szCs w:val="23"/>
          <w:spacing w:val="2"/>
        </w:rPr>
        <w:t>2025年度兴县阳光小学一般公共预算当年支出1,109.58万元,比上年增加112.14万元，增</w:t>
      </w:r>
      <w:r>
        <w:rPr>
          <w:rFonts w:ascii="FangSong" w:hAnsi="FangSong" w:eastAsia="FangSong" w:cs="FangSong"/>
          <w:sz w:val="23"/>
          <w:szCs w:val="23"/>
          <w:spacing w:val="-2"/>
        </w:rPr>
        <w:t>长11.24%。</w:t>
      </w:r>
    </w:p>
    <w:p>
      <w:pPr>
        <w:ind w:left="11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19"/>
          <w:pgSz w:w="11900" w:h="16840"/>
          <w:pgMar w:top="642" w:right="600" w:bottom="340" w:left="600" w:header="326" w:footer="111" w:gutter="0"/>
        </w:sectPr>
        <w:rPr>
          <w:rFonts w:ascii="FangSong" w:hAnsi="FangSong" w:eastAsia="FangSong" w:cs="FangSong"/>
          <w:sz w:val="23"/>
          <w:szCs w:val="23"/>
        </w:rPr>
      </w:pPr>
    </w:p>
    <w:p>
      <w:pPr>
        <w:spacing w:line="281" w:lineRule="auto"/>
        <w:rPr>
          <w:rFonts w:ascii="Arial"/>
          <w:sz w:val="21"/>
        </w:rPr>
      </w:pPr>
      <w:r/>
    </w:p>
    <w:p>
      <w:pPr>
        <w:spacing w:line="281" w:lineRule="auto"/>
        <w:rPr>
          <w:rFonts w:ascii="Arial"/>
          <w:sz w:val="21"/>
        </w:rPr>
      </w:pPr>
      <w:r/>
    </w:p>
    <w:p>
      <w:pPr>
        <w:ind w:left="667" w:right="623" w:firstLine="453"/>
        <w:spacing w:before="75" w:line="326" w:lineRule="auto"/>
        <w:jc w:val="both"/>
        <w:rPr>
          <w:rFonts w:ascii="FangSong" w:hAnsi="FangSong" w:eastAsia="FangSong" w:cs="FangSong"/>
          <w:sz w:val="23"/>
          <w:szCs w:val="23"/>
        </w:rPr>
      </w:pPr>
      <w:r>
        <w:rPr>
          <w:rFonts w:ascii="FangSong" w:hAnsi="FangSong" w:eastAsia="FangSong" w:cs="FangSong"/>
          <w:sz w:val="23"/>
          <w:szCs w:val="23"/>
          <w:spacing w:val="2"/>
        </w:rPr>
        <w:t>2025年度兴县阳光小学一般公共预算当年支出1,109.58万元,主要用于以下方面：教育支</w:t>
      </w:r>
      <w:r>
        <w:rPr>
          <w:rFonts w:ascii="FangSong" w:hAnsi="FangSong" w:eastAsia="FangSong" w:cs="FangSong"/>
          <w:sz w:val="23"/>
          <w:szCs w:val="23"/>
        </w:rPr>
        <w:t>出899.15万元，</w:t>
      </w:r>
      <w:r>
        <w:rPr>
          <w:rFonts w:ascii="FangSong" w:hAnsi="FangSong" w:eastAsia="FangSong" w:cs="FangSong"/>
          <w:sz w:val="23"/>
          <w:szCs w:val="23"/>
          <w:spacing w:val="-57"/>
        </w:rPr>
        <w:t xml:space="preserve"> </w:t>
      </w:r>
      <w:r>
        <w:rPr>
          <w:rFonts w:ascii="FangSong" w:hAnsi="FangSong" w:eastAsia="FangSong" w:cs="FangSong"/>
          <w:sz w:val="23"/>
          <w:szCs w:val="23"/>
        </w:rPr>
        <w:t>占81.04%；社会保障和就业支出95.</w:t>
      </w:r>
      <w:r>
        <w:rPr>
          <w:rFonts w:ascii="FangSong" w:hAnsi="FangSong" w:eastAsia="FangSong" w:cs="FangSong"/>
          <w:sz w:val="23"/>
          <w:szCs w:val="23"/>
          <w:spacing w:val="-1"/>
        </w:rPr>
        <w:t>73万元，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占8.63%；卫生健康支出39.24万</w:t>
      </w:r>
      <w:r>
        <w:rPr>
          <w:rFonts w:ascii="FangSong" w:hAnsi="FangSong" w:eastAsia="FangSong" w:cs="FangSong"/>
          <w:sz w:val="23"/>
          <w:szCs w:val="23"/>
          <w:spacing w:val="-4"/>
        </w:rPr>
        <w:t>元，</w:t>
      </w:r>
      <w:r>
        <w:rPr>
          <w:rFonts w:ascii="FangSong" w:hAnsi="FangSong" w:eastAsia="FangSong" w:cs="FangSong"/>
          <w:sz w:val="23"/>
          <w:szCs w:val="23"/>
          <w:spacing w:val="-53"/>
        </w:rPr>
        <w:t xml:space="preserve"> </w:t>
      </w:r>
      <w:r>
        <w:rPr>
          <w:rFonts w:ascii="FangSong" w:hAnsi="FangSong" w:eastAsia="FangSong" w:cs="FangSong"/>
          <w:sz w:val="23"/>
          <w:szCs w:val="23"/>
          <w:spacing w:val="-4"/>
        </w:rPr>
        <w:t>占3.54%；住房保障支出75.45万元，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占6.80%等。</w:t>
      </w:r>
    </w:p>
    <w:p>
      <w:pPr>
        <w:spacing w:line="465" w:lineRule="auto"/>
        <w:rPr>
          <w:rFonts w:ascii="Arial"/>
          <w:sz w:val="21"/>
        </w:rPr>
      </w:pPr>
      <w:r/>
    </w:p>
    <w:p>
      <w:pPr>
        <w:ind w:firstLine="3005"/>
        <w:spacing w:line="2228" w:lineRule="exact"/>
        <w:rPr/>
      </w:pPr>
      <w:r>
        <w:rPr>
          <w:position w:val="-44"/>
        </w:rPr>
        <w:drawing>
          <wp:inline distT="0" distB="0" distL="0" distR="0">
            <wp:extent cx="2447885" cy="1415177"/>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447885" cy="1415177"/>
                    </a:xfrm>
                    <a:prstGeom prst="rect">
                      <a:avLst/>
                    </a:prstGeom>
                  </pic:spPr>
                </pic:pic>
              </a:graphicData>
            </a:graphic>
          </wp:inline>
        </w:drawing>
      </w:r>
    </w:p>
    <w:p>
      <w:pPr>
        <w:spacing w:line="439" w:lineRule="auto"/>
        <w:rPr>
          <w:rFonts w:ascii="Arial"/>
          <w:sz w:val="21"/>
        </w:rPr>
      </w:pPr>
      <w:r/>
    </w:p>
    <w:p>
      <w:pPr>
        <w:ind w:left="662"/>
        <w:spacing w:before="94"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2025年度兴县阳光小学一般公共预算安排基本支出993.38万元，其中：</w:t>
      </w:r>
    </w:p>
    <w:p>
      <w:pPr>
        <w:ind w:left="663" w:right="623" w:firstLine="464"/>
        <w:spacing w:before="135" w:line="321" w:lineRule="auto"/>
        <w:rPr>
          <w:rFonts w:ascii="FangSong" w:hAnsi="FangSong" w:eastAsia="FangSong" w:cs="FangSong"/>
          <w:sz w:val="23"/>
          <w:szCs w:val="23"/>
        </w:rPr>
      </w:pPr>
      <w:r>
        <w:rPr>
          <w:rFonts w:ascii="FangSong" w:hAnsi="FangSong" w:eastAsia="FangSong" w:cs="FangSong"/>
          <w:sz w:val="23"/>
          <w:szCs w:val="23"/>
          <w:spacing w:val="5"/>
        </w:rPr>
        <w:t>人员经费936.02万元，主要包括：其他对个人和家庭的补助、其他工资福利支出、其他</w:t>
      </w:r>
      <w:r>
        <w:rPr>
          <w:rFonts w:ascii="FangSong" w:hAnsi="FangSong" w:eastAsia="FangSong" w:cs="FangSong"/>
          <w:sz w:val="23"/>
          <w:szCs w:val="23"/>
          <w:spacing w:val="5"/>
        </w:rPr>
        <w:t>社会保障缴费、绩效工资、基本工资、住房公积金、机关事业单位基本养老保险缴费、职工</w:t>
      </w:r>
      <w:r>
        <w:rPr>
          <w:rFonts w:ascii="FangSong" w:hAnsi="FangSong" w:eastAsia="FangSong" w:cs="FangSong"/>
          <w:sz w:val="23"/>
          <w:szCs w:val="23"/>
          <w:spacing w:val="-1"/>
        </w:rPr>
        <w:t>基本医疗保险缴费、津贴补贴等；</w:t>
      </w:r>
    </w:p>
    <w:p>
      <w:pPr>
        <w:ind w:left="1129"/>
        <w:spacing w:before="10" w:line="223" w:lineRule="auto"/>
        <w:rPr>
          <w:rFonts w:ascii="FangSong" w:hAnsi="FangSong" w:eastAsia="FangSong" w:cs="FangSong"/>
          <w:sz w:val="23"/>
          <w:szCs w:val="23"/>
        </w:rPr>
      </w:pPr>
      <w:r>
        <w:rPr>
          <w:rFonts w:ascii="FangSong" w:hAnsi="FangSong" w:eastAsia="FangSong" w:cs="FangSong"/>
          <w:sz w:val="23"/>
          <w:szCs w:val="23"/>
        </w:rPr>
        <w:t>公用经费57.36万元，主要包括：福利费、工会经费、</w:t>
      </w:r>
      <w:r>
        <w:rPr>
          <w:rFonts w:ascii="FangSong" w:hAnsi="FangSong" w:eastAsia="FangSong" w:cs="FangSong"/>
          <w:sz w:val="23"/>
          <w:szCs w:val="23"/>
          <w:spacing w:val="-1"/>
        </w:rPr>
        <w:t>取暖费等。</w:t>
      </w:r>
    </w:p>
    <w:p>
      <w:pPr>
        <w:ind w:left="655"/>
        <w:spacing w:before="119" w:line="229"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30" w:line="231" w:lineRule="exact"/>
        <w:outlineLvl w:val="1"/>
        <w:rPr>
          <w:rFonts w:ascii="Microsoft YaHei" w:hAnsi="Microsoft YaHei" w:eastAsia="Microsoft YaHei" w:cs="Microsoft YaHei"/>
          <w:sz w:val="23"/>
          <w:szCs w:val="23"/>
        </w:rPr>
      </w:pPr>
      <w:bookmarkStart w:name="bookmark27" w:id="40"/>
      <w:bookmarkEnd w:id="40"/>
      <w:r>
        <w:rPr>
          <w:rFonts w:ascii="Microsoft YaHei" w:hAnsi="Microsoft YaHei" w:eastAsia="Microsoft YaHei" w:cs="Microsoft YaHei"/>
          <w:sz w:val="23"/>
          <w:szCs w:val="23"/>
          <w:spacing w:val="-1"/>
          <w:position w:val="-1"/>
        </w:rPr>
        <w:t>八、机关运行经费增减变动原因说明</w:t>
      </w:r>
    </w:p>
    <w:p>
      <w:pPr>
        <w:ind w:left="1126"/>
        <w:spacing w:before="174" w:line="221" w:lineRule="auto"/>
        <w:rPr>
          <w:rFonts w:ascii="FangSong" w:hAnsi="FangSong" w:eastAsia="FangSong" w:cs="FangSong"/>
          <w:sz w:val="23"/>
          <w:szCs w:val="23"/>
        </w:rPr>
      </w:pPr>
      <w:r>
        <w:rPr>
          <w:rFonts w:ascii="FangSong" w:hAnsi="FangSong" w:eastAsia="FangSong" w:cs="FangSong"/>
          <w:sz w:val="23"/>
          <w:szCs w:val="23"/>
          <w:spacing w:val="-1"/>
        </w:rPr>
        <w:t>本单位为事业单位，无机关运行经费。</w:t>
      </w:r>
    </w:p>
    <w:p>
      <w:pPr>
        <w:ind w:left="658"/>
        <w:spacing w:before="122" w:line="225" w:lineRule="exact"/>
        <w:outlineLvl w:val="1"/>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9"/>
          <w:position w:val="-1"/>
        </w:rPr>
        <w:t>九、政府采购情况</w:t>
      </w:r>
    </w:p>
    <w:p>
      <w:pPr>
        <w:ind w:left="664" w:right="660" w:firstLine="455"/>
        <w:spacing w:before="189" w:line="319" w:lineRule="auto"/>
        <w:rPr>
          <w:rFonts w:ascii="FangSong" w:hAnsi="FangSong" w:eastAsia="FangSong" w:cs="FangSong"/>
          <w:sz w:val="23"/>
          <w:szCs w:val="23"/>
        </w:rPr>
      </w:pPr>
      <w:r>
        <w:rPr>
          <w:rFonts w:ascii="FangSong" w:hAnsi="FangSong" w:eastAsia="FangSong" w:cs="FangSong"/>
          <w:sz w:val="23"/>
          <w:szCs w:val="23"/>
          <w:spacing w:val="4"/>
        </w:rPr>
        <w:t>2025年兴县阳光小学政府采购预算总额2.00万元。其中：政府采购货物预算2.00万元、</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660"/>
        <w:spacing w:line="230" w:lineRule="exact"/>
        <w:outlineLvl w:val="1"/>
        <w:rPr>
          <w:rFonts w:ascii="Microsoft YaHei" w:hAnsi="Microsoft YaHei" w:eastAsia="Microsoft YaHei" w:cs="Microsoft YaHei"/>
          <w:sz w:val="22"/>
          <w:szCs w:val="22"/>
        </w:rPr>
      </w:pPr>
      <w:bookmarkStart w:name="bookmark29" w:id="42"/>
      <w:bookmarkEnd w:id="42"/>
      <w:r>
        <w:rPr>
          <w:rFonts w:ascii="Microsoft YaHei" w:hAnsi="Microsoft YaHei" w:eastAsia="Microsoft YaHei" w:cs="Microsoft YaHei"/>
          <w:sz w:val="22"/>
          <w:szCs w:val="22"/>
          <w:spacing w:val="9"/>
          <w:position w:val="-1"/>
        </w:rPr>
        <w:t>十、绩效管理情况</w:t>
      </w:r>
    </w:p>
    <w:p>
      <w:pPr>
        <w:ind w:left="11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2025年未编报单位整体绩效目标，涉及资金0万元。</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34" w:line="321" w:lineRule="auto"/>
        <w:rPr>
          <w:rFonts w:ascii="FangSong" w:hAnsi="FangSong" w:eastAsia="FangSong" w:cs="FangSong"/>
          <w:sz w:val="23"/>
          <w:szCs w:val="23"/>
        </w:rPr>
      </w:pPr>
      <w:r>
        <w:rPr>
          <w:rFonts w:ascii="FangSong" w:hAnsi="FangSong" w:eastAsia="FangSong" w:cs="FangSong"/>
          <w:sz w:val="23"/>
          <w:szCs w:val="23"/>
          <w:spacing w:val="5"/>
        </w:rPr>
        <w:t>2025年兴县阳光小学纳入绩效目标管理的2级项目5个，共计金额116.22万</w:t>
      </w:r>
      <w:r>
        <w:rPr>
          <w:rFonts w:ascii="FangSong" w:hAnsi="FangSong" w:eastAsia="FangSong" w:cs="FangSong"/>
          <w:sz w:val="23"/>
          <w:szCs w:val="23"/>
          <w:spacing w:val="4"/>
        </w:rPr>
        <w:t>元。其中：其</w:t>
      </w:r>
      <w:r>
        <w:rPr>
          <w:rFonts w:ascii="FangSong" w:hAnsi="FangSong" w:eastAsia="FangSong" w:cs="FangSong"/>
          <w:sz w:val="23"/>
          <w:szCs w:val="23"/>
          <w:spacing w:val="2"/>
        </w:rPr>
        <w:t>他运转类项目0个，涉及金额0万元；特定目标类项目5个，涉及金额116.22万元。公开项目绩</w:t>
      </w:r>
      <w:r>
        <w:rPr>
          <w:rFonts w:ascii="FangSong" w:hAnsi="FangSong" w:eastAsia="FangSong" w:cs="FangSong"/>
          <w:sz w:val="23"/>
          <w:szCs w:val="23"/>
          <w:spacing w:val="1"/>
        </w:rPr>
        <w:t>效目标4个，涉及项目金额116.20万元，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占部门（单位）项目支出总额的99</w:t>
      </w:r>
      <w:r>
        <w:rPr>
          <w:rFonts w:ascii="FangSong" w:hAnsi="FangSong" w:eastAsia="FangSong" w:cs="FangSong"/>
          <w:sz w:val="23"/>
          <w:szCs w:val="23"/>
        </w:rPr>
        <w:t>.98%。其中：其他</w:t>
      </w:r>
    </w:p>
    <w:p>
      <w:pPr>
        <w:ind w:left="664" w:right="1204" w:firstLine="1"/>
        <w:spacing w:before="11" w:line="322" w:lineRule="auto"/>
        <w:rPr>
          <w:rFonts w:ascii="FangSong" w:hAnsi="FangSong" w:eastAsia="FangSong" w:cs="FangSong"/>
          <w:sz w:val="23"/>
          <w:szCs w:val="23"/>
        </w:rPr>
      </w:pPr>
      <w:r>
        <w:rPr>
          <w:rFonts w:ascii="FangSong" w:hAnsi="FangSong" w:eastAsia="FangSong" w:cs="FangSong"/>
          <w:sz w:val="23"/>
          <w:szCs w:val="23"/>
          <w:spacing w:val="-1"/>
        </w:rPr>
        <w:t>运转类项目0个，涉及项目金额0万元；特定目标类项目4个，涉及项目金额116.20万元。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（项目绩效目标表公开情况见附件）</w:t>
      </w:r>
    </w:p>
    <w:p>
      <w:pPr>
        <w:spacing w:line="322" w:lineRule="auto"/>
        <w:sectPr>
          <w:footerReference w:type="default" r:id="rId21"/>
          <w:pgSz w:w="11900" w:h="16840"/>
          <w:pgMar w:top="642" w:right="600" w:bottom="340" w:left="60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4" name="IM 14"/>
            <wp:cNvGraphicFramePr/>
            <a:graphic>
              <a:graphicData uri="http://schemas.openxmlformats.org/drawingml/2006/picture">
                <pic:pic>
                  <pic:nvPicPr>
                    <pic:cNvPr id="14" name="IM 14"/>
                    <pic:cNvPicPr/>
                  </pic:nvPicPr>
                  <pic:blipFill>
                    <a:blip r:embed="rId30"/>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9"/>
          <w:pgSz w:w="11900" w:h="16840"/>
          <w:pgMar w:top="642" w:right="600" w:bottom="340" w:left="600" w:header="326" w:footer="110" w:gutter="0"/>
        </w:sectPr>
        <w:rPr/>
      </w:pPr>
    </w:p>
    <w:p>
      <w:pPr>
        <w:spacing w:line="271" w:lineRule="auto"/>
        <w:rPr>
          <w:rFonts w:ascii="Arial"/>
          <w:sz w:val="21"/>
        </w:rPr>
      </w:pPr>
      <w:r/>
    </w:p>
    <w:p>
      <w:pPr>
        <w:spacing w:line="271"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44"/>
      <w:bookmarkEnd w:id="44"/>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6"/>
        </w:rPr>
        <w:t>截至2025年5月1</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日，兴县阳光小学共有公务用车编制0辆，实有0辆，其中：领导用车0</w:t>
      </w:r>
      <w:r>
        <w:rPr>
          <w:rFonts w:ascii="FangSong" w:hAnsi="FangSong" w:eastAsia="FangSong" w:cs="FangSong"/>
          <w:sz w:val="23"/>
          <w:szCs w:val="23"/>
          <w:spacing w:val="5"/>
        </w:rPr>
        <w:t>辆，机要通信用车0辆，应急保障用车0辆，执法执勤用车0辆，特种专业技术用车0辆，事业</w:t>
      </w:r>
      <w:r>
        <w:rPr>
          <w:rFonts w:ascii="FangSong" w:hAnsi="FangSong" w:eastAsia="FangSong" w:cs="FangSong"/>
          <w:sz w:val="23"/>
          <w:szCs w:val="23"/>
          <w:spacing w:val="-1"/>
        </w:rPr>
        <w:t>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7"/>
        </w:rPr>
        <w:t xml:space="preserve"> </w:t>
      </w:r>
      <w:r>
        <w:rPr>
          <w:rFonts w:ascii="FangSong" w:hAnsi="FangSong" w:eastAsia="FangSong" w:cs="FangSong"/>
          <w:sz w:val="23"/>
          <w:szCs w:val="23"/>
          <w:spacing w:val="-2"/>
        </w:rPr>
        <w:t>日，兴县阳光小学使用的办公用房建筑总面积1600平方米。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7"/>
        </w:rPr>
        <w:t>截至2025年5月1</w:t>
      </w:r>
      <w:r>
        <w:rPr>
          <w:rFonts w:ascii="FangSong" w:hAnsi="FangSong" w:eastAsia="FangSong" w:cs="FangSong"/>
          <w:sz w:val="23"/>
          <w:szCs w:val="23"/>
          <w:spacing w:val="-34"/>
        </w:rPr>
        <w:t xml:space="preserve"> </w:t>
      </w:r>
      <w:r>
        <w:rPr>
          <w:rFonts w:ascii="FangSong" w:hAnsi="FangSong" w:eastAsia="FangSong" w:cs="FangSong"/>
          <w:sz w:val="23"/>
          <w:szCs w:val="23"/>
          <w:spacing w:val="7"/>
        </w:rPr>
        <w:t>日</w:t>
      </w:r>
      <w:r>
        <w:rPr>
          <w:rFonts w:ascii="FangSong" w:hAnsi="FangSong" w:eastAsia="FangSong" w:cs="FangSong"/>
          <w:sz w:val="23"/>
          <w:szCs w:val="23"/>
          <w:spacing w:val="-68"/>
        </w:rPr>
        <w:t xml:space="preserve"> </w:t>
      </w:r>
      <w:r>
        <w:rPr>
          <w:rFonts w:ascii="FangSong" w:hAnsi="FangSong" w:eastAsia="FangSong" w:cs="FangSong"/>
          <w:sz w:val="23"/>
          <w:szCs w:val="23"/>
          <w:spacing w:val="7"/>
        </w:rPr>
        <w:t>，兴县阳光小学</w:t>
      </w:r>
      <w:r>
        <w:rPr>
          <w:rFonts w:ascii="FangSong" w:hAnsi="FangSong" w:eastAsia="FangSong" w:cs="FangSong"/>
          <w:sz w:val="23"/>
          <w:szCs w:val="23"/>
          <w:spacing w:val="-45"/>
        </w:rPr>
        <w:t xml:space="preserve"> </w:t>
      </w:r>
      <w:r>
        <w:rPr>
          <w:rFonts w:ascii="FangSong" w:hAnsi="FangSong" w:eastAsia="FangSong" w:cs="FangSong"/>
          <w:sz w:val="23"/>
          <w:szCs w:val="23"/>
          <w:spacing w:val="7"/>
        </w:rPr>
        <w:t>占有使用价值50万元（原值）</w:t>
      </w:r>
      <w:r>
        <w:rPr>
          <w:rFonts w:ascii="FangSong" w:hAnsi="FangSong" w:eastAsia="FangSong" w:cs="FangSong"/>
          <w:sz w:val="23"/>
          <w:szCs w:val="23"/>
          <w:spacing w:val="-45"/>
        </w:rPr>
        <w:t xml:space="preserve"> </w:t>
      </w:r>
      <w:r>
        <w:rPr>
          <w:rFonts w:ascii="FangSong" w:hAnsi="FangSong" w:eastAsia="FangSong" w:cs="FangSong"/>
          <w:sz w:val="23"/>
          <w:szCs w:val="23"/>
          <w:spacing w:val="7"/>
        </w:rPr>
        <w:t>以上的通用设备0台</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兴县阳光小学占有使用价值100万元（原值）以上的通用设备0台（套）。</w:t>
      </w:r>
    </w:p>
    <w:p>
      <w:pPr>
        <w:ind w:left="660"/>
        <w:spacing w:line="227" w:lineRule="exact"/>
        <w:outlineLvl w:val="1"/>
        <w:rPr>
          <w:rFonts w:ascii="Microsoft YaHei" w:hAnsi="Microsoft YaHei" w:eastAsia="Microsoft YaHei" w:cs="Microsoft YaHei"/>
          <w:sz w:val="22"/>
          <w:szCs w:val="22"/>
        </w:rPr>
      </w:pPr>
      <w:bookmarkStart w:name="bookmark31" w:id="45"/>
      <w:bookmarkEnd w:id="45"/>
      <w:r>
        <w:rPr>
          <w:rFonts w:ascii="Microsoft YaHei" w:hAnsi="Microsoft YaHei" w:eastAsia="Microsoft YaHei" w:cs="Microsoft YaHei"/>
          <w:sz w:val="22"/>
          <w:szCs w:val="22"/>
          <w:spacing w:val="7"/>
          <w:position w:val="-1"/>
        </w:rPr>
        <w:t>十二、其他说明</w:t>
      </w:r>
    </w:p>
    <w:p>
      <w:pPr>
        <w:ind w:left="1125"/>
        <w:spacing w:before="185" w:line="221" w:lineRule="auto"/>
        <w:outlineLvl w:val="2"/>
        <w:rPr>
          <w:rFonts w:ascii="FangSong" w:hAnsi="FangSong" w:eastAsia="FangSong" w:cs="FangSong"/>
          <w:sz w:val="23"/>
          <w:szCs w:val="23"/>
        </w:rPr>
      </w:pPr>
      <w:bookmarkStart w:name="bookmark32" w:id="46"/>
      <w:bookmarkEnd w:id="46"/>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8" w:line="222" w:lineRule="auto"/>
        <w:outlineLvl w:val="2"/>
        <w:rPr>
          <w:rFonts w:ascii="FangSong" w:hAnsi="FangSong" w:eastAsia="FangSong" w:cs="FangSong"/>
          <w:sz w:val="23"/>
          <w:szCs w:val="23"/>
        </w:rPr>
      </w:pPr>
      <w:bookmarkStart w:name="bookmark33" w:id="47"/>
      <w:bookmarkEnd w:id="47"/>
      <w:r>
        <w:rPr>
          <w:rFonts w:ascii="FangSong" w:hAnsi="FangSong" w:eastAsia="FangSong" w:cs="FangSong"/>
          <w:sz w:val="23"/>
          <w:szCs w:val="23"/>
          <w:spacing w:val="-3"/>
        </w:rPr>
        <w:t>（二）其他</w:t>
      </w:r>
    </w:p>
    <w:p>
      <w:pPr>
        <w:ind w:left="11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31"/>
          <w:pgSz w:w="11900" w:h="16840"/>
          <w:pgMar w:top="642" w:right="600" w:bottom="340" w:left="600" w:header="326" w:footer="110"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4"/>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6"/>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38"/>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0"/>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918"/>
        <w:spacing w:line="13428" w:lineRule="exact"/>
        <w:rPr/>
      </w:pPr>
      <w:r>
        <w:rPr>
          <w:position w:val="-268"/>
        </w:rPr>
        <w:drawing>
          <wp:inline distT="0" distB="0" distL="0" distR="0">
            <wp:extent cx="5643274" cy="8526698"/>
            <wp:effectExtent l="0" t="0" r="0" b="0"/>
            <wp:docPr id="28" name="IM 28"/>
            <wp:cNvGraphicFramePr/>
            <a:graphic>
              <a:graphicData uri="http://schemas.openxmlformats.org/drawingml/2006/picture">
                <pic:pic>
                  <pic:nvPicPr>
                    <pic:cNvPr id="28" name="IM 28"/>
                    <pic:cNvPicPr/>
                  </pic:nvPicPr>
                  <pic:blipFill>
                    <a:blip r:embed="rId45"/>
                    <a:stretch>
                      <a:fillRect/>
                    </a:stretch>
                  </pic:blipFill>
                  <pic:spPr>
                    <a:xfrm rot="0">
                      <a:off x="0" y="0"/>
                      <a:ext cx="5643274" cy="8526698"/>
                    </a:xfrm>
                    <a:prstGeom prst="rect">
                      <a:avLst/>
                    </a:prstGeom>
                  </pic:spPr>
                </pic:pic>
              </a:graphicData>
            </a:graphic>
          </wp:inline>
        </w:drawing>
      </w:r>
    </w:p>
    <w:p>
      <w:pPr>
        <w:spacing w:line="13428" w:lineRule="exact"/>
        <w:sectPr>
          <w:footerReference w:type="default" r:id="rId44"/>
          <w:pgSz w:w="11900" w:h="16840"/>
          <w:pgMar w:top="642" w:right="600" w:bottom="340" w:left="600" w:header="326" w:footer="111" w:gutter="0"/>
        </w:sectPr>
        <w:rPr/>
      </w:pPr>
    </w:p>
    <w:p>
      <w:pPr>
        <w:spacing w:line="269" w:lineRule="auto"/>
        <w:rPr>
          <w:rFonts w:ascii="Arial"/>
          <w:sz w:val="21"/>
        </w:rPr>
      </w:pPr>
      <w:r/>
    </w:p>
    <w:p>
      <w:pPr>
        <w:spacing w:line="270"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46"/>
      <w:pgSz w:w="11900" w:h="16840"/>
      <w:pgMar w:top="642" w:right="600" w:bottom="340" w:left="60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bookmarkStart w:name="bookmark48" w:id="43"/>
    <w:bookmarkEnd w:id="43"/>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bookmarkStart w:name="bookmark49" w:id="48"/>
    <w:bookmarkEnd w:id="48"/>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兴县阳光小学2025年单位预算公开报告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sz w:val="16"/>
        <w:szCs w:val="16"/>
        <w:spacing w:val="-2"/>
        <w:position w:val="1"/>
      </w:rPr>
      <w:t>兴县阳光小学2025年单位预算公开报告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styles" Target="styles.xml"/><Relationship Id="rId47" Type="http://schemas.openxmlformats.org/officeDocument/2006/relationships/settings" Target="settings.xml"/><Relationship Id="rId46" Type="http://schemas.openxmlformats.org/officeDocument/2006/relationships/footer" Target="footer30.xml"/><Relationship Id="rId45" Type="http://schemas.openxmlformats.org/officeDocument/2006/relationships/image" Target="media/image14.png"/><Relationship Id="rId44" Type="http://schemas.openxmlformats.org/officeDocument/2006/relationships/footer" Target="footer29.xml"/><Relationship Id="rId43" Type="http://schemas.openxmlformats.org/officeDocument/2006/relationships/image" Target="media/image13.png"/><Relationship Id="rId42" Type="http://schemas.openxmlformats.org/officeDocument/2006/relationships/footer" Target="footer28.xml"/><Relationship Id="rId41" Type="http://schemas.openxmlformats.org/officeDocument/2006/relationships/image" Target="media/image12.png"/><Relationship Id="rId40" Type="http://schemas.openxmlformats.org/officeDocument/2006/relationships/footer" Target="footer27.xml"/><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image" Target="media/image6.png"/><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2025-09-27T17:00:51Z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2025-10-26T21:14:49</vt:filetime>
  </property>
</Properties>
</file>