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pStyle w:val="BodyText"/>
        <w:ind w:left="2027"/>
        <w:spacing w:before="140" w:line="218" w:lineRule="auto"/>
        <w:rPr/>
      </w:pPr>
      <w:r>
        <w:rPr>
          <w:spacing w:val="99"/>
        </w:rPr>
        <w:t>兴县应急减灾中心</w:t>
      </w:r>
    </w:p>
    <w:p>
      <w:pPr>
        <w:spacing w:line="382" w:lineRule="auto"/>
        <w:rPr>
          <w:rFonts w:ascii="Arial"/>
          <w:sz w:val="21"/>
        </w:rPr>
      </w:pPr>
      <w:r/>
    </w:p>
    <w:p>
      <w:pPr>
        <w:pStyle w:val="BodyText"/>
        <w:ind w:left="1294"/>
        <w:spacing w:before="140" w:line="583" w:lineRule="exact"/>
        <w:rPr/>
      </w:pPr>
      <w:r>
        <w:rPr>
          <w:spacing w:val="7"/>
          <w:position w:val="2"/>
        </w:rPr>
        <w:t>2</w:t>
      </w:r>
      <w:r>
        <w:rPr>
          <w:spacing w:val="-88"/>
          <w:position w:val="2"/>
        </w:rPr>
        <w:t xml:space="preserve"> </w:t>
      </w:r>
      <w:r>
        <w:rPr>
          <w:spacing w:val="7"/>
          <w:position w:val="2"/>
        </w:rPr>
        <w:t>0</w:t>
      </w:r>
      <w:r>
        <w:rPr>
          <w:spacing w:val="-93"/>
          <w:position w:val="2"/>
        </w:rPr>
        <w:t xml:space="preserve"> </w:t>
      </w:r>
      <w:r>
        <w:rPr>
          <w:spacing w:val="7"/>
          <w:position w:val="2"/>
        </w:rPr>
        <w:t>2</w:t>
      </w:r>
      <w:r>
        <w:rPr>
          <w:spacing w:val="-77"/>
          <w:position w:val="2"/>
        </w:rPr>
        <w:t xml:space="preserve"> </w:t>
      </w:r>
      <w:r>
        <w:rPr>
          <w:spacing w:val="7"/>
          <w:position w:val="2"/>
        </w:rPr>
        <w:t>5</w:t>
      </w:r>
      <w:r>
        <w:rPr>
          <w:spacing w:val="-98"/>
          <w:position w:val="2"/>
        </w:rPr>
        <w:t xml:space="preserve"> </w:t>
      </w:r>
      <w:r>
        <w:rPr>
          <w:spacing w:val="7"/>
          <w:position w:val="2"/>
        </w:rPr>
        <w:t>年</w:t>
      </w:r>
      <w:r>
        <w:rPr>
          <w:spacing w:val="-96"/>
          <w:position w:val="2"/>
        </w:rPr>
        <w:t xml:space="preserve"> </w:t>
      </w:r>
      <w:r>
        <w:rPr>
          <w:spacing w:val="7"/>
          <w:position w:val="2"/>
        </w:rPr>
        <w:t>度</w:t>
      </w:r>
      <w:r>
        <w:rPr>
          <w:spacing w:val="-95"/>
          <w:position w:val="2"/>
        </w:rPr>
        <w:t xml:space="preserve"> </w:t>
      </w:r>
      <w:r>
        <w:rPr>
          <w:spacing w:val="7"/>
          <w:position w:val="2"/>
        </w:rPr>
        <w:t>单</w:t>
      </w:r>
      <w:r>
        <w:rPr>
          <w:spacing w:val="-104"/>
          <w:position w:val="2"/>
        </w:rPr>
        <w:t xml:space="preserve"> </w:t>
      </w:r>
      <w:r>
        <w:rPr>
          <w:spacing w:val="7"/>
          <w:position w:val="2"/>
        </w:rPr>
        <w:t>位</w:t>
      </w:r>
      <w:r>
        <w:rPr>
          <w:spacing w:val="-108"/>
          <w:position w:val="2"/>
        </w:rPr>
        <w:t xml:space="preserve"> </w:t>
      </w:r>
      <w:r>
        <w:rPr>
          <w:spacing w:val="7"/>
          <w:position w:val="2"/>
        </w:rPr>
        <w:t>预</w:t>
      </w:r>
      <w:r>
        <w:rPr>
          <w:spacing w:val="-94"/>
          <w:position w:val="2"/>
        </w:rPr>
        <w:t xml:space="preserve"> </w:t>
      </w:r>
      <w:r>
        <w:rPr>
          <w:spacing w:val="7"/>
          <w:position w:val="2"/>
        </w:rPr>
        <w:t>算</w:t>
      </w:r>
      <w:r>
        <w:rPr>
          <w:spacing w:val="-104"/>
          <w:position w:val="2"/>
        </w:rPr>
        <w:t xml:space="preserve"> </w:t>
      </w:r>
      <w:r>
        <w:rPr>
          <w:spacing w:val="7"/>
          <w:position w:val="2"/>
        </w:rPr>
        <w:t>公</w:t>
      </w:r>
      <w:r>
        <w:rPr>
          <w:spacing w:val="-98"/>
          <w:position w:val="2"/>
        </w:rPr>
        <w:t xml:space="preserve"> </w:t>
      </w:r>
      <w:r>
        <w:rPr>
          <w:spacing w:val="7"/>
          <w:position w:val="2"/>
        </w:rPr>
        <w:t>开</w:t>
      </w:r>
    </w:p>
    <w:p>
      <w:pPr>
        <w:spacing w:line="583" w:lineRule="exact"/>
        <w:sectPr>
          <w:pgSz w:w="11900" w:h="16840"/>
          <w:pgMar w:top="1431" w:right="1785" w:bottom="0" w:left="1785" w:header="0" w:footer="0" w:gutter="0"/>
        </w:sectPr>
        <w:rPr/>
      </w:pPr>
    </w:p>
    <w:p>
      <w:pPr>
        <w:ind w:left="3977"/>
        <w:spacing w:before="10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1"/>
            <w:spacing w:before="104" w:line="222" w:lineRule="auto"/>
            <w:tabs>
              <w:tab w:val="right" w:leader="dot" w:pos="9235"/>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42"/>
            <w:spacing w:before="114" w:line="221" w:lineRule="auto"/>
            <w:tabs>
              <w:tab w:val="right" w:leader="dot" w:pos="9235"/>
            </w:tabs>
            <w:rPr>
              <w:rFonts w:ascii="FangSong" w:hAnsi="FangSong" w:eastAsia="FangSong" w:cs="FangSong"/>
              <w:sz w:val="32"/>
              <w:szCs w:val="32"/>
            </w:rPr>
          </w:pPr>
          <w:hyperlink w:history="true" w:anchor="bookmark2">
            <w:r>
              <w:rPr>
                <w:rFonts w:ascii="FangSong" w:hAnsi="FangSong" w:eastAsia="FangSong" w:cs="FangSong"/>
                <w:sz w:val="32"/>
                <w:szCs w:val="32"/>
                <w:spacing w:val="-8"/>
              </w:rPr>
              <w:t>一、本单位职责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35"/>
              </w:rPr>
              <w:t>1</w:t>
            </w:r>
          </w:hyperlink>
        </w:p>
        <w:p>
          <w:pPr>
            <w:ind w:left="647"/>
            <w:spacing w:before="117" w:line="222" w:lineRule="auto"/>
            <w:tabs>
              <w:tab w:val="right" w:leader="dot" w:pos="9235"/>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35"/>
              </w:rPr>
              <w:t>1</w:t>
            </w:r>
          </w:hyperlink>
        </w:p>
        <w:p>
          <w:pPr>
            <w:ind w:left="11"/>
            <w:spacing w:before="114" w:line="221" w:lineRule="auto"/>
            <w:tabs>
              <w:tab w:val="right" w:leader="dot" w:pos="9235"/>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2025年单位预算报表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3"/>
              </w:rPr>
              <w:t xml:space="preserve"> </w:t>
            </w:r>
            <w:r>
              <w:rPr>
                <w:rFonts w:ascii="FangSong" w:hAnsi="FangSong" w:eastAsia="FangSong" w:cs="FangSong"/>
                <w:sz w:val="32"/>
                <w:szCs w:val="32"/>
                <w:b/>
                <w:bCs/>
                <w:spacing w:val="-21"/>
              </w:rPr>
              <w:t>3</w:t>
            </w:r>
          </w:hyperlink>
        </w:p>
        <w:p>
          <w:pPr>
            <w:ind w:left="640"/>
            <w:spacing w:before="116" w:line="222" w:lineRule="auto"/>
            <w:tabs>
              <w:tab w:val="right" w:leader="dot" w:pos="9235"/>
            </w:tabs>
            <w:rPr>
              <w:rFonts w:ascii="FangSong" w:hAnsi="FangSong" w:eastAsia="FangSong" w:cs="FangSong"/>
              <w:sz w:val="32"/>
              <w:szCs w:val="32"/>
            </w:rPr>
          </w:pPr>
          <w:hyperlink w:history="true" w:anchor="bookmark5">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5</w:t>
            </w:r>
          </w:hyperlink>
        </w:p>
        <w:p>
          <w:pPr>
            <w:ind w:left="640"/>
            <w:spacing w:before="116" w:line="222" w:lineRule="auto"/>
            <w:tabs>
              <w:tab w:val="right" w:leader="dot" w:pos="9235"/>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1"/>
              </w:rPr>
              <w:t xml:space="preserve"> </w:t>
            </w:r>
            <w:r>
              <w:rPr>
                <w:rFonts w:ascii="FangSong" w:hAnsi="FangSong" w:eastAsia="FangSong" w:cs="FangSong"/>
                <w:sz w:val="32"/>
                <w:szCs w:val="32"/>
                <w:spacing w:val="-14"/>
              </w:rPr>
              <w:t>6</w:t>
            </w:r>
          </w:hyperlink>
        </w:p>
        <w:p>
          <w:pPr>
            <w:ind w:left="640"/>
            <w:spacing w:before="116" w:line="222" w:lineRule="auto"/>
            <w:tabs>
              <w:tab w:val="right" w:leader="dot" w:pos="9235"/>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19"/>
              </w:rPr>
              <w:t>7</w:t>
            </w:r>
          </w:hyperlink>
        </w:p>
        <w:p>
          <w:pPr>
            <w:ind w:left="640"/>
            <w:spacing w:before="114" w:line="219" w:lineRule="auto"/>
            <w:tabs>
              <w:tab w:val="right" w:leader="dot" w:pos="9235"/>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表五2025年一般公共预算支出预算表（不含上年结转）</w:t>
            </w:r>
            <w:r>
              <w:rPr>
                <w:rFonts w:ascii="FangSong" w:hAnsi="FangSong" w:eastAsia="FangSong" w:cs="FangSong"/>
                <w:sz w:val="32"/>
                <w:szCs w:val="32"/>
              </w:rPr>
              <w:tab/>
            </w:r>
            <w:r>
              <w:rPr>
                <w:rFonts w:ascii="FangSong" w:hAnsi="FangSong" w:eastAsia="FangSong" w:cs="FangSong"/>
                <w:sz w:val="32"/>
                <w:szCs w:val="32"/>
                <w:spacing w:val="-10"/>
              </w:rPr>
              <w:t>9</w:t>
            </w:r>
          </w:hyperlink>
        </w:p>
        <w:p>
          <w:pPr>
            <w:ind w:left="640"/>
            <w:spacing w:before="121" w:line="221" w:lineRule="auto"/>
            <w:rPr>
              <w:rFonts w:ascii="FangSong" w:hAnsi="FangSong" w:eastAsia="FangSong" w:cs="FangSong"/>
              <w:sz w:val="32"/>
              <w:szCs w:val="32"/>
            </w:rPr>
          </w:pPr>
          <w:hyperlink w:history="true" w:anchor="bookmark10">
            <w:r>
              <w:rPr>
                <w:rFonts w:ascii="FangSong" w:hAnsi="FangSong" w:eastAsia="FangSong" w:cs="FangSong"/>
                <w:sz w:val="32"/>
                <w:szCs w:val="32"/>
                <w:spacing w:val="-1"/>
              </w:rPr>
              <w:t>表六2025年一般公共预算安排基本支出分经济科目表（不含</w:t>
            </w:r>
          </w:hyperlink>
        </w:p>
        <w:p>
          <w:pPr>
            <w:spacing w:before="117" w:line="219" w:lineRule="auto"/>
            <w:tabs>
              <w:tab w:val="right" w:leader="dot" w:pos="9235"/>
            </w:tabs>
            <w:rPr>
              <w:rFonts w:ascii="FangSong" w:hAnsi="FangSong" w:eastAsia="FangSong" w:cs="FangSong"/>
              <w:sz w:val="32"/>
              <w:szCs w:val="32"/>
            </w:rPr>
          </w:pPr>
          <w:hyperlink w:history="true" w:anchor="bookmark11">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10</w:t>
            </w:r>
          </w:hyperlink>
        </w:p>
        <w:p>
          <w:pPr>
            <w:ind w:left="640"/>
            <w:spacing w:before="120" w:line="219" w:lineRule="auto"/>
            <w:tabs>
              <w:tab w:val="right" w:leader="dot" w:pos="9235"/>
            </w:tabs>
            <w:rPr>
              <w:rFonts w:ascii="FangSong" w:hAnsi="FangSong" w:eastAsia="FangSong" w:cs="FangSong"/>
              <w:sz w:val="32"/>
              <w:szCs w:val="32"/>
            </w:rPr>
          </w:pPr>
          <w:hyperlink w:history="true" w:anchor="bookmark12">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11</w:t>
            </w:r>
          </w:hyperlink>
        </w:p>
        <w:p>
          <w:pPr>
            <w:ind w:left="640"/>
            <w:spacing w:before="120" w:line="219" w:lineRule="auto"/>
            <w:tabs>
              <w:tab w:val="right" w:leader="dot" w:pos="9235"/>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12</w:t>
            </w:r>
          </w:hyperlink>
        </w:p>
      </w:sdtContent>
    </w:sdt>
    <w:p>
      <w:pPr>
        <w:ind w:left="11" w:right="1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40"/>
            <w:spacing w:before="1" w:line="221" w:lineRule="auto"/>
            <w:tabs>
              <w:tab w:val="right" w:leader="dot" w:pos="9235"/>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18"/>
              </w:rPr>
              <w:t>13</w:t>
            </w:r>
          </w:hyperlink>
        </w:p>
        <w:p>
          <w:pPr>
            <w:ind w:left="640"/>
            <w:spacing w:before="116" w:line="221" w:lineRule="auto"/>
            <w:tabs>
              <w:tab w:val="right" w:leader="dot" w:pos="9235"/>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40"/>
            <w:spacing w:before="116" w:line="222" w:lineRule="auto"/>
            <w:tabs>
              <w:tab w:val="right" w:leader="dot" w:pos="9235"/>
            </w:tabs>
            <w:rPr>
              <w:rFonts w:ascii="FangSong" w:hAnsi="FangSong" w:eastAsia="FangSong" w:cs="FangSong"/>
              <w:sz w:val="32"/>
              <w:szCs w:val="32"/>
            </w:rPr>
          </w:pPr>
          <w:hyperlink w:history="true" w:anchor="bookmark16">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15</w:t>
            </w:r>
          </w:hyperlink>
        </w:p>
        <w:p>
          <w:pPr>
            <w:ind w:left="640"/>
            <w:spacing w:before="115" w:line="219" w:lineRule="auto"/>
            <w:tabs>
              <w:tab w:val="right" w:leader="dot" w:pos="9235"/>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16</w:t>
            </w:r>
          </w:hyperlink>
        </w:p>
        <w:p>
          <w:pPr>
            <w:ind w:left="11"/>
            <w:spacing w:before="121" w:line="221" w:lineRule="auto"/>
            <w:tabs>
              <w:tab w:val="right" w:leader="dot" w:pos="9235"/>
            </w:tabs>
            <w:rPr>
              <w:rFonts w:ascii="FangSong" w:hAnsi="FangSong" w:eastAsia="FangSong" w:cs="FangSong"/>
              <w:sz w:val="32"/>
              <w:szCs w:val="32"/>
            </w:rPr>
          </w:pPr>
          <w:hyperlink w:history="true" w:anchor="bookmark18">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2025年度单位预算情况说明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21"/>
              </w:rPr>
              <w:t>17</w:t>
            </w:r>
          </w:hyperlink>
        </w:p>
        <w:p>
          <w:pPr>
            <w:ind w:left="642"/>
            <w:spacing w:before="117" w:line="221" w:lineRule="auto"/>
            <w:tabs>
              <w:tab w:val="right" w:leader="dot" w:pos="9235"/>
            </w:tabs>
            <w:rPr>
              <w:rFonts w:ascii="FangSong" w:hAnsi="FangSong" w:eastAsia="FangSong" w:cs="FangSong"/>
              <w:sz w:val="32"/>
              <w:szCs w:val="32"/>
            </w:rPr>
          </w:pPr>
          <w:hyperlink w:history="true" w:anchor="bookmark19">
            <w:r>
              <w:rPr>
                <w:rFonts w:ascii="FangSong" w:hAnsi="FangSong" w:eastAsia="FangSong" w:cs="FangSong"/>
                <w:sz w:val="32"/>
                <w:szCs w:val="32"/>
                <w:spacing w:val="-5"/>
              </w:rPr>
              <w:t>一、单位预算收支数据变动情况及原因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17</w:t>
            </w:r>
          </w:hyperlink>
        </w:p>
        <w:p>
          <w:pPr>
            <w:ind w:left="647"/>
            <w:spacing w:before="117" w:line="222" w:lineRule="auto"/>
            <w:tabs>
              <w:tab w:val="right" w:leader="dot" w:pos="9235"/>
            </w:tabs>
            <w:rPr>
              <w:rFonts w:ascii="FangSong" w:hAnsi="FangSong" w:eastAsia="FangSong" w:cs="FangSong"/>
              <w:sz w:val="32"/>
              <w:szCs w:val="32"/>
            </w:rPr>
          </w:pPr>
          <w:hyperlink w:history="true" w:anchor="bookmark20">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17</w:t>
            </w:r>
          </w:hyperlink>
        </w:p>
        <w:p>
          <w:pPr>
            <w:ind w:left="646"/>
            <w:spacing w:before="115" w:line="222" w:lineRule="auto"/>
            <w:tabs>
              <w:tab w:val="right" w:leader="dot" w:pos="9235"/>
            </w:tabs>
            <w:rPr>
              <w:rFonts w:ascii="FangSong" w:hAnsi="FangSong" w:eastAsia="FangSong" w:cs="FangSong"/>
              <w:sz w:val="32"/>
              <w:szCs w:val="32"/>
            </w:rPr>
          </w:pPr>
          <w:hyperlink w:history="true" w:anchor="bookmark21">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17</w:t>
            </w:r>
          </w:hyperlink>
        </w:p>
        <w:p>
          <w:pPr>
            <w:ind w:left="675"/>
            <w:spacing w:before="115" w:line="222" w:lineRule="auto"/>
            <w:tabs>
              <w:tab w:val="right" w:leader="dot" w:pos="9235"/>
            </w:tabs>
            <w:rPr>
              <w:rFonts w:ascii="FangSong" w:hAnsi="FangSong" w:eastAsia="FangSong" w:cs="FangSong"/>
              <w:sz w:val="32"/>
              <w:szCs w:val="32"/>
            </w:rPr>
          </w:pPr>
          <w:hyperlink w:history="true" w:anchor="bookmark22">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17</w:t>
            </w:r>
          </w:hyperlink>
        </w:p>
        <w:p>
          <w:pPr>
            <w:ind w:left="642"/>
            <w:spacing w:before="115" w:line="222" w:lineRule="auto"/>
            <w:tabs>
              <w:tab w:val="right" w:leader="dot" w:pos="9235"/>
            </w:tabs>
            <w:rPr>
              <w:rFonts w:ascii="FangSong" w:hAnsi="FangSong" w:eastAsia="FangSong" w:cs="FangSong"/>
              <w:sz w:val="32"/>
              <w:szCs w:val="32"/>
            </w:rPr>
          </w:pPr>
          <w:hyperlink w:history="true" w:anchor="bookmark23">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17</w:t>
            </w:r>
          </w:hyperlink>
        </w:p>
        <w:p>
          <w:pPr>
            <w:ind w:left="640"/>
            <w:spacing w:before="115" w:line="222" w:lineRule="auto"/>
            <w:tabs>
              <w:tab w:val="right" w:leader="dot" w:pos="9235"/>
            </w:tabs>
            <w:rPr>
              <w:rFonts w:ascii="FangSong" w:hAnsi="FangSong" w:eastAsia="FangSong" w:cs="FangSong"/>
              <w:sz w:val="32"/>
              <w:szCs w:val="32"/>
            </w:rPr>
          </w:pPr>
          <w:hyperlink w:history="true" w:anchor="bookmark24">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18</w:t>
            </w:r>
          </w:hyperlink>
        </w:p>
        <w:p>
          <w:pPr>
            <w:ind w:left="643"/>
            <w:spacing w:before="116" w:line="223" w:lineRule="auto"/>
            <w:tabs>
              <w:tab w:val="right" w:leader="dot" w:pos="9235"/>
            </w:tabs>
            <w:rPr>
              <w:rFonts w:ascii="FangSong" w:hAnsi="FangSong" w:eastAsia="FangSong" w:cs="FangSong"/>
              <w:sz w:val="32"/>
              <w:szCs w:val="32"/>
            </w:rPr>
          </w:pPr>
          <w:hyperlink w:history="true" w:anchor="bookmark25">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18</w:t>
            </w:r>
          </w:hyperlink>
        </w:p>
        <w:p>
          <w:pPr>
            <w:ind w:left="636"/>
            <w:spacing w:before="114" w:line="221" w:lineRule="auto"/>
            <w:tabs>
              <w:tab w:val="right" w:leader="dot" w:pos="9235"/>
            </w:tabs>
            <w:rPr>
              <w:rFonts w:ascii="FangSong" w:hAnsi="FangSong" w:eastAsia="FangSong" w:cs="FangSong"/>
              <w:sz w:val="32"/>
              <w:szCs w:val="32"/>
            </w:rPr>
          </w:pPr>
          <w:hyperlink w:history="true" w:anchor="bookmark26">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18</w:t>
            </w:r>
          </w:hyperlink>
        </w:p>
      </w:sdtContent>
    </w:sdt>
    <w:p>
      <w:pPr>
        <w:spacing w:line="221" w:lineRule="auto"/>
        <w:sectPr>
          <w:pgSz w:w="11900" w:h="16840"/>
          <w:pgMar w:top="938" w:right="1320" w:bottom="0" w:left="1343" w:header="0" w:footer="0" w:gutter="0"/>
        </w:sectPr>
        <w:rPr>
          <w:rFonts w:ascii="FangSong" w:hAnsi="FangSong" w:eastAsia="FangSong" w:cs="FangSong"/>
          <w:sz w:val="32"/>
          <w:szCs w:val="32"/>
        </w:rPr>
      </w:pP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37"/>
            <w:spacing w:before="66" w:line="222" w:lineRule="auto"/>
            <w:tabs>
              <w:tab w:val="right" w:leader="dot" w:pos="9225"/>
            </w:tabs>
            <w:rPr>
              <w:rFonts w:ascii="FangSong" w:hAnsi="FangSong" w:eastAsia="FangSong" w:cs="FangSong"/>
              <w:sz w:val="32"/>
              <w:szCs w:val="32"/>
            </w:rPr>
          </w:pPr>
          <w:bookmarkStart w:name="bookmark27" w:id="1"/>
          <w:bookmarkEnd w:id="1"/>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spacing w:val="-18"/>
              </w:rPr>
              <w:t>18</w:t>
            </w:r>
          </w:hyperlink>
        </w:p>
        <w:p>
          <w:pPr>
            <w:ind w:left="635"/>
            <w:spacing w:before="115" w:line="222" w:lineRule="auto"/>
            <w:tabs>
              <w:tab w:val="right" w:leader="dot" w:pos="9225"/>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spacing w:val="-18"/>
              </w:rPr>
              <w:t>18</w:t>
            </w:r>
          </w:hyperlink>
        </w:p>
        <w:p>
          <w:pPr>
            <w:ind w:left="635"/>
            <w:spacing w:before="115" w:line="222" w:lineRule="auto"/>
            <w:tabs>
              <w:tab w:val="right" w:leader="dot" w:pos="9225"/>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5"/>
              </w:rPr>
              <w:t>28</w:t>
            </w:r>
          </w:hyperlink>
        </w:p>
        <w:p>
          <w:pPr>
            <w:ind w:left="635"/>
            <w:spacing w:before="113" w:line="222" w:lineRule="auto"/>
            <w:tabs>
              <w:tab w:val="right" w:leader="dot" w:pos="9225"/>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28</w:t>
            </w:r>
          </w:hyperlink>
        </w:p>
        <w:p>
          <w:pPr>
            <w:ind w:left="1266"/>
            <w:spacing w:before="116" w:line="220" w:lineRule="auto"/>
            <w:tabs>
              <w:tab w:val="right" w:leader="dot" w:pos="9225"/>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28</w:t>
            </w:r>
          </w:hyperlink>
        </w:p>
        <w:p>
          <w:pPr>
            <w:ind w:left="1266"/>
            <w:spacing w:before="117" w:line="222" w:lineRule="auto"/>
            <w:tabs>
              <w:tab w:val="right" w:leader="dot" w:pos="9225"/>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28</w:t>
            </w:r>
          </w:hyperlink>
        </w:p>
        <w:p>
          <w:pPr>
            <w:spacing w:before="116" w:line="222" w:lineRule="auto"/>
            <w:tabs>
              <w:tab w:val="right" w:leader="dot" w:pos="9225"/>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8"/>
              </w:rPr>
              <w:t xml:space="preserve"> </w:t>
            </w:r>
            <w:r>
              <w:rPr>
                <w:rFonts w:ascii="FangSong" w:hAnsi="FangSong" w:eastAsia="FangSong" w:cs="FangSong"/>
                <w:sz w:val="32"/>
                <w:szCs w:val="32"/>
                <w:b/>
                <w:bCs/>
                <w:spacing w:val="-10"/>
              </w:rPr>
              <w:t>87</w:t>
            </w:r>
          </w:hyperlink>
        </w:p>
      </w:sdtContent>
    </w:sdt>
    <w:p>
      <w:pPr>
        <w:spacing w:line="222" w:lineRule="auto"/>
        <w:sectPr>
          <w:pgSz w:w="11900" w:h="16840"/>
          <w:pgMar w:top="879" w:right="1320" w:bottom="0" w:left="1354" w:header="0" w:footer="0" w:gutter="0"/>
        </w:sectPr>
        <w:rPr>
          <w:rFonts w:ascii="FangSong" w:hAnsi="FangSong" w:eastAsia="FangSong" w:cs="FangSong"/>
          <w:sz w:val="32"/>
          <w:szCs w:val="32"/>
        </w:rPr>
      </w:pPr>
    </w:p>
    <w:p>
      <w:pPr>
        <w:spacing w:line="266" w:lineRule="auto"/>
        <w:rPr>
          <w:rFonts w:ascii="Arial"/>
          <w:sz w:val="21"/>
        </w:rPr>
      </w:pPr>
      <w:r/>
    </w:p>
    <w:p>
      <w:pPr>
        <w:spacing w:line="266" w:lineRule="auto"/>
        <w:rPr>
          <w:rFonts w:ascii="Arial"/>
          <w:sz w:val="21"/>
        </w:rPr>
      </w:pPr>
      <w:r/>
    </w:p>
    <w:p>
      <w:pPr>
        <w:ind w:left="4587"/>
        <w:spacing w:before="99" w:line="238" w:lineRule="exact"/>
        <w:outlineLvl w:val="0"/>
        <w:rPr>
          <w:rFonts w:ascii="Microsoft YaHei" w:hAnsi="Microsoft YaHei" w:eastAsia="Microsoft YaHei" w:cs="Microsoft YaHei"/>
          <w:sz w:val="23"/>
          <w:szCs w:val="23"/>
        </w:rPr>
      </w:pPr>
      <w:bookmarkStart w:name="bookmark1" w:id="2"/>
      <w:bookmarkEnd w:id="2"/>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spacing w:line="255" w:lineRule="auto"/>
        <w:rPr>
          <w:rFonts w:ascii="Arial"/>
          <w:sz w:val="21"/>
        </w:rPr>
      </w:pPr>
      <w:r/>
    </w:p>
    <w:p>
      <w:pPr>
        <w:ind w:left="913"/>
        <w:spacing w:before="78" w:line="221" w:lineRule="auto"/>
        <w:outlineLvl w:val="1"/>
        <w:rPr>
          <w:rFonts w:ascii="SimHei" w:hAnsi="SimHei" w:eastAsia="SimHei" w:cs="SimHei"/>
          <w:sz w:val="24"/>
          <w:szCs w:val="24"/>
        </w:rPr>
      </w:pPr>
      <w:bookmarkStart w:name="bookmark2" w:id="3"/>
      <w:bookmarkEnd w:id="3"/>
      <w:r>
        <w:rPr>
          <w:rFonts w:ascii="SimHei" w:hAnsi="SimHei" w:eastAsia="SimHei" w:cs="SimHei"/>
          <w:sz w:val="24"/>
          <w:szCs w:val="24"/>
          <w:spacing w:val="-4"/>
        </w:rPr>
        <w:t>一、本单位职责</w:t>
      </w:r>
    </w:p>
    <w:p>
      <w:pPr>
        <w:ind w:left="916" w:right="874" w:hanging="1"/>
        <w:spacing w:before="282" w:line="282" w:lineRule="auto"/>
        <w:rPr>
          <w:rFonts w:ascii="FangSong" w:hAnsi="FangSong" w:eastAsia="FangSong" w:cs="FangSong"/>
          <w:sz w:val="24"/>
          <w:szCs w:val="24"/>
        </w:rPr>
      </w:pPr>
      <w:r>
        <w:rPr>
          <w:rFonts w:ascii="FangSong" w:hAnsi="FangSong" w:eastAsia="FangSong" w:cs="FangSong"/>
          <w:sz w:val="24"/>
          <w:szCs w:val="24"/>
          <w:spacing w:val="1"/>
        </w:rPr>
        <w:t>（一）贯彻执行国家、省、市安全生产类和自然灾害类应急救援</w:t>
      </w:r>
      <w:r>
        <w:rPr>
          <w:rFonts w:ascii="FangSong" w:hAnsi="FangSong" w:eastAsia="FangSong" w:cs="FangSong"/>
          <w:sz w:val="24"/>
          <w:szCs w:val="24"/>
        </w:rPr>
        <w:t>等方面的法律法规、</w:t>
      </w:r>
      <w:r>
        <w:rPr>
          <w:rFonts w:ascii="FangSong" w:hAnsi="FangSong" w:eastAsia="FangSong" w:cs="FangSong"/>
          <w:sz w:val="24"/>
          <w:szCs w:val="24"/>
          <w:spacing w:val="-1"/>
        </w:rPr>
        <w:t>方针政策、规章制度，严格落实县委、县政府、</w:t>
      </w:r>
      <w:r>
        <w:rPr>
          <w:rFonts w:ascii="FangSong" w:hAnsi="FangSong" w:eastAsia="FangSong" w:cs="FangSong"/>
          <w:sz w:val="24"/>
          <w:szCs w:val="24"/>
          <w:spacing w:val="-57"/>
        </w:rPr>
        <w:t xml:space="preserve"> </w:t>
      </w:r>
      <w:r>
        <w:rPr>
          <w:rFonts w:ascii="FangSong" w:hAnsi="FangSong" w:eastAsia="FangSong" w:cs="FangSong"/>
          <w:sz w:val="24"/>
          <w:szCs w:val="24"/>
          <w:spacing w:val="-1"/>
        </w:rPr>
        <w:t>吕梁市应急综合救援支队和县应急管</w:t>
      </w:r>
      <w:r>
        <w:rPr>
          <w:rFonts w:ascii="FangSong" w:hAnsi="FangSong" w:eastAsia="FangSong" w:cs="FangSong"/>
          <w:sz w:val="24"/>
          <w:szCs w:val="24"/>
          <w:spacing w:val="-6"/>
        </w:rPr>
        <w:t>理局的决策部署。</w:t>
      </w:r>
    </w:p>
    <w:p>
      <w:pPr>
        <w:ind w:left="915" w:right="874"/>
        <w:spacing w:before="100" w:line="266" w:lineRule="auto"/>
        <w:rPr>
          <w:rFonts w:ascii="FangSong" w:hAnsi="FangSong" w:eastAsia="FangSong" w:cs="FangSong"/>
          <w:sz w:val="24"/>
          <w:szCs w:val="24"/>
        </w:rPr>
      </w:pPr>
      <w:r>
        <w:rPr>
          <w:rFonts w:ascii="FangSong" w:hAnsi="FangSong" w:eastAsia="FangSong" w:cs="FangSong"/>
          <w:sz w:val="24"/>
          <w:szCs w:val="24"/>
          <w:spacing w:val="1"/>
        </w:rPr>
        <w:t>（二）协助编制、修订全县煤矿、非煤矿山、危险化学品、工商</w:t>
      </w:r>
      <w:r>
        <w:rPr>
          <w:rFonts w:ascii="FangSong" w:hAnsi="FangSong" w:eastAsia="FangSong" w:cs="FangSong"/>
          <w:sz w:val="24"/>
          <w:szCs w:val="24"/>
        </w:rPr>
        <w:t>贸行业企业等应急预</w:t>
      </w:r>
      <w:r>
        <w:rPr>
          <w:rFonts w:ascii="FangSong" w:hAnsi="FangSong" w:eastAsia="FangSong" w:cs="FangSong"/>
          <w:sz w:val="24"/>
          <w:szCs w:val="24"/>
          <w:spacing w:val="-3"/>
        </w:rPr>
        <w:t>案，并组织、协调相关单位实施演练。</w:t>
      </w:r>
    </w:p>
    <w:p>
      <w:pPr>
        <w:ind w:left="915" w:right="874"/>
        <w:spacing w:before="118" w:line="277" w:lineRule="auto"/>
        <w:rPr>
          <w:rFonts w:ascii="FangSong" w:hAnsi="FangSong" w:eastAsia="FangSong" w:cs="FangSong"/>
          <w:sz w:val="24"/>
          <w:szCs w:val="24"/>
        </w:rPr>
      </w:pPr>
      <w:r>
        <w:rPr>
          <w:rFonts w:ascii="FangSong" w:hAnsi="FangSong" w:eastAsia="FangSong" w:cs="FangSong"/>
          <w:sz w:val="24"/>
          <w:szCs w:val="24"/>
          <w:spacing w:val="1"/>
        </w:rPr>
        <w:t>（三）协助编制全县煤矿、非煤矿山、危险化学品、地质灾害、</w:t>
      </w:r>
      <w:r>
        <w:rPr>
          <w:rFonts w:ascii="FangSong" w:hAnsi="FangSong" w:eastAsia="FangSong" w:cs="FangSong"/>
          <w:sz w:val="24"/>
          <w:szCs w:val="24"/>
        </w:rPr>
        <w:t>地震、防汛抗旱、森</w:t>
      </w:r>
      <w:r>
        <w:rPr>
          <w:rFonts w:ascii="FangSong" w:hAnsi="FangSong" w:eastAsia="FangSong" w:cs="FangSong"/>
          <w:sz w:val="24"/>
          <w:szCs w:val="24"/>
          <w:spacing w:val="1"/>
        </w:rPr>
        <w:t>林草原防灭火等应急抢险救援物资需求计划；负责应急抢险救援</w:t>
      </w:r>
      <w:r>
        <w:rPr>
          <w:rFonts w:ascii="FangSong" w:hAnsi="FangSong" w:eastAsia="FangSong" w:cs="FangSong"/>
          <w:sz w:val="24"/>
          <w:szCs w:val="24"/>
        </w:rPr>
        <w:t>物资装备的统计、储</w:t>
      </w:r>
      <w:r>
        <w:rPr>
          <w:rFonts w:ascii="FangSong" w:hAnsi="FangSong" w:eastAsia="FangSong" w:cs="FangSong"/>
          <w:sz w:val="24"/>
          <w:szCs w:val="24"/>
          <w:spacing w:val="-3"/>
        </w:rPr>
        <w:t>存、维护等日常管理和调拨工作。</w:t>
      </w:r>
    </w:p>
    <w:p>
      <w:pPr>
        <w:ind w:left="922" w:right="874" w:hanging="7"/>
        <w:spacing w:before="120" w:line="260" w:lineRule="auto"/>
        <w:rPr>
          <w:rFonts w:ascii="FangSong" w:hAnsi="FangSong" w:eastAsia="FangSong" w:cs="FangSong"/>
          <w:sz w:val="24"/>
          <w:szCs w:val="24"/>
        </w:rPr>
      </w:pPr>
      <w:r>
        <w:rPr>
          <w:rFonts w:ascii="FangSong" w:hAnsi="FangSong" w:eastAsia="FangSong" w:cs="FangSong"/>
          <w:sz w:val="24"/>
          <w:szCs w:val="24"/>
          <w:spacing w:val="1"/>
        </w:rPr>
        <w:t>（四）参与全县煤矿、非煤矿山、危险化学品及其他行业安全生</w:t>
      </w:r>
      <w:r>
        <w:rPr>
          <w:rFonts w:ascii="FangSong" w:hAnsi="FangSong" w:eastAsia="FangSong" w:cs="FangSong"/>
          <w:sz w:val="24"/>
          <w:szCs w:val="24"/>
        </w:rPr>
        <w:t>产类和森林草原防灭</w:t>
      </w:r>
      <w:r>
        <w:rPr>
          <w:rFonts w:ascii="FangSong" w:hAnsi="FangSong" w:eastAsia="FangSong" w:cs="FangSong"/>
          <w:sz w:val="24"/>
          <w:szCs w:val="24"/>
          <w:spacing w:val="-2"/>
        </w:rPr>
        <w:t>火、防汛抗旱、地质灾害、地震等自然灾害的综合救援工作。</w:t>
      </w:r>
    </w:p>
    <w:p>
      <w:pPr>
        <w:ind w:left="928" w:right="874" w:hanging="13"/>
        <w:spacing w:before="118" w:line="266" w:lineRule="auto"/>
        <w:rPr>
          <w:rFonts w:ascii="FangSong" w:hAnsi="FangSong" w:eastAsia="FangSong" w:cs="FangSong"/>
          <w:sz w:val="24"/>
          <w:szCs w:val="24"/>
        </w:rPr>
      </w:pPr>
      <w:r>
        <w:rPr>
          <w:rFonts w:ascii="FangSong" w:hAnsi="FangSong" w:eastAsia="FangSong" w:cs="FangSong"/>
          <w:sz w:val="24"/>
          <w:szCs w:val="24"/>
          <w:spacing w:val="1"/>
        </w:rPr>
        <w:t>（五）负责拟定应急综合救援相关制度和规定，做好全县安全生</w:t>
      </w:r>
      <w:r>
        <w:rPr>
          <w:rFonts w:ascii="FangSong" w:hAnsi="FangSong" w:eastAsia="FangSong" w:cs="FangSong"/>
          <w:sz w:val="24"/>
          <w:szCs w:val="24"/>
        </w:rPr>
        <w:t>产类和自然灾害类应</w:t>
      </w:r>
      <w:r>
        <w:rPr>
          <w:rFonts w:ascii="FangSong" w:hAnsi="FangSong" w:eastAsia="FangSong" w:cs="FangSong"/>
          <w:sz w:val="24"/>
          <w:szCs w:val="24"/>
          <w:spacing w:val="-3"/>
        </w:rPr>
        <w:t>急综合救援队伍体系建设任务和业务指导培训工作。</w:t>
      </w:r>
    </w:p>
    <w:p>
      <w:pPr>
        <w:ind w:left="918" w:right="875" w:hanging="3"/>
        <w:spacing w:before="104" w:line="266" w:lineRule="auto"/>
        <w:rPr>
          <w:rFonts w:ascii="FangSong" w:hAnsi="FangSong" w:eastAsia="FangSong" w:cs="FangSong"/>
          <w:sz w:val="24"/>
          <w:szCs w:val="24"/>
        </w:rPr>
      </w:pPr>
      <w:r>
        <w:rPr>
          <w:rFonts w:ascii="FangSong" w:hAnsi="FangSong" w:eastAsia="FangSong" w:cs="FangSong"/>
          <w:sz w:val="24"/>
          <w:szCs w:val="24"/>
          <w:spacing w:val="7"/>
        </w:rPr>
        <w:t>（六）负责煤矿、非煤矿山、危险化学品、冶金工贸等行业企业的应急预案备案工</w:t>
      </w:r>
      <w:r>
        <w:rPr>
          <w:rFonts w:ascii="FangSong" w:hAnsi="FangSong" w:eastAsia="FangSong" w:cs="FangSong"/>
          <w:sz w:val="24"/>
          <w:szCs w:val="24"/>
          <w:spacing w:val="-13"/>
        </w:rPr>
        <w:t>作。</w:t>
      </w:r>
    </w:p>
    <w:p>
      <w:pPr>
        <w:ind w:left="918" w:right="874" w:hanging="3"/>
        <w:spacing w:before="119" w:line="260" w:lineRule="auto"/>
        <w:rPr>
          <w:rFonts w:ascii="FangSong" w:hAnsi="FangSong" w:eastAsia="FangSong" w:cs="FangSong"/>
          <w:sz w:val="24"/>
          <w:szCs w:val="24"/>
        </w:rPr>
      </w:pPr>
      <w:r>
        <w:rPr>
          <w:rFonts w:ascii="FangSong" w:hAnsi="FangSong" w:eastAsia="FangSong" w:cs="FangSong"/>
          <w:sz w:val="24"/>
          <w:szCs w:val="24"/>
          <w:spacing w:val="1"/>
        </w:rPr>
        <w:t>（七）负责应急指挥专网、应急综合监管信息平台等网络规划、</w:t>
      </w:r>
      <w:r>
        <w:rPr>
          <w:rFonts w:ascii="FangSong" w:hAnsi="FangSong" w:eastAsia="FangSong" w:cs="FangSong"/>
          <w:sz w:val="24"/>
          <w:szCs w:val="24"/>
        </w:rPr>
        <w:t>运行、维护、管理工</w:t>
      </w:r>
      <w:r>
        <w:rPr>
          <w:rFonts w:ascii="FangSong" w:hAnsi="FangSong" w:eastAsia="FangSong" w:cs="FangSong"/>
          <w:sz w:val="24"/>
          <w:szCs w:val="24"/>
          <w:spacing w:val="-3"/>
        </w:rPr>
        <w:t>作；做好应急调度值守和信息汇总处置及上报工作。</w:t>
      </w:r>
    </w:p>
    <w:p>
      <w:pPr>
        <w:ind w:left="920" w:right="874" w:hanging="5"/>
        <w:spacing w:before="119" w:line="260" w:lineRule="auto"/>
        <w:rPr>
          <w:rFonts w:ascii="FangSong" w:hAnsi="FangSong" w:eastAsia="FangSong" w:cs="FangSong"/>
          <w:sz w:val="24"/>
          <w:szCs w:val="24"/>
        </w:rPr>
      </w:pPr>
      <w:r>
        <w:rPr>
          <w:rFonts w:ascii="FangSong" w:hAnsi="FangSong" w:eastAsia="FangSong" w:cs="FangSong"/>
          <w:sz w:val="24"/>
          <w:szCs w:val="24"/>
          <w:spacing w:val="1"/>
        </w:rPr>
        <w:t>（八）负责所服务企业应急救援机构、队伍、装备等应急资源调</w:t>
      </w:r>
      <w:r>
        <w:rPr>
          <w:rFonts w:ascii="FangSong" w:hAnsi="FangSong" w:eastAsia="FangSong" w:cs="FangSong"/>
          <w:sz w:val="24"/>
          <w:szCs w:val="24"/>
        </w:rPr>
        <w:t>查和救援风险评估等</w:t>
      </w:r>
      <w:r>
        <w:rPr>
          <w:rFonts w:ascii="FangSong" w:hAnsi="FangSong" w:eastAsia="FangSong" w:cs="FangSong"/>
          <w:sz w:val="24"/>
          <w:szCs w:val="24"/>
          <w:spacing w:val="-12"/>
        </w:rPr>
        <w:t>工作。</w:t>
      </w:r>
    </w:p>
    <w:p>
      <w:pPr>
        <w:ind w:left="915"/>
        <w:spacing w:before="119" w:line="223" w:lineRule="auto"/>
        <w:rPr>
          <w:rFonts w:ascii="FangSong" w:hAnsi="FangSong" w:eastAsia="FangSong" w:cs="FangSong"/>
          <w:sz w:val="24"/>
          <w:szCs w:val="24"/>
        </w:rPr>
      </w:pPr>
      <w:r>
        <w:rPr>
          <w:rFonts w:ascii="FangSong" w:hAnsi="FangSong" w:eastAsia="FangSong" w:cs="FangSong"/>
          <w:sz w:val="24"/>
          <w:szCs w:val="24"/>
          <w:spacing w:val="-2"/>
        </w:rPr>
        <w:t>（九）完成县委、县政府和县应急管理局交办的其它任务。</w:t>
      </w:r>
    </w:p>
    <w:p>
      <w:pPr>
        <w:ind w:left="913"/>
        <w:spacing w:before="294" w:line="222"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2"/>
        </w:rPr>
        <w:t>二、机构设置情况</w:t>
      </w:r>
    </w:p>
    <w:p>
      <w:pPr>
        <w:ind w:left="921"/>
        <w:spacing w:before="102" w:line="222" w:lineRule="auto"/>
        <w:rPr>
          <w:rFonts w:ascii="FangSong" w:hAnsi="FangSong" w:eastAsia="FangSong" w:cs="FangSong"/>
          <w:sz w:val="24"/>
          <w:szCs w:val="24"/>
        </w:rPr>
      </w:pPr>
      <w:r>
        <w:rPr>
          <w:rFonts w:ascii="FangSong" w:hAnsi="FangSong" w:eastAsia="FangSong" w:cs="FangSong"/>
          <w:sz w:val="24"/>
          <w:szCs w:val="24"/>
          <w:spacing w:val="-5"/>
        </w:rPr>
        <w:t>兴县应急减灾中心设下列内设机构：</w:t>
      </w:r>
    </w:p>
    <w:p>
      <w:pPr>
        <w:ind w:left="915" w:right="874"/>
        <w:spacing w:before="117" w:line="277" w:lineRule="auto"/>
        <w:rPr>
          <w:rFonts w:ascii="FangSong" w:hAnsi="FangSong" w:eastAsia="FangSong" w:cs="FangSong"/>
          <w:sz w:val="24"/>
          <w:szCs w:val="24"/>
        </w:rPr>
      </w:pPr>
      <w:r>
        <w:rPr>
          <w:rFonts w:ascii="FangSong" w:hAnsi="FangSong" w:eastAsia="FangSong" w:cs="FangSong"/>
          <w:sz w:val="24"/>
          <w:szCs w:val="24"/>
          <w:spacing w:val="1"/>
        </w:rPr>
        <w:t>（一）办公室。负责中心日常运转和党群工作；承担重要文稿起</w:t>
      </w:r>
      <w:r>
        <w:rPr>
          <w:rFonts w:ascii="FangSong" w:hAnsi="FangSong" w:eastAsia="FangSong" w:cs="FangSong"/>
          <w:sz w:val="24"/>
          <w:szCs w:val="24"/>
        </w:rPr>
        <w:t>草、各类会议组织、</w:t>
      </w:r>
      <w:r>
        <w:rPr>
          <w:rFonts w:ascii="FangSong" w:hAnsi="FangSong" w:eastAsia="FangSong" w:cs="FangSong"/>
          <w:sz w:val="24"/>
          <w:szCs w:val="24"/>
          <w:spacing w:val="1"/>
        </w:rPr>
        <w:t>文书档案管理等工作；承担人事劳资、财务管理、后勤保障、干</w:t>
      </w:r>
      <w:r>
        <w:rPr>
          <w:rFonts w:ascii="FangSong" w:hAnsi="FangSong" w:eastAsia="FangSong" w:cs="FangSong"/>
          <w:sz w:val="24"/>
          <w:szCs w:val="24"/>
        </w:rPr>
        <w:t>部考核奖惩工作；承</w:t>
      </w:r>
      <w:r>
        <w:rPr>
          <w:rFonts w:ascii="FangSong" w:hAnsi="FangSong" w:eastAsia="FangSong" w:cs="FangSong"/>
          <w:sz w:val="24"/>
          <w:szCs w:val="24"/>
          <w:spacing w:val="-2"/>
        </w:rPr>
        <w:t>担信息、信访、安全、机要、保密、政务公开等工作。</w:t>
      </w:r>
    </w:p>
    <w:p>
      <w:pPr>
        <w:ind w:left="913" w:right="874" w:firstLine="2"/>
        <w:spacing w:before="123" w:line="292" w:lineRule="auto"/>
        <w:rPr>
          <w:rFonts w:ascii="FangSong" w:hAnsi="FangSong" w:eastAsia="FangSong" w:cs="FangSong"/>
          <w:sz w:val="24"/>
          <w:szCs w:val="24"/>
        </w:rPr>
      </w:pPr>
      <w:r>
        <w:rPr>
          <w:rFonts w:ascii="FangSong" w:hAnsi="FangSong" w:eastAsia="FangSong" w:cs="FangSong"/>
          <w:sz w:val="24"/>
          <w:szCs w:val="24"/>
          <w:spacing w:val="1"/>
        </w:rPr>
        <w:t>（二）救援协调股。负责应急调度值守和信息汇总处置及上报工</w:t>
      </w:r>
      <w:r>
        <w:rPr>
          <w:rFonts w:ascii="FangSong" w:hAnsi="FangSong" w:eastAsia="FangSong" w:cs="FangSong"/>
          <w:sz w:val="24"/>
          <w:szCs w:val="24"/>
        </w:rPr>
        <w:t>作；负责调度指挥各</w:t>
      </w:r>
      <w:r>
        <w:rPr>
          <w:rFonts w:ascii="FangSong" w:hAnsi="FangSong" w:eastAsia="FangSong" w:cs="FangSong"/>
          <w:sz w:val="24"/>
          <w:szCs w:val="24"/>
          <w:spacing w:val="7"/>
        </w:rPr>
        <w:t>有关应急力量及时应对各类突发事件；负责指导督促全县煤矿、非煤矿山、危化企</w:t>
      </w:r>
      <w:r>
        <w:rPr>
          <w:rFonts w:ascii="FangSong" w:hAnsi="FangSong" w:eastAsia="FangSong" w:cs="FangSong"/>
          <w:sz w:val="24"/>
          <w:szCs w:val="24"/>
          <w:spacing w:val="4"/>
        </w:rPr>
        <w:t>业、冶金工贸等行业企业生产安全事故应急预案的修订完善和备案归档工作;负责应</w:t>
      </w:r>
      <w:r>
        <w:rPr>
          <w:rFonts w:ascii="FangSong" w:hAnsi="FangSong" w:eastAsia="FangSong" w:cs="FangSong"/>
          <w:sz w:val="24"/>
          <w:szCs w:val="24"/>
          <w:spacing w:val="1"/>
        </w:rPr>
        <w:t>急指挥专网、应急综合监管信息平台等网络规划、运行、维护、管理</w:t>
      </w:r>
      <w:r>
        <w:rPr>
          <w:rFonts w:ascii="FangSong" w:hAnsi="FangSong" w:eastAsia="FangSong" w:cs="FangSong"/>
          <w:sz w:val="24"/>
          <w:szCs w:val="24"/>
        </w:rPr>
        <w:t>等相关工作；负</w:t>
      </w:r>
      <w:r>
        <w:rPr>
          <w:rFonts w:ascii="FangSong" w:hAnsi="FangSong" w:eastAsia="FangSong" w:cs="FangSong"/>
          <w:sz w:val="24"/>
          <w:szCs w:val="24"/>
          <w:spacing w:val="1"/>
        </w:rPr>
        <w:t>责全县地震系统地震应急准备与响应工作；承担地震应急系统的建设</w:t>
      </w:r>
      <w:r>
        <w:rPr>
          <w:rFonts w:ascii="FangSong" w:hAnsi="FangSong" w:eastAsia="FangSong" w:cs="FangSong"/>
          <w:sz w:val="24"/>
          <w:szCs w:val="24"/>
        </w:rPr>
        <w:t>管理、应急指挥</w:t>
      </w:r>
      <w:r>
        <w:rPr>
          <w:rFonts w:ascii="FangSong" w:hAnsi="FangSong" w:eastAsia="FangSong" w:cs="FangSong"/>
          <w:sz w:val="24"/>
          <w:szCs w:val="24"/>
          <w:spacing w:val="-2"/>
        </w:rPr>
        <w:t>辅助决策等工作；协助开展地震应急预案管理工作。</w:t>
      </w:r>
    </w:p>
    <w:p>
      <w:pPr>
        <w:ind w:left="922" w:right="874" w:hanging="7"/>
        <w:spacing w:before="119" w:line="277" w:lineRule="auto"/>
        <w:rPr>
          <w:rFonts w:ascii="FangSong" w:hAnsi="FangSong" w:eastAsia="FangSong" w:cs="FangSong"/>
          <w:sz w:val="24"/>
          <w:szCs w:val="24"/>
        </w:rPr>
      </w:pPr>
      <w:r>
        <w:rPr>
          <w:rFonts w:ascii="FangSong" w:hAnsi="FangSong" w:eastAsia="FangSong" w:cs="FangSong"/>
          <w:sz w:val="24"/>
          <w:szCs w:val="24"/>
          <w:spacing w:val="1"/>
        </w:rPr>
        <w:t>（三）综合救援大队。负责指导督促组织全县煤矿、非煤矿山、</w:t>
      </w:r>
      <w:r>
        <w:rPr>
          <w:rFonts w:ascii="FangSong" w:hAnsi="FangSong" w:eastAsia="FangSong" w:cs="FangSong"/>
          <w:sz w:val="24"/>
          <w:szCs w:val="24"/>
        </w:rPr>
        <w:t>危化企业、冶金工贸</w:t>
      </w:r>
      <w:r>
        <w:rPr>
          <w:rFonts w:ascii="FangSong" w:hAnsi="FangSong" w:eastAsia="FangSong" w:cs="FangSong"/>
          <w:sz w:val="24"/>
          <w:szCs w:val="24"/>
          <w:spacing w:val="1"/>
        </w:rPr>
        <w:t>等行业企业实施应急培训工作和演练；协助开</w:t>
      </w:r>
      <w:r>
        <w:rPr>
          <w:rFonts w:ascii="FangSong" w:hAnsi="FangSong" w:eastAsia="FangSong" w:cs="FangSong"/>
          <w:sz w:val="24"/>
          <w:szCs w:val="24"/>
        </w:rPr>
        <w:t>展地震应急演练；负责指导督促全县社</w:t>
      </w:r>
      <w:r>
        <w:rPr>
          <w:rFonts w:ascii="FangSong" w:hAnsi="FangSong" w:eastAsia="FangSong" w:cs="FangSong"/>
          <w:sz w:val="24"/>
          <w:szCs w:val="24"/>
          <w:spacing w:val="7"/>
        </w:rPr>
        <w:t>会救援力量参与应急培训和演练工作；负责组织开展对服务企业应急救援机构、队</w:t>
      </w:r>
    </w:p>
    <w:p>
      <w:pPr>
        <w:ind w:left="916"/>
        <w:spacing w:before="119" w:line="220" w:lineRule="auto"/>
        <w:rPr>
          <w:rFonts w:ascii="FangSong" w:hAnsi="FangSong" w:eastAsia="FangSong" w:cs="FangSong"/>
          <w:sz w:val="24"/>
          <w:szCs w:val="24"/>
        </w:rPr>
      </w:pPr>
      <w:r>
        <w:rPr>
          <w:rFonts w:ascii="FangSong" w:hAnsi="FangSong" w:eastAsia="FangSong" w:cs="FangSong"/>
          <w:sz w:val="24"/>
          <w:szCs w:val="24"/>
          <w:spacing w:val="1"/>
        </w:rPr>
        <w:t>伍、装备等应急资源调查和救援风险评估等工作；制定大队年</w:t>
      </w:r>
      <w:r>
        <w:rPr>
          <w:rFonts w:ascii="FangSong" w:hAnsi="FangSong" w:eastAsia="FangSong" w:cs="FangSong"/>
          <w:sz w:val="24"/>
          <w:szCs w:val="24"/>
        </w:rPr>
        <w:t>度战训计划并及时做好</w:t>
      </w:r>
    </w:p>
    <w:p>
      <w:pPr>
        <w:spacing w:line="220" w:lineRule="auto"/>
        <w:sectPr>
          <w:headerReference w:type="default" r:id="rId2"/>
          <w:footerReference w:type="default" r:id="rId3"/>
          <w:pgSz w:w="11900" w:h="16840"/>
          <w:pgMar w:top="642" w:right="600" w:bottom="340" w:left="600" w:header="326" w:footer="110" w:gutter="0"/>
        </w:sectPr>
        <w:rPr>
          <w:rFonts w:ascii="FangSong" w:hAnsi="FangSong" w:eastAsia="FangSong" w:cs="FangSong"/>
          <w:sz w:val="24"/>
          <w:szCs w:val="24"/>
        </w:rPr>
      </w:pPr>
    </w:p>
    <w:p>
      <w:pPr>
        <w:spacing w:line="269" w:lineRule="auto"/>
        <w:rPr>
          <w:rFonts w:ascii="Arial"/>
          <w:sz w:val="21"/>
        </w:rPr>
      </w:pPr>
      <w:r/>
    </w:p>
    <w:p>
      <w:pPr>
        <w:spacing w:line="269" w:lineRule="auto"/>
        <w:rPr>
          <w:rFonts w:ascii="Arial"/>
          <w:sz w:val="21"/>
        </w:rPr>
      </w:pPr>
      <w:r/>
    </w:p>
    <w:p>
      <w:pPr>
        <w:ind w:left="914" w:right="874" w:firstLine="11"/>
        <w:spacing w:before="78" w:line="308" w:lineRule="auto"/>
        <w:rPr>
          <w:rFonts w:ascii="FangSong" w:hAnsi="FangSong" w:eastAsia="FangSong" w:cs="FangSong"/>
          <w:sz w:val="24"/>
          <w:szCs w:val="24"/>
        </w:rPr>
      </w:pPr>
      <w:bookmarkStart w:name="bookmark35" w:id="5"/>
      <w:bookmarkEnd w:id="5"/>
      <w:r>
        <w:rPr>
          <w:rFonts w:ascii="FangSong" w:hAnsi="FangSong" w:eastAsia="FangSong" w:cs="FangSong"/>
          <w:sz w:val="24"/>
          <w:szCs w:val="24"/>
        </w:rPr>
        <w:t>总结工作；指导佩用氧气呼吸器作业的安全技术工作；负责应急救援个人防护和技术</w:t>
      </w:r>
      <w:r>
        <w:rPr>
          <w:rFonts w:ascii="FangSong" w:hAnsi="FangSong" w:eastAsia="FangSong" w:cs="FangSong"/>
          <w:sz w:val="24"/>
          <w:szCs w:val="24"/>
          <w:spacing w:val="1"/>
        </w:rPr>
        <w:t>装备的调研计划；负责质量标准化考核和技能竞赛等工作；负责制</w:t>
      </w:r>
      <w:r>
        <w:rPr>
          <w:rFonts w:ascii="FangSong" w:hAnsi="FangSong" w:eastAsia="FangSong" w:cs="FangSong"/>
          <w:sz w:val="24"/>
          <w:szCs w:val="24"/>
        </w:rPr>
        <w:t>定大队救援装备建</w:t>
      </w:r>
      <w:r>
        <w:rPr>
          <w:rFonts w:ascii="FangSong" w:hAnsi="FangSong" w:eastAsia="FangSong" w:cs="FangSong"/>
          <w:sz w:val="24"/>
          <w:szCs w:val="24"/>
          <w:spacing w:val="1"/>
        </w:rPr>
        <w:t>设发展规划和装备管理规定；负责开展新技术、新装备的推广应用</w:t>
      </w:r>
      <w:r>
        <w:rPr>
          <w:rFonts w:ascii="FangSong" w:hAnsi="FangSong" w:eastAsia="FangSong" w:cs="FangSong"/>
          <w:sz w:val="24"/>
          <w:szCs w:val="24"/>
        </w:rPr>
        <w:t>工作；参与全县煤</w:t>
      </w:r>
      <w:r>
        <w:rPr>
          <w:rFonts w:ascii="FangSong" w:hAnsi="FangSong" w:eastAsia="FangSong" w:cs="FangSong"/>
          <w:sz w:val="24"/>
          <w:szCs w:val="24"/>
          <w:spacing w:val="1"/>
        </w:rPr>
        <w:t>矿、非煤矿山、冶金工贸、危险化学品等行业安全生产类事故的抢</w:t>
      </w:r>
      <w:r>
        <w:rPr>
          <w:rFonts w:ascii="FangSong" w:hAnsi="FangSong" w:eastAsia="FangSong" w:cs="FangSong"/>
          <w:sz w:val="24"/>
          <w:szCs w:val="24"/>
        </w:rPr>
        <w:t>险救援工作；参与</w:t>
      </w:r>
      <w:r>
        <w:rPr>
          <w:rFonts w:ascii="FangSong" w:hAnsi="FangSong" w:eastAsia="FangSong" w:cs="FangSong"/>
          <w:sz w:val="24"/>
          <w:szCs w:val="24"/>
          <w:spacing w:val="1"/>
        </w:rPr>
        <w:t>自然灾害救援任务，包括森林草原火灾、地质灾害、地震救援、水</w:t>
      </w:r>
      <w:r>
        <w:rPr>
          <w:rFonts w:ascii="FangSong" w:hAnsi="FangSong" w:eastAsia="FangSong" w:cs="FangSong"/>
          <w:sz w:val="24"/>
          <w:szCs w:val="24"/>
        </w:rPr>
        <w:t>域救援、山岳绳索</w:t>
      </w:r>
      <w:r>
        <w:rPr>
          <w:rFonts w:ascii="FangSong" w:hAnsi="FangSong" w:eastAsia="FangSong" w:cs="FangSong"/>
          <w:sz w:val="24"/>
          <w:szCs w:val="24"/>
          <w:spacing w:val="1"/>
        </w:rPr>
        <w:t>救援（城市火灾除外）等事故的抢险救援工作；负责抢险救援指挥</w:t>
      </w:r>
      <w:r>
        <w:rPr>
          <w:rFonts w:ascii="FangSong" w:hAnsi="FangSong" w:eastAsia="FangSong" w:cs="FangSong"/>
          <w:sz w:val="24"/>
          <w:szCs w:val="24"/>
        </w:rPr>
        <w:t>部的搭建及通信、</w:t>
      </w:r>
      <w:r>
        <w:rPr>
          <w:rFonts w:ascii="FangSong" w:hAnsi="FangSong" w:eastAsia="FangSong" w:cs="FangSong"/>
          <w:sz w:val="24"/>
          <w:szCs w:val="24"/>
          <w:spacing w:val="-2"/>
        </w:rPr>
        <w:t>侦查保障等工作；组织学习有关应急救援和安全生产的法律法规。</w:t>
      </w:r>
    </w:p>
    <w:p>
      <w:pPr>
        <w:ind w:left="915" w:right="874"/>
        <w:spacing w:before="4" w:line="306" w:lineRule="auto"/>
        <w:rPr>
          <w:rFonts w:ascii="FangSong" w:hAnsi="FangSong" w:eastAsia="FangSong" w:cs="FangSong"/>
          <w:sz w:val="24"/>
          <w:szCs w:val="24"/>
        </w:rPr>
      </w:pPr>
      <w:r>
        <w:rPr>
          <w:rFonts w:ascii="FangSong" w:hAnsi="FangSong" w:eastAsia="FangSong" w:cs="FangSong"/>
          <w:sz w:val="24"/>
          <w:szCs w:val="24"/>
          <w:spacing w:val="1"/>
        </w:rPr>
        <w:t>（四）物资储备股。负责救援物资储备库的日常管理，对救援物</w:t>
      </w:r>
      <w:r>
        <w:rPr>
          <w:rFonts w:ascii="FangSong" w:hAnsi="FangSong" w:eastAsia="FangSong" w:cs="FangSong"/>
          <w:sz w:val="24"/>
          <w:szCs w:val="24"/>
        </w:rPr>
        <w:t>资分类标识、科学编</w:t>
      </w:r>
      <w:r>
        <w:rPr>
          <w:rFonts w:ascii="FangSong" w:hAnsi="FangSong" w:eastAsia="FangSong" w:cs="FangSong"/>
          <w:sz w:val="24"/>
          <w:szCs w:val="24"/>
          <w:spacing w:val="1"/>
        </w:rPr>
        <w:t>码、建立台账，制定巡检方案，定期检查、维护、保养、记录；</w:t>
      </w:r>
      <w:r>
        <w:rPr>
          <w:rFonts w:ascii="FangSong" w:hAnsi="FangSong" w:eastAsia="FangSong" w:cs="FangSong"/>
          <w:sz w:val="24"/>
          <w:szCs w:val="24"/>
        </w:rPr>
        <w:t>对将入库救援物资的</w:t>
      </w:r>
      <w:r>
        <w:rPr>
          <w:rFonts w:ascii="FangSong" w:hAnsi="FangSong" w:eastAsia="FangSong" w:cs="FangSong"/>
          <w:sz w:val="24"/>
          <w:szCs w:val="24"/>
          <w:spacing w:val="1"/>
        </w:rPr>
        <w:t>品种、数量、批号、规格等严格进行检查和核实及时予以更新和</w:t>
      </w:r>
      <w:r>
        <w:rPr>
          <w:rFonts w:ascii="FangSong" w:hAnsi="FangSong" w:eastAsia="FangSong" w:cs="FangSong"/>
          <w:sz w:val="24"/>
          <w:szCs w:val="24"/>
        </w:rPr>
        <w:t>补充；使用应急物资</w:t>
      </w:r>
      <w:r>
        <w:rPr>
          <w:rFonts w:ascii="FangSong" w:hAnsi="FangSong" w:eastAsia="FangSong" w:cs="FangSong"/>
          <w:sz w:val="24"/>
          <w:szCs w:val="24"/>
          <w:spacing w:val="-3"/>
        </w:rPr>
        <w:t>时，取用前后要严格履行相关交接手续。</w:t>
      </w:r>
    </w:p>
    <w:p>
      <w:pPr>
        <w:ind w:left="915" w:right="875" w:firstLine="789"/>
        <w:spacing w:before="1" w:line="312" w:lineRule="auto"/>
        <w:rPr>
          <w:rFonts w:ascii="FangSong" w:hAnsi="FangSong" w:eastAsia="FangSong" w:cs="FangSong"/>
          <w:sz w:val="24"/>
          <w:szCs w:val="24"/>
        </w:rPr>
      </w:pPr>
      <w:r>
        <w:rPr>
          <w:rFonts w:ascii="FangSong" w:hAnsi="FangSong" w:eastAsia="FangSong" w:cs="FangSong"/>
          <w:sz w:val="24"/>
          <w:szCs w:val="24"/>
          <w:spacing w:val="9"/>
        </w:rPr>
        <w:t>兴县应急减灾中心财政拨款事业编制16名。设主任（正科级）1名，副主任</w:t>
      </w:r>
      <w:r>
        <w:rPr>
          <w:rFonts w:ascii="FangSong" w:hAnsi="FangSong" w:eastAsia="FangSong" w:cs="FangSong"/>
          <w:sz w:val="24"/>
          <w:szCs w:val="24"/>
          <w:spacing w:val="-6"/>
        </w:rPr>
        <w:t>（副科级）2名。</w:t>
      </w:r>
    </w:p>
    <w:p>
      <w:pPr>
        <w:spacing w:line="312" w:lineRule="auto"/>
        <w:sectPr>
          <w:footerReference w:type="default" r:id="rId4"/>
          <w:pgSz w:w="11900" w:h="16840"/>
          <w:pgMar w:top="642" w:right="600" w:bottom="340" w:left="600" w:header="326" w:footer="110" w:gutter="0"/>
        </w:sectPr>
        <w:rPr>
          <w:rFonts w:ascii="FangSong" w:hAnsi="FangSong" w:eastAsia="FangSong" w:cs="FangSong"/>
          <w:sz w:val="24"/>
          <w:szCs w:val="24"/>
        </w:rPr>
      </w:pPr>
    </w:p>
    <w:p>
      <w:pPr>
        <w:spacing w:line="303" w:lineRule="auto"/>
        <w:rPr>
          <w:rFonts w:ascii="Arial"/>
          <w:sz w:val="21"/>
        </w:rPr>
      </w:pPr>
      <w:r/>
    </w:p>
    <w:p>
      <w:pPr>
        <w:spacing w:line="303" w:lineRule="auto"/>
        <w:rPr>
          <w:rFonts w:ascii="Arial"/>
          <w:sz w:val="21"/>
        </w:rPr>
      </w:pPr>
      <w:r/>
    </w:p>
    <w:p>
      <w:pPr>
        <w:ind w:left="3747"/>
        <w:spacing w:before="98" w:line="238" w:lineRule="exact"/>
        <w:outlineLvl w:val="0"/>
        <w:rPr>
          <w:rFonts w:ascii="Microsoft YaHei" w:hAnsi="Microsoft YaHei" w:eastAsia="Microsoft YaHei" w:cs="Microsoft YaHei"/>
          <w:sz w:val="23"/>
          <w:szCs w:val="23"/>
        </w:rPr>
      </w:pPr>
      <w:bookmarkStart w:name="bookmark36" w:id="6"/>
      <w:bookmarkEnd w:id="6"/>
      <w:bookmarkStart w:name="bookmark4" w:id="7"/>
      <w:bookmarkEnd w:id="7"/>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7"/>
          <w:position w:val="-1"/>
        </w:rPr>
        <w:t xml:space="preserve"> </w:t>
      </w:r>
      <w:r>
        <w:rPr>
          <w:rFonts w:ascii="Microsoft YaHei" w:hAnsi="Microsoft YaHei" w:eastAsia="Microsoft YaHei" w:cs="Microsoft YaHei"/>
          <w:sz w:val="23"/>
          <w:szCs w:val="23"/>
          <w:spacing w:val="3"/>
          <w:position w:val="-1"/>
        </w:rPr>
        <w:t>2025年单位预算报表</w:t>
      </w:r>
    </w:p>
    <w:p>
      <w:pPr>
        <w:spacing w:before="23"/>
        <w:rPr/>
      </w:pPr>
      <w:r/>
    </w:p>
    <w:p>
      <w:pPr>
        <w:spacing w:before="22"/>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19"/>
        <w:gridCol w:w="1153"/>
        <w:gridCol w:w="2201"/>
        <w:gridCol w:w="1168"/>
        <w:gridCol w:w="1153"/>
        <w:gridCol w:w="756"/>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5" w:id="8"/>
            <w:bookmarkEnd w:id="8"/>
            <w:r>
              <w:rPr>
                <w:rFonts w:ascii="Microsoft YaHei" w:hAnsi="Microsoft YaHei" w:eastAsia="Microsoft YaHei" w:cs="Microsoft YaHei"/>
                <w:sz w:val="23"/>
                <w:szCs w:val="23"/>
                <w:color w:val="212529"/>
                <w:position w:val="-1"/>
              </w:rPr>
              <w:t>2025年预算收支总表</w:t>
            </w:r>
          </w:p>
        </w:tc>
      </w:tr>
      <w:tr>
        <w:trPr>
          <w:trHeight w:val="524" w:hRule="atLeast"/>
        </w:trPr>
        <w:tc>
          <w:tcPr>
            <w:tcW w:w="5473" w:type="dxa"/>
            <w:vAlign w:val="top"/>
            <w:gridSpan w:val="3"/>
            <w:tcBorders>
              <w:top w:val="single" w:color="FFFFFF" w:sz="6" w:space="0"/>
              <w:left w:val="single" w:color="FFFFFF" w:sz="2" w:space="0"/>
              <w:right w:val="single" w:color="FFFFFF" w:sz="2" w:space="0"/>
            </w:tcBorders>
          </w:tcPr>
          <w:p>
            <w:pPr>
              <w:ind w:left="13"/>
              <w:spacing w:before="169" w:line="220" w:lineRule="auto"/>
              <w:rPr>
                <w:rFonts w:ascii="SimSun" w:hAnsi="SimSun" w:eastAsia="SimSun" w:cs="SimSun"/>
                <w:sz w:val="18"/>
                <w:szCs w:val="18"/>
              </w:rPr>
            </w:pPr>
            <w:r>
              <w:rPr>
                <w:rFonts w:ascii="SimSun" w:hAnsi="SimSun" w:eastAsia="SimSun" w:cs="SimSun"/>
                <w:sz w:val="18"/>
                <w:szCs w:val="18"/>
                <w:color w:val="212529"/>
                <w:spacing w:val="-1"/>
              </w:rPr>
              <w:t>单位名称：兴县应急减灾中心</w:t>
            </w:r>
          </w:p>
        </w:tc>
        <w:tc>
          <w:tcPr>
            <w:tcW w:w="3077" w:type="dxa"/>
            <w:vAlign w:val="top"/>
            <w:gridSpan w:val="3"/>
            <w:tcBorders>
              <w:top w:val="single" w:color="FFFFFF" w:sz="6" w:space="0"/>
              <w:left w:val="single" w:color="FFFFFF" w:sz="2" w:space="0"/>
              <w:right w:val="single" w:color="FFFFFF" w:sz="2" w:space="0"/>
            </w:tcBorders>
          </w:tcPr>
          <w:p>
            <w:pPr>
              <w:ind w:left="2145"/>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272" w:type="dxa"/>
            <w:vAlign w:val="top"/>
            <w:gridSpan w:val="2"/>
          </w:tcPr>
          <w:p>
            <w:pPr>
              <w:ind w:left="1444"/>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278" w:type="dxa"/>
            <w:vAlign w:val="top"/>
            <w:gridSpan w:val="4"/>
          </w:tcPr>
          <w:p>
            <w:pPr>
              <w:ind w:left="2442"/>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2119" w:type="dxa"/>
            <w:vAlign w:val="top"/>
          </w:tcPr>
          <w:p>
            <w:pPr>
              <w:ind w:left="86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53" w:type="dxa"/>
            <w:vAlign w:val="top"/>
          </w:tcPr>
          <w:p>
            <w:pPr>
              <w:ind w:left="294"/>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2201" w:type="dxa"/>
            <w:vAlign w:val="top"/>
          </w:tcPr>
          <w:p>
            <w:pPr>
              <w:ind w:left="90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68" w:type="dxa"/>
            <w:vAlign w:val="top"/>
          </w:tcPr>
          <w:p>
            <w:pPr>
              <w:ind w:left="121"/>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53" w:type="dxa"/>
            <w:vAlign w:val="top"/>
          </w:tcPr>
          <w:p>
            <w:pPr>
              <w:ind w:left="30"/>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756" w:type="dxa"/>
            <w:vAlign w:val="top"/>
          </w:tcPr>
          <w:p>
            <w:pPr>
              <w:ind w:left="90"/>
              <w:spacing w:before="6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上年结</w:t>
            </w:r>
          </w:p>
          <w:p>
            <w:pPr>
              <w:ind w:left="91"/>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转安排</w:t>
            </w:r>
          </w:p>
        </w:tc>
      </w:tr>
      <w:tr>
        <w:trPr>
          <w:trHeight w:val="524" w:hRule="atLeast"/>
        </w:trPr>
        <w:tc>
          <w:tcPr>
            <w:tcW w:w="211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53" w:type="dxa"/>
            <w:vAlign w:val="top"/>
          </w:tcPr>
          <w:p>
            <w:pPr>
              <w:ind w:right="28"/>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349.18</w:t>
            </w:r>
          </w:p>
        </w:tc>
        <w:tc>
          <w:tcPr>
            <w:tcW w:w="2201"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53" w:type="dxa"/>
            <w:vAlign w:val="top"/>
          </w:tcPr>
          <w:p>
            <w:pPr>
              <w:pStyle w:val="TableText"/>
              <w:rPr/>
            </w:pPr>
            <w:r/>
          </w:p>
        </w:tc>
        <w:tc>
          <w:tcPr>
            <w:tcW w:w="2201" w:type="dxa"/>
            <w:vAlign w:val="top"/>
          </w:tcPr>
          <w:p>
            <w:pPr>
              <w:ind w:left="10"/>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53" w:type="dxa"/>
            <w:vAlign w:val="top"/>
          </w:tcPr>
          <w:p>
            <w:pPr>
              <w:pStyle w:val="TableText"/>
              <w:rPr/>
            </w:pPr>
            <w:r/>
          </w:p>
        </w:tc>
        <w:tc>
          <w:tcPr>
            <w:tcW w:w="2201" w:type="dxa"/>
            <w:vAlign w:val="top"/>
          </w:tcPr>
          <w:p>
            <w:pPr>
              <w:ind w:left="6"/>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53" w:type="dxa"/>
            <w:vAlign w:val="top"/>
          </w:tcPr>
          <w:p>
            <w:pPr>
              <w:pStyle w:val="TableText"/>
              <w:rPr/>
            </w:pPr>
            <w:r/>
          </w:p>
        </w:tc>
        <w:tc>
          <w:tcPr>
            <w:tcW w:w="2201" w:type="dxa"/>
            <w:vAlign w:val="top"/>
          </w:tcPr>
          <w:p>
            <w:pPr>
              <w:ind w:left="24"/>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53" w:type="dxa"/>
            <w:vAlign w:val="top"/>
          </w:tcPr>
          <w:p>
            <w:pPr>
              <w:pStyle w:val="TableText"/>
              <w:rPr/>
            </w:pPr>
            <w:r/>
          </w:p>
        </w:tc>
        <w:tc>
          <w:tcPr>
            <w:tcW w:w="2201" w:type="dxa"/>
            <w:vAlign w:val="top"/>
          </w:tcPr>
          <w:p>
            <w:pPr>
              <w:ind w:left="10"/>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168" w:type="dxa"/>
            <w:vAlign w:val="top"/>
          </w:tcPr>
          <w:p>
            <w:pPr>
              <w:ind w:right="25"/>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1153" w:type="dxa"/>
            <w:vAlign w:val="top"/>
          </w:tcPr>
          <w:p>
            <w:pPr>
              <w:ind w:right="22"/>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68" w:type="dxa"/>
            <w:vAlign w:val="top"/>
          </w:tcPr>
          <w:p>
            <w:pPr>
              <w:ind w:right="25"/>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1153" w:type="dxa"/>
            <w:vAlign w:val="top"/>
          </w:tcPr>
          <w:p>
            <w:pPr>
              <w:ind w:right="22"/>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等支出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等支出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5"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68" w:type="dxa"/>
            <w:vAlign w:val="top"/>
          </w:tcPr>
          <w:p>
            <w:pPr>
              <w:ind w:right="23"/>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1153" w:type="dxa"/>
            <w:vAlign w:val="top"/>
          </w:tcPr>
          <w:p>
            <w:pPr>
              <w:ind w:right="20"/>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756" w:type="dxa"/>
            <w:vAlign w:val="top"/>
          </w:tcPr>
          <w:p>
            <w:pPr>
              <w:pStyle w:val="TableText"/>
              <w:rPr/>
            </w:pPr>
            <w:r/>
          </w:p>
        </w:tc>
      </w:tr>
      <w:tr>
        <w:trPr>
          <w:trHeight w:val="532"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22" w:right="215"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rPr>
              <w:t>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bl>
    <w:p>
      <w:pPr>
        <w:rPr>
          <w:rFonts w:ascii="Arial"/>
          <w:sz w:val="21"/>
        </w:rPr>
      </w:pPr>
      <w:r/>
    </w:p>
    <w:p>
      <w:pPr>
        <w:sectPr>
          <w:footerReference w:type="default" r:id="rId5"/>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19"/>
        <w:gridCol w:w="1153"/>
        <w:gridCol w:w="2201"/>
        <w:gridCol w:w="1168"/>
        <w:gridCol w:w="1153"/>
        <w:gridCol w:w="756"/>
      </w:tblGrid>
      <w:tr>
        <w:trPr>
          <w:trHeight w:val="531"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7" w:right="205" w:firstLine="2"/>
              <w:spacing w:before="55" w:line="218" w:lineRule="auto"/>
              <w:rPr>
                <w:rFonts w:ascii="SimSun" w:hAnsi="SimSun" w:eastAsia="SimSun" w:cs="SimSun"/>
                <w:sz w:val="18"/>
                <w:szCs w:val="18"/>
              </w:rPr>
            </w:pPr>
            <w:bookmarkStart w:name="bookmark37" w:id="9"/>
            <w:bookmarkEnd w:id="9"/>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spacing w:val="-2"/>
              </w:rPr>
              <w:t>算支出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3"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right="205"/>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r>
              <w:rPr>
                <w:rFonts w:ascii="SimSun" w:hAnsi="SimSun" w:eastAsia="SimSun" w:cs="SimSun"/>
                <w:sz w:val="18"/>
                <w:szCs w:val="18"/>
                <w:color w:val="212529"/>
                <w:spacing w:val="-2"/>
              </w:rPr>
              <w:t>管理支出</w:t>
            </w:r>
          </w:p>
        </w:tc>
        <w:tc>
          <w:tcPr>
            <w:tcW w:w="1168" w:type="dxa"/>
            <w:vAlign w:val="top"/>
          </w:tcPr>
          <w:p>
            <w:pPr>
              <w:ind w:right="25"/>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2"/>
              </w:rPr>
              <w:t>300.64</w:t>
            </w:r>
          </w:p>
        </w:tc>
        <w:tc>
          <w:tcPr>
            <w:tcW w:w="1153" w:type="dxa"/>
            <w:vAlign w:val="top"/>
          </w:tcPr>
          <w:p>
            <w:pPr>
              <w:ind w:right="22"/>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2"/>
              </w:rPr>
              <w:t>300.64</w:t>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10"/>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22" w:right="205"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ind w:left="21" w:right="205"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5"/>
              </w:rPr>
              <w:t>的支出</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pStyle w:val="TableText"/>
              <w:rPr/>
            </w:pPr>
            <w:r/>
          </w:p>
        </w:tc>
        <w:tc>
          <w:tcPr>
            <w:tcW w:w="1153" w:type="dxa"/>
            <w:vAlign w:val="top"/>
          </w:tcPr>
          <w:p>
            <w:pPr>
              <w:pStyle w:val="TableText"/>
              <w:rPr/>
            </w:pPr>
            <w:r/>
          </w:p>
        </w:tc>
        <w:tc>
          <w:tcPr>
            <w:tcW w:w="2201" w:type="dxa"/>
            <w:vAlign w:val="top"/>
          </w:tcPr>
          <w:p>
            <w:pPr>
              <w:pStyle w:val="TableText"/>
              <w:rPr/>
            </w:pPr>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24" w:hRule="atLeast"/>
        </w:trPr>
        <w:tc>
          <w:tcPr>
            <w:tcW w:w="211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53" w:type="dxa"/>
            <w:vAlign w:val="top"/>
          </w:tcPr>
          <w:p>
            <w:pPr>
              <w:pStyle w:val="TableText"/>
              <w:ind w:left="578"/>
              <w:spacing w:before="186" w:line="184" w:lineRule="auto"/>
              <w:rPr>
                <w:sz w:val="15"/>
                <w:szCs w:val="15"/>
              </w:rPr>
            </w:pPr>
            <w:r>
              <w:rPr>
                <w:sz w:val="15"/>
                <w:szCs w:val="15"/>
                <w:color w:val="212529"/>
                <w:spacing w:val="2"/>
              </w:rPr>
              <w:t>349.</w:t>
            </w:r>
            <w:r>
              <w:rPr>
                <w:sz w:val="15"/>
                <w:szCs w:val="15"/>
                <w:color w:val="212529"/>
                <w:spacing w:val="12"/>
                <w:w w:val="102"/>
              </w:rPr>
              <w:t xml:space="preserve"> </w:t>
            </w:r>
            <w:r>
              <w:rPr>
                <w:sz w:val="15"/>
                <w:szCs w:val="15"/>
                <w:color w:val="212529"/>
                <w:spacing w:val="2"/>
              </w:rPr>
              <w:t>18</w:t>
            </w:r>
          </w:p>
        </w:tc>
        <w:tc>
          <w:tcPr>
            <w:tcW w:w="2201" w:type="dxa"/>
            <w:vAlign w:val="top"/>
          </w:tcPr>
          <w:p>
            <w:pPr>
              <w:ind w:left="7"/>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68" w:type="dxa"/>
            <w:vAlign w:val="top"/>
          </w:tcPr>
          <w:p>
            <w:pPr>
              <w:pStyle w:val="TableText"/>
              <w:ind w:left="596"/>
              <w:spacing w:before="186" w:line="184" w:lineRule="auto"/>
              <w:rPr>
                <w:sz w:val="15"/>
                <w:szCs w:val="15"/>
              </w:rPr>
            </w:pPr>
            <w:r>
              <w:rPr>
                <w:sz w:val="15"/>
                <w:szCs w:val="15"/>
                <w:color w:val="212529"/>
                <w:spacing w:val="1"/>
              </w:rPr>
              <w:t>349.</w:t>
            </w:r>
            <w:r>
              <w:rPr>
                <w:sz w:val="15"/>
                <w:szCs w:val="15"/>
                <w:color w:val="212529"/>
                <w:spacing w:val="18"/>
                <w:w w:val="102"/>
              </w:rPr>
              <w:t xml:space="preserve"> </w:t>
            </w:r>
            <w:r>
              <w:rPr>
                <w:sz w:val="15"/>
                <w:szCs w:val="15"/>
                <w:color w:val="212529"/>
                <w:spacing w:val="1"/>
              </w:rPr>
              <w:t>18</w:t>
            </w:r>
          </w:p>
        </w:tc>
        <w:tc>
          <w:tcPr>
            <w:tcW w:w="1153" w:type="dxa"/>
            <w:vAlign w:val="top"/>
          </w:tcPr>
          <w:p>
            <w:pPr>
              <w:pStyle w:val="TableText"/>
              <w:ind w:left="583"/>
              <w:spacing w:before="186" w:line="184" w:lineRule="auto"/>
              <w:rPr>
                <w:sz w:val="15"/>
                <w:szCs w:val="15"/>
              </w:rPr>
            </w:pPr>
            <w:r>
              <w:rPr>
                <w:sz w:val="15"/>
                <w:szCs w:val="15"/>
                <w:color w:val="212529"/>
                <w:spacing w:val="2"/>
              </w:rPr>
              <w:t>349.</w:t>
            </w:r>
            <w:r>
              <w:rPr>
                <w:sz w:val="15"/>
                <w:szCs w:val="15"/>
                <w:color w:val="212529"/>
                <w:spacing w:val="12"/>
                <w:w w:val="102"/>
              </w:rPr>
              <w:t xml:space="preserve"> </w:t>
            </w:r>
            <w:r>
              <w:rPr>
                <w:sz w:val="15"/>
                <w:szCs w:val="15"/>
                <w:color w:val="212529"/>
                <w:spacing w:val="2"/>
              </w:rPr>
              <w:t>18</w:t>
            </w:r>
          </w:p>
        </w:tc>
        <w:tc>
          <w:tcPr>
            <w:tcW w:w="756" w:type="dxa"/>
            <w:vAlign w:val="top"/>
          </w:tcPr>
          <w:p>
            <w:pPr>
              <w:pStyle w:val="TableText"/>
              <w:rPr/>
            </w:pPr>
            <w:r/>
          </w:p>
        </w:tc>
      </w:tr>
      <w:tr>
        <w:trPr>
          <w:trHeight w:val="524" w:hRule="atLeast"/>
        </w:trPr>
        <w:tc>
          <w:tcPr>
            <w:tcW w:w="211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53" w:type="dxa"/>
            <w:vAlign w:val="top"/>
          </w:tcPr>
          <w:p>
            <w:pPr>
              <w:pStyle w:val="TableText"/>
              <w:rPr/>
            </w:pPr>
            <w:r/>
          </w:p>
        </w:tc>
        <w:tc>
          <w:tcPr>
            <w:tcW w:w="2201" w:type="dxa"/>
            <w:vAlign w:val="top"/>
          </w:tcPr>
          <w:p>
            <w:pPr>
              <w:ind w:left="195"/>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68" w:type="dxa"/>
            <w:vAlign w:val="top"/>
          </w:tcPr>
          <w:p>
            <w:pPr>
              <w:pStyle w:val="TableText"/>
              <w:rPr/>
            </w:pPr>
            <w:r/>
          </w:p>
        </w:tc>
        <w:tc>
          <w:tcPr>
            <w:tcW w:w="1153" w:type="dxa"/>
            <w:vAlign w:val="top"/>
          </w:tcPr>
          <w:p>
            <w:pPr>
              <w:pStyle w:val="TableText"/>
              <w:rPr/>
            </w:pPr>
            <w:r/>
          </w:p>
        </w:tc>
        <w:tc>
          <w:tcPr>
            <w:tcW w:w="756" w:type="dxa"/>
            <w:vAlign w:val="top"/>
          </w:tcPr>
          <w:p>
            <w:pPr>
              <w:pStyle w:val="TableText"/>
              <w:rPr/>
            </w:pPr>
            <w:r/>
          </w:p>
        </w:tc>
      </w:tr>
      <w:tr>
        <w:trPr>
          <w:trHeight w:val="531" w:hRule="atLeast"/>
        </w:trPr>
        <w:tc>
          <w:tcPr>
            <w:tcW w:w="211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53" w:type="dxa"/>
            <w:vAlign w:val="top"/>
          </w:tcPr>
          <w:p>
            <w:pPr>
              <w:pStyle w:val="TableText"/>
              <w:ind w:left="578"/>
              <w:spacing w:before="188" w:line="184" w:lineRule="auto"/>
              <w:rPr>
                <w:sz w:val="15"/>
                <w:szCs w:val="15"/>
              </w:rPr>
            </w:pPr>
            <w:r>
              <w:rPr>
                <w:sz w:val="15"/>
                <w:szCs w:val="15"/>
                <w:color w:val="212529"/>
                <w:spacing w:val="2"/>
              </w:rPr>
              <w:t>349.</w:t>
            </w:r>
            <w:r>
              <w:rPr>
                <w:sz w:val="15"/>
                <w:szCs w:val="15"/>
                <w:color w:val="212529"/>
                <w:spacing w:val="12"/>
                <w:w w:val="102"/>
              </w:rPr>
              <w:t xml:space="preserve"> </w:t>
            </w:r>
            <w:r>
              <w:rPr>
                <w:sz w:val="15"/>
                <w:szCs w:val="15"/>
                <w:color w:val="212529"/>
                <w:spacing w:val="2"/>
              </w:rPr>
              <w:t>18</w:t>
            </w:r>
          </w:p>
        </w:tc>
        <w:tc>
          <w:tcPr>
            <w:tcW w:w="2201" w:type="dxa"/>
            <w:vAlign w:val="top"/>
          </w:tcPr>
          <w:p>
            <w:pPr>
              <w:ind w:left="6"/>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68" w:type="dxa"/>
            <w:vAlign w:val="top"/>
          </w:tcPr>
          <w:p>
            <w:pPr>
              <w:pStyle w:val="TableText"/>
              <w:ind w:left="596"/>
              <w:spacing w:before="188" w:line="184" w:lineRule="auto"/>
              <w:rPr>
                <w:sz w:val="15"/>
                <w:szCs w:val="15"/>
              </w:rPr>
            </w:pPr>
            <w:r>
              <w:rPr>
                <w:sz w:val="15"/>
                <w:szCs w:val="15"/>
                <w:color w:val="212529"/>
                <w:spacing w:val="1"/>
              </w:rPr>
              <w:t>349.</w:t>
            </w:r>
            <w:r>
              <w:rPr>
                <w:sz w:val="15"/>
                <w:szCs w:val="15"/>
                <w:color w:val="212529"/>
                <w:spacing w:val="18"/>
                <w:w w:val="102"/>
              </w:rPr>
              <w:t xml:space="preserve"> </w:t>
            </w:r>
            <w:r>
              <w:rPr>
                <w:sz w:val="15"/>
                <w:szCs w:val="15"/>
                <w:color w:val="212529"/>
                <w:spacing w:val="1"/>
              </w:rPr>
              <w:t>18</w:t>
            </w:r>
          </w:p>
        </w:tc>
        <w:tc>
          <w:tcPr>
            <w:tcW w:w="1153" w:type="dxa"/>
            <w:vAlign w:val="top"/>
          </w:tcPr>
          <w:p>
            <w:pPr>
              <w:pStyle w:val="TableText"/>
              <w:ind w:left="583"/>
              <w:spacing w:before="188" w:line="184" w:lineRule="auto"/>
              <w:rPr>
                <w:sz w:val="15"/>
                <w:szCs w:val="15"/>
              </w:rPr>
            </w:pPr>
            <w:r>
              <w:rPr>
                <w:sz w:val="15"/>
                <w:szCs w:val="15"/>
                <w:color w:val="212529"/>
                <w:spacing w:val="2"/>
              </w:rPr>
              <w:t>349.</w:t>
            </w:r>
            <w:r>
              <w:rPr>
                <w:sz w:val="15"/>
                <w:szCs w:val="15"/>
                <w:color w:val="212529"/>
                <w:spacing w:val="12"/>
                <w:w w:val="102"/>
              </w:rPr>
              <w:t xml:space="preserve"> </w:t>
            </w:r>
            <w:r>
              <w:rPr>
                <w:sz w:val="15"/>
                <w:szCs w:val="15"/>
                <w:color w:val="212529"/>
                <w:spacing w:val="2"/>
              </w:rPr>
              <w:t>18</w:t>
            </w:r>
          </w:p>
        </w:tc>
        <w:tc>
          <w:tcPr>
            <w:tcW w:w="756" w:type="dxa"/>
            <w:vAlign w:val="top"/>
          </w:tcPr>
          <w:p>
            <w:pPr>
              <w:pStyle w:val="TableText"/>
              <w:rPr/>
            </w:pPr>
            <w:r/>
          </w:p>
        </w:tc>
      </w:tr>
    </w:tbl>
    <w:p>
      <w:pPr>
        <w:rPr>
          <w:rFonts w:ascii="Arial"/>
          <w:sz w:val="21"/>
        </w:rPr>
      </w:pPr>
      <w:r/>
    </w:p>
    <w:p>
      <w:pPr>
        <w:sectPr>
          <w:footerReference w:type="default" r:id="rId6"/>
          <w:pgSz w:w="11900" w:h="16840"/>
          <w:pgMar w:top="642" w:right="600" w:bottom="340" w:left="600" w:header="326" w:footer="110" w:gutter="0"/>
        </w:sectPr>
        <w:rPr>
          <w:rFonts w:ascii="Arial" w:hAnsi="Arial" w:eastAsia="Arial" w:cs="Arial"/>
          <w:sz w:val="21"/>
          <w:szCs w:val="21"/>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11"/>
        <w:gridCol w:w="3116"/>
        <w:gridCol w:w="1573"/>
        <w:gridCol w:w="1348"/>
        <w:gridCol w:w="1079"/>
        <w:gridCol w:w="1318"/>
        <w:gridCol w:w="1304"/>
        <w:gridCol w:w="1034"/>
        <w:gridCol w:w="1086"/>
      </w:tblGrid>
      <w:tr>
        <w:trPr>
          <w:trHeight w:val="442" w:hRule="atLeast"/>
        </w:trPr>
        <w:tc>
          <w:tcPr>
            <w:tcW w:w="161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311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57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4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07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1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0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120" w:type="dxa"/>
            <w:vAlign w:val="top"/>
            <w:gridSpan w:val="2"/>
            <w:tcBorders>
              <w:left w:val="single" w:color="FFFFFF" w:sz="2" w:space="0"/>
              <w:right w:val="single" w:color="FFFFFF" w:sz="2" w:space="0"/>
              <w:bottom w:val="single" w:color="FFFFFF" w:sz="6" w:space="0"/>
              <w:top w:val="single" w:color="FFFFFF" w:sz="6" w:space="0"/>
            </w:tcBorders>
          </w:tcPr>
          <w:p>
            <w:pPr>
              <w:ind w:left="109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6"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727" w:type="dxa"/>
            <w:vAlign w:val="top"/>
            <w:gridSpan w:val="2"/>
            <w:tcBorders>
              <w:left w:val="single" w:color="FFFFFF" w:sz="2" w:space="0"/>
              <w:right w:val="single" w:color="FFFFFF" w:sz="2" w:space="0"/>
              <w:top w:val="single" w:color="FFFFFF" w:sz="6" w:space="0"/>
            </w:tcBorders>
          </w:tcPr>
          <w:p>
            <w:pPr>
              <w:ind w:left="13"/>
              <w:spacing w:before="124" w:line="220" w:lineRule="auto"/>
              <w:rPr>
                <w:rFonts w:ascii="SimSun" w:hAnsi="SimSun" w:eastAsia="SimSun" w:cs="SimSun"/>
                <w:sz w:val="18"/>
                <w:szCs w:val="18"/>
              </w:rPr>
            </w:pPr>
            <w:r>
              <w:rPr>
                <w:rFonts w:ascii="SimSun" w:hAnsi="SimSun" w:eastAsia="SimSun" w:cs="SimSun"/>
                <w:sz w:val="18"/>
                <w:szCs w:val="18"/>
                <w:color w:val="212529"/>
                <w:spacing w:val="-1"/>
              </w:rPr>
              <w:t>单位名称：兴县应急减灾中心</w:t>
            </w:r>
          </w:p>
        </w:tc>
        <w:tc>
          <w:tcPr>
            <w:tcW w:w="1573" w:type="dxa"/>
            <w:vAlign w:val="top"/>
            <w:tcBorders>
              <w:left w:val="single" w:color="FFFFFF" w:sz="2" w:space="0"/>
              <w:right w:val="single" w:color="FFFFFF" w:sz="2" w:space="0"/>
              <w:top w:val="single" w:color="FFFFFF" w:sz="6" w:space="0"/>
            </w:tcBorders>
          </w:tcPr>
          <w:p>
            <w:pPr>
              <w:pStyle w:val="TableText"/>
              <w:rPr/>
            </w:pPr>
            <w:r/>
          </w:p>
        </w:tc>
        <w:tc>
          <w:tcPr>
            <w:tcW w:w="1348" w:type="dxa"/>
            <w:vAlign w:val="top"/>
            <w:tcBorders>
              <w:left w:val="single" w:color="FFFFFF" w:sz="2" w:space="0"/>
              <w:right w:val="single" w:color="FFFFFF" w:sz="2" w:space="0"/>
              <w:top w:val="single" w:color="FFFFFF" w:sz="6" w:space="0"/>
            </w:tcBorders>
          </w:tcPr>
          <w:p>
            <w:pPr>
              <w:pStyle w:val="TableText"/>
              <w:rPr/>
            </w:pPr>
            <w:r/>
          </w:p>
        </w:tc>
        <w:tc>
          <w:tcPr>
            <w:tcW w:w="1079" w:type="dxa"/>
            <w:vAlign w:val="top"/>
            <w:tcBorders>
              <w:left w:val="single" w:color="FFFFFF" w:sz="2" w:space="0"/>
              <w:right w:val="single" w:color="FFFFFF" w:sz="2" w:space="0"/>
              <w:top w:val="single" w:color="FFFFFF" w:sz="6" w:space="0"/>
            </w:tcBorders>
          </w:tcPr>
          <w:p>
            <w:pPr>
              <w:pStyle w:val="TableText"/>
              <w:rPr/>
            </w:pPr>
            <w:r/>
          </w:p>
        </w:tc>
        <w:tc>
          <w:tcPr>
            <w:tcW w:w="1318" w:type="dxa"/>
            <w:vAlign w:val="top"/>
            <w:tcBorders>
              <w:left w:val="single" w:color="FFFFFF" w:sz="2" w:space="0"/>
              <w:right w:val="single" w:color="FFFFFF" w:sz="2" w:space="0"/>
              <w:top w:val="single" w:color="FFFFFF" w:sz="6" w:space="0"/>
            </w:tcBorders>
          </w:tcPr>
          <w:p>
            <w:pPr>
              <w:pStyle w:val="TableText"/>
              <w:rPr/>
            </w:pPr>
            <w:r/>
          </w:p>
        </w:tc>
        <w:tc>
          <w:tcPr>
            <w:tcW w:w="1304" w:type="dxa"/>
            <w:vAlign w:val="top"/>
            <w:tcBorders>
              <w:left w:val="single" w:color="FFFFFF" w:sz="2" w:space="0"/>
              <w:right w:val="single" w:color="FFFFFF" w:sz="2" w:space="0"/>
              <w:top w:val="single" w:color="FFFFFF" w:sz="6" w:space="0"/>
            </w:tcBorders>
          </w:tcPr>
          <w:p>
            <w:pPr>
              <w:pStyle w:val="TableText"/>
              <w:rPr/>
            </w:pPr>
            <w:r/>
          </w:p>
        </w:tc>
        <w:tc>
          <w:tcPr>
            <w:tcW w:w="2120" w:type="dxa"/>
            <w:vAlign w:val="top"/>
            <w:gridSpan w:val="2"/>
            <w:tcBorders>
              <w:left w:val="single" w:color="FFFFFF" w:sz="2" w:space="0"/>
              <w:right w:val="single" w:color="FFFFFF" w:sz="2" w:space="0"/>
              <w:top w:val="single" w:color="FFFFFF" w:sz="6" w:space="0"/>
            </w:tcBorders>
          </w:tcPr>
          <w:p>
            <w:pPr>
              <w:ind w:left="118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727" w:type="dxa"/>
            <w:vAlign w:val="top"/>
            <w:gridSpan w:val="2"/>
          </w:tcPr>
          <w:p>
            <w:pPr>
              <w:ind w:left="2167"/>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656" w:type="dxa"/>
            <w:vAlign w:val="top"/>
            <w:gridSpan w:val="6"/>
          </w:tcPr>
          <w:p>
            <w:pPr>
              <w:ind w:left="3455"/>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086" w:type="dxa"/>
            <w:vAlign w:val="top"/>
            <w:vMerge w:val="restart"/>
            <w:tcBorders>
              <w:bottom w:val="nil"/>
            </w:tcBorders>
          </w:tcPr>
          <w:p>
            <w:pPr>
              <w:pStyle w:val="TableText"/>
              <w:spacing w:line="273" w:lineRule="auto"/>
              <w:rPr/>
            </w:pPr>
            <w:r/>
          </w:p>
          <w:p>
            <w:pPr>
              <w:ind w:left="164"/>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611" w:type="dxa"/>
            <w:vAlign w:val="top"/>
          </w:tcPr>
          <w:p>
            <w:pPr>
              <w:ind w:left="41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3116" w:type="dxa"/>
            <w:vAlign w:val="top"/>
          </w:tcPr>
          <w:p>
            <w:pPr>
              <w:ind w:left="1174"/>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573" w:type="dxa"/>
            <w:vAlign w:val="top"/>
          </w:tcPr>
          <w:p>
            <w:pPr>
              <w:ind w:left="591"/>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348" w:type="dxa"/>
            <w:vAlign w:val="top"/>
          </w:tcPr>
          <w:p>
            <w:pPr>
              <w:ind w:left="117"/>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079" w:type="dxa"/>
            <w:vAlign w:val="top"/>
          </w:tcPr>
          <w:p>
            <w:pPr>
              <w:ind w:left="79"/>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318" w:type="dxa"/>
            <w:vAlign w:val="top"/>
          </w:tcPr>
          <w:p>
            <w:pPr>
              <w:ind w:left="551" w:right="27" w:hanging="517"/>
              <w:spacing w:before="19"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rPr>
              <w:t>国有资本经营预</w:t>
            </w:r>
            <w:r>
              <w:rPr>
                <w:rFonts w:ascii="Microsoft YaHei" w:hAnsi="Microsoft YaHei" w:eastAsia="Microsoft YaHei" w:cs="Microsoft YaHei"/>
                <w:sz w:val="17"/>
                <w:szCs w:val="17"/>
                <w:color w:val="212529"/>
                <w:spacing w:val="12"/>
              </w:rPr>
              <w:t>算</w:t>
            </w:r>
          </w:p>
        </w:tc>
        <w:tc>
          <w:tcPr>
            <w:tcW w:w="1304" w:type="dxa"/>
            <w:vAlign w:val="top"/>
          </w:tcPr>
          <w:p>
            <w:pPr>
              <w:ind w:left="463" w:right="112" w:hanging="366"/>
              <w:spacing w:before="18"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财政专户管理</w:t>
            </w:r>
            <w:r>
              <w:rPr>
                <w:rFonts w:ascii="Microsoft YaHei" w:hAnsi="Microsoft YaHei" w:eastAsia="Microsoft YaHei" w:cs="Microsoft YaHei"/>
                <w:sz w:val="17"/>
                <w:szCs w:val="17"/>
                <w:color w:val="212529"/>
                <w:spacing w:val="4"/>
              </w:rPr>
              <w:t>资金</w:t>
            </w:r>
          </w:p>
        </w:tc>
        <w:tc>
          <w:tcPr>
            <w:tcW w:w="1034" w:type="dxa"/>
            <w:vAlign w:val="top"/>
          </w:tcPr>
          <w:p>
            <w:pPr>
              <w:ind w:left="138"/>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086" w:type="dxa"/>
            <w:vAlign w:val="top"/>
            <w:vMerge w:val="continue"/>
            <w:tcBorders>
              <w:top w:val="nil"/>
            </w:tcBorders>
          </w:tcPr>
          <w:p>
            <w:pPr>
              <w:pStyle w:val="TableText"/>
              <w:rPr/>
            </w:pPr>
            <w:r/>
          </w:p>
        </w:tc>
      </w:tr>
      <w:tr>
        <w:trPr>
          <w:trHeight w:val="434" w:hRule="atLeast"/>
        </w:trPr>
        <w:tc>
          <w:tcPr>
            <w:tcW w:w="4727" w:type="dxa"/>
            <w:vAlign w:val="top"/>
            <w:gridSpan w:val="2"/>
          </w:tcPr>
          <w:p>
            <w:pPr>
              <w:ind w:left="2169"/>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573" w:type="dxa"/>
            <w:vAlign w:val="top"/>
          </w:tcPr>
          <w:p>
            <w:pPr>
              <w:pStyle w:val="TableText"/>
              <w:ind w:left="995"/>
              <w:spacing w:before="149" w:line="184" w:lineRule="auto"/>
              <w:rPr>
                <w:sz w:val="15"/>
                <w:szCs w:val="15"/>
              </w:rPr>
            </w:pPr>
            <w:r>
              <w:rPr>
                <w:sz w:val="15"/>
                <w:szCs w:val="15"/>
                <w:color w:val="212529"/>
                <w:spacing w:val="2"/>
              </w:rPr>
              <w:t>349.</w:t>
            </w:r>
            <w:r>
              <w:rPr>
                <w:sz w:val="15"/>
                <w:szCs w:val="15"/>
                <w:color w:val="212529"/>
                <w:spacing w:val="12"/>
                <w:w w:val="102"/>
              </w:rPr>
              <w:t xml:space="preserve"> </w:t>
            </w:r>
            <w:r>
              <w:rPr>
                <w:sz w:val="15"/>
                <w:szCs w:val="15"/>
                <w:color w:val="212529"/>
                <w:spacing w:val="2"/>
              </w:rPr>
              <w:t>18</w:t>
            </w:r>
          </w:p>
        </w:tc>
        <w:tc>
          <w:tcPr>
            <w:tcW w:w="1348" w:type="dxa"/>
            <w:vAlign w:val="top"/>
          </w:tcPr>
          <w:p>
            <w:pPr>
              <w:pStyle w:val="TableText"/>
              <w:ind w:left="780"/>
              <w:spacing w:before="149" w:line="184" w:lineRule="auto"/>
              <w:rPr>
                <w:sz w:val="15"/>
                <w:szCs w:val="15"/>
              </w:rPr>
            </w:pPr>
            <w:r>
              <w:rPr>
                <w:sz w:val="15"/>
                <w:szCs w:val="15"/>
                <w:color w:val="212529"/>
                <w:spacing w:val="2"/>
              </w:rPr>
              <w:t>349.</w:t>
            </w:r>
            <w:r>
              <w:rPr>
                <w:sz w:val="15"/>
                <w:szCs w:val="15"/>
                <w:color w:val="212529"/>
                <w:spacing w:val="12"/>
                <w:w w:val="102"/>
              </w:rPr>
              <w:t xml:space="preserve"> </w:t>
            </w:r>
            <w:r>
              <w:rPr>
                <w:sz w:val="15"/>
                <w:szCs w:val="15"/>
                <w:color w:val="212529"/>
                <w:spacing w:val="2"/>
              </w:rPr>
              <w:t>18</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3116" w:type="dxa"/>
            <w:vAlign w:val="top"/>
          </w:tcPr>
          <w:p>
            <w:pPr>
              <w:spacing w:before="128" w:line="218" w:lineRule="auto"/>
              <w:rPr>
                <w:rFonts w:ascii="SimSun" w:hAnsi="SimSun" w:eastAsia="SimSun" w:cs="SimSun"/>
                <w:sz w:val="18"/>
                <w:szCs w:val="18"/>
              </w:rPr>
            </w:pPr>
            <w:r>
              <w:rPr>
                <w:rFonts w:ascii="SimSun" w:hAnsi="SimSun" w:eastAsia="SimSun" w:cs="SimSun"/>
                <w:sz w:val="18"/>
                <w:szCs w:val="18"/>
                <w:color w:val="212529"/>
                <w:spacing w:val="-2"/>
              </w:rPr>
              <w:t>社会保障和就业支出</w:t>
            </w:r>
          </w:p>
        </w:tc>
        <w:tc>
          <w:tcPr>
            <w:tcW w:w="1573" w:type="dxa"/>
            <w:vAlign w:val="top"/>
          </w:tcPr>
          <w:p>
            <w:pPr>
              <w:ind w:right="31"/>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1348" w:type="dxa"/>
            <w:vAlign w:val="top"/>
          </w:tcPr>
          <w:p>
            <w:pPr>
              <w:ind w:right="21"/>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3116" w:type="dxa"/>
            <w:vAlign w:val="top"/>
          </w:tcPr>
          <w:p>
            <w:pPr>
              <w:spacing w:before="129"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573" w:type="dxa"/>
            <w:vAlign w:val="top"/>
          </w:tcPr>
          <w:p>
            <w:pPr>
              <w:ind w:right="3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1348" w:type="dxa"/>
            <w:vAlign w:val="top"/>
          </w:tcPr>
          <w:p>
            <w:pPr>
              <w:ind w:right="21"/>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3116" w:type="dxa"/>
            <w:vAlign w:val="top"/>
          </w:tcPr>
          <w:p>
            <w:pPr>
              <w:spacing w:before="130"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573" w:type="dxa"/>
            <w:vAlign w:val="top"/>
          </w:tcPr>
          <w:p>
            <w:pPr>
              <w:ind w:right="31"/>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1348" w:type="dxa"/>
            <w:vAlign w:val="top"/>
          </w:tcPr>
          <w:p>
            <w:pPr>
              <w:ind w:right="21"/>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21.78</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3116" w:type="dxa"/>
            <w:vAlign w:val="top"/>
          </w:tcPr>
          <w:p>
            <w:pPr>
              <w:spacing w:before="131"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573" w:type="dxa"/>
            <w:vAlign w:val="top"/>
          </w:tcPr>
          <w:p>
            <w:pPr>
              <w:ind w:right="31"/>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1348" w:type="dxa"/>
            <w:vAlign w:val="top"/>
          </w:tcPr>
          <w:p>
            <w:pPr>
              <w:ind w:right="21"/>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3116" w:type="dxa"/>
            <w:vAlign w:val="top"/>
          </w:tcPr>
          <w:p>
            <w:pPr>
              <w:spacing w:before="133" w:line="219"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573" w:type="dxa"/>
            <w:vAlign w:val="top"/>
          </w:tcPr>
          <w:p>
            <w:pPr>
              <w:ind w:right="31"/>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1348" w:type="dxa"/>
            <w:vAlign w:val="top"/>
          </w:tcPr>
          <w:p>
            <w:pPr>
              <w:ind w:right="21"/>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3116" w:type="dxa"/>
            <w:vAlign w:val="top"/>
          </w:tcPr>
          <w:p>
            <w:pPr>
              <w:spacing w:before="134"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573" w:type="dxa"/>
            <w:vAlign w:val="top"/>
          </w:tcPr>
          <w:p>
            <w:pPr>
              <w:ind w:right="31"/>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1348" w:type="dxa"/>
            <w:vAlign w:val="top"/>
          </w:tcPr>
          <w:p>
            <w:pPr>
              <w:ind w:right="21"/>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8.94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5"/>
              <w:rPr>
                <w:rFonts w:ascii="SimSun" w:hAnsi="SimSun" w:eastAsia="SimSun" w:cs="SimSun"/>
                <w:sz w:val="18"/>
                <w:szCs w:val="18"/>
              </w:rPr>
            </w:pPr>
            <w:r>
              <w:rPr>
                <w:rFonts w:ascii="SimSun" w:hAnsi="SimSun" w:eastAsia="SimSun" w:cs="SimSun"/>
                <w:sz w:val="18"/>
                <w:szCs w:val="18"/>
                <w:color w:val="212529"/>
                <w:spacing w:val="-3"/>
              </w:rPr>
              <w:t>221</w:t>
            </w:r>
          </w:p>
        </w:tc>
        <w:tc>
          <w:tcPr>
            <w:tcW w:w="3116" w:type="dxa"/>
            <w:vAlign w:val="top"/>
          </w:tcPr>
          <w:p>
            <w:pPr>
              <w:spacing w:before="134"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573" w:type="dxa"/>
            <w:vAlign w:val="top"/>
          </w:tcPr>
          <w:p>
            <w:pPr>
              <w:ind w:right="29"/>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1348" w:type="dxa"/>
            <w:vAlign w:val="top"/>
          </w:tcPr>
          <w:p>
            <w:pPr>
              <w:ind w:right="19"/>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3116" w:type="dxa"/>
            <w:vAlign w:val="top"/>
          </w:tcPr>
          <w:p>
            <w:pPr>
              <w:spacing w:before="135"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573" w:type="dxa"/>
            <w:vAlign w:val="top"/>
          </w:tcPr>
          <w:p>
            <w:pPr>
              <w:ind w:right="29"/>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1348" w:type="dxa"/>
            <w:vAlign w:val="top"/>
          </w:tcPr>
          <w:p>
            <w:pPr>
              <w:ind w:right="19"/>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3116" w:type="dxa"/>
            <w:vAlign w:val="top"/>
          </w:tcPr>
          <w:p>
            <w:pPr>
              <w:spacing w:before="137" w:line="219" w:lineRule="auto"/>
              <w:rPr>
                <w:rFonts w:ascii="SimSun" w:hAnsi="SimSun" w:eastAsia="SimSun" w:cs="SimSun"/>
                <w:sz w:val="18"/>
                <w:szCs w:val="18"/>
              </w:rPr>
            </w:pPr>
            <w:r>
              <w:rPr>
                <w:rFonts w:ascii="SimSun" w:hAnsi="SimSun" w:eastAsia="SimSun" w:cs="SimSun"/>
                <w:sz w:val="18"/>
                <w:szCs w:val="18"/>
                <w:color w:val="212529"/>
                <w:spacing w:val="-3"/>
              </w:rPr>
              <w:t>住房公积金</w:t>
            </w:r>
          </w:p>
        </w:tc>
        <w:tc>
          <w:tcPr>
            <w:tcW w:w="1573" w:type="dxa"/>
            <w:vAlign w:val="top"/>
          </w:tcPr>
          <w:p>
            <w:pPr>
              <w:ind w:right="29"/>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1348" w:type="dxa"/>
            <w:vAlign w:val="top"/>
          </w:tcPr>
          <w:p>
            <w:pPr>
              <w:ind w:right="19"/>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4"/>
              </w:rPr>
              <w:t>17.82</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4" w:hRule="atLeast"/>
        </w:trPr>
        <w:tc>
          <w:tcPr>
            <w:tcW w:w="1611" w:type="dxa"/>
            <w:vAlign w:val="top"/>
          </w:tcPr>
          <w:p>
            <w:pPr>
              <w:ind w:left="9"/>
              <w:spacing w:before="138"/>
              <w:rPr>
                <w:rFonts w:ascii="SimSun" w:hAnsi="SimSun" w:eastAsia="SimSun" w:cs="SimSun"/>
                <w:sz w:val="18"/>
                <w:szCs w:val="18"/>
              </w:rPr>
            </w:pPr>
            <w:r>
              <w:rPr>
                <w:rFonts w:ascii="SimSun" w:hAnsi="SimSun" w:eastAsia="SimSun" w:cs="SimSun"/>
                <w:sz w:val="18"/>
                <w:szCs w:val="18"/>
                <w:color w:val="212529"/>
                <w:spacing w:val="-3"/>
              </w:rPr>
              <w:t>224</w:t>
            </w:r>
          </w:p>
        </w:tc>
        <w:tc>
          <w:tcPr>
            <w:tcW w:w="3116" w:type="dxa"/>
            <w:vAlign w:val="top"/>
          </w:tcPr>
          <w:p>
            <w:pPr>
              <w:spacing w:before="137" w:line="219" w:lineRule="auto"/>
              <w:rPr>
                <w:rFonts w:ascii="SimSun" w:hAnsi="SimSun" w:eastAsia="SimSun" w:cs="SimSun"/>
                <w:sz w:val="18"/>
                <w:szCs w:val="18"/>
              </w:rPr>
            </w:pPr>
            <w:r>
              <w:rPr>
                <w:rFonts w:ascii="SimSun" w:hAnsi="SimSun" w:eastAsia="SimSun" w:cs="SimSun"/>
                <w:sz w:val="18"/>
                <w:szCs w:val="18"/>
                <w:color w:val="212529"/>
                <w:spacing w:val="-2"/>
              </w:rPr>
              <w:t>灾害防治及应急管理支出</w:t>
            </w:r>
          </w:p>
        </w:tc>
        <w:tc>
          <w:tcPr>
            <w:tcW w:w="1573" w:type="dxa"/>
            <w:vAlign w:val="top"/>
          </w:tcPr>
          <w:p>
            <w:pPr>
              <w:ind w:right="3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300.64</w:t>
            </w:r>
          </w:p>
        </w:tc>
        <w:tc>
          <w:tcPr>
            <w:tcW w:w="1348" w:type="dxa"/>
            <w:vAlign w:val="top"/>
          </w:tcPr>
          <w:p>
            <w:pPr>
              <w:ind w:right="2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300.64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w:t>
            </w:r>
          </w:p>
        </w:tc>
        <w:tc>
          <w:tcPr>
            <w:tcW w:w="3116"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应急管理事务</w:t>
            </w:r>
          </w:p>
        </w:tc>
        <w:tc>
          <w:tcPr>
            <w:tcW w:w="157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223.24</w:t>
            </w:r>
          </w:p>
        </w:tc>
        <w:tc>
          <w:tcPr>
            <w:tcW w:w="1348"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223.24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2240150</w:t>
            </w:r>
          </w:p>
        </w:tc>
        <w:tc>
          <w:tcPr>
            <w:tcW w:w="3116"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3"/>
              </w:rPr>
              <w:t>事业运行</w:t>
            </w:r>
          </w:p>
        </w:tc>
        <w:tc>
          <w:tcPr>
            <w:tcW w:w="1573"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182.24</w:t>
            </w:r>
          </w:p>
        </w:tc>
        <w:tc>
          <w:tcPr>
            <w:tcW w:w="1348" w:type="dxa"/>
            <w:vAlign w:val="top"/>
          </w:tcPr>
          <w:p>
            <w:pPr>
              <w:ind w:right="1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182.24</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2240199</w:t>
            </w:r>
          </w:p>
        </w:tc>
        <w:tc>
          <w:tcPr>
            <w:tcW w:w="3116"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其他应急管理支出</w:t>
            </w:r>
          </w:p>
        </w:tc>
        <w:tc>
          <w:tcPr>
            <w:tcW w:w="1573"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41.00</w:t>
            </w:r>
          </w:p>
        </w:tc>
        <w:tc>
          <w:tcPr>
            <w:tcW w:w="1348"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41.00</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22405</w:t>
            </w:r>
          </w:p>
        </w:tc>
        <w:tc>
          <w:tcPr>
            <w:tcW w:w="3116"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3"/>
              </w:rPr>
              <w:t>地震事务</w:t>
            </w:r>
          </w:p>
        </w:tc>
        <w:tc>
          <w:tcPr>
            <w:tcW w:w="157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77.40</w:t>
            </w:r>
          </w:p>
        </w:tc>
        <w:tc>
          <w:tcPr>
            <w:tcW w:w="1348" w:type="dxa"/>
            <w:vAlign w:val="top"/>
          </w:tcPr>
          <w:p>
            <w:pPr>
              <w:ind w:right="2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77.40</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35"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2240504</w:t>
            </w:r>
          </w:p>
        </w:tc>
        <w:tc>
          <w:tcPr>
            <w:tcW w:w="3116" w:type="dxa"/>
            <w:vAlign w:val="top"/>
          </w:tcPr>
          <w:p>
            <w:pPr>
              <w:spacing w:before="139" w:line="219" w:lineRule="auto"/>
              <w:rPr>
                <w:rFonts w:ascii="SimSun" w:hAnsi="SimSun" w:eastAsia="SimSun" w:cs="SimSun"/>
                <w:sz w:val="18"/>
                <w:szCs w:val="18"/>
              </w:rPr>
            </w:pPr>
            <w:r>
              <w:rPr>
                <w:rFonts w:ascii="SimSun" w:hAnsi="SimSun" w:eastAsia="SimSun" w:cs="SimSun"/>
                <w:sz w:val="18"/>
                <w:szCs w:val="18"/>
                <w:color w:val="212529"/>
                <w:spacing w:val="-3"/>
              </w:rPr>
              <w:t>地震监测</w:t>
            </w:r>
          </w:p>
        </w:tc>
        <w:tc>
          <w:tcPr>
            <w:tcW w:w="1573"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37.40</w:t>
            </w:r>
          </w:p>
        </w:tc>
        <w:tc>
          <w:tcPr>
            <w:tcW w:w="1348" w:type="dxa"/>
            <w:vAlign w:val="top"/>
          </w:tcPr>
          <w:p>
            <w:pPr>
              <w:ind w:right="2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37.40</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42" w:hRule="atLeast"/>
        </w:trPr>
        <w:tc>
          <w:tcPr>
            <w:tcW w:w="161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2240599</w:t>
            </w:r>
          </w:p>
        </w:tc>
        <w:tc>
          <w:tcPr>
            <w:tcW w:w="3116" w:type="dxa"/>
            <w:vAlign w:val="top"/>
          </w:tcPr>
          <w:p>
            <w:pPr>
              <w:spacing w:before="138" w:line="219" w:lineRule="auto"/>
              <w:rPr>
                <w:rFonts w:ascii="SimSun" w:hAnsi="SimSun" w:eastAsia="SimSun" w:cs="SimSun"/>
                <w:sz w:val="18"/>
                <w:szCs w:val="18"/>
              </w:rPr>
            </w:pPr>
            <w:r>
              <w:rPr>
                <w:rFonts w:ascii="SimSun" w:hAnsi="SimSun" w:eastAsia="SimSun" w:cs="SimSun"/>
                <w:sz w:val="18"/>
                <w:szCs w:val="18"/>
                <w:color w:val="212529"/>
                <w:spacing w:val="-2"/>
              </w:rPr>
              <w:t>其他地震事务支出</w:t>
            </w:r>
          </w:p>
        </w:tc>
        <w:tc>
          <w:tcPr>
            <w:tcW w:w="1573" w:type="dxa"/>
            <w:vAlign w:val="top"/>
          </w:tcPr>
          <w:p>
            <w:pPr>
              <w:ind w:right="3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40.00</w:t>
            </w:r>
          </w:p>
        </w:tc>
        <w:tc>
          <w:tcPr>
            <w:tcW w:w="1348"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40.00</w:t>
            </w:r>
          </w:p>
        </w:tc>
        <w:tc>
          <w:tcPr>
            <w:tcW w:w="1079" w:type="dxa"/>
            <w:vAlign w:val="top"/>
          </w:tcPr>
          <w:p>
            <w:pPr>
              <w:pStyle w:val="TableText"/>
              <w:rPr/>
            </w:pPr>
            <w:r/>
          </w:p>
        </w:tc>
        <w:tc>
          <w:tcPr>
            <w:tcW w:w="1318" w:type="dxa"/>
            <w:vAlign w:val="top"/>
          </w:tcPr>
          <w:p>
            <w:pPr>
              <w:pStyle w:val="TableText"/>
              <w:rPr/>
            </w:pPr>
            <w:r/>
          </w:p>
        </w:tc>
        <w:tc>
          <w:tcPr>
            <w:tcW w:w="1304"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bl>
    <w:p>
      <w:pPr>
        <w:rPr>
          <w:rFonts w:ascii="Arial"/>
          <w:sz w:val="21"/>
        </w:rPr>
      </w:pPr>
      <w:r/>
    </w:p>
    <w:p>
      <w:pPr>
        <w:sectPr>
          <w:headerReference w:type="default" r:id="rId7"/>
          <w:footerReference w:type="default" r:id="rId8"/>
          <w:pgSz w:w="16840" w:h="1190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09"/>
        <w:gridCol w:w="3153"/>
        <w:gridCol w:w="1426"/>
        <w:gridCol w:w="1382"/>
        <w:gridCol w:w="1388"/>
      </w:tblGrid>
      <w:tr>
        <w:trPr>
          <w:trHeight w:val="319" w:hRule="atLeast"/>
        </w:trPr>
        <w:tc>
          <w:tcPr>
            <w:tcW w:w="180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1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8" w:type="dxa"/>
            <w:vAlign w:val="top"/>
            <w:tcBorders>
              <w:bottom w:val="single" w:color="FFFFFF" w:sz="4" w:space="0"/>
              <w:top w:val="single" w:color="FFFFFF" w:sz="4" w:space="0"/>
              <w:left w:val="single" w:color="FFFFFF" w:sz="2" w:space="0"/>
              <w:right w:val="single" w:color="FFFFFF" w:sz="2" w:space="0"/>
            </w:tcBorders>
          </w:tcPr>
          <w:p>
            <w:pPr>
              <w:ind w:left="649"/>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6" w:line="200" w:lineRule="exact"/>
              <w:outlineLvl w:val="1"/>
              <w:rPr>
                <w:rFonts w:ascii="Microsoft YaHei" w:hAnsi="Microsoft YaHei" w:eastAsia="Microsoft YaHei" w:cs="Microsoft YaHei"/>
                <w:sz w:val="19"/>
                <w:szCs w:val="19"/>
              </w:rPr>
            </w:pPr>
            <w:bookmarkStart w:name="bookmark38" w:id="11"/>
            <w:bookmarkEnd w:id="11"/>
            <w:bookmarkStart w:name="bookmark7" w:id="12"/>
            <w:bookmarkEnd w:id="12"/>
            <w:r>
              <w:rPr>
                <w:rFonts w:ascii="Microsoft YaHei" w:hAnsi="Microsoft YaHei" w:eastAsia="Microsoft YaHei" w:cs="Microsoft YaHei"/>
                <w:sz w:val="19"/>
                <w:szCs w:val="19"/>
                <w:color w:val="212529"/>
                <w:spacing w:val="2"/>
                <w:position w:val="-1"/>
              </w:rPr>
              <w:t>2025年预算支出总表</w:t>
            </w:r>
          </w:p>
        </w:tc>
      </w:tr>
      <w:tr>
        <w:trPr>
          <w:trHeight w:val="313" w:hRule="atLeast"/>
        </w:trPr>
        <w:tc>
          <w:tcPr>
            <w:tcW w:w="6388" w:type="dxa"/>
            <w:vAlign w:val="top"/>
            <w:gridSpan w:val="3"/>
            <w:tcBorders>
              <w:top w:val="single" w:color="FFFFFF" w:sz="4" w:space="0"/>
              <w:left w:val="single" w:color="FFFFFF" w:sz="2" w:space="0"/>
              <w:right w:val="single" w:color="FFFFFF" w:sz="2" w:space="0"/>
            </w:tcBorders>
          </w:tcPr>
          <w:p>
            <w:pPr>
              <w:ind w:left="9"/>
              <w:spacing w:before="91" w:line="234"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388" w:type="dxa"/>
            <w:vAlign w:val="top"/>
            <w:tcBorders>
              <w:top w:val="single" w:color="FFFFFF" w:sz="4" w:space="0"/>
              <w:left w:val="single" w:color="FFFFFF" w:sz="2" w:space="0"/>
              <w:right w:val="single" w:color="FFFFFF" w:sz="2" w:space="0"/>
            </w:tcBorders>
          </w:tcPr>
          <w:p>
            <w:pPr>
              <w:ind w:left="715"/>
              <w:spacing w:before="91"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62" w:type="dxa"/>
            <w:vAlign w:val="top"/>
            <w:gridSpan w:val="2"/>
          </w:tcPr>
          <w:p>
            <w:pPr>
              <w:ind w:left="2306"/>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6" w:type="dxa"/>
            <w:vAlign w:val="top"/>
            <w:gridSpan w:val="3"/>
          </w:tcPr>
          <w:p>
            <w:pPr>
              <w:ind w:left="1602"/>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3" w:hRule="atLeast"/>
        </w:trPr>
        <w:tc>
          <w:tcPr>
            <w:tcW w:w="1809" w:type="dxa"/>
            <w:vAlign w:val="top"/>
          </w:tcPr>
          <w:p>
            <w:pPr>
              <w:ind w:left="565"/>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53" w:type="dxa"/>
            <w:vAlign w:val="top"/>
          </w:tcPr>
          <w:p>
            <w:pPr>
              <w:ind w:left="1236"/>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26" w:type="dxa"/>
            <w:vAlign w:val="top"/>
          </w:tcPr>
          <w:p>
            <w:pPr>
              <w:ind w:left="544"/>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8"/>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388" w:type="dxa"/>
            <w:vAlign w:val="top"/>
          </w:tcPr>
          <w:p>
            <w:pPr>
              <w:ind w:left="360"/>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62" w:type="dxa"/>
            <w:vAlign w:val="top"/>
            <w:gridSpan w:val="2"/>
          </w:tcPr>
          <w:p>
            <w:pPr>
              <w:ind w:left="2308"/>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26" w:type="dxa"/>
            <w:vAlign w:val="top"/>
          </w:tcPr>
          <w:p>
            <w:pPr>
              <w:pStyle w:val="TableText"/>
              <w:ind w:left="923"/>
              <w:spacing w:before="99" w:line="186" w:lineRule="auto"/>
              <w:rPr>
                <w:sz w:val="13"/>
                <w:szCs w:val="13"/>
              </w:rPr>
            </w:pPr>
            <w:r>
              <w:rPr>
                <w:sz w:val="13"/>
                <w:szCs w:val="13"/>
                <w:color w:val="212529"/>
                <w:spacing w:val="2"/>
              </w:rPr>
              <w:t>349.</w:t>
            </w:r>
            <w:r>
              <w:rPr>
                <w:sz w:val="13"/>
                <w:szCs w:val="13"/>
                <w:color w:val="212529"/>
                <w:spacing w:val="25"/>
                <w:w w:val="102"/>
              </w:rPr>
              <w:t xml:space="preserve"> </w:t>
            </w:r>
            <w:r>
              <w:rPr>
                <w:sz w:val="13"/>
                <w:szCs w:val="13"/>
                <w:color w:val="212529"/>
                <w:spacing w:val="2"/>
              </w:rPr>
              <w:t>18</w:t>
            </w:r>
          </w:p>
        </w:tc>
        <w:tc>
          <w:tcPr>
            <w:tcW w:w="1382" w:type="dxa"/>
            <w:vAlign w:val="top"/>
          </w:tcPr>
          <w:p>
            <w:pPr>
              <w:pStyle w:val="TableText"/>
              <w:ind w:left="877"/>
              <w:spacing w:before="99" w:line="172" w:lineRule="auto"/>
              <w:rPr>
                <w:sz w:val="14"/>
                <w:szCs w:val="14"/>
              </w:rPr>
            </w:pPr>
            <w:r>
              <w:rPr>
                <w:sz w:val="14"/>
                <w:szCs w:val="14"/>
                <w:color w:val="212529"/>
              </w:rPr>
              <w:t>230.</w:t>
            </w:r>
            <w:r>
              <w:rPr>
                <w:sz w:val="14"/>
                <w:szCs w:val="14"/>
                <w:color w:val="212529"/>
                <w:spacing w:val="6"/>
              </w:rPr>
              <w:t xml:space="preserve"> </w:t>
            </w:r>
            <w:r>
              <w:rPr>
                <w:sz w:val="14"/>
                <w:szCs w:val="14"/>
                <w:color w:val="212529"/>
              </w:rPr>
              <w:t>78</w:t>
            </w:r>
          </w:p>
        </w:tc>
        <w:tc>
          <w:tcPr>
            <w:tcW w:w="1388" w:type="dxa"/>
            <w:vAlign w:val="top"/>
          </w:tcPr>
          <w:p>
            <w:pPr>
              <w:pStyle w:val="TableText"/>
              <w:ind w:left="887"/>
              <w:spacing w:before="98" w:line="162" w:lineRule="auto"/>
              <w:rPr>
                <w:sz w:val="15"/>
                <w:szCs w:val="15"/>
              </w:rPr>
            </w:pPr>
            <w:r>
              <w:rPr>
                <w:sz w:val="15"/>
                <w:szCs w:val="15"/>
                <w:color w:val="212529"/>
                <w:spacing w:val="1"/>
              </w:rPr>
              <w:t>118.40</w:t>
            </w:r>
          </w:p>
        </w:tc>
      </w:tr>
      <w:tr>
        <w:trPr>
          <w:trHeight w:val="314" w:hRule="atLeast"/>
        </w:trPr>
        <w:tc>
          <w:tcPr>
            <w:tcW w:w="1809"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153" w:type="dxa"/>
            <w:vAlign w:val="top"/>
          </w:tcPr>
          <w:p>
            <w:pPr>
              <w:ind w:left="4"/>
              <w:spacing w:before="80"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26" w:type="dxa"/>
            <w:vAlign w:val="top"/>
          </w:tcPr>
          <w:p>
            <w:pPr>
              <w:ind w:right="16"/>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382" w:type="dxa"/>
            <w:vAlign w:val="top"/>
          </w:tcPr>
          <w:p>
            <w:pPr>
              <w:pStyle w:val="TableText"/>
              <w:ind w:left="958"/>
              <w:spacing w:before="99" w:line="187" w:lineRule="auto"/>
              <w:rPr>
                <w:sz w:val="13"/>
                <w:szCs w:val="13"/>
              </w:rPr>
            </w:pPr>
            <w:r>
              <w:rPr>
                <w:sz w:val="13"/>
                <w:szCs w:val="13"/>
                <w:color w:val="212529"/>
                <w:spacing w:val="4"/>
              </w:rPr>
              <w:t>21.</w:t>
            </w:r>
            <w:r>
              <w:rPr>
                <w:sz w:val="13"/>
                <w:szCs w:val="13"/>
                <w:color w:val="212529"/>
                <w:spacing w:val="10"/>
                <w:w w:val="101"/>
              </w:rPr>
              <w:t xml:space="preserve"> </w:t>
            </w:r>
            <w:r>
              <w:rPr>
                <w:sz w:val="13"/>
                <w:szCs w:val="13"/>
                <w:color w:val="212529"/>
                <w:spacing w:val="4"/>
              </w:rPr>
              <w:t>78</w:t>
            </w:r>
          </w:p>
        </w:tc>
        <w:tc>
          <w:tcPr>
            <w:tcW w:w="1388" w:type="dxa"/>
            <w:vAlign w:val="top"/>
          </w:tcPr>
          <w:p>
            <w:pPr>
              <w:pStyle w:val="TableText"/>
              <w:rPr/>
            </w:pPr>
            <w:r/>
          </w:p>
        </w:tc>
      </w:tr>
      <w:tr>
        <w:trPr>
          <w:trHeight w:val="314" w:hRule="atLeast"/>
        </w:trPr>
        <w:tc>
          <w:tcPr>
            <w:tcW w:w="1809"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53" w:type="dxa"/>
            <w:vAlign w:val="top"/>
          </w:tcPr>
          <w:p>
            <w:pPr>
              <w:ind w:left="2"/>
              <w:spacing w:before="80"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26" w:type="dxa"/>
            <w:vAlign w:val="top"/>
          </w:tcPr>
          <w:p>
            <w:pPr>
              <w:ind w:right="16"/>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382" w:type="dxa"/>
            <w:vAlign w:val="top"/>
          </w:tcPr>
          <w:p>
            <w:pPr>
              <w:pStyle w:val="TableText"/>
              <w:ind w:left="958"/>
              <w:spacing w:before="99" w:line="186" w:lineRule="auto"/>
              <w:rPr>
                <w:sz w:val="13"/>
                <w:szCs w:val="13"/>
              </w:rPr>
            </w:pPr>
            <w:r>
              <w:rPr>
                <w:sz w:val="13"/>
                <w:szCs w:val="13"/>
                <w:color w:val="212529"/>
                <w:spacing w:val="4"/>
              </w:rPr>
              <w:t>21.</w:t>
            </w:r>
            <w:r>
              <w:rPr>
                <w:sz w:val="13"/>
                <w:szCs w:val="13"/>
                <w:color w:val="212529"/>
                <w:spacing w:val="10"/>
                <w:w w:val="101"/>
              </w:rPr>
              <w:t xml:space="preserve"> </w:t>
            </w:r>
            <w:r>
              <w:rPr>
                <w:sz w:val="13"/>
                <w:szCs w:val="13"/>
                <w:color w:val="212529"/>
                <w:spacing w:val="4"/>
              </w:rPr>
              <w:t>78</w:t>
            </w:r>
          </w:p>
        </w:tc>
        <w:tc>
          <w:tcPr>
            <w:tcW w:w="1388" w:type="dxa"/>
            <w:vAlign w:val="top"/>
          </w:tcPr>
          <w:p>
            <w:pPr>
              <w:pStyle w:val="TableText"/>
              <w:rPr/>
            </w:pPr>
            <w:r/>
          </w:p>
        </w:tc>
      </w:tr>
      <w:tr>
        <w:trPr>
          <w:trHeight w:val="314" w:hRule="atLeast"/>
        </w:trPr>
        <w:tc>
          <w:tcPr>
            <w:tcW w:w="1809"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53" w:type="dxa"/>
            <w:vAlign w:val="top"/>
          </w:tcPr>
          <w:p>
            <w:pPr>
              <w:ind w:left="2"/>
              <w:spacing w:before="8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26" w:type="dxa"/>
            <w:vAlign w:val="top"/>
          </w:tcPr>
          <w:p>
            <w:pPr>
              <w:ind w:right="16"/>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382" w:type="dxa"/>
            <w:vAlign w:val="top"/>
          </w:tcPr>
          <w:p>
            <w:pPr>
              <w:ind w:right="17"/>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388" w:type="dxa"/>
            <w:vAlign w:val="top"/>
          </w:tcPr>
          <w:p>
            <w:pPr>
              <w:pStyle w:val="TableText"/>
              <w:rPr/>
            </w:pPr>
            <w:r/>
          </w:p>
        </w:tc>
      </w:tr>
      <w:tr>
        <w:trPr>
          <w:trHeight w:val="314" w:hRule="atLeast"/>
        </w:trPr>
        <w:tc>
          <w:tcPr>
            <w:tcW w:w="1809"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153" w:type="dxa"/>
            <w:vAlign w:val="top"/>
          </w:tcPr>
          <w:p>
            <w:pPr>
              <w:ind w:left="4"/>
              <w:spacing w:before="8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26" w:type="dxa"/>
            <w:vAlign w:val="top"/>
          </w:tcPr>
          <w:p>
            <w:pPr>
              <w:ind w:right="16"/>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382" w:type="dxa"/>
            <w:vAlign w:val="top"/>
          </w:tcPr>
          <w:p>
            <w:pPr>
              <w:pStyle w:val="TableText"/>
              <w:ind w:right="16"/>
              <w:spacing w:before="100" w:line="186" w:lineRule="auto"/>
              <w:jc w:val="right"/>
              <w:rPr>
                <w:sz w:val="13"/>
                <w:szCs w:val="13"/>
              </w:rPr>
            </w:pPr>
            <w:r>
              <w:rPr>
                <w:sz w:val="13"/>
                <w:szCs w:val="13"/>
                <w:color w:val="212529"/>
                <w:spacing w:val="4"/>
              </w:rPr>
              <w:t>8.</w:t>
            </w:r>
            <w:r>
              <w:rPr>
                <w:sz w:val="13"/>
                <w:szCs w:val="13"/>
                <w:color w:val="212529"/>
                <w:spacing w:val="10"/>
                <w:w w:val="101"/>
              </w:rPr>
              <w:t xml:space="preserve"> </w:t>
            </w:r>
            <w:r>
              <w:rPr>
                <w:sz w:val="13"/>
                <w:szCs w:val="13"/>
                <w:color w:val="212529"/>
                <w:spacing w:val="4"/>
              </w:rPr>
              <w:t>94</w:t>
            </w:r>
          </w:p>
        </w:tc>
        <w:tc>
          <w:tcPr>
            <w:tcW w:w="1388" w:type="dxa"/>
            <w:vAlign w:val="top"/>
          </w:tcPr>
          <w:p>
            <w:pPr>
              <w:pStyle w:val="TableText"/>
              <w:rPr/>
            </w:pPr>
            <w:r/>
          </w:p>
        </w:tc>
      </w:tr>
      <w:tr>
        <w:trPr>
          <w:trHeight w:val="314" w:hRule="atLeast"/>
        </w:trPr>
        <w:tc>
          <w:tcPr>
            <w:tcW w:w="1809"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53" w:type="dxa"/>
            <w:vAlign w:val="top"/>
          </w:tcPr>
          <w:p>
            <w:pPr>
              <w:ind w:left="2"/>
              <w:spacing w:before="81"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26" w:type="dxa"/>
            <w:vAlign w:val="top"/>
          </w:tcPr>
          <w:p>
            <w:pPr>
              <w:ind w:right="16"/>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382" w:type="dxa"/>
            <w:vAlign w:val="top"/>
          </w:tcPr>
          <w:p>
            <w:pPr>
              <w:pStyle w:val="TableText"/>
              <w:ind w:right="16"/>
              <w:spacing w:before="101" w:line="186" w:lineRule="auto"/>
              <w:jc w:val="right"/>
              <w:rPr>
                <w:sz w:val="13"/>
                <w:szCs w:val="13"/>
              </w:rPr>
            </w:pPr>
            <w:r>
              <w:rPr>
                <w:sz w:val="13"/>
                <w:szCs w:val="13"/>
                <w:color w:val="212529"/>
                <w:spacing w:val="4"/>
              </w:rPr>
              <w:t>8.</w:t>
            </w:r>
            <w:r>
              <w:rPr>
                <w:sz w:val="13"/>
                <w:szCs w:val="13"/>
                <w:color w:val="212529"/>
                <w:spacing w:val="10"/>
                <w:w w:val="101"/>
              </w:rPr>
              <w:t xml:space="preserve"> </w:t>
            </w:r>
            <w:r>
              <w:rPr>
                <w:sz w:val="13"/>
                <w:szCs w:val="13"/>
                <w:color w:val="212529"/>
                <w:spacing w:val="4"/>
              </w:rPr>
              <w:t>94</w:t>
            </w:r>
          </w:p>
        </w:tc>
        <w:tc>
          <w:tcPr>
            <w:tcW w:w="1388" w:type="dxa"/>
            <w:vAlign w:val="top"/>
          </w:tcPr>
          <w:p>
            <w:pPr>
              <w:pStyle w:val="TableText"/>
              <w:rPr/>
            </w:pPr>
            <w:r/>
          </w:p>
        </w:tc>
      </w:tr>
      <w:tr>
        <w:trPr>
          <w:trHeight w:val="314" w:hRule="atLeast"/>
        </w:trPr>
        <w:tc>
          <w:tcPr>
            <w:tcW w:w="1809"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53" w:type="dxa"/>
            <w:vAlign w:val="top"/>
          </w:tcPr>
          <w:p>
            <w:pPr>
              <w:ind w:left="4"/>
              <w:spacing w:before="82"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26" w:type="dxa"/>
            <w:vAlign w:val="top"/>
          </w:tcPr>
          <w:p>
            <w:pPr>
              <w:ind w:right="16"/>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382" w:type="dxa"/>
            <w:vAlign w:val="top"/>
          </w:tcPr>
          <w:p>
            <w:pPr>
              <w:ind w:right="17"/>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388" w:type="dxa"/>
            <w:vAlign w:val="top"/>
          </w:tcPr>
          <w:p>
            <w:pPr>
              <w:pStyle w:val="TableText"/>
              <w:rPr/>
            </w:pPr>
            <w:r/>
          </w:p>
        </w:tc>
      </w:tr>
      <w:tr>
        <w:trPr>
          <w:trHeight w:val="314" w:hRule="atLeast"/>
        </w:trPr>
        <w:tc>
          <w:tcPr>
            <w:tcW w:w="1809" w:type="dxa"/>
            <w:vAlign w:val="top"/>
          </w:tcPr>
          <w:p>
            <w:pPr>
              <w:ind w:left="8"/>
              <w:spacing w:before="82"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53" w:type="dxa"/>
            <w:vAlign w:val="top"/>
          </w:tcPr>
          <w:p>
            <w:pPr>
              <w:ind w:left="3"/>
              <w:spacing w:before="82"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26" w:type="dxa"/>
            <w:vAlign w:val="top"/>
          </w:tcPr>
          <w:p>
            <w:pPr>
              <w:ind w:right="16"/>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382" w:type="dxa"/>
            <w:vAlign w:val="top"/>
          </w:tcPr>
          <w:p>
            <w:pPr>
              <w:pStyle w:val="TableText"/>
              <w:ind w:left="968"/>
              <w:spacing w:before="101" w:line="162" w:lineRule="auto"/>
              <w:rPr>
                <w:sz w:val="15"/>
                <w:szCs w:val="15"/>
              </w:rPr>
            </w:pPr>
            <w:r>
              <w:rPr>
                <w:sz w:val="15"/>
                <w:szCs w:val="15"/>
                <w:color w:val="212529"/>
                <w:spacing w:val="1"/>
              </w:rPr>
              <w:t>17.82</w:t>
            </w:r>
          </w:p>
        </w:tc>
        <w:tc>
          <w:tcPr>
            <w:tcW w:w="1388" w:type="dxa"/>
            <w:vAlign w:val="top"/>
          </w:tcPr>
          <w:p>
            <w:pPr>
              <w:pStyle w:val="TableText"/>
              <w:rPr/>
            </w:pPr>
            <w:r/>
          </w:p>
        </w:tc>
      </w:tr>
      <w:tr>
        <w:trPr>
          <w:trHeight w:val="314" w:hRule="atLeast"/>
        </w:trPr>
        <w:tc>
          <w:tcPr>
            <w:tcW w:w="1809"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53" w:type="dxa"/>
            <w:vAlign w:val="top"/>
          </w:tcPr>
          <w:p>
            <w:pPr>
              <w:ind w:left="3"/>
              <w:spacing w:before="83"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26" w:type="dxa"/>
            <w:vAlign w:val="top"/>
          </w:tcPr>
          <w:p>
            <w:pPr>
              <w:ind w:right="16"/>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382" w:type="dxa"/>
            <w:vAlign w:val="top"/>
          </w:tcPr>
          <w:p>
            <w:pPr>
              <w:pStyle w:val="TableText"/>
              <w:ind w:left="968"/>
              <w:spacing w:before="101" w:line="162" w:lineRule="auto"/>
              <w:rPr>
                <w:sz w:val="15"/>
                <w:szCs w:val="15"/>
              </w:rPr>
            </w:pPr>
            <w:r>
              <w:rPr>
                <w:sz w:val="15"/>
                <w:szCs w:val="15"/>
                <w:color w:val="212529"/>
                <w:spacing w:val="1"/>
              </w:rPr>
              <w:t>17.82</w:t>
            </w:r>
          </w:p>
        </w:tc>
        <w:tc>
          <w:tcPr>
            <w:tcW w:w="1388" w:type="dxa"/>
            <w:vAlign w:val="top"/>
          </w:tcPr>
          <w:p>
            <w:pPr>
              <w:pStyle w:val="TableText"/>
              <w:rPr/>
            </w:pPr>
            <w:r/>
          </w:p>
        </w:tc>
      </w:tr>
      <w:tr>
        <w:trPr>
          <w:trHeight w:val="314" w:hRule="atLeast"/>
        </w:trPr>
        <w:tc>
          <w:tcPr>
            <w:tcW w:w="1809"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53" w:type="dxa"/>
            <w:vAlign w:val="top"/>
          </w:tcPr>
          <w:p>
            <w:pPr>
              <w:ind w:left="3"/>
              <w:spacing w:before="83"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26" w:type="dxa"/>
            <w:vAlign w:val="top"/>
          </w:tcPr>
          <w:p>
            <w:pPr>
              <w:ind w:right="16"/>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382" w:type="dxa"/>
            <w:vAlign w:val="top"/>
          </w:tcPr>
          <w:p>
            <w:pPr>
              <w:ind w:right="17"/>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388" w:type="dxa"/>
            <w:vAlign w:val="top"/>
          </w:tcPr>
          <w:p>
            <w:pPr>
              <w:pStyle w:val="TableText"/>
              <w:rPr/>
            </w:pPr>
            <w:r/>
          </w:p>
        </w:tc>
      </w:tr>
      <w:tr>
        <w:trPr>
          <w:trHeight w:val="314" w:hRule="atLeast"/>
        </w:trPr>
        <w:tc>
          <w:tcPr>
            <w:tcW w:w="1809" w:type="dxa"/>
            <w:vAlign w:val="top"/>
          </w:tcPr>
          <w:p>
            <w:pPr>
              <w:ind w:left="8"/>
              <w:spacing w:before="83" w:line="204" w:lineRule="exact"/>
              <w:rPr>
                <w:rFonts w:ascii="SimSun" w:hAnsi="SimSun" w:eastAsia="SimSun" w:cs="SimSun"/>
                <w:sz w:val="15"/>
                <w:szCs w:val="15"/>
              </w:rPr>
            </w:pPr>
            <w:r>
              <w:rPr>
                <w:rFonts w:ascii="SimSun" w:hAnsi="SimSun" w:eastAsia="SimSun" w:cs="SimSun"/>
                <w:sz w:val="15"/>
                <w:szCs w:val="15"/>
                <w:color w:val="212529"/>
                <w:spacing w:val="2"/>
                <w:position w:val="1"/>
              </w:rPr>
              <w:t>224</w:t>
            </w:r>
          </w:p>
        </w:tc>
        <w:tc>
          <w:tcPr>
            <w:tcW w:w="3153" w:type="dxa"/>
            <w:vAlign w:val="top"/>
          </w:tcPr>
          <w:p>
            <w:pPr>
              <w:ind w:left="5"/>
              <w:spacing w:before="83" w:line="229" w:lineRule="auto"/>
              <w:rPr>
                <w:rFonts w:ascii="SimSun" w:hAnsi="SimSun" w:eastAsia="SimSun" w:cs="SimSun"/>
                <w:sz w:val="15"/>
                <w:szCs w:val="15"/>
              </w:rPr>
            </w:pPr>
            <w:r>
              <w:rPr>
                <w:rFonts w:ascii="SimSun" w:hAnsi="SimSun" w:eastAsia="SimSun" w:cs="SimSun"/>
                <w:sz w:val="15"/>
                <w:szCs w:val="15"/>
                <w:color w:val="212529"/>
                <w:spacing w:val="11"/>
              </w:rPr>
              <w:t>灾害防治及应急管理支出</w:t>
            </w:r>
          </w:p>
        </w:tc>
        <w:tc>
          <w:tcPr>
            <w:tcW w:w="1426" w:type="dxa"/>
            <w:vAlign w:val="top"/>
          </w:tcPr>
          <w:p>
            <w:pPr>
              <w:ind w:right="16"/>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300.64</w:t>
            </w:r>
          </w:p>
        </w:tc>
        <w:tc>
          <w:tcPr>
            <w:tcW w:w="1382" w:type="dxa"/>
            <w:vAlign w:val="top"/>
          </w:tcPr>
          <w:p>
            <w:pPr>
              <w:pStyle w:val="TableText"/>
              <w:ind w:right="16"/>
              <w:spacing w:before="102" w:line="162" w:lineRule="auto"/>
              <w:jc w:val="right"/>
              <w:rPr>
                <w:sz w:val="15"/>
                <w:szCs w:val="15"/>
              </w:rPr>
            </w:pPr>
            <w:r>
              <w:rPr>
                <w:sz w:val="15"/>
                <w:szCs w:val="15"/>
                <w:color w:val="212529"/>
                <w:spacing w:val="1"/>
              </w:rPr>
              <w:t>182.24</w:t>
            </w:r>
          </w:p>
        </w:tc>
        <w:tc>
          <w:tcPr>
            <w:tcW w:w="1388" w:type="dxa"/>
            <w:vAlign w:val="top"/>
          </w:tcPr>
          <w:p>
            <w:pPr>
              <w:pStyle w:val="TableText"/>
              <w:ind w:left="887"/>
              <w:spacing w:before="102" w:line="162" w:lineRule="auto"/>
              <w:rPr>
                <w:sz w:val="15"/>
                <w:szCs w:val="15"/>
              </w:rPr>
            </w:pPr>
            <w:r>
              <w:rPr>
                <w:sz w:val="15"/>
                <w:szCs w:val="15"/>
                <w:color w:val="212529"/>
                <w:spacing w:val="1"/>
              </w:rPr>
              <w:t>118.40</w:t>
            </w:r>
          </w:p>
        </w:tc>
      </w:tr>
      <w:tr>
        <w:trPr>
          <w:trHeight w:val="314" w:hRule="atLeast"/>
        </w:trPr>
        <w:tc>
          <w:tcPr>
            <w:tcW w:w="1809"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22401</w:t>
            </w:r>
          </w:p>
        </w:tc>
        <w:tc>
          <w:tcPr>
            <w:tcW w:w="3153" w:type="dxa"/>
            <w:vAlign w:val="top"/>
          </w:tcPr>
          <w:p>
            <w:pPr>
              <w:ind w:left="2"/>
              <w:spacing w:before="84" w:line="229" w:lineRule="auto"/>
              <w:rPr>
                <w:rFonts w:ascii="SimSun" w:hAnsi="SimSun" w:eastAsia="SimSun" w:cs="SimSun"/>
                <w:sz w:val="15"/>
                <w:szCs w:val="15"/>
              </w:rPr>
            </w:pPr>
            <w:r>
              <w:rPr>
                <w:rFonts w:ascii="SimSun" w:hAnsi="SimSun" w:eastAsia="SimSun" w:cs="SimSun"/>
                <w:sz w:val="15"/>
                <w:szCs w:val="15"/>
                <w:color w:val="212529"/>
                <w:spacing w:val="10"/>
              </w:rPr>
              <w:t>应急管理事务</w:t>
            </w:r>
          </w:p>
        </w:tc>
        <w:tc>
          <w:tcPr>
            <w:tcW w:w="1426" w:type="dxa"/>
            <w:vAlign w:val="top"/>
          </w:tcPr>
          <w:p>
            <w:pPr>
              <w:ind w:right="16"/>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223.24</w:t>
            </w:r>
          </w:p>
        </w:tc>
        <w:tc>
          <w:tcPr>
            <w:tcW w:w="1382" w:type="dxa"/>
            <w:vAlign w:val="top"/>
          </w:tcPr>
          <w:p>
            <w:pPr>
              <w:pStyle w:val="TableText"/>
              <w:ind w:right="16"/>
              <w:spacing w:before="102" w:line="162" w:lineRule="auto"/>
              <w:jc w:val="right"/>
              <w:rPr>
                <w:sz w:val="15"/>
                <w:szCs w:val="15"/>
              </w:rPr>
            </w:pPr>
            <w:r>
              <w:rPr>
                <w:sz w:val="15"/>
                <w:szCs w:val="15"/>
                <w:color w:val="212529"/>
                <w:spacing w:val="1"/>
              </w:rPr>
              <w:t>182.24</w:t>
            </w:r>
          </w:p>
        </w:tc>
        <w:tc>
          <w:tcPr>
            <w:tcW w:w="1388" w:type="dxa"/>
            <w:vAlign w:val="top"/>
          </w:tcPr>
          <w:p>
            <w:pPr>
              <w:pStyle w:val="TableText"/>
              <w:ind w:left="955"/>
              <w:spacing w:before="102" w:line="173" w:lineRule="auto"/>
              <w:rPr>
                <w:sz w:val="14"/>
                <w:szCs w:val="14"/>
              </w:rPr>
            </w:pPr>
            <w:r>
              <w:rPr>
                <w:sz w:val="14"/>
                <w:szCs w:val="14"/>
                <w:color w:val="212529"/>
              </w:rPr>
              <w:t>41.</w:t>
            </w:r>
            <w:r>
              <w:rPr>
                <w:sz w:val="14"/>
                <w:szCs w:val="14"/>
                <w:color w:val="212529"/>
                <w:spacing w:val="6"/>
              </w:rPr>
              <w:t xml:space="preserve"> </w:t>
            </w:r>
            <w:r>
              <w:rPr>
                <w:sz w:val="14"/>
                <w:szCs w:val="14"/>
                <w:color w:val="212529"/>
              </w:rPr>
              <w:t>00</w:t>
            </w:r>
          </w:p>
        </w:tc>
      </w:tr>
      <w:tr>
        <w:trPr>
          <w:trHeight w:val="314" w:hRule="atLeast"/>
        </w:trPr>
        <w:tc>
          <w:tcPr>
            <w:tcW w:w="1809"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2240150</w:t>
            </w:r>
          </w:p>
        </w:tc>
        <w:tc>
          <w:tcPr>
            <w:tcW w:w="3153" w:type="dxa"/>
            <w:vAlign w:val="top"/>
          </w:tcPr>
          <w:p>
            <w:pPr>
              <w:ind w:left="4"/>
              <w:spacing w:before="84"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26" w:type="dxa"/>
            <w:vAlign w:val="top"/>
          </w:tcPr>
          <w:p>
            <w:pPr>
              <w:ind w:right="16"/>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182.24</w:t>
            </w:r>
          </w:p>
        </w:tc>
        <w:tc>
          <w:tcPr>
            <w:tcW w:w="1382" w:type="dxa"/>
            <w:vAlign w:val="top"/>
          </w:tcPr>
          <w:p>
            <w:pPr>
              <w:ind w:right="17"/>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182.24</w:t>
            </w:r>
          </w:p>
        </w:tc>
        <w:tc>
          <w:tcPr>
            <w:tcW w:w="1388" w:type="dxa"/>
            <w:vAlign w:val="top"/>
          </w:tcPr>
          <w:p>
            <w:pPr>
              <w:pStyle w:val="TableText"/>
              <w:rPr/>
            </w:pPr>
            <w:r/>
          </w:p>
        </w:tc>
      </w:tr>
      <w:tr>
        <w:trPr>
          <w:trHeight w:val="314" w:hRule="atLeast"/>
        </w:trPr>
        <w:tc>
          <w:tcPr>
            <w:tcW w:w="1809"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2240199</w:t>
            </w:r>
          </w:p>
        </w:tc>
        <w:tc>
          <w:tcPr>
            <w:tcW w:w="3153" w:type="dxa"/>
            <w:vAlign w:val="top"/>
          </w:tcPr>
          <w:p>
            <w:pPr>
              <w:ind w:left="2"/>
              <w:spacing w:before="84" w:line="229" w:lineRule="auto"/>
              <w:rPr>
                <w:rFonts w:ascii="SimSun" w:hAnsi="SimSun" w:eastAsia="SimSun" w:cs="SimSun"/>
                <w:sz w:val="15"/>
                <w:szCs w:val="15"/>
              </w:rPr>
            </w:pPr>
            <w:r>
              <w:rPr>
                <w:rFonts w:ascii="SimSun" w:hAnsi="SimSun" w:eastAsia="SimSun" w:cs="SimSun"/>
                <w:sz w:val="15"/>
                <w:szCs w:val="15"/>
                <w:color w:val="212529"/>
                <w:spacing w:val="11"/>
              </w:rPr>
              <w:t>其他应急管理支出</w:t>
            </w:r>
          </w:p>
        </w:tc>
        <w:tc>
          <w:tcPr>
            <w:tcW w:w="1426" w:type="dxa"/>
            <w:vAlign w:val="top"/>
          </w:tcPr>
          <w:p>
            <w:pPr>
              <w:ind w:right="16"/>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41.00</w:t>
            </w:r>
          </w:p>
        </w:tc>
        <w:tc>
          <w:tcPr>
            <w:tcW w:w="1382" w:type="dxa"/>
            <w:vAlign w:val="top"/>
          </w:tcPr>
          <w:p>
            <w:pPr>
              <w:pStyle w:val="TableText"/>
              <w:rPr/>
            </w:pPr>
            <w:r/>
          </w:p>
        </w:tc>
        <w:tc>
          <w:tcPr>
            <w:tcW w:w="1388"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41.00</w:t>
            </w:r>
          </w:p>
        </w:tc>
      </w:tr>
      <w:tr>
        <w:trPr>
          <w:trHeight w:val="314" w:hRule="atLeast"/>
        </w:trPr>
        <w:tc>
          <w:tcPr>
            <w:tcW w:w="1809"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22405</w:t>
            </w:r>
          </w:p>
        </w:tc>
        <w:tc>
          <w:tcPr>
            <w:tcW w:w="3153" w:type="dxa"/>
            <w:vAlign w:val="top"/>
          </w:tcPr>
          <w:p>
            <w:pPr>
              <w:ind w:left="2"/>
              <w:spacing w:before="85" w:line="229" w:lineRule="auto"/>
              <w:rPr>
                <w:rFonts w:ascii="SimSun" w:hAnsi="SimSun" w:eastAsia="SimSun" w:cs="SimSun"/>
                <w:sz w:val="15"/>
                <w:szCs w:val="15"/>
              </w:rPr>
            </w:pPr>
            <w:r>
              <w:rPr>
                <w:rFonts w:ascii="SimSun" w:hAnsi="SimSun" w:eastAsia="SimSun" w:cs="SimSun"/>
                <w:sz w:val="15"/>
                <w:szCs w:val="15"/>
                <w:color w:val="212529"/>
                <w:spacing w:val="9"/>
              </w:rPr>
              <w:t>地震事务</w:t>
            </w:r>
          </w:p>
        </w:tc>
        <w:tc>
          <w:tcPr>
            <w:tcW w:w="1426" w:type="dxa"/>
            <w:vAlign w:val="top"/>
          </w:tcPr>
          <w:p>
            <w:pPr>
              <w:ind w:right="16"/>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77.40</w:t>
            </w:r>
          </w:p>
        </w:tc>
        <w:tc>
          <w:tcPr>
            <w:tcW w:w="1382" w:type="dxa"/>
            <w:vAlign w:val="top"/>
          </w:tcPr>
          <w:p>
            <w:pPr>
              <w:pStyle w:val="TableText"/>
              <w:rPr/>
            </w:pPr>
            <w:r/>
          </w:p>
        </w:tc>
        <w:tc>
          <w:tcPr>
            <w:tcW w:w="1388" w:type="dxa"/>
            <w:vAlign w:val="top"/>
          </w:tcPr>
          <w:p>
            <w:pPr>
              <w:pStyle w:val="TableText"/>
              <w:ind w:left="959"/>
              <w:spacing w:before="104" w:line="161" w:lineRule="auto"/>
              <w:rPr>
                <w:sz w:val="15"/>
                <w:szCs w:val="15"/>
              </w:rPr>
            </w:pPr>
            <w:r>
              <w:rPr>
                <w:sz w:val="15"/>
                <w:szCs w:val="15"/>
                <w:color w:val="212529"/>
                <w:spacing w:val="3"/>
              </w:rPr>
              <w:t>77.40</w:t>
            </w:r>
          </w:p>
        </w:tc>
      </w:tr>
      <w:tr>
        <w:trPr>
          <w:trHeight w:val="314" w:hRule="atLeast"/>
        </w:trPr>
        <w:tc>
          <w:tcPr>
            <w:tcW w:w="1809"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2240504</w:t>
            </w:r>
          </w:p>
        </w:tc>
        <w:tc>
          <w:tcPr>
            <w:tcW w:w="3153" w:type="dxa"/>
            <w:vAlign w:val="top"/>
          </w:tcPr>
          <w:p>
            <w:pPr>
              <w:ind w:left="2"/>
              <w:spacing w:before="85" w:line="230" w:lineRule="auto"/>
              <w:rPr>
                <w:rFonts w:ascii="SimSun" w:hAnsi="SimSun" w:eastAsia="SimSun" w:cs="SimSun"/>
                <w:sz w:val="15"/>
                <w:szCs w:val="15"/>
              </w:rPr>
            </w:pPr>
            <w:r>
              <w:rPr>
                <w:rFonts w:ascii="SimSun" w:hAnsi="SimSun" w:eastAsia="SimSun" w:cs="SimSun"/>
                <w:sz w:val="15"/>
                <w:szCs w:val="15"/>
                <w:color w:val="212529"/>
                <w:spacing w:val="9"/>
              </w:rPr>
              <w:t>地震监测</w:t>
            </w:r>
          </w:p>
        </w:tc>
        <w:tc>
          <w:tcPr>
            <w:tcW w:w="1426" w:type="dxa"/>
            <w:vAlign w:val="top"/>
          </w:tcPr>
          <w:p>
            <w:pPr>
              <w:ind w:right="16"/>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c>
          <w:tcPr>
            <w:tcW w:w="1382" w:type="dxa"/>
            <w:vAlign w:val="top"/>
          </w:tcPr>
          <w:p>
            <w:pPr>
              <w:pStyle w:val="TableText"/>
              <w:rPr/>
            </w:pPr>
            <w:r/>
          </w:p>
        </w:tc>
        <w:tc>
          <w:tcPr>
            <w:tcW w:w="1388" w:type="dxa"/>
            <w:vAlign w:val="top"/>
          </w:tcPr>
          <w:p>
            <w:pPr>
              <w:ind w:right="24"/>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r>
      <w:tr>
        <w:trPr>
          <w:trHeight w:val="319" w:hRule="atLeast"/>
        </w:trPr>
        <w:tc>
          <w:tcPr>
            <w:tcW w:w="1809"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2240599</w:t>
            </w:r>
          </w:p>
        </w:tc>
        <w:tc>
          <w:tcPr>
            <w:tcW w:w="3153" w:type="dxa"/>
            <w:vAlign w:val="top"/>
          </w:tcPr>
          <w:p>
            <w:pPr>
              <w:ind w:left="2"/>
              <w:spacing w:before="85" w:line="229" w:lineRule="auto"/>
              <w:rPr>
                <w:rFonts w:ascii="SimSun" w:hAnsi="SimSun" w:eastAsia="SimSun" w:cs="SimSun"/>
                <w:sz w:val="15"/>
                <w:szCs w:val="15"/>
              </w:rPr>
            </w:pPr>
            <w:r>
              <w:rPr>
                <w:rFonts w:ascii="SimSun" w:hAnsi="SimSun" w:eastAsia="SimSun" w:cs="SimSun"/>
                <w:sz w:val="15"/>
                <w:szCs w:val="15"/>
                <w:color w:val="212529"/>
                <w:spacing w:val="11"/>
              </w:rPr>
              <w:t>其他地震事务支出</w:t>
            </w:r>
          </w:p>
        </w:tc>
        <w:tc>
          <w:tcPr>
            <w:tcW w:w="1426" w:type="dxa"/>
            <w:vAlign w:val="top"/>
          </w:tcPr>
          <w:p>
            <w:pPr>
              <w:ind w:right="16"/>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382" w:type="dxa"/>
            <w:vAlign w:val="top"/>
          </w:tcPr>
          <w:p>
            <w:pPr>
              <w:pStyle w:val="TableText"/>
              <w:rPr/>
            </w:pPr>
            <w:r/>
          </w:p>
        </w:tc>
        <w:tc>
          <w:tcPr>
            <w:tcW w:w="1388" w:type="dxa"/>
            <w:vAlign w:val="top"/>
          </w:tcPr>
          <w:p>
            <w:pPr>
              <w:ind w:right="24"/>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r>
    </w:tbl>
    <w:p>
      <w:pPr>
        <w:rPr>
          <w:rFonts w:ascii="Arial"/>
          <w:sz w:val="21"/>
        </w:rPr>
      </w:pPr>
      <w:r/>
    </w:p>
    <w:p>
      <w:pPr>
        <w:sectPr>
          <w:headerReference w:type="default" r:id="rId2"/>
          <w:footerReference w:type="default" r:id="rId9"/>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17"/>
        <w:gridCol w:w="1069"/>
        <w:gridCol w:w="1998"/>
        <w:gridCol w:w="1069"/>
        <w:gridCol w:w="1101"/>
        <w:gridCol w:w="886"/>
        <w:gridCol w:w="1118"/>
      </w:tblGrid>
      <w:tr>
        <w:trPr>
          <w:trHeight w:val="384" w:hRule="atLeast"/>
        </w:trPr>
        <w:tc>
          <w:tcPr>
            <w:tcW w:w="19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6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9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6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2004"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3"/>
            <w:bookmarkEnd w:id="13"/>
            <w:bookmarkStart w:name="bookmark8"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040" w:type="dxa"/>
            <w:vAlign w:val="top"/>
            <w:gridSpan w:val="6"/>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118" w:type="dxa"/>
            <w:vAlign w:val="top"/>
            <w:tcBorders>
              <w:top w:val="single" w:color="FFFFFF" w:sz="4" w:space="0"/>
              <w:left w:val="single" w:color="FFFFFF" w:sz="2" w:space="0"/>
              <w:right w:val="single" w:color="FFFFFF" w:sz="2" w:space="0"/>
            </w:tcBorders>
          </w:tcPr>
          <w:p>
            <w:pPr>
              <w:ind w:left="445"/>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86" w:type="dxa"/>
            <w:vAlign w:val="top"/>
            <w:gridSpan w:val="2"/>
          </w:tcPr>
          <w:p>
            <w:pPr>
              <w:ind w:left="132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72" w:type="dxa"/>
            <w:vAlign w:val="top"/>
            <w:gridSpan w:val="5"/>
          </w:tcPr>
          <w:p>
            <w:pPr>
              <w:ind w:left="2914"/>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917" w:type="dxa"/>
            <w:vAlign w:val="top"/>
            <w:vMerge w:val="restart"/>
            <w:tcBorders>
              <w:bottom w:val="nil"/>
            </w:tcBorders>
          </w:tcPr>
          <w:p>
            <w:pPr>
              <w:ind w:left="782"/>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069" w:type="dxa"/>
            <w:vAlign w:val="top"/>
            <w:vMerge w:val="restart"/>
            <w:tcBorders>
              <w:bottom w:val="nil"/>
            </w:tcBorders>
          </w:tcPr>
          <w:p>
            <w:pPr>
              <w:ind w:left="359"/>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98" w:type="dxa"/>
            <w:vAlign w:val="top"/>
            <w:vMerge w:val="restart"/>
            <w:tcBorders>
              <w:bottom w:val="nil"/>
            </w:tcBorders>
          </w:tcPr>
          <w:p>
            <w:pPr>
              <w:ind w:left="826"/>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74" w:type="dxa"/>
            <w:vAlign w:val="top"/>
            <w:gridSpan w:val="4"/>
          </w:tcPr>
          <w:p>
            <w:pPr>
              <w:ind w:left="191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917" w:type="dxa"/>
            <w:vAlign w:val="top"/>
            <w:vMerge w:val="continue"/>
            <w:tcBorders>
              <w:top w:val="nil"/>
            </w:tcBorders>
          </w:tcPr>
          <w:p>
            <w:pPr>
              <w:pStyle w:val="TableText"/>
              <w:rPr/>
            </w:pPr>
            <w:r/>
          </w:p>
        </w:tc>
        <w:tc>
          <w:tcPr>
            <w:tcW w:w="1069" w:type="dxa"/>
            <w:vAlign w:val="top"/>
            <w:vMerge w:val="continue"/>
            <w:tcBorders>
              <w:top w:val="nil"/>
            </w:tcBorders>
          </w:tcPr>
          <w:p>
            <w:pPr>
              <w:pStyle w:val="TableText"/>
              <w:rPr/>
            </w:pPr>
            <w:r/>
          </w:p>
        </w:tc>
        <w:tc>
          <w:tcPr>
            <w:tcW w:w="1998" w:type="dxa"/>
            <w:vAlign w:val="top"/>
            <w:vMerge w:val="continue"/>
            <w:tcBorders>
              <w:top w:val="nil"/>
            </w:tcBorders>
          </w:tcPr>
          <w:p>
            <w:pPr>
              <w:pStyle w:val="TableText"/>
              <w:rPr/>
            </w:pPr>
            <w:r/>
          </w:p>
        </w:tc>
        <w:tc>
          <w:tcPr>
            <w:tcW w:w="1069" w:type="dxa"/>
            <w:vAlign w:val="top"/>
          </w:tcPr>
          <w:p>
            <w:pPr>
              <w:ind w:left="368"/>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01" w:type="dxa"/>
            <w:vAlign w:val="top"/>
          </w:tcPr>
          <w:p>
            <w:pPr>
              <w:ind w:left="57"/>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86" w:type="dxa"/>
            <w:vAlign w:val="top"/>
          </w:tcPr>
          <w:p>
            <w:pPr>
              <w:ind w:left="273" w:right="37"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118" w:type="dxa"/>
            <w:vAlign w:val="top"/>
          </w:tcPr>
          <w:p>
            <w:pPr>
              <w:ind w:left="386" w:right="77"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917"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069" w:type="dxa"/>
            <w:vAlign w:val="top"/>
          </w:tcPr>
          <w:p>
            <w:pPr>
              <w:ind w:right="20"/>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349.18</w:t>
            </w:r>
          </w:p>
        </w:tc>
        <w:tc>
          <w:tcPr>
            <w:tcW w:w="1998"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069" w:type="dxa"/>
            <w:vAlign w:val="top"/>
          </w:tcPr>
          <w:p>
            <w:pPr>
              <w:pStyle w:val="TableText"/>
              <w:rPr/>
            </w:pPr>
            <w:r/>
          </w:p>
        </w:tc>
        <w:tc>
          <w:tcPr>
            <w:tcW w:w="1998" w:type="dxa"/>
            <w:vAlign w:val="top"/>
          </w:tcPr>
          <w:p>
            <w:pPr>
              <w:ind w:left="12"/>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069" w:type="dxa"/>
            <w:vAlign w:val="top"/>
          </w:tcPr>
          <w:p>
            <w:pPr>
              <w:pStyle w:val="TableText"/>
              <w:rPr/>
            </w:pPr>
            <w:r/>
          </w:p>
        </w:tc>
        <w:tc>
          <w:tcPr>
            <w:tcW w:w="1998" w:type="dxa"/>
            <w:vAlign w:val="top"/>
          </w:tcPr>
          <w:p>
            <w:pPr>
              <w:ind w:left="9"/>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22" w:right="41" w:hanging="13"/>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七、文化旅游体育与传媒支</w:t>
            </w:r>
            <w:r>
              <w:rPr>
                <w:rFonts w:ascii="SimSun" w:hAnsi="SimSun" w:eastAsia="SimSun" w:cs="SimSun"/>
                <w:sz w:val="15"/>
                <w:szCs w:val="15"/>
                <w:color w:val="212529"/>
              </w:rPr>
              <w:t>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069" w:type="dxa"/>
            <w:vAlign w:val="top"/>
          </w:tcPr>
          <w:p>
            <w:pPr>
              <w:ind w:right="1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101" w:type="dxa"/>
            <w:vAlign w:val="top"/>
          </w:tcPr>
          <w:p>
            <w:pPr>
              <w:ind w:right="17"/>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069" w:type="dxa"/>
            <w:vAlign w:val="top"/>
          </w:tcPr>
          <w:p>
            <w:pPr>
              <w:ind w:right="1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101" w:type="dxa"/>
            <w:vAlign w:val="top"/>
          </w:tcPr>
          <w:p>
            <w:pPr>
              <w:ind w:right="17"/>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十五、资源勘探工业信息等</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5"/>
              </w:rPr>
              <w:t xml:space="preserve"> </w:t>
            </w:r>
            <w:r>
              <w:rPr>
                <w:rFonts w:ascii="SimSun" w:hAnsi="SimSun" w:eastAsia="SimSun" w:cs="SimSun"/>
                <w:sz w:val="15"/>
                <w:szCs w:val="15"/>
                <w:color w:val="212529"/>
                <w:spacing w:val="7"/>
              </w:rPr>
              <w:t>自然资源海洋气象等</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069" w:type="dxa"/>
            <w:vAlign w:val="top"/>
          </w:tcPr>
          <w:p>
            <w:pPr>
              <w:ind w:right="1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101" w:type="dxa"/>
            <w:vAlign w:val="top"/>
          </w:tcPr>
          <w:p>
            <w:pPr>
              <w:ind w:right="1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6" w:line="228" w:lineRule="auto"/>
              <w:rPr>
                <w:rFonts w:ascii="SimSun" w:hAnsi="SimSun" w:eastAsia="SimSun" w:cs="SimSun"/>
                <w:sz w:val="15"/>
                <w:szCs w:val="15"/>
              </w:rPr>
            </w:pPr>
            <w:r>
              <w:rPr>
                <w:rFonts w:ascii="SimSun" w:hAnsi="SimSun" w:eastAsia="SimSun" w:cs="SimSun"/>
                <w:sz w:val="15"/>
                <w:szCs w:val="15"/>
                <w:color w:val="212529"/>
                <w:spacing w:val="11"/>
              </w:rPr>
              <w:t>二十一、粮油物资储备支出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firstLine="1"/>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39"/>
              </w:rPr>
              <w:t xml:space="preserve"> </w:t>
            </w:r>
            <w:r>
              <w:rPr>
                <w:rFonts w:ascii="SimSun" w:hAnsi="SimSun" w:eastAsia="SimSun" w:cs="SimSun"/>
                <w:sz w:val="15"/>
                <w:szCs w:val="15"/>
                <w:color w:val="212529"/>
                <w:spacing w:val="8"/>
              </w:rPr>
              <w:t>国有资本经营预算</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1" w:right="4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二十三、灾害防治及应急管</w:t>
            </w:r>
            <w:r>
              <w:rPr>
                <w:rFonts w:ascii="SimSun" w:hAnsi="SimSun" w:eastAsia="SimSun" w:cs="SimSun"/>
                <w:sz w:val="15"/>
                <w:szCs w:val="15"/>
                <w:color w:val="212529"/>
                <w:spacing w:val="8"/>
              </w:rPr>
              <w:t>理支出</w:t>
            </w:r>
          </w:p>
        </w:tc>
        <w:tc>
          <w:tcPr>
            <w:tcW w:w="1069" w:type="dxa"/>
            <w:vAlign w:val="top"/>
          </w:tcPr>
          <w:p>
            <w:pPr>
              <w:ind w:right="1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300.64</w:t>
            </w:r>
          </w:p>
        </w:tc>
        <w:tc>
          <w:tcPr>
            <w:tcW w:w="1101" w:type="dxa"/>
            <w:vAlign w:val="top"/>
          </w:tcPr>
          <w:p>
            <w:pPr>
              <w:ind w:right="17"/>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300.64</w:t>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2"/>
              <w:spacing w:before="118" w:line="229" w:lineRule="auto"/>
              <w:rPr>
                <w:rFonts w:ascii="SimSun" w:hAnsi="SimSun" w:eastAsia="SimSun" w:cs="SimSun"/>
                <w:sz w:val="15"/>
                <w:szCs w:val="15"/>
              </w:rPr>
            </w:pPr>
            <w:r>
              <w:rPr>
                <w:rFonts w:ascii="SimSun" w:hAnsi="SimSun" w:eastAsia="SimSun" w:cs="SimSun"/>
                <w:sz w:val="15"/>
                <w:szCs w:val="15"/>
                <w:color w:val="212529"/>
                <w:spacing w:val="11"/>
              </w:rPr>
              <w:t>二十九、债务发行费用支出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ind w:left="10" w:right="41" w:hanging="1"/>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三十、抗疫特别国债安排的</w:t>
            </w:r>
            <w:r>
              <w:rPr>
                <w:rFonts w:ascii="SimSun" w:hAnsi="SimSun" w:eastAsia="SimSun" w:cs="SimSun"/>
                <w:sz w:val="15"/>
                <w:szCs w:val="15"/>
                <w:color w:val="212529"/>
                <w:spacing w:val="6"/>
              </w:rPr>
              <w:t>支出</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9"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84" w:hRule="atLeast"/>
        </w:trPr>
        <w:tc>
          <w:tcPr>
            <w:tcW w:w="1917" w:type="dxa"/>
            <w:vAlign w:val="top"/>
          </w:tcPr>
          <w:p>
            <w:pPr>
              <w:ind w:left="460"/>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069" w:type="dxa"/>
            <w:vAlign w:val="top"/>
          </w:tcPr>
          <w:p>
            <w:pPr>
              <w:pStyle w:val="TableText"/>
              <w:ind w:left="284"/>
              <w:spacing w:before="137" w:line="187" w:lineRule="auto"/>
              <w:rPr>
                <w:sz w:val="13"/>
                <w:szCs w:val="13"/>
              </w:rPr>
            </w:pPr>
            <w:r>
              <w:rPr>
                <w:sz w:val="13"/>
                <w:szCs w:val="13"/>
                <w:color w:val="212529"/>
                <w:spacing w:val="4"/>
              </w:rPr>
              <w:t>349.</w:t>
            </w:r>
            <w:r>
              <w:rPr>
                <w:sz w:val="13"/>
                <w:szCs w:val="13"/>
                <w:color w:val="212529"/>
                <w:spacing w:val="13"/>
                <w:w w:val="102"/>
              </w:rPr>
              <w:t xml:space="preserve"> </w:t>
            </w:r>
            <w:r>
              <w:rPr>
                <w:sz w:val="13"/>
                <w:szCs w:val="13"/>
                <w:color w:val="212529"/>
                <w:spacing w:val="4"/>
              </w:rPr>
              <w:t>18</w:t>
            </w:r>
          </w:p>
        </w:tc>
        <w:tc>
          <w:tcPr>
            <w:tcW w:w="1998" w:type="dxa"/>
            <w:vAlign w:val="top"/>
          </w:tcPr>
          <w:p>
            <w:pPr>
              <w:ind w:left="504"/>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069" w:type="dxa"/>
            <w:vAlign w:val="top"/>
          </w:tcPr>
          <w:p>
            <w:pPr>
              <w:pStyle w:val="TableText"/>
              <w:ind w:left="287"/>
              <w:spacing w:before="137" w:line="187" w:lineRule="auto"/>
              <w:rPr>
                <w:sz w:val="13"/>
                <w:szCs w:val="13"/>
              </w:rPr>
            </w:pPr>
            <w:r>
              <w:rPr>
                <w:sz w:val="13"/>
                <w:szCs w:val="13"/>
                <w:color w:val="212529"/>
                <w:spacing w:val="4"/>
              </w:rPr>
              <w:t>349.</w:t>
            </w:r>
            <w:r>
              <w:rPr>
                <w:sz w:val="13"/>
                <w:szCs w:val="13"/>
                <w:color w:val="212529"/>
                <w:spacing w:val="13"/>
                <w:w w:val="102"/>
              </w:rPr>
              <w:t xml:space="preserve"> </w:t>
            </w:r>
            <w:r>
              <w:rPr>
                <w:sz w:val="13"/>
                <w:szCs w:val="13"/>
                <w:color w:val="212529"/>
                <w:spacing w:val="4"/>
              </w:rPr>
              <w:t>18</w:t>
            </w:r>
          </w:p>
        </w:tc>
        <w:tc>
          <w:tcPr>
            <w:tcW w:w="1101" w:type="dxa"/>
            <w:vAlign w:val="top"/>
          </w:tcPr>
          <w:p>
            <w:pPr>
              <w:pStyle w:val="TableText"/>
              <w:ind w:left="306"/>
              <w:spacing w:before="137" w:line="187" w:lineRule="auto"/>
              <w:rPr>
                <w:sz w:val="13"/>
                <w:szCs w:val="13"/>
              </w:rPr>
            </w:pPr>
            <w:r>
              <w:rPr>
                <w:sz w:val="13"/>
                <w:szCs w:val="13"/>
                <w:color w:val="212529"/>
                <w:spacing w:val="2"/>
              </w:rPr>
              <w:t>349.</w:t>
            </w:r>
            <w:r>
              <w:rPr>
                <w:sz w:val="13"/>
                <w:szCs w:val="13"/>
                <w:color w:val="212529"/>
                <w:spacing w:val="25"/>
                <w:w w:val="102"/>
              </w:rPr>
              <w:t xml:space="preserve"> </w:t>
            </w:r>
            <w:r>
              <w:rPr>
                <w:sz w:val="13"/>
                <w:szCs w:val="13"/>
                <w:color w:val="212529"/>
                <w:spacing w:val="2"/>
              </w:rPr>
              <w:t>18</w:t>
            </w:r>
          </w:p>
        </w:tc>
        <w:tc>
          <w:tcPr>
            <w:tcW w:w="886" w:type="dxa"/>
            <w:vAlign w:val="top"/>
          </w:tcPr>
          <w:p>
            <w:pPr>
              <w:pStyle w:val="TableText"/>
              <w:rPr/>
            </w:pPr>
            <w:r/>
          </w:p>
        </w:tc>
        <w:tc>
          <w:tcPr>
            <w:tcW w:w="1118" w:type="dxa"/>
            <w:vAlign w:val="top"/>
          </w:tcPr>
          <w:p>
            <w:pPr>
              <w:pStyle w:val="TableText"/>
              <w:rPr/>
            </w:pPr>
            <w:r/>
          </w:p>
        </w:tc>
      </w:tr>
    </w:tbl>
    <w:p>
      <w:pPr>
        <w:rPr>
          <w:rFonts w:ascii="Arial"/>
          <w:sz w:val="21"/>
        </w:rPr>
      </w:pPr>
      <w:r/>
    </w:p>
    <w:p>
      <w:pPr>
        <w:sectPr>
          <w:footerReference w:type="default" r:id="rId10"/>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17"/>
        <w:gridCol w:w="1069"/>
        <w:gridCol w:w="1998"/>
        <w:gridCol w:w="1069"/>
        <w:gridCol w:w="1101"/>
        <w:gridCol w:w="886"/>
        <w:gridCol w:w="1118"/>
      </w:tblGrid>
      <w:tr>
        <w:trPr>
          <w:trHeight w:val="383" w:hRule="atLeast"/>
        </w:trPr>
        <w:tc>
          <w:tcPr>
            <w:tcW w:w="1917" w:type="dxa"/>
            <w:vAlign w:val="top"/>
          </w:tcPr>
          <w:p>
            <w:pPr>
              <w:ind w:left="7"/>
              <w:spacing w:before="113" w:line="229" w:lineRule="auto"/>
              <w:rPr>
                <w:rFonts w:ascii="SimSun" w:hAnsi="SimSun" w:eastAsia="SimSun" w:cs="SimSun"/>
                <w:sz w:val="15"/>
                <w:szCs w:val="15"/>
              </w:rPr>
            </w:pPr>
            <w:bookmarkStart w:name="bookmark40" w:id="15"/>
            <w:bookmarkEnd w:id="15"/>
            <w:r>
              <w:rPr>
                <w:rFonts w:ascii="SimSun" w:hAnsi="SimSun" w:eastAsia="SimSun" w:cs="SimSun"/>
                <w:sz w:val="15"/>
                <w:szCs w:val="15"/>
                <w:color w:val="212529"/>
                <w:spacing w:val="10"/>
              </w:rPr>
              <w:t>上年财政拨款结转</w:t>
            </w:r>
          </w:p>
        </w:tc>
        <w:tc>
          <w:tcPr>
            <w:tcW w:w="1069" w:type="dxa"/>
            <w:vAlign w:val="top"/>
          </w:tcPr>
          <w:p>
            <w:pPr>
              <w:pStyle w:val="TableText"/>
              <w:rPr/>
            </w:pPr>
            <w:r/>
          </w:p>
        </w:tc>
        <w:tc>
          <w:tcPr>
            <w:tcW w:w="1998" w:type="dxa"/>
            <w:vAlign w:val="top"/>
          </w:tcPr>
          <w:p>
            <w:pPr>
              <w:ind w:left="10"/>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7" w:hRule="atLeast"/>
        </w:trPr>
        <w:tc>
          <w:tcPr>
            <w:tcW w:w="1917"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7" w:hRule="atLeast"/>
        </w:trPr>
        <w:tc>
          <w:tcPr>
            <w:tcW w:w="1917"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78" w:hRule="atLeast"/>
        </w:trPr>
        <w:tc>
          <w:tcPr>
            <w:tcW w:w="1917" w:type="dxa"/>
            <w:vAlign w:val="top"/>
          </w:tcPr>
          <w:p>
            <w:pPr>
              <w:pStyle w:val="TableText"/>
              <w:rPr/>
            </w:pPr>
            <w:r/>
          </w:p>
        </w:tc>
        <w:tc>
          <w:tcPr>
            <w:tcW w:w="1069" w:type="dxa"/>
            <w:vAlign w:val="top"/>
          </w:tcPr>
          <w:p>
            <w:pPr>
              <w:pStyle w:val="TableText"/>
              <w:rPr/>
            </w:pPr>
            <w:r/>
          </w:p>
        </w:tc>
        <w:tc>
          <w:tcPr>
            <w:tcW w:w="1998" w:type="dxa"/>
            <w:vAlign w:val="top"/>
          </w:tcPr>
          <w:p>
            <w:pPr>
              <w:pStyle w:val="TableText"/>
              <w:rPr/>
            </w:pPr>
            <w:r/>
          </w:p>
        </w:tc>
        <w:tc>
          <w:tcPr>
            <w:tcW w:w="1069" w:type="dxa"/>
            <w:vAlign w:val="top"/>
          </w:tcPr>
          <w:p>
            <w:pPr>
              <w:pStyle w:val="TableText"/>
              <w:rPr/>
            </w:pPr>
            <w:r/>
          </w:p>
        </w:tc>
        <w:tc>
          <w:tcPr>
            <w:tcW w:w="1101" w:type="dxa"/>
            <w:vAlign w:val="top"/>
          </w:tcPr>
          <w:p>
            <w:pPr>
              <w:pStyle w:val="TableText"/>
              <w:rPr/>
            </w:pPr>
            <w:r/>
          </w:p>
        </w:tc>
        <w:tc>
          <w:tcPr>
            <w:tcW w:w="886" w:type="dxa"/>
            <w:vAlign w:val="top"/>
          </w:tcPr>
          <w:p>
            <w:pPr>
              <w:pStyle w:val="TableText"/>
              <w:rPr/>
            </w:pPr>
            <w:r/>
          </w:p>
        </w:tc>
        <w:tc>
          <w:tcPr>
            <w:tcW w:w="1118" w:type="dxa"/>
            <w:vAlign w:val="top"/>
          </w:tcPr>
          <w:p>
            <w:pPr>
              <w:pStyle w:val="TableText"/>
              <w:rPr/>
            </w:pPr>
            <w:r/>
          </w:p>
        </w:tc>
      </w:tr>
      <w:tr>
        <w:trPr>
          <w:trHeight w:val="383" w:hRule="atLeast"/>
        </w:trPr>
        <w:tc>
          <w:tcPr>
            <w:tcW w:w="1917" w:type="dxa"/>
            <w:vAlign w:val="top"/>
          </w:tcPr>
          <w:p>
            <w:pPr>
              <w:ind w:left="626"/>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069" w:type="dxa"/>
            <w:vAlign w:val="top"/>
          </w:tcPr>
          <w:p>
            <w:pPr>
              <w:pStyle w:val="TableText"/>
              <w:ind w:left="284"/>
              <w:spacing w:before="135" w:line="187" w:lineRule="auto"/>
              <w:rPr>
                <w:sz w:val="13"/>
                <w:szCs w:val="13"/>
              </w:rPr>
            </w:pPr>
            <w:r>
              <w:rPr>
                <w:sz w:val="13"/>
                <w:szCs w:val="13"/>
                <w:color w:val="212529"/>
                <w:spacing w:val="4"/>
              </w:rPr>
              <w:t>349.</w:t>
            </w:r>
            <w:r>
              <w:rPr>
                <w:sz w:val="13"/>
                <w:szCs w:val="13"/>
                <w:color w:val="212529"/>
                <w:spacing w:val="13"/>
                <w:w w:val="102"/>
              </w:rPr>
              <w:t xml:space="preserve"> </w:t>
            </w:r>
            <w:r>
              <w:rPr>
                <w:sz w:val="13"/>
                <w:szCs w:val="13"/>
                <w:color w:val="212529"/>
                <w:spacing w:val="4"/>
              </w:rPr>
              <w:t>18</w:t>
            </w:r>
          </w:p>
        </w:tc>
        <w:tc>
          <w:tcPr>
            <w:tcW w:w="1998" w:type="dxa"/>
            <w:vAlign w:val="top"/>
          </w:tcPr>
          <w:p>
            <w:pPr>
              <w:ind w:left="665"/>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069" w:type="dxa"/>
            <w:vAlign w:val="top"/>
          </w:tcPr>
          <w:p>
            <w:pPr>
              <w:pStyle w:val="TableText"/>
              <w:ind w:left="287"/>
              <w:spacing w:before="135" w:line="187" w:lineRule="auto"/>
              <w:rPr>
                <w:sz w:val="13"/>
                <w:szCs w:val="13"/>
              </w:rPr>
            </w:pPr>
            <w:r>
              <w:rPr>
                <w:sz w:val="13"/>
                <w:szCs w:val="13"/>
                <w:color w:val="212529"/>
                <w:spacing w:val="4"/>
              </w:rPr>
              <w:t>349.</w:t>
            </w:r>
            <w:r>
              <w:rPr>
                <w:sz w:val="13"/>
                <w:szCs w:val="13"/>
                <w:color w:val="212529"/>
                <w:spacing w:val="14"/>
                <w:w w:val="101"/>
              </w:rPr>
              <w:t xml:space="preserve"> </w:t>
            </w:r>
            <w:r>
              <w:rPr>
                <w:sz w:val="13"/>
                <w:szCs w:val="13"/>
                <w:color w:val="212529"/>
                <w:spacing w:val="4"/>
              </w:rPr>
              <w:t>18</w:t>
            </w:r>
          </w:p>
        </w:tc>
        <w:tc>
          <w:tcPr>
            <w:tcW w:w="1101" w:type="dxa"/>
            <w:vAlign w:val="top"/>
          </w:tcPr>
          <w:p>
            <w:pPr>
              <w:pStyle w:val="TableText"/>
              <w:ind w:left="306"/>
              <w:spacing w:before="135" w:line="187" w:lineRule="auto"/>
              <w:rPr>
                <w:sz w:val="13"/>
                <w:szCs w:val="13"/>
              </w:rPr>
            </w:pPr>
            <w:r>
              <w:rPr>
                <w:sz w:val="13"/>
                <w:szCs w:val="13"/>
                <w:color w:val="212529"/>
                <w:spacing w:val="2"/>
              </w:rPr>
              <w:t>349.</w:t>
            </w:r>
            <w:r>
              <w:rPr>
                <w:sz w:val="13"/>
                <w:szCs w:val="13"/>
                <w:color w:val="212529"/>
                <w:spacing w:val="25"/>
                <w:w w:val="102"/>
              </w:rPr>
              <w:t xml:space="preserve"> </w:t>
            </w:r>
            <w:r>
              <w:rPr>
                <w:sz w:val="13"/>
                <w:szCs w:val="13"/>
                <w:color w:val="212529"/>
                <w:spacing w:val="2"/>
              </w:rPr>
              <w:t>18</w:t>
            </w:r>
          </w:p>
        </w:tc>
        <w:tc>
          <w:tcPr>
            <w:tcW w:w="886" w:type="dxa"/>
            <w:vAlign w:val="top"/>
          </w:tcPr>
          <w:p>
            <w:pPr>
              <w:pStyle w:val="TableText"/>
              <w:rPr/>
            </w:pPr>
            <w:r/>
          </w:p>
        </w:tc>
        <w:tc>
          <w:tcPr>
            <w:tcW w:w="1118" w:type="dxa"/>
            <w:vAlign w:val="top"/>
          </w:tcPr>
          <w:p>
            <w:pPr>
              <w:pStyle w:val="TableText"/>
              <w:rPr/>
            </w:pPr>
            <w:r/>
          </w:p>
        </w:tc>
      </w:tr>
    </w:tbl>
    <w:p>
      <w:pPr>
        <w:rPr>
          <w:rFonts w:ascii="Arial"/>
          <w:sz w:val="21"/>
        </w:rPr>
      </w:pPr>
      <w:r/>
    </w:p>
    <w:p>
      <w:pPr>
        <w:sectPr>
          <w:footerReference w:type="default" r:id="rId11"/>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58"/>
        <w:gridCol w:w="3121"/>
        <w:gridCol w:w="1533"/>
        <w:gridCol w:w="1393"/>
        <w:gridCol w:w="1453"/>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6"/>
            <w:bookmarkEnd w:id="16"/>
            <w:bookmarkStart w:name="bookmark9" w:id="17"/>
            <w:bookmarkEnd w:id="17"/>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705" w:type="dxa"/>
            <w:vAlign w:val="top"/>
            <w:gridSpan w:val="4"/>
            <w:tcBorders>
              <w:top w:val="single" w:color="FFFFFF" w:sz="4" w:space="0"/>
              <w:left w:val="single" w:color="FFFFFF" w:sz="2" w:space="0"/>
              <w:right w:val="single" w:color="FFFFFF" w:sz="2" w:space="0"/>
            </w:tcBorders>
          </w:tcPr>
          <w:p>
            <w:pPr>
              <w:ind w:left="9"/>
              <w:spacing w:before="79" w:line="235"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453" w:type="dxa"/>
            <w:vAlign w:val="top"/>
            <w:tcBorders>
              <w:top w:val="single" w:color="FFFFFF" w:sz="4" w:space="0"/>
              <w:left w:val="single" w:color="FFFFFF" w:sz="2" w:space="0"/>
              <w:right w:val="single" w:color="FFFFFF" w:sz="2" w:space="0"/>
            </w:tcBorders>
          </w:tcPr>
          <w:p>
            <w:pPr>
              <w:ind w:left="780"/>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779" w:type="dxa"/>
            <w:vAlign w:val="top"/>
            <w:gridSpan w:val="2"/>
          </w:tcPr>
          <w:p>
            <w:pPr>
              <w:ind w:left="2216"/>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379" w:type="dxa"/>
            <w:vAlign w:val="top"/>
            <w:gridSpan w:val="3"/>
          </w:tcPr>
          <w:p>
            <w:pPr>
              <w:ind w:left="1695"/>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58" w:type="dxa"/>
            <w:vAlign w:val="top"/>
          </w:tcPr>
          <w:p>
            <w:pPr>
              <w:ind w:left="492"/>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21" w:type="dxa"/>
            <w:vAlign w:val="top"/>
          </w:tcPr>
          <w:p>
            <w:pPr>
              <w:ind w:left="1223"/>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33" w:type="dxa"/>
            <w:vAlign w:val="top"/>
          </w:tcPr>
          <w:p>
            <w:pPr>
              <w:ind w:left="593"/>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359"/>
              <w:spacing w:before="64" w:line="157" w:lineRule="exact"/>
              <w:outlineLvl w:val="1"/>
              <w:rPr>
                <w:rFonts w:ascii="Microsoft YaHei" w:hAnsi="Microsoft YaHei" w:eastAsia="Microsoft YaHei" w:cs="Microsoft YaHei"/>
                <w:sz w:val="15"/>
                <w:szCs w:val="15"/>
              </w:rPr>
            </w:pPr>
            <w:bookmarkStart w:name="bookmark10" w:id="18"/>
            <w:bookmarkEnd w:id="18"/>
            <w:r>
              <w:rPr>
                <w:rFonts w:ascii="Microsoft YaHei" w:hAnsi="Microsoft YaHei" w:eastAsia="Microsoft YaHei" w:cs="Microsoft YaHei"/>
                <w:sz w:val="15"/>
                <w:szCs w:val="15"/>
                <w:color w:val="212529"/>
                <w:spacing w:val="8"/>
                <w:position w:val="-1"/>
              </w:rPr>
              <w:t>基本支出</w:t>
            </w:r>
          </w:p>
        </w:tc>
        <w:tc>
          <w:tcPr>
            <w:tcW w:w="1453" w:type="dxa"/>
            <w:vAlign w:val="top"/>
          </w:tcPr>
          <w:p>
            <w:pPr>
              <w:ind w:left="393"/>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779" w:type="dxa"/>
            <w:vAlign w:val="top"/>
            <w:gridSpan w:val="2"/>
          </w:tcPr>
          <w:p>
            <w:pPr>
              <w:ind w:left="2218"/>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33" w:type="dxa"/>
            <w:vAlign w:val="top"/>
          </w:tcPr>
          <w:p>
            <w:pPr>
              <w:pStyle w:val="TableText"/>
              <w:ind w:left="1021"/>
              <w:spacing w:before="87" w:line="186" w:lineRule="auto"/>
              <w:rPr>
                <w:sz w:val="13"/>
                <w:szCs w:val="13"/>
              </w:rPr>
            </w:pPr>
            <w:r>
              <w:rPr>
                <w:sz w:val="13"/>
                <w:szCs w:val="13"/>
                <w:color w:val="212529"/>
                <w:spacing w:val="2"/>
              </w:rPr>
              <w:t>349.</w:t>
            </w:r>
            <w:r>
              <w:rPr>
                <w:sz w:val="13"/>
                <w:szCs w:val="13"/>
                <w:color w:val="212529"/>
                <w:spacing w:val="25"/>
                <w:w w:val="102"/>
              </w:rPr>
              <w:t xml:space="preserve"> </w:t>
            </w:r>
            <w:r>
              <w:rPr>
                <w:sz w:val="13"/>
                <w:szCs w:val="13"/>
                <w:color w:val="212529"/>
                <w:spacing w:val="2"/>
              </w:rPr>
              <w:t>18</w:t>
            </w:r>
          </w:p>
        </w:tc>
        <w:tc>
          <w:tcPr>
            <w:tcW w:w="1393" w:type="dxa"/>
            <w:vAlign w:val="top"/>
          </w:tcPr>
          <w:p>
            <w:pPr>
              <w:pStyle w:val="TableText"/>
              <w:ind w:left="889"/>
              <w:spacing w:before="87" w:line="172" w:lineRule="auto"/>
              <w:rPr>
                <w:sz w:val="14"/>
                <w:szCs w:val="14"/>
              </w:rPr>
            </w:pPr>
            <w:r>
              <w:rPr>
                <w:sz w:val="14"/>
                <w:szCs w:val="14"/>
                <w:color w:val="212529"/>
              </w:rPr>
              <w:t>230.</w:t>
            </w:r>
            <w:r>
              <w:rPr>
                <w:sz w:val="14"/>
                <w:szCs w:val="14"/>
                <w:color w:val="212529"/>
                <w:spacing w:val="6"/>
              </w:rPr>
              <w:t xml:space="preserve"> </w:t>
            </w:r>
            <w:r>
              <w:rPr>
                <w:sz w:val="14"/>
                <w:szCs w:val="14"/>
                <w:color w:val="212529"/>
              </w:rPr>
              <w:t>78</w:t>
            </w:r>
          </w:p>
        </w:tc>
        <w:tc>
          <w:tcPr>
            <w:tcW w:w="1453" w:type="dxa"/>
            <w:vAlign w:val="top"/>
          </w:tcPr>
          <w:p>
            <w:pPr>
              <w:pStyle w:val="TableText"/>
              <w:ind w:left="952"/>
              <w:spacing w:before="86" w:line="162" w:lineRule="auto"/>
              <w:rPr>
                <w:sz w:val="15"/>
                <w:szCs w:val="15"/>
              </w:rPr>
            </w:pPr>
            <w:r>
              <w:rPr>
                <w:sz w:val="15"/>
                <w:szCs w:val="15"/>
                <w:color w:val="212529"/>
                <w:spacing w:val="1"/>
              </w:rPr>
              <w:t>118.40</w:t>
            </w:r>
          </w:p>
        </w:tc>
      </w:tr>
      <w:tr>
        <w:trPr>
          <w:trHeight w:val="292" w:hRule="atLeast"/>
        </w:trPr>
        <w:tc>
          <w:tcPr>
            <w:tcW w:w="1658"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121" w:type="dxa"/>
            <w:vAlign w:val="top"/>
          </w:tcPr>
          <w:p>
            <w:pPr>
              <w:ind w:left="8"/>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33" w:type="dxa"/>
            <w:vAlign w:val="top"/>
          </w:tcPr>
          <w:p>
            <w:pPr>
              <w:ind w:right="2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393"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453" w:type="dxa"/>
            <w:vAlign w:val="top"/>
          </w:tcPr>
          <w:p>
            <w:pPr>
              <w:pStyle w:val="TableText"/>
              <w:rPr/>
            </w:pPr>
            <w:r/>
          </w:p>
        </w:tc>
      </w:tr>
      <w:tr>
        <w:trPr>
          <w:trHeight w:val="292" w:hRule="atLeast"/>
        </w:trPr>
        <w:tc>
          <w:tcPr>
            <w:tcW w:w="1658"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21" w:type="dxa"/>
            <w:vAlign w:val="top"/>
          </w:tcPr>
          <w:p>
            <w:pPr>
              <w:ind w:left="7"/>
              <w:spacing w:before="69"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33" w:type="dxa"/>
            <w:vAlign w:val="top"/>
          </w:tcPr>
          <w:p>
            <w:pPr>
              <w:ind w:right="2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393"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453" w:type="dxa"/>
            <w:vAlign w:val="top"/>
          </w:tcPr>
          <w:p>
            <w:pPr>
              <w:pStyle w:val="TableText"/>
              <w:rPr/>
            </w:pPr>
            <w:r/>
          </w:p>
        </w:tc>
      </w:tr>
      <w:tr>
        <w:trPr>
          <w:trHeight w:val="292" w:hRule="atLeast"/>
        </w:trPr>
        <w:tc>
          <w:tcPr>
            <w:tcW w:w="1658"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21" w:type="dxa"/>
            <w:vAlign w:val="top"/>
          </w:tcPr>
          <w:p>
            <w:pPr>
              <w:ind w:left="6"/>
              <w:spacing w:before="70"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33" w:type="dxa"/>
            <w:vAlign w:val="top"/>
          </w:tcPr>
          <w:p>
            <w:pPr>
              <w:ind w:right="2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393"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453" w:type="dxa"/>
            <w:vAlign w:val="top"/>
          </w:tcPr>
          <w:p>
            <w:pPr>
              <w:pStyle w:val="TableText"/>
              <w:rPr/>
            </w:pPr>
            <w:r/>
          </w:p>
        </w:tc>
      </w:tr>
      <w:tr>
        <w:trPr>
          <w:trHeight w:val="292" w:hRule="atLeast"/>
        </w:trPr>
        <w:tc>
          <w:tcPr>
            <w:tcW w:w="1658"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121" w:type="dxa"/>
            <w:vAlign w:val="top"/>
          </w:tcPr>
          <w:p>
            <w:pPr>
              <w:ind w:left="8"/>
              <w:spacing w:before="7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33" w:type="dxa"/>
            <w:vAlign w:val="top"/>
          </w:tcPr>
          <w:p>
            <w:pPr>
              <w:ind w:right="2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393"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453" w:type="dxa"/>
            <w:vAlign w:val="top"/>
          </w:tcPr>
          <w:p>
            <w:pPr>
              <w:pStyle w:val="TableText"/>
              <w:rPr/>
            </w:pPr>
            <w:r/>
          </w:p>
        </w:tc>
      </w:tr>
      <w:tr>
        <w:trPr>
          <w:trHeight w:val="292" w:hRule="atLeast"/>
        </w:trPr>
        <w:tc>
          <w:tcPr>
            <w:tcW w:w="1658"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21" w:type="dxa"/>
            <w:vAlign w:val="top"/>
          </w:tcPr>
          <w:p>
            <w:pPr>
              <w:ind w:left="7"/>
              <w:spacing w:before="71"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33" w:type="dxa"/>
            <w:vAlign w:val="top"/>
          </w:tcPr>
          <w:p>
            <w:pPr>
              <w:ind w:right="2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393"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453" w:type="dxa"/>
            <w:vAlign w:val="top"/>
          </w:tcPr>
          <w:p>
            <w:pPr>
              <w:pStyle w:val="TableText"/>
              <w:rPr/>
            </w:pPr>
            <w:r/>
          </w:p>
        </w:tc>
      </w:tr>
      <w:tr>
        <w:trPr>
          <w:trHeight w:val="292" w:hRule="atLeast"/>
        </w:trPr>
        <w:tc>
          <w:tcPr>
            <w:tcW w:w="1658"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21" w:type="dxa"/>
            <w:vAlign w:val="top"/>
          </w:tcPr>
          <w:p>
            <w:pPr>
              <w:ind w:left="8"/>
              <w:spacing w:before="72"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33" w:type="dxa"/>
            <w:vAlign w:val="top"/>
          </w:tcPr>
          <w:p>
            <w:pPr>
              <w:ind w:right="2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393"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8.94</w:t>
            </w:r>
          </w:p>
        </w:tc>
        <w:tc>
          <w:tcPr>
            <w:tcW w:w="1453" w:type="dxa"/>
            <w:vAlign w:val="top"/>
          </w:tcPr>
          <w:p>
            <w:pPr>
              <w:pStyle w:val="TableText"/>
              <w:rPr/>
            </w:pPr>
            <w:r/>
          </w:p>
        </w:tc>
      </w:tr>
      <w:tr>
        <w:trPr>
          <w:trHeight w:val="292" w:hRule="atLeast"/>
        </w:trPr>
        <w:tc>
          <w:tcPr>
            <w:tcW w:w="1658" w:type="dxa"/>
            <w:vAlign w:val="top"/>
          </w:tcPr>
          <w:p>
            <w:pPr>
              <w:ind w:left="8"/>
              <w:spacing w:before="73"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21" w:type="dxa"/>
            <w:vAlign w:val="top"/>
          </w:tcPr>
          <w:p>
            <w:pPr>
              <w:ind w:left="8"/>
              <w:spacing w:before="73"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33" w:type="dxa"/>
            <w:vAlign w:val="top"/>
          </w:tcPr>
          <w:p>
            <w:pPr>
              <w:ind w:right="2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393"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453" w:type="dxa"/>
            <w:vAlign w:val="top"/>
          </w:tcPr>
          <w:p>
            <w:pPr>
              <w:pStyle w:val="TableText"/>
              <w:rPr/>
            </w:pPr>
            <w:r/>
          </w:p>
        </w:tc>
      </w:tr>
      <w:tr>
        <w:trPr>
          <w:trHeight w:val="292" w:hRule="atLeast"/>
        </w:trPr>
        <w:tc>
          <w:tcPr>
            <w:tcW w:w="1658"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21" w:type="dxa"/>
            <w:vAlign w:val="top"/>
          </w:tcPr>
          <w:p>
            <w:pPr>
              <w:ind w:left="8"/>
              <w:spacing w:before="74"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33" w:type="dxa"/>
            <w:vAlign w:val="top"/>
          </w:tcPr>
          <w:p>
            <w:pPr>
              <w:ind w:right="26"/>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393" w:type="dxa"/>
            <w:vAlign w:val="top"/>
          </w:tcPr>
          <w:p>
            <w:pPr>
              <w:ind w:right="16"/>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453" w:type="dxa"/>
            <w:vAlign w:val="top"/>
          </w:tcPr>
          <w:p>
            <w:pPr>
              <w:pStyle w:val="TableText"/>
              <w:rPr/>
            </w:pPr>
            <w:r/>
          </w:p>
        </w:tc>
      </w:tr>
      <w:tr>
        <w:trPr>
          <w:trHeight w:val="292" w:hRule="atLeast"/>
        </w:trPr>
        <w:tc>
          <w:tcPr>
            <w:tcW w:w="1658"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21" w:type="dxa"/>
            <w:vAlign w:val="top"/>
          </w:tcPr>
          <w:p>
            <w:pPr>
              <w:ind w:left="8"/>
              <w:spacing w:before="74"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393"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453" w:type="dxa"/>
            <w:vAlign w:val="top"/>
          </w:tcPr>
          <w:p>
            <w:pPr>
              <w:pStyle w:val="TableText"/>
              <w:rPr/>
            </w:pPr>
            <w:r/>
          </w:p>
        </w:tc>
      </w:tr>
      <w:tr>
        <w:trPr>
          <w:trHeight w:val="293" w:hRule="atLeast"/>
        </w:trPr>
        <w:tc>
          <w:tcPr>
            <w:tcW w:w="1658" w:type="dxa"/>
            <w:vAlign w:val="top"/>
          </w:tcPr>
          <w:p>
            <w:pPr>
              <w:ind w:left="8"/>
              <w:spacing w:before="75" w:line="204" w:lineRule="exact"/>
              <w:rPr>
                <w:rFonts w:ascii="SimSun" w:hAnsi="SimSun" w:eastAsia="SimSun" w:cs="SimSun"/>
                <w:sz w:val="15"/>
                <w:szCs w:val="15"/>
              </w:rPr>
            </w:pPr>
            <w:r>
              <w:rPr>
                <w:rFonts w:ascii="SimSun" w:hAnsi="SimSun" w:eastAsia="SimSun" w:cs="SimSun"/>
                <w:sz w:val="15"/>
                <w:szCs w:val="15"/>
                <w:color w:val="212529"/>
                <w:spacing w:val="2"/>
                <w:position w:val="1"/>
              </w:rPr>
              <w:t>224</w:t>
            </w:r>
          </w:p>
        </w:tc>
        <w:tc>
          <w:tcPr>
            <w:tcW w:w="3121" w:type="dxa"/>
            <w:vAlign w:val="top"/>
          </w:tcPr>
          <w:p>
            <w:pPr>
              <w:ind w:left="10"/>
              <w:spacing w:before="75" w:line="229" w:lineRule="auto"/>
              <w:rPr>
                <w:rFonts w:ascii="SimSun" w:hAnsi="SimSun" w:eastAsia="SimSun" w:cs="SimSun"/>
                <w:sz w:val="15"/>
                <w:szCs w:val="15"/>
              </w:rPr>
            </w:pPr>
            <w:r>
              <w:rPr>
                <w:rFonts w:ascii="SimSun" w:hAnsi="SimSun" w:eastAsia="SimSun" w:cs="SimSun"/>
                <w:sz w:val="15"/>
                <w:szCs w:val="15"/>
                <w:color w:val="212529"/>
                <w:spacing w:val="11"/>
              </w:rPr>
              <w:t>灾害防治及应急管理支出</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300.64</w:t>
            </w:r>
          </w:p>
        </w:tc>
        <w:tc>
          <w:tcPr>
            <w:tcW w:w="1393"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182.24</w:t>
            </w:r>
          </w:p>
        </w:tc>
        <w:tc>
          <w:tcPr>
            <w:tcW w:w="1453"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118.40</w:t>
            </w:r>
          </w:p>
        </w:tc>
      </w:tr>
      <w:tr>
        <w:trPr>
          <w:trHeight w:val="293" w:hRule="atLeast"/>
        </w:trPr>
        <w:tc>
          <w:tcPr>
            <w:tcW w:w="1658"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22401</w:t>
            </w:r>
          </w:p>
        </w:tc>
        <w:tc>
          <w:tcPr>
            <w:tcW w:w="3121" w:type="dxa"/>
            <w:vAlign w:val="top"/>
          </w:tcPr>
          <w:p>
            <w:pPr>
              <w:ind w:left="7"/>
              <w:spacing w:before="75" w:line="229" w:lineRule="auto"/>
              <w:rPr>
                <w:rFonts w:ascii="SimSun" w:hAnsi="SimSun" w:eastAsia="SimSun" w:cs="SimSun"/>
                <w:sz w:val="15"/>
                <w:szCs w:val="15"/>
              </w:rPr>
            </w:pPr>
            <w:r>
              <w:rPr>
                <w:rFonts w:ascii="SimSun" w:hAnsi="SimSun" w:eastAsia="SimSun" w:cs="SimSun"/>
                <w:sz w:val="15"/>
                <w:szCs w:val="15"/>
                <w:color w:val="212529"/>
                <w:spacing w:val="10"/>
              </w:rPr>
              <w:t>应急管理事务</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223.24</w:t>
            </w:r>
          </w:p>
        </w:tc>
        <w:tc>
          <w:tcPr>
            <w:tcW w:w="1393"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182.24</w:t>
            </w:r>
          </w:p>
        </w:tc>
        <w:tc>
          <w:tcPr>
            <w:tcW w:w="1453"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41.00</w:t>
            </w:r>
          </w:p>
        </w:tc>
      </w:tr>
      <w:tr>
        <w:trPr>
          <w:trHeight w:val="292" w:hRule="atLeast"/>
        </w:trPr>
        <w:tc>
          <w:tcPr>
            <w:tcW w:w="1658"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2240150</w:t>
            </w:r>
          </w:p>
        </w:tc>
        <w:tc>
          <w:tcPr>
            <w:tcW w:w="3121" w:type="dxa"/>
            <w:vAlign w:val="top"/>
          </w:tcPr>
          <w:p>
            <w:pPr>
              <w:ind w:left="8"/>
              <w:spacing w:before="74"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182.24</w:t>
            </w:r>
          </w:p>
        </w:tc>
        <w:tc>
          <w:tcPr>
            <w:tcW w:w="1393"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182.24</w:t>
            </w:r>
          </w:p>
        </w:tc>
        <w:tc>
          <w:tcPr>
            <w:tcW w:w="1453" w:type="dxa"/>
            <w:vAlign w:val="top"/>
          </w:tcPr>
          <w:p>
            <w:pPr>
              <w:pStyle w:val="TableText"/>
              <w:rPr/>
            </w:pPr>
            <w:r/>
          </w:p>
        </w:tc>
      </w:tr>
      <w:tr>
        <w:trPr>
          <w:trHeight w:val="293" w:hRule="atLeast"/>
        </w:trPr>
        <w:tc>
          <w:tcPr>
            <w:tcW w:w="1658"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2240199</w:t>
            </w:r>
          </w:p>
        </w:tc>
        <w:tc>
          <w:tcPr>
            <w:tcW w:w="3121"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其他应急管理支出</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41.00</w:t>
            </w:r>
          </w:p>
        </w:tc>
        <w:tc>
          <w:tcPr>
            <w:tcW w:w="1393" w:type="dxa"/>
            <w:vAlign w:val="top"/>
          </w:tcPr>
          <w:p>
            <w:pPr>
              <w:pStyle w:val="TableText"/>
              <w:rPr/>
            </w:pPr>
            <w:r/>
          </w:p>
        </w:tc>
        <w:tc>
          <w:tcPr>
            <w:tcW w:w="1453"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41.00</w:t>
            </w:r>
          </w:p>
        </w:tc>
      </w:tr>
      <w:tr>
        <w:trPr>
          <w:trHeight w:val="292" w:hRule="atLeast"/>
        </w:trPr>
        <w:tc>
          <w:tcPr>
            <w:tcW w:w="1658"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22405</w:t>
            </w:r>
          </w:p>
        </w:tc>
        <w:tc>
          <w:tcPr>
            <w:tcW w:w="3121" w:type="dxa"/>
            <w:vAlign w:val="top"/>
          </w:tcPr>
          <w:p>
            <w:pPr>
              <w:ind w:left="7"/>
              <w:spacing w:before="75" w:line="229" w:lineRule="auto"/>
              <w:rPr>
                <w:rFonts w:ascii="SimSun" w:hAnsi="SimSun" w:eastAsia="SimSun" w:cs="SimSun"/>
                <w:sz w:val="15"/>
                <w:szCs w:val="15"/>
              </w:rPr>
            </w:pPr>
            <w:r>
              <w:rPr>
                <w:rFonts w:ascii="SimSun" w:hAnsi="SimSun" w:eastAsia="SimSun" w:cs="SimSun"/>
                <w:sz w:val="15"/>
                <w:szCs w:val="15"/>
                <w:color w:val="212529"/>
                <w:spacing w:val="9"/>
              </w:rPr>
              <w:t>地震事务</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77.40</w:t>
            </w:r>
          </w:p>
        </w:tc>
        <w:tc>
          <w:tcPr>
            <w:tcW w:w="1393" w:type="dxa"/>
            <w:vAlign w:val="top"/>
          </w:tcPr>
          <w:p>
            <w:pPr>
              <w:pStyle w:val="TableText"/>
              <w:rPr/>
            </w:pPr>
            <w:r/>
          </w:p>
        </w:tc>
        <w:tc>
          <w:tcPr>
            <w:tcW w:w="1453"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77.40</w:t>
            </w:r>
          </w:p>
        </w:tc>
      </w:tr>
      <w:tr>
        <w:trPr>
          <w:trHeight w:val="293" w:hRule="atLeast"/>
        </w:trPr>
        <w:tc>
          <w:tcPr>
            <w:tcW w:w="1658"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2240504</w:t>
            </w:r>
          </w:p>
        </w:tc>
        <w:tc>
          <w:tcPr>
            <w:tcW w:w="3121" w:type="dxa"/>
            <w:vAlign w:val="top"/>
          </w:tcPr>
          <w:p>
            <w:pPr>
              <w:ind w:left="7"/>
              <w:spacing w:before="75" w:line="230" w:lineRule="auto"/>
              <w:rPr>
                <w:rFonts w:ascii="SimSun" w:hAnsi="SimSun" w:eastAsia="SimSun" w:cs="SimSun"/>
                <w:sz w:val="15"/>
                <w:szCs w:val="15"/>
              </w:rPr>
            </w:pPr>
            <w:r>
              <w:rPr>
                <w:rFonts w:ascii="SimSun" w:hAnsi="SimSun" w:eastAsia="SimSun" w:cs="SimSun"/>
                <w:sz w:val="15"/>
                <w:szCs w:val="15"/>
                <w:color w:val="212529"/>
                <w:spacing w:val="9"/>
              </w:rPr>
              <w:t>地震监测</w:t>
            </w:r>
          </w:p>
        </w:tc>
        <w:tc>
          <w:tcPr>
            <w:tcW w:w="1533" w:type="dxa"/>
            <w:vAlign w:val="top"/>
          </w:tcPr>
          <w:p>
            <w:pPr>
              <w:ind w:right="26"/>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c>
          <w:tcPr>
            <w:tcW w:w="1393" w:type="dxa"/>
            <w:vAlign w:val="top"/>
          </w:tcPr>
          <w:p>
            <w:pPr>
              <w:pStyle w:val="TableText"/>
              <w:rPr/>
            </w:pPr>
            <w:r/>
          </w:p>
        </w:tc>
        <w:tc>
          <w:tcPr>
            <w:tcW w:w="1453" w:type="dxa"/>
            <w:vAlign w:val="top"/>
          </w:tcPr>
          <w:p>
            <w:pPr>
              <w:ind w:right="24"/>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r>
      <w:tr>
        <w:trPr>
          <w:trHeight w:val="298" w:hRule="atLeast"/>
        </w:trPr>
        <w:tc>
          <w:tcPr>
            <w:tcW w:w="1658"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2240599</w:t>
            </w:r>
          </w:p>
        </w:tc>
        <w:tc>
          <w:tcPr>
            <w:tcW w:w="3121"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其他地震事务支出</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393" w:type="dxa"/>
            <w:vAlign w:val="top"/>
          </w:tcPr>
          <w:p>
            <w:pPr>
              <w:pStyle w:val="TableText"/>
              <w:rPr/>
            </w:pPr>
            <w:r/>
          </w:p>
        </w:tc>
        <w:tc>
          <w:tcPr>
            <w:tcW w:w="1453"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r>
    </w:tbl>
    <w:p>
      <w:pPr>
        <w:rPr>
          <w:rFonts w:ascii="Arial"/>
          <w:sz w:val="21"/>
        </w:rPr>
      </w:pPr>
      <w:r/>
    </w:p>
    <w:p>
      <w:pPr>
        <w:sectPr>
          <w:footerReference w:type="default" r:id="rId12"/>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082"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19"/>
            <w:bookmarkEnd w:id="19"/>
            <w:bookmarkStart w:name="bookmark10" w:id="20"/>
            <w:bookmarkEnd w:id="20"/>
            <w:bookmarkStart w:name="bookmark11" w:id="21"/>
            <w:bookmarkEnd w:id="21"/>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80" w:line="234"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1"/>
              <w:spacing w:before="87" w:line="172" w:lineRule="auto"/>
              <w:rPr>
                <w:sz w:val="14"/>
                <w:szCs w:val="14"/>
              </w:rPr>
            </w:pPr>
            <w:r>
              <w:rPr>
                <w:sz w:val="14"/>
                <w:szCs w:val="14"/>
                <w:color w:val="212529"/>
              </w:rPr>
              <w:t>230.</w:t>
            </w:r>
            <w:r>
              <w:rPr>
                <w:sz w:val="14"/>
                <w:szCs w:val="14"/>
                <w:color w:val="212529"/>
                <w:spacing w:val="6"/>
              </w:rPr>
              <w:t xml:space="preserve"> </w:t>
            </w:r>
            <w:r>
              <w:rPr>
                <w:sz w:val="14"/>
                <w:szCs w:val="14"/>
                <w:color w:val="212529"/>
              </w:rPr>
              <w:t>78</w:t>
            </w:r>
          </w:p>
        </w:tc>
        <w:tc>
          <w:tcPr>
            <w:tcW w:w="1188" w:type="dxa"/>
            <w:vAlign w:val="top"/>
          </w:tcPr>
          <w:p>
            <w:pPr>
              <w:pStyle w:val="TableText"/>
              <w:ind w:left="684"/>
              <w:spacing w:before="87" w:line="186" w:lineRule="auto"/>
              <w:rPr>
                <w:sz w:val="13"/>
                <w:szCs w:val="13"/>
              </w:rPr>
            </w:pPr>
            <w:r>
              <w:rPr>
                <w:sz w:val="13"/>
                <w:szCs w:val="13"/>
                <w:color w:val="212529"/>
                <w:spacing w:val="5"/>
              </w:rPr>
              <w:t>218.</w:t>
            </w:r>
            <w:r>
              <w:rPr>
                <w:sz w:val="13"/>
                <w:szCs w:val="13"/>
                <w:color w:val="212529"/>
                <w:spacing w:val="9"/>
              </w:rPr>
              <w:t xml:space="preserve"> </w:t>
            </w:r>
            <w:r>
              <w:rPr>
                <w:sz w:val="13"/>
                <w:szCs w:val="13"/>
                <w:color w:val="212529"/>
                <w:spacing w:val="5"/>
              </w:rPr>
              <w:t>03</w:t>
            </w:r>
          </w:p>
        </w:tc>
        <w:tc>
          <w:tcPr>
            <w:tcW w:w="1118" w:type="dxa"/>
            <w:vAlign w:val="top"/>
          </w:tcPr>
          <w:p>
            <w:pPr>
              <w:pStyle w:val="TableText"/>
              <w:ind w:left="699"/>
              <w:spacing w:before="87" w:line="186" w:lineRule="auto"/>
              <w:rPr>
                <w:sz w:val="13"/>
                <w:szCs w:val="13"/>
              </w:rPr>
            </w:pPr>
            <w:r>
              <w:rPr>
                <w:sz w:val="13"/>
                <w:szCs w:val="13"/>
                <w:color w:val="212529"/>
                <w:spacing w:val="1"/>
              </w:rPr>
              <w:t>12.</w:t>
            </w:r>
            <w:r>
              <w:rPr>
                <w:sz w:val="13"/>
                <w:szCs w:val="13"/>
                <w:color w:val="212529"/>
                <w:spacing w:val="14"/>
                <w:w w:val="102"/>
              </w:rPr>
              <w:t xml:space="preserve"> </w:t>
            </w:r>
            <w:r>
              <w:rPr>
                <w:sz w:val="13"/>
                <w:szCs w:val="13"/>
                <w:color w:val="212529"/>
                <w:spacing w:val="1"/>
              </w:rPr>
              <w:t>75</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218.03</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218.03</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77.42</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77.42</w:t>
            </w:r>
          </w:p>
        </w:tc>
        <w:tc>
          <w:tcPr>
            <w:tcW w:w="1118" w:type="dxa"/>
            <w:vAlign w:val="top"/>
          </w:tcPr>
          <w:p>
            <w:pPr>
              <w:pStyle w:val="TableText"/>
              <w:rPr/>
            </w:pPr>
            <w:r/>
          </w:p>
        </w:tc>
      </w:tr>
      <w:tr>
        <w:trPr>
          <w:trHeight w:val="292"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14.63</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14.63</w:t>
            </w:r>
          </w:p>
        </w:tc>
        <w:tc>
          <w:tcPr>
            <w:tcW w:w="1118" w:type="dxa"/>
            <w:vAlign w:val="top"/>
          </w:tcPr>
          <w:p>
            <w:pPr>
              <w:pStyle w:val="TableText"/>
              <w:rPr/>
            </w:pPr>
            <w:r/>
          </w:p>
        </w:tc>
      </w:tr>
      <w:tr>
        <w:trPr>
          <w:trHeight w:val="292" w:hRule="atLeast"/>
        </w:trPr>
        <w:tc>
          <w:tcPr>
            <w:tcW w:w="3310" w:type="dxa"/>
            <w:vAlign w:val="top"/>
          </w:tcPr>
          <w:p>
            <w:pPr>
              <w:ind w:left="333"/>
              <w:spacing w:before="70"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55.73</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55.73</w:t>
            </w:r>
          </w:p>
        </w:tc>
        <w:tc>
          <w:tcPr>
            <w:tcW w:w="1118" w:type="dxa"/>
            <w:vAlign w:val="top"/>
          </w:tcPr>
          <w:p>
            <w:pPr>
              <w:pStyle w:val="TableText"/>
              <w:rPr/>
            </w:pPr>
            <w:r/>
          </w:p>
        </w:tc>
      </w:tr>
      <w:tr>
        <w:trPr>
          <w:trHeight w:val="292"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21.78</w:t>
            </w:r>
          </w:p>
        </w:tc>
        <w:tc>
          <w:tcPr>
            <w:tcW w:w="1118" w:type="dxa"/>
            <w:vAlign w:val="top"/>
          </w:tcPr>
          <w:p>
            <w:pPr>
              <w:pStyle w:val="TableText"/>
              <w:rPr/>
            </w:pPr>
            <w:r/>
          </w:p>
        </w:tc>
      </w:tr>
      <w:tr>
        <w:trPr>
          <w:trHeight w:val="292"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72"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8.85</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8.85</w:t>
            </w:r>
          </w:p>
        </w:tc>
        <w:tc>
          <w:tcPr>
            <w:tcW w:w="1118" w:type="dxa"/>
            <w:vAlign w:val="top"/>
          </w:tcPr>
          <w:p>
            <w:pPr>
              <w:pStyle w:val="TableText"/>
              <w:rPr/>
            </w:pPr>
            <w:r/>
          </w:p>
        </w:tc>
      </w:tr>
      <w:tr>
        <w:trPr>
          <w:trHeight w:val="292"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0.50</w:t>
            </w:r>
          </w:p>
        </w:tc>
        <w:tc>
          <w:tcPr>
            <w:tcW w:w="1118" w:type="dxa"/>
            <w:vAlign w:val="top"/>
          </w:tcPr>
          <w:p>
            <w:pPr>
              <w:pStyle w:val="TableText"/>
              <w:rPr/>
            </w:pPr>
            <w:r/>
          </w:p>
        </w:tc>
      </w:tr>
      <w:tr>
        <w:trPr>
          <w:trHeight w:val="292" w:hRule="atLeast"/>
        </w:trPr>
        <w:tc>
          <w:tcPr>
            <w:tcW w:w="3310" w:type="dxa"/>
            <w:vAlign w:val="top"/>
          </w:tcPr>
          <w:p>
            <w:pPr>
              <w:ind w:left="331"/>
              <w:spacing w:before="73"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188" w:type="dxa"/>
            <w:vAlign w:val="top"/>
          </w:tcPr>
          <w:p>
            <w:pPr>
              <w:ind w:right="16"/>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118" w:type="dxa"/>
            <w:vAlign w:val="top"/>
          </w:tcPr>
          <w:p>
            <w:pPr>
              <w:pStyle w:val="TableText"/>
              <w:rPr/>
            </w:pPr>
            <w:r/>
          </w:p>
        </w:tc>
      </w:tr>
      <w:tr>
        <w:trPr>
          <w:trHeight w:val="292"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8"/>
              <w:spacing w:before="74"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21.30</w:t>
            </w:r>
          </w:p>
        </w:tc>
        <w:tc>
          <w:tcPr>
            <w:tcW w:w="1188"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21.30</w:t>
            </w:r>
          </w:p>
        </w:tc>
        <w:tc>
          <w:tcPr>
            <w:tcW w:w="1118" w:type="dxa"/>
            <w:vAlign w:val="top"/>
          </w:tcPr>
          <w:p>
            <w:pPr>
              <w:pStyle w:val="TableText"/>
              <w:rPr/>
            </w:pPr>
            <w:r/>
          </w:p>
        </w:tc>
      </w:tr>
      <w:tr>
        <w:trPr>
          <w:trHeight w:val="293" w:hRule="atLeast"/>
        </w:trPr>
        <w:tc>
          <w:tcPr>
            <w:tcW w:w="3310" w:type="dxa"/>
            <w:vAlign w:val="top"/>
          </w:tcPr>
          <w:p>
            <w:pPr>
              <w:ind w:left="9"/>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12.75</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12.75</w:t>
            </w:r>
          </w:p>
        </w:tc>
      </w:tr>
      <w:tr>
        <w:trPr>
          <w:trHeight w:val="293" w:hRule="atLeast"/>
        </w:trPr>
        <w:tc>
          <w:tcPr>
            <w:tcW w:w="3310" w:type="dxa"/>
            <w:vAlign w:val="top"/>
          </w:tcPr>
          <w:p>
            <w:pPr>
              <w:ind w:left="334"/>
              <w:spacing w:before="75"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3310" w:type="dxa"/>
            <w:vAlign w:val="top"/>
          </w:tcPr>
          <w:p>
            <w:pPr>
              <w:ind w:left="333"/>
              <w:spacing w:before="75"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8"/>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2.72</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2.72</w:t>
            </w:r>
          </w:p>
        </w:tc>
      </w:tr>
      <w:tr>
        <w:trPr>
          <w:trHeight w:val="293" w:hRule="atLeast"/>
        </w:trPr>
        <w:tc>
          <w:tcPr>
            <w:tcW w:w="3310" w:type="dxa"/>
            <w:vAlign w:val="top"/>
          </w:tcPr>
          <w:p>
            <w:pPr>
              <w:ind w:left="330"/>
              <w:spacing w:before="75"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r>
      <w:tr>
        <w:trPr>
          <w:trHeight w:val="298" w:hRule="atLeast"/>
        </w:trPr>
        <w:tc>
          <w:tcPr>
            <w:tcW w:w="3310"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3.26</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3.26</w:t>
            </w:r>
          </w:p>
        </w:tc>
      </w:tr>
    </w:tbl>
    <w:p>
      <w:pPr>
        <w:rPr>
          <w:rFonts w:ascii="Arial"/>
          <w:sz w:val="21"/>
        </w:rPr>
      </w:pPr>
      <w:r/>
    </w:p>
    <w:p>
      <w:pPr>
        <w:sectPr>
          <w:footerReference w:type="default" r:id="rId13"/>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60"/>
        <w:gridCol w:w="4838"/>
        <w:gridCol w:w="1960"/>
      </w:tblGrid>
      <w:tr>
        <w:trPr>
          <w:trHeight w:val="383" w:hRule="atLeast"/>
        </w:trPr>
        <w:tc>
          <w:tcPr>
            <w:tcW w:w="23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83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tcBorders>
              <w:bottom w:val="single" w:color="FFFFFF" w:sz="4" w:space="0"/>
              <w:top w:val="single" w:color="FFFFFF" w:sz="4" w:space="0"/>
              <w:left w:val="single" w:color="FFFFFF" w:sz="2" w:space="0"/>
              <w:right w:val="single" w:color="FFFFFF" w:sz="2" w:space="0"/>
            </w:tcBorders>
          </w:tcPr>
          <w:p>
            <w:pPr>
              <w:ind w:left="1222"/>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2"/>
            <w:bookmarkEnd w:id="22"/>
            <w:bookmarkStart w:name="bookmark12" w:id="23"/>
            <w:bookmarkEnd w:id="23"/>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198" w:type="dxa"/>
            <w:vAlign w:val="top"/>
            <w:gridSpan w:val="2"/>
            <w:tcBorders>
              <w:top w:val="single" w:color="FFFFFF" w:sz="4" w:space="0"/>
              <w:left w:val="single" w:color="FFFFFF" w:sz="2" w:space="0"/>
              <w:right w:val="single" w:color="FFFFFF" w:sz="2" w:space="0"/>
            </w:tcBorders>
          </w:tcPr>
          <w:p>
            <w:pPr>
              <w:ind w:left="9"/>
              <w:spacing w:before="124" w:line="235"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960" w:type="dxa"/>
            <w:vAlign w:val="top"/>
            <w:tcBorders>
              <w:top w:val="single" w:color="FFFFFF" w:sz="4" w:space="0"/>
              <w:left w:val="single" w:color="FFFFFF" w:sz="2" w:space="0"/>
              <w:right w:val="single" w:color="FFFFFF" w:sz="2" w:space="0"/>
            </w:tcBorders>
          </w:tcPr>
          <w:p>
            <w:pPr>
              <w:ind w:left="1352"/>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198" w:type="dxa"/>
            <w:vAlign w:val="top"/>
            <w:gridSpan w:val="2"/>
          </w:tcPr>
          <w:p>
            <w:pPr>
              <w:ind w:left="3423"/>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960" w:type="dxa"/>
            <w:vAlign w:val="top"/>
            <w:vMerge w:val="restart"/>
            <w:tcBorders>
              <w:bottom w:val="nil"/>
            </w:tcBorders>
          </w:tcPr>
          <w:p>
            <w:pPr>
              <w:ind w:left="23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360" w:type="dxa"/>
            <w:vAlign w:val="top"/>
          </w:tcPr>
          <w:p>
            <w:pPr>
              <w:ind w:left="684"/>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838" w:type="dxa"/>
            <w:vAlign w:val="top"/>
          </w:tcPr>
          <w:p>
            <w:pPr>
              <w:ind w:left="2076"/>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960" w:type="dxa"/>
            <w:vAlign w:val="top"/>
            <w:vMerge w:val="continue"/>
            <w:tcBorders>
              <w:top w:val="nil"/>
            </w:tcBorders>
          </w:tcPr>
          <w:p>
            <w:pPr>
              <w:pStyle w:val="TableText"/>
              <w:rPr/>
            </w:pPr>
            <w:r/>
          </w:p>
        </w:tc>
      </w:tr>
      <w:tr>
        <w:trPr>
          <w:trHeight w:val="378" w:hRule="atLeast"/>
        </w:trPr>
        <w:tc>
          <w:tcPr>
            <w:tcW w:w="7198" w:type="dxa"/>
            <w:vAlign w:val="top"/>
            <w:gridSpan w:val="2"/>
          </w:tcPr>
          <w:p>
            <w:pPr>
              <w:ind w:left="342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960" w:type="dxa"/>
            <w:vAlign w:val="top"/>
          </w:tcPr>
          <w:p>
            <w:pPr>
              <w:pStyle w:val="TableText"/>
              <w:rPr/>
            </w:pPr>
            <w:r/>
          </w:p>
        </w:tc>
      </w:tr>
      <w:tr>
        <w:trPr>
          <w:trHeight w:val="378" w:hRule="atLeast"/>
        </w:trPr>
        <w:tc>
          <w:tcPr>
            <w:tcW w:w="2360" w:type="dxa"/>
            <w:vAlign w:val="top"/>
          </w:tcPr>
          <w:p>
            <w:pPr>
              <w:pStyle w:val="TableText"/>
              <w:rPr/>
            </w:pPr>
            <w:r/>
          </w:p>
        </w:tc>
        <w:tc>
          <w:tcPr>
            <w:tcW w:w="4838" w:type="dxa"/>
            <w:vAlign w:val="top"/>
          </w:tcPr>
          <w:p>
            <w:pPr>
              <w:pStyle w:val="TableText"/>
              <w:rPr/>
            </w:pPr>
            <w:r/>
          </w:p>
        </w:tc>
        <w:tc>
          <w:tcPr>
            <w:tcW w:w="1960"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4"/>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22"/>
        <w:gridCol w:w="3553"/>
        <w:gridCol w:w="1145"/>
        <w:gridCol w:w="1156"/>
        <w:gridCol w:w="1182"/>
      </w:tblGrid>
      <w:tr>
        <w:trPr>
          <w:trHeight w:val="383" w:hRule="atLeast"/>
        </w:trPr>
        <w:tc>
          <w:tcPr>
            <w:tcW w:w="21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2" w:type="dxa"/>
            <w:vAlign w:val="top"/>
            <w:tcBorders>
              <w:bottom w:val="single" w:color="FFFFFF" w:sz="4" w:space="0"/>
              <w:top w:val="single" w:color="FFFFFF" w:sz="4" w:space="0"/>
              <w:left w:val="single" w:color="FFFFFF" w:sz="2" w:space="0"/>
              <w:right w:val="single" w:color="FFFFFF" w:sz="2" w:space="0"/>
            </w:tcBorders>
          </w:tcPr>
          <w:p>
            <w:pPr>
              <w:ind w:left="443"/>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4"/>
            <w:bookmarkEnd w:id="24"/>
            <w:bookmarkStart w:name="bookmark13" w:id="25"/>
            <w:bookmarkEnd w:id="25"/>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675" w:type="dxa"/>
            <w:vAlign w:val="top"/>
            <w:gridSpan w:val="2"/>
            <w:tcBorders>
              <w:top w:val="single" w:color="FFFFFF" w:sz="4" w:space="0"/>
              <w:left w:val="single" w:color="FFFFFF" w:sz="2" w:space="0"/>
              <w:right w:val="single" w:color="FFFFFF" w:sz="2" w:space="0"/>
            </w:tcBorders>
          </w:tcPr>
          <w:p>
            <w:pPr>
              <w:ind w:left="9"/>
              <w:spacing w:before="125" w:line="235"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6" w:type="dxa"/>
            <w:vAlign w:val="top"/>
            <w:tcBorders>
              <w:top w:val="single" w:color="FFFFFF" w:sz="4" w:space="0"/>
              <w:left w:val="single" w:color="FFFFFF" w:sz="2" w:space="0"/>
              <w:right w:val="single" w:color="FFFFFF" w:sz="2" w:space="0"/>
            </w:tcBorders>
          </w:tcPr>
          <w:p>
            <w:pPr>
              <w:pStyle w:val="TableText"/>
              <w:rPr/>
            </w:pPr>
            <w:r/>
          </w:p>
        </w:tc>
        <w:tc>
          <w:tcPr>
            <w:tcW w:w="1182" w:type="dxa"/>
            <w:vAlign w:val="top"/>
            <w:tcBorders>
              <w:top w:val="single" w:color="FFFFFF" w:sz="4" w:space="0"/>
              <w:left w:val="single" w:color="FFFFFF" w:sz="2" w:space="0"/>
              <w:right w:val="single" w:color="FFFFFF" w:sz="2" w:space="0"/>
            </w:tcBorders>
          </w:tcPr>
          <w:p>
            <w:pPr>
              <w:ind w:left="574"/>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122" w:type="dxa"/>
            <w:vAlign w:val="top"/>
          </w:tcPr>
          <w:p>
            <w:pPr>
              <w:ind w:left="72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53" w:type="dxa"/>
            <w:vAlign w:val="top"/>
          </w:tcPr>
          <w:p>
            <w:pPr>
              <w:ind w:left="143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45" w:type="dxa"/>
            <w:vAlign w:val="top"/>
          </w:tcPr>
          <w:p>
            <w:pPr>
              <w:ind w:left="404"/>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ind w:left="24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82" w:type="dxa"/>
            <w:vAlign w:val="top"/>
          </w:tcPr>
          <w:p>
            <w:pPr>
              <w:ind w:left="254"/>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75" w:type="dxa"/>
            <w:vAlign w:val="top"/>
            <w:gridSpan w:val="2"/>
          </w:tcPr>
          <w:p>
            <w:pPr>
              <w:ind w:left="266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78" w:hRule="atLeast"/>
        </w:trPr>
        <w:tc>
          <w:tcPr>
            <w:tcW w:w="2122" w:type="dxa"/>
            <w:vAlign w:val="top"/>
          </w:tcPr>
          <w:p>
            <w:pPr>
              <w:pStyle w:val="TableText"/>
              <w:rPr/>
            </w:pPr>
            <w:r/>
          </w:p>
        </w:tc>
        <w:tc>
          <w:tcPr>
            <w:tcW w:w="3553" w:type="dxa"/>
            <w:vAlign w:val="top"/>
          </w:tcPr>
          <w:p>
            <w:pPr>
              <w:pStyle w:val="TableText"/>
              <w:rPr/>
            </w:pPr>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5"/>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60"/>
        <w:gridCol w:w="951"/>
        <w:gridCol w:w="961"/>
        <w:gridCol w:w="1436"/>
        <w:gridCol w:w="983"/>
        <w:gridCol w:w="940"/>
        <w:gridCol w:w="988"/>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5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4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8" w:type="dxa"/>
            <w:vAlign w:val="top"/>
            <w:tcBorders>
              <w:bottom w:val="single" w:color="FFFFFF" w:sz="4" w:space="0"/>
              <w:top w:val="single" w:color="FFFFFF" w:sz="4" w:space="0"/>
              <w:left w:val="single" w:color="FFFFFF" w:sz="2" w:space="0"/>
              <w:right w:val="single" w:color="FFFFFF" w:sz="2" w:space="0"/>
            </w:tcBorders>
          </w:tcPr>
          <w:p>
            <w:pPr>
              <w:ind w:left="251"/>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bookmarkStart w:name="bookmark45" w:id="26"/>
            <w:bookmarkEnd w:id="26"/>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170" w:type="dxa"/>
            <w:vAlign w:val="top"/>
            <w:gridSpan w:val="7"/>
            <w:tcBorders>
              <w:top w:val="single" w:color="FFFFFF" w:sz="4" w:space="0"/>
              <w:left w:val="single" w:color="FFFFFF" w:sz="2" w:space="0"/>
              <w:right w:val="single" w:color="FFFFFF" w:sz="2" w:space="0"/>
            </w:tcBorders>
          </w:tcPr>
          <w:p>
            <w:pPr>
              <w:ind w:left="9"/>
              <w:spacing w:before="124" w:line="235"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988" w:type="dxa"/>
            <w:vAlign w:val="top"/>
            <w:tcBorders>
              <w:top w:val="single" w:color="FFFFFF" w:sz="4" w:space="0"/>
              <w:left w:val="single" w:color="FFFFFF" w:sz="2" w:space="0"/>
              <w:right w:val="single" w:color="FFFFFF" w:sz="2" w:space="0"/>
            </w:tcBorders>
          </w:tcPr>
          <w:p>
            <w:pPr>
              <w:ind w:left="315"/>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20"/>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9"/>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99" w:type="dxa"/>
            <w:vAlign w:val="top"/>
            <w:gridSpan w:val="2"/>
          </w:tcPr>
          <w:p>
            <w:pPr>
              <w:ind w:left="1273"/>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51" w:type="dxa"/>
            <w:vAlign w:val="top"/>
            <w:vMerge w:val="restart"/>
            <w:tcBorders>
              <w:bottom w:val="nil"/>
            </w:tcBorders>
          </w:tcPr>
          <w:p>
            <w:pPr>
              <w:ind w:left="58" w:right="77" w:firstLine="15"/>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61" w:type="dxa"/>
            <w:vAlign w:val="top"/>
            <w:vMerge w:val="restart"/>
            <w:tcBorders>
              <w:bottom w:val="nil"/>
            </w:tcBorders>
          </w:tcPr>
          <w:p>
            <w:pPr>
              <w:pStyle w:val="TableText"/>
              <w:rPr/>
            </w:pPr>
            <w:r/>
          </w:p>
          <w:p>
            <w:pPr>
              <w:ind w:left="14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1"/>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restart"/>
            <w:tcBorders>
              <w:bottom w:val="nil"/>
            </w:tcBorders>
          </w:tcPr>
          <w:p>
            <w:pPr>
              <w:pStyle w:val="TableText"/>
              <w:spacing w:line="241" w:lineRule="auto"/>
              <w:rPr/>
            </w:pPr>
            <w:r/>
          </w:p>
          <w:p>
            <w:pPr>
              <w:ind w:left="32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40" w:type="dxa"/>
            <w:vAlign w:val="top"/>
            <w:vMerge w:val="restart"/>
            <w:tcBorders>
              <w:bottom w:val="nil"/>
            </w:tcBorders>
          </w:tcPr>
          <w:p>
            <w:pPr>
              <w:ind w:left="136"/>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88" w:type="dxa"/>
            <w:vAlign w:val="top"/>
            <w:vMerge w:val="restart"/>
            <w:tcBorders>
              <w:bottom w:val="nil"/>
            </w:tcBorders>
          </w:tcPr>
          <w:p>
            <w:pPr>
              <w:pStyle w:val="TableText"/>
              <w:rPr/>
            </w:pPr>
            <w:r/>
          </w:p>
          <w:p>
            <w:pPr>
              <w:ind w:left="15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39" w:type="dxa"/>
            <w:vAlign w:val="top"/>
          </w:tcPr>
          <w:p>
            <w:pPr>
              <w:ind w:left="73"/>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60" w:type="dxa"/>
            <w:vAlign w:val="top"/>
          </w:tcPr>
          <w:p>
            <w:pPr>
              <w:ind w:left="536"/>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51"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983" w:type="dxa"/>
            <w:vAlign w:val="top"/>
            <w:vMerge w:val="continue"/>
            <w:tcBorders>
              <w:top w:val="nil"/>
            </w:tcBorders>
          </w:tcPr>
          <w:p>
            <w:pPr>
              <w:pStyle w:val="TableText"/>
              <w:rPr/>
            </w:pPr>
            <w:r/>
          </w:p>
        </w:tc>
        <w:tc>
          <w:tcPr>
            <w:tcW w:w="940" w:type="dxa"/>
            <w:vAlign w:val="top"/>
            <w:vMerge w:val="continue"/>
            <w:tcBorders>
              <w:top w:val="nil"/>
            </w:tcBorders>
          </w:tcPr>
          <w:p>
            <w:pPr>
              <w:pStyle w:val="TableText"/>
              <w:rPr/>
            </w:pPr>
            <w:r/>
          </w:p>
        </w:tc>
        <w:tc>
          <w:tcPr>
            <w:tcW w:w="988" w:type="dxa"/>
            <w:vAlign w:val="top"/>
            <w:vMerge w:val="continue"/>
            <w:tcBorders>
              <w:top w:val="nil"/>
            </w:tcBorders>
          </w:tcPr>
          <w:p>
            <w:pPr>
              <w:pStyle w:val="TableText"/>
              <w:rPr/>
            </w:pPr>
            <w:r/>
          </w:p>
        </w:tc>
      </w:tr>
      <w:tr>
        <w:trPr>
          <w:trHeight w:val="378" w:hRule="atLeast"/>
        </w:trPr>
        <w:tc>
          <w:tcPr>
            <w:tcW w:w="2899" w:type="dxa"/>
            <w:vAlign w:val="top"/>
            <w:gridSpan w:val="2"/>
          </w:tcPr>
          <w:p>
            <w:pPr>
              <w:ind w:left="1275"/>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78" w:hRule="atLeast"/>
        </w:trPr>
        <w:tc>
          <w:tcPr>
            <w:tcW w:w="1139" w:type="dxa"/>
            <w:vAlign w:val="top"/>
          </w:tcPr>
          <w:p>
            <w:pPr>
              <w:pStyle w:val="TableText"/>
              <w:rPr/>
            </w:pPr>
            <w:r/>
          </w:p>
        </w:tc>
        <w:tc>
          <w:tcPr>
            <w:tcW w:w="1760" w:type="dxa"/>
            <w:vAlign w:val="top"/>
          </w:tcPr>
          <w:p>
            <w:pPr>
              <w:pStyle w:val="TableText"/>
              <w:rPr/>
            </w:pPr>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677"/>
        <w:gridCol w:w="1372"/>
        <w:gridCol w:w="1296"/>
        <w:gridCol w:w="1371"/>
        <w:gridCol w:w="1442"/>
      </w:tblGrid>
      <w:tr>
        <w:trPr>
          <w:trHeight w:val="384" w:hRule="atLeast"/>
        </w:trPr>
        <w:tc>
          <w:tcPr>
            <w:tcW w:w="367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op w:val="single" w:color="FFFFFF" w:sz="4" w:space="0"/>
            </w:tcBorders>
          </w:tcPr>
          <w:p>
            <w:pPr>
              <w:ind w:left="63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45" w:type="dxa"/>
            <w:vAlign w:val="top"/>
            <w:gridSpan w:val="3"/>
            <w:tcBorders>
              <w:left w:val="single" w:color="FFFFFF" w:sz="2" w:space="0"/>
              <w:right w:val="single" w:color="FFFFFF" w:sz="2" w:space="0"/>
              <w:top w:val="single" w:color="FFFFFF" w:sz="4"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371" w:type="dxa"/>
            <w:vAlign w:val="top"/>
            <w:tcBorders>
              <w:left w:val="single" w:color="FFFFFF" w:sz="2" w:space="0"/>
              <w:right w:val="single" w:color="FFFFFF" w:sz="2" w:space="0"/>
              <w:top w:val="single" w:color="FFFFFF" w:sz="4" w:space="0"/>
            </w:tcBorders>
          </w:tcPr>
          <w:p>
            <w:pPr>
              <w:pStyle w:val="TableText"/>
              <w:rPr/>
            </w:pPr>
            <w:r/>
          </w:p>
        </w:tc>
        <w:tc>
          <w:tcPr>
            <w:tcW w:w="1442" w:type="dxa"/>
            <w:vAlign w:val="top"/>
            <w:tcBorders>
              <w:left w:val="single" w:color="FFFFFF" w:sz="2" w:space="0"/>
              <w:right w:val="single" w:color="FFFFFF" w:sz="2" w:space="0"/>
              <w:top w:val="single" w:color="FFFFFF" w:sz="4" w:space="0"/>
            </w:tcBorders>
          </w:tcPr>
          <w:p>
            <w:pPr>
              <w:ind w:left="834"/>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677" w:type="dxa"/>
            <w:vAlign w:val="top"/>
            <w:vMerge w:val="restart"/>
            <w:tcBorders>
              <w:bottom w:val="nil"/>
            </w:tcBorders>
          </w:tcPr>
          <w:p>
            <w:pPr>
              <w:pStyle w:val="TableText"/>
              <w:rPr/>
            </w:pPr>
            <w:r/>
          </w:p>
          <w:p>
            <w:pPr>
              <w:ind w:left="166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481" w:type="dxa"/>
            <w:vAlign w:val="top"/>
            <w:gridSpan w:val="4"/>
          </w:tcPr>
          <w:p>
            <w:pPr>
              <w:ind w:left="2246"/>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677" w:type="dxa"/>
            <w:vAlign w:val="top"/>
            <w:vMerge w:val="continue"/>
            <w:tcBorders>
              <w:top w:val="nil"/>
            </w:tcBorders>
          </w:tcPr>
          <w:p>
            <w:pPr>
              <w:pStyle w:val="TableText"/>
              <w:rPr/>
            </w:pPr>
            <w:r/>
          </w:p>
        </w:tc>
        <w:tc>
          <w:tcPr>
            <w:tcW w:w="1372" w:type="dxa"/>
            <w:vAlign w:val="top"/>
          </w:tcPr>
          <w:p>
            <w:pPr>
              <w:ind w:left="517"/>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96" w:type="dxa"/>
            <w:vAlign w:val="top"/>
          </w:tcPr>
          <w:p>
            <w:pPr>
              <w:ind w:left="150"/>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71" w:type="dxa"/>
            <w:vAlign w:val="top"/>
          </w:tcPr>
          <w:p>
            <w:pPr>
              <w:ind w:left="10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42" w:type="dxa"/>
            <w:vAlign w:val="top"/>
          </w:tcPr>
          <w:p>
            <w:pPr>
              <w:ind w:left="79"/>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677" w:type="dxa"/>
            <w:vAlign w:val="top"/>
          </w:tcPr>
          <w:p>
            <w:pPr>
              <w:ind w:left="1193"/>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428"/>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023"/>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220"/>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057"/>
              <w:spacing w:before="116"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667"/>
              <w:spacing w:before="11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84" w:hRule="atLeast"/>
        </w:trPr>
        <w:tc>
          <w:tcPr>
            <w:tcW w:w="3677" w:type="dxa"/>
            <w:vAlign w:val="top"/>
            <w:tcBorders>
              <w:left w:val="single" w:color="FFFFFF" w:sz="4" w:space="0"/>
              <w:bottom w:val="single" w:color="FFFFFF" w:sz="4" w:space="0"/>
              <w:right w:val="single" w:color="000000" w:sz="2" w:space="0"/>
            </w:tcBorders>
          </w:tcPr>
          <w:p>
            <w:pPr>
              <w:ind w:left="5"/>
              <w:spacing w:before="1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372" w:type="dxa"/>
            <w:vAlign w:val="top"/>
            <w:tcBorders>
              <w:left w:val="single" w:color="FFFFFF" w:sz="2" w:space="0"/>
              <w:right w:val="single" w:color="FFFFFF" w:sz="2" w:space="0"/>
              <w:bottom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cBorders>
          </w:tcPr>
          <w:p>
            <w:pPr>
              <w:pStyle w:val="TableText"/>
              <w:rPr/>
            </w:pPr>
            <w:r/>
          </w:p>
        </w:tc>
      </w:tr>
    </w:tbl>
    <w:p>
      <w:pPr>
        <w:rPr>
          <w:rFonts w:ascii="Arial"/>
          <w:sz w:val="21"/>
        </w:rPr>
      </w:pPr>
      <w:r/>
    </w:p>
    <w:p>
      <w:pPr>
        <w:sectPr>
          <w:footerReference w:type="default" r:id="rId16"/>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21"/>
        <w:gridCol w:w="1285"/>
        <w:gridCol w:w="1393"/>
        <w:gridCol w:w="1501"/>
        <w:gridCol w:w="1658"/>
      </w:tblGrid>
      <w:tr>
        <w:trPr>
          <w:trHeight w:val="383" w:hRule="atLeast"/>
        </w:trPr>
        <w:tc>
          <w:tcPr>
            <w:tcW w:w="332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op w:val="nil"/>
            </w:tcBorders>
          </w:tcPr>
          <w:p>
            <w:pPr>
              <w:pStyle w:val="TableText"/>
              <w:rPr/>
            </w:pPr>
            <w:r/>
          </w:p>
        </w:tc>
        <w:tc>
          <w:tcPr>
            <w:tcW w:w="139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0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658" w:type="dxa"/>
            <w:vAlign w:val="top"/>
            <w:tcBorders>
              <w:left w:val="single" w:color="FFFFFF" w:sz="2" w:space="0"/>
              <w:right w:val="single" w:color="FFFFFF" w:sz="2" w:space="0"/>
              <w:bottom w:val="single" w:color="FFFFFF" w:sz="4" w:space="0"/>
              <w:top w:val="single" w:color="FFFFFF" w:sz="4" w:space="0"/>
            </w:tcBorders>
          </w:tcPr>
          <w:p>
            <w:pPr>
              <w:ind w:left="855"/>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6" w:id="27"/>
            <w:bookmarkEnd w:id="27"/>
            <w:bookmarkStart w:name="bookmark15" w:id="28"/>
            <w:bookmarkEnd w:id="28"/>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321" w:type="dxa"/>
            <w:vAlign w:val="top"/>
            <w:tcBorders>
              <w:left w:val="single" w:color="FFFFFF" w:sz="2" w:space="0"/>
              <w:right w:val="single" w:color="FFFFFF" w:sz="2" w:space="0"/>
              <w:top w:val="single" w:color="FFFFFF" w:sz="4"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285" w:type="dxa"/>
            <w:vAlign w:val="top"/>
            <w:tcBorders>
              <w:left w:val="single" w:color="FFFFFF" w:sz="2" w:space="0"/>
              <w:right w:val="single" w:color="FFFFFF" w:sz="2" w:space="0"/>
              <w:top w:val="single" w:color="FFFFFF" w:sz="4" w:space="0"/>
            </w:tcBorders>
          </w:tcPr>
          <w:p>
            <w:pPr>
              <w:pStyle w:val="TableText"/>
              <w:rPr/>
            </w:pPr>
            <w:r/>
          </w:p>
        </w:tc>
        <w:tc>
          <w:tcPr>
            <w:tcW w:w="1393" w:type="dxa"/>
            <w:vAlign w:val="top"/>
            <w:tcBorders>
              <w:left w:val="single" w:color="FFFFFF" w:sz="2" w:space="0"/>
              <w:right w:val="single" w:color="FFFFFF" w:sz="2" w:space="0"/>
              <w:top w:val="single" w:color="FFFFFF" w:sz="4" w:space="0"/>
            </w:tcBorders>
          </w:tcPr>
          <w:p>
            <w:pPr>
              <w:pStyle w:val="TableText"/>
              <w:rPr/>
            </w:pPr>
            <w:r/>
          </w:p>
        </w:tc>
        <w:tc>
          <w:tcPr>
            <w:tcW w:w="1501" w:type="dxa"/>
            <w:vAlign w:val="top"/>
            <w:tcBorders>
              <w:left w:val="single" w:color="FFFFFF" w:sz="2" w:space="0"/>
              <w:right w:val="single" w:color="FFFFFF" w:sz="2" w:space="0"/>
              <w:top w:val="single" w:color="FFFFFF" w:sz="4" w:space="0"/>
            </w:tcBorders>
          </w:tcPr>
          <w:p>
            <w:pPr>
              <w:pStyle w:val="TableText"/>
              <w:rPr/>
            </w:pPr>
            <w:r/>
          </w:p>
        </w:tc>
        <w:tc>
          <w:tcPr>
            <w:tcW w:w="1658" w:type="dxa"/>
            <w:vAlign w:val="top"/>
            <w:tcBorders>
              <w:left w:val="single" w:color="FFFFFF" w:sz="2" w:space="0"/>
              <w:right w:val="single" w:color="FFFFFF" w:sz="2" w:space="0"/>
              <w:top w:val="single" w:color="FFFFFF" w:sz="4" w:space="0"/>
            </w:tcBorders>
          </w:tcPr>
          <w:p>
            <w:pPr>
              <w:ind w:left="1050"/>
              <w:spacing w:before="125"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321" w:type="dxa"/>
            <w:vAlign w:val="top"/>
            <w:vMerge w:val="restart"/>
            <w:tcBorders>
              <w:bottom w:val="nil"/>
            </w:tcBorders>
          </w:tcPr>
          <w:p>
            <w:pPr>
              <w:ind w:left="1319"/>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5837" w:type="dxa"/>
            <w:vAlign w:val="top"/>
            <w:gridSpan w:val="4"/>
          </w:tcPr>
          <w:p>
            <w:pPr>
              <w:ind w:left="250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321" w:type="dxa"/>
            <w:vAlign w:val="top"/>
            <w:vMerge w:val="continue"/>
            <w:tcBorders>
              <w:top w:val="nil"/>
            </w:tcBorders>
          </w:tcPr>
          <w:p>
            <w:pPr>
              <w:pStyle w:val="TableText"/>
              <w:rPr/>
            </w:pPr>
            <w:r/>
          </w:p>
        </w:tc>
        <w:tc>
          <w:tcPr>
            <w:tcW w:w="1285" w:type="dxa"/>
            <w:vAlign w:val="top"/>
          </w:tcPr>
          <w:p>
            <w:pPr>
              <w:ind w:left="466"/>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01" w:type="dxa"/>
            <w:vAlign w:val="top"/>
          </w:tcPr>
          <w:p>
            <w:pPr>
              <w:ind w:left="172"/>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658" w:type="dxa"/>
            <w:vAlign w:val="top"/>
          </w:tcPr>
          <w:p>
            <w:pPr>
              <w:ind w:left="185"/>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321" w:type="dxa"/>
            <w:vAlign w:val="top"/>
          </w:tcPr>
          <w:p>
            <w:pPr>
              <w:ind w:left="1320"/>
              <w:spacing w:before="113"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285" w:type="dxa"/>
            <w:vAlign w:val="top"/>
          </w:tcPr>
          <w:p>
            <w:pPr>
              <w:pStyle w:val="TableText"/>
              <w:rPr/>
            </w:pPr>
            <w:r/>
          </w:p>
        </w:tc>
        <w:tc>
          <w:tcPr>
            <w:tcW w:w="1393" w:type="dxa"/>
            <w:vAlign w:val="top"/>
          </w:tcPr>
          <w:p>
            <w:pPr>
              <w:pStyle w:val="TableText"/>
              <w:rPr/>
            </w:pPr>
            <w:r/>
          </w:p>
        </w:tc>
        <w:tc>
          <w:tcPr>
            <w:tcW w:w="1501" w:type="dxa"/>
            <w:vAlign w:val="top"/>
          </w:tcPr>
          <w:p>
            <w:pPr>
              <w:pStyle w:val="TableText"/>
              <w:rPr/>
            </w:pPr>
            <w:r/>
          </w:p>
        </w:tc>
        <w:tc>
          <w:tcPr>
            <w:tcW w:w="1658" w:type="dxa"/>
            <w:vAlign w:val="top"/>
          </w:tcPr>
          <w:p>
            <w:pPr>
              <w:pStyle w:val="TableText"/>
              <w:rPr/>
            </w:pPr>
            <w:r/>
          </w:p>
        </w:tc>
      </w:tr>
      <w:tr>
        <w:trPr>
          <w:trHeight w:val="378" w:hRule="atLeast"/>
        </w:trPr>
        <w:tc>
          <w:tcPr>
            <w:tcW w:w="3321" w:type="dxa"/>
            <w:vAlign w:val="top"/>
          </w:tcPr>
          <w:p>
            <w:pPr>
              <w:pStyle w:val="TableText"/>
              <w:rPr/>
            </w:pPr>
            <w:r/>
          </w:p>
        </w:tc>
        <w:tc>
          <w:tcPr>
            <w:tcW w:w="1285" w:type="dxa"/>
            <w:vAlign w:val="top"/>
          </w:tcPr>
          <w:p>
            <w:pPr>
              <w:pStyle w:val="TableText"/>
              <w:rPr/>
            </w:pPr>
            <w:r/>
          </w:p>
        </w:tc>
        <w:tc>
          <w:tcPr>
            <w:tcW w:w="1393" w:type="dxa"/>
            <w:vAlign w:val="top"/>
          </w:tcPr>
          <w:p>
            <w:pPr>
              <w:pStyle w:val="TableText"/>
              <w:rPr/>
            </w:pPr>
            <w:r/>
          </w:p>
        </w:tc>
        <w:tc>
          <w:tcPr>
            <w:tcW w:w="1501" w:type="dxa"/>
            <w:vAlign w:val="top"/>
          </w:tcPr>
          <w:p>
            <w:pPr>
              <w:pStyle w:val="TableText"/>
              <w:rPr/>
            </w:pPr>
            <w:r/>
          </w:p>
        </w:tc>
        <w:tc>
          <w:tcPr>
            <w:tcW w:w="1658" w:type="dxa"/>
            <w:vAlign w:val="top"/>
          </w:tcPr>
          <w:p>
            <w:pPr>
              <w:pStyle w:val="TableText"/>
              <w:rPr/>
            </w:pPr>
            <w:r/>
          </w:p>
        </w:tc>
      </w:tr>
      <w:tr>
        <w:trPr>
          <w:trHeight w:val="383" w:hRule="atLeast"/>
        </w:trPr>
        <w:tc>
          <w:tcPr>
            <w:tcW w:w="3321" w:type="dxa"/>
            <w:vAlign w:val="top"/>
            <w:tcBorders>
              <w:left w:val="single" w:color="FFFFFF" w:sz="2" w:space="0"/>
              <w:right w:val="single" w:color="FFFFFF" w:sz="2" w:space="0"/>
              <w:bottom w:val="single" w:color="FFFFFF" w:sz="4" w:space="0"/>
            </w:tcBorders>
          </w:tcPr>
          <w:p>
            <w:pPr>
              <w:ind w:left="18"/>
              <w:spacing w:before="116" w:line="233" w:lineRule="auto"/>
              <w:rPr>
                <w:rFonts w:ascii="FangSong" w:hAnsi="FangSong" w:eastAsia="FangSong" w:cs="FangSong"/>
                <w:sz w:val="15"/>
                <w:szCs w:val="15"/>
              </w:rPr>
            </w:pPr>
            <w:r>
              <w:rPr>
                <w:rFonts w:ascii="FangSong" w:hAnsi="FangSong" w:eastAsia="FangSong" w:cs="FangSong"/>
                <w:sz w:val="15"/>
                <w:szCs w:val="15"/>
                <w:color w:val="212529"/>
                <w:spacing w:val="6"/>
              </w:rPr>
              <w:t>注：本表无数据</w:t>
            </w:r>
          </w:p>
        </w:tc>
        <w:tc>
          <w:tcPr>
            <w:tcW w:w="1285" w:type="dxa"/>
            <w:vAlign w:val="top"/>
            <w:tcBorders>
              <w:left w:val="single" w:color="FFFFFF" w:sz="2" w:space="0"/>
              <w:right w:val="single" w:color="FFFFFF" w:sz="2" w:space="0"/>
              <w:bottom w:val="single" w:color="FFFFFF" w:sz="4" w:space="0"/>
            </w:tcBorders>
          </w:tcPr>
          <w:p>
            <w:pPr>
              <w:pStyle w:val="TableText"/>
              <w:rPr/>
            </w:pPr>
            <w:r/>
          </w:p>
        </w:tc>
        <w:tc>
          <w:tcPr>
            <w:tcW w:w="1393" w:type="dxa"/>
            <w:vAlign w:val="top"/>
            <w:tcBorders>
              <w:left w:val="single" w:color="FFFFFF" w:sz="2" w:space="0"/>
              <w:right w:val="single" w:color="FFFFFF" w:sz="2" w:space="0"/>
              <w:bottom w:val="single" w:color="FFFFFF" w:sz="4" w:space="0"/>
            </w:tcBorders>
          </w:tcPr>
          <w:p>
            <w:pPr>
              <w:pStyle w:val="TableText"/>
              <w:rPr/>
            </w:pPr>
            <w:r/>
          </w:p>
        </w:tc>
        <w:tc>
          <w:tcPr>
            <w:tcW w:w="1501" w:type="dxa"/>
            <w:vAlign w:val="top"/>
            <w:tcBorders>
              <w:left w:val="single" w:color="FFFFFF" w:sz="2" w:space="0"/>
              <w:right w:val="single" w:color="FFFFFF" w:sz="2" w:space="0"/>
              <w:bottom w:val="single" w:color="FFFFFF" w:sz="4" w:space="0"/>
            </w:tcBorders>
          </w:tcPr>
          <w:p>
            <w:pPr>
              <w:pStyle w:val="TableText"/>
              <w:rPr/>
            </w:pPr>
            <w:r/>
          </w:p>
        </w:tc>
        <w:tc>
          <w:tcPr>
            <w:tcW w:w="1658" w:type="dxa"/>
            <w:vAlign w:val="top"/>
            <w:tcBorders>
              <w:left w:val="single" w:color="FFFFFF" w:sz="2" w:space="0"/>
              <w:right w:val="single" w:color="FFFFFF" w:sz="2" w:space="0"/>
              <w:bottom w:val="single" w:color="FFFFFF" w:sz="4" w:space="0"/>
            </w:tcBorders>
          </w:tcPr>
          <w:p>
            <w:pPr>
              <w:pStyle w:val="TableText"/>
              <w:rPr/>
            </w:pPr>
            <w:r/>
          </w:p>
        </w:tc>
      </w:tr>
    </w:tbl>
    <w:p>
      <w:pPr>
        <w:rPr>
          <w:rFonts w:ascii="Arial"/>
          <w:sz w:val="21"/>
        </w:rPr>
      </w:pPr>
      <w:r/>
    </w:p>
    <w:p>
      <w:pPr>
        <w:sectPr>
          <w:footerReference w:type="default" r:id="rId17"/>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21"/>
        <w:gridCol w:w="1253"/>
        <w:gridCol w:w="1242"/>
        <w:gridCol w:w="659"/>
        <w:gridCol w:w="1134"/>
        <w:gridCol w:w="1101"/>
        <w:gridCol w:w="848"/>
      </w:tblGrid>
      <w:tr>
        <w:trPr>
          <w:trHeight w:val="384" w:hRule="atLeast"/>
        </w:trPr>
        <w:tc>
          <w:tcPr>
            <w:tcW w:w="29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4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65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49" w:type="dxa"/>
            <w:vAlign w:val="top"/>
            <w:gridSpan w:val="2"/>
            <w:tcBorders>
              <w:bottom w:val="single" w:color="FFFFFF" w:sz="4" w:space="0"/>
              <w:top w:val="single" w:color="FFFFFF" w:sz="4" w:space="0"/>
              <w:left w:val="single" w:color="FFFFFF" w:sz="2" w:space="0"/>
              <w:right w:val="single" w:color="FFFFFF" w:sz="2" w:space="0"/>
            </w:tcBorders>
          </w:tcPr>
          <w:p>
            <w:pPr>
              <w:ind w:left="114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8"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29"/>
            <w:bookmarkEnd w:id="29"/>
            <w:bookmarkStart w:name="bookmark16" w:id="30"/>
            <w:bookmarkEnd w:id="30"/>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8" w:hRule="atLeast"/>
        </w:trPr>
        <w:tc>
          <w:tcPr>
            <w:tcW w:w="7209" w:type="dxa"/>
            <w:vAlign w:val="top"/>
            <w:gridSpan w:val="5"/>
            <w:tcBorders>
              <w:top w:val="single" w:color="FFFFFF" w:sz="4" w:space="0"/>
              <w:left w:val="single" w:color="FFFFFF" w:sz="2" w:space="0"/>
              <w:right w:val="single" w:color="FFFFFF" w:sz="2" w:space="0"/>
            </w:tcBorders>
          </w:tcPr>
          <w:p>
            <w:pPr>
              <w:ind w:left="9"/>
              <w:spacing w:before="123" w:line="235"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949" w:type="dxa"/>
            <w:vAlign w:val="top"/>
            <w:gridSpan w:val="2"/>
            <w:tcBorders>
              <w:top w:val="single" w:color="FFFFFF" w:sz="4" w:space="0"/>
              <w:left w:val="single" w:color="FFFFFF" w:sz="2" w:space="0"/>
              <w:right w:val="single" w:color="FFFFFF" w:sz="2" w:space="0"/>
            </w:tcBorders>
          </w:tcPr>
          <w:p>
            <w:pPr>
              <w:ind w:left="1276"/>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2921" w:type="dxa"/>
            <w:vAlign w:val="top"/>
            <w:vMerge w:val="restart"/>
            <w:tcBorders>
              <w:bottom w:val="nil"/>
            </w:tcBorders>
          </w:tcPr>
          <w:p>
            <w:pPr>
              <w:pStyle w:val="TableText"/>
              <w:spacing w:line="324" w:lineRule="auto"/>
              <w:rPr/>
            </w:pPr>
            <w:r/>
          </w:p>
          <w:p>
            <w:pPr>
              <w:ind w:left="1126"/>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53" w:type="dxa"/>
            <w:vAlign w:val="top"/>
            <w:vMerge w:val="restart"/>
            <w:tcBorders>
              <w:bottom w:val="nil"/>
            </w:tcBorders>
          </w:tcPr>
          <w:p>
            <w:pPr>
              <w:pStyle w:val="TableText"/>
              <w:spacing w:line="324" w:lineRule="auto"/>
              <w:rPr/>
            </w:pPr>
            <w:r/>
          </w:p>
          <w:p>
            <w:pPr>
              <w:ind w:left="455"/>
              <w:spacing w:before="6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035" w:type="dxa"/>
            <w:vAlign w:val="top"/>
            <w:gridSpan w:val="3"/>
          </w:tcPr>
          <w:p>
            <w:pPr>
              <w:ind w:left="941"/>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101" w:type="dxa"/>
            <w:vAlign w:val="top"/>
            <w:vMerge w:val="restart"/>
            <w:tcBorders>
              <w:bottom w:val="nil"/>
            </w:tcBorders>
          </w:tcPr>
          <w:p>
            <w:pPr>
              <w:ind w:left="387" w:right="64" w:hanging="329"/>
              <w:spacing w:before="304"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48" w:type="dxa"/>
            <w:vAlign w:val="top"/>
            <w:vMerge w:val="restart"/>
            <w:tcBorders>
              <w:bottom w:val="nil"/>
            </w:tcBorders>
          </w:tcPr>
          <w:p>
            <w:pPr>
              <w:pStyle w:val="TableText"/>
              <w:spacing w:line="323" w:lineRule="auto"/>
              <w:rPr/>
            </w:pPr>
            <w:r/>
          </w:p>
          <w:p>
            <w:pPr>
              <w:ind w:left="8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551" w:hRule="atLeast"/>
        </w:trPr>
        <w:tc>
          <w:tcPr>
            <w:tcW w:w="2921" w:type="dxa"/>
            <w:vAlign w:val="top"/>
            <w:vMerge w:val="continue"/>
            <w:tcBorders>
              <w:top w:val="nil"/>
            </w:tcBorders>
          </w:tcPr>
          <w:p>
            <w:pPr>
              <w:pStyle w:val="TableText"/>
              <w:rPr/>
            </w:pPr>
            <w:r/>
          </w:p>
        </w:tc>
        <w:tc>
          <w:tcPr>
            <w:tcW w:w="1253" w:type="dxa"/>
            <w:vAlign w:val="top"/>
            <w:vMerge w:val="continue"/>
            <w:tcBorders>
              <w:top w:val="nil"/>
            </w:tcBorders>
          </w:tcPr>
          <w:p>
            <w:pPr>
              <w:pStyle w:val="TableText"/>
              <w:rPr/>
            </w:pPr>
            <w:r/>
          </w:p>
        </w:tc>
        <w:tc>
          <w:tcPr>
            <w:tcW w:w="1242" w:type="dxa"/>
            <w:vAlign w:val="top"/>
          </w:tcPr>
          <w:p>
            <w:pPr>
              <w:ind w:left="121"/>
              <w:spacing w:before="19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659" w:type="dxa"/>
            <w:vAlign w:val="top"/>
          </w:tcPr>
          <w:p>
            <w:pPr>
              <w:ind w:left="76"/>
              <w:spacing w:before="13"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政府性</w:t>
            </w:r>
          </w:p>
          <w:p>
            <w:pPr>
              <w:ind w:left="235" w:right="89" w:hanging="162"/>
              <w:spacing w:before="2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2"/>
              </w:rPr>
              <w:t>基金预</w:t>
            </w:r>
            <w:r>
              <w:rPr>
                <w:rFonts w:ascii="Microsoft YaHei" w:hAnsi="Microsoft YaHei" w:eastAsia="Microsoft YaHei" w:cs="Microsoft YaHei"/>
                <w:sz w:val="15"/>
                <w:szCs w:val="15"/>
                <w:color w:val="212529"/>
                <w:spacing w:val="10"/>
              </w:rPr>
              <w:t>算</w:t>
            </w:r>
          </w:p>
        </w:tc>
        <w:tc>
          <w:tcPr>
            <w:tcW w:w="1134" w:type="dxa"/>
            <w:vAlign w:val="top"/>
          </w:tcPr>
          <w:p>
            <w:pPr>
              <w:ind w:left="391" w:right="88" w:hanging="304"/>
              <w:spacing w:before="110"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c>
          <w:tcPr>
            <w:tcW w:w="1101" w:type="dxa"/>
            <w:vAlign w:val="top"/>
            <w:vMerge w:val="continue"/>
            <w:tcBorders>
              <w:top w:val="nil"/>
            </w:tcBorders>
          </w:tcPr>
          <w:p>
            <w:pPr>
              <w:pStyle w:val="TableText"/>
              <w:rPr/>
            </w:pPr>
            <w:r/>
          </w:p>
        </w:tc>
        <w:tc>
          <w:tcPr>
            <w:tcW w:w="848" w:type="dxa"/>
            <w:vAlign w:val="top"/>
            <w:vMerge w:val="continue"/>
            <w:tcBorders>
              <w:top w:val="nil"/>
            </w:tcBorders>
          </w:tcPr>
          <w:p>
            <w:pPr>
              <w:pStyle w:val="TableText"/>
              <w:rPr/>
            </w:pPr>
            <w:r/>
          </w:p>
        </w:tc>
      </w:tr>
      <w:tr>
        <w:trPr>
          <w:trHeight w:val="379" w:hRule="atLeast"/>
        </w:trPr>
        <w:tc>
          <w:tcPr>
            <w:tcW w:w="2921" w:type="dxa"/>
            <w:vAlign w:val="top"/>
          </w:tcPr>
          <w:p>
            <w:pPr>
              <w:ind w:left="1424"/>
              <w:spacing w:before="114"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53" w:type="dxa"/>
            <w:vAlign w:val="top"/>
          </w:tcPr>
          <w:p>
            <w:pPr>
              <w:ind w:left="578"/>
              <w:spacing w:before="114"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42" w:type="dxa"/>
            <w:vAlign w:val="top"/>
          </w:tcPr>
          <w:p>
            <w:pPr>
              <w:ind w:left="573"/>
              <w:spacing w:before="114"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659" w:type="dxa"/>
            <w:vAlign w:val="top"/>
          </w:tcPr>
          <w:p>
            <w:pPr>
              <w:ind w:left="280"/>
              <w:spacing w:before="114"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34" w:type="dxa"/>
            <w:vAlign w:val="top"/>
          </w:tcPr>
          <w:p>
            <w:pPr>
              <w:ind w:left="521"/>
              <w:spacing w:before="114"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101" w:type="dxa"/>
            <w:vAlign w:val="top"/>
          </w:tcPr>
          <w:p>
            <w:pPr>
              <w:ind w:left="505"/>
              <w:spacing w:before="114"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48" w:type="dxa"/>
            <w:vAlign w:val="top"/>
          </w:tcPr>
          <w:p>
            <w:pPr>
              <w:ind w:left="380"/>
              <w:spacing w:before="114"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921" w:type="dxa"/>
            <w:vAlign w:val="top"/>
          </w:tcPr>
          <w:p>
            <w:pPr>
              <w:ind w:left="172"/>
              <w:spacing w:before="114" w:line="230" w:lineRule="auto"/>
              <w:rPr>
                <w:rFonts w:ascii="SimSun" w:hAnsi="SimSun" w:eastAsia="SimSun" w:cs="SimSun"/>
                <w:sz w:val="15"/>
                <w:szCs w:val="15"/>
              </w:rPr>
            </w:pPr>
            <w:r>
              <w:rPr>
                <w:rFonts w:ascii="SimSun" w:hAnsi="SimSun" w:eastAsia="SimSun" w:cs="SimSun"/>
                <w:sz w:val="15"/>
                <w:szCs w:val="15"/>
                <w:color w:val="212529"/>
                <w:spacing w:val="10"/>
              </w:rPr>
              <w:t>兴县应急减灾中心</w:t>
            </w:r>
          </w:p>
        </w:tc>
        <w:tc>
          <w:tcPr>
            <w:tcW w:w="1253"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118.40</w:t>
            </w:r>
          </w:p>
        </w:tc>
        <w:tc>
          <w:tcPr>
            <w:tcW w:w="1242"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118.40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1"/>
              <w:spacing w:before="114" w:line="228" w:lineRule="auto"/>
              <w:rPr>
                <w:rFonts w:ascii="SimSun" w:hAnsi="SimSun" w:eastAsia="SimSun" w:cs="SimSun"/>
                <w:sz w:val="15"/>
                <w:szCs w:val="15"/>
              </w:rPr>
            </w:pPr>
            <w:r>
              <w:rPr>
                <w:rFonts w:ascii="SimSun" w:hAnsi="SimSun" w:eastAsia="SimSun" w:cs="SimSun"/>
                <w:sz w:val="15"/>
                <w:szCs w:val="15"/>
                <w:color w:val="212529"/>
                <w:spacing w:val="11"/>
              </w:rPr>
              <w:t>地震灾后损失预评估</w:t>
            </w:r>
          </w:p>
        </w:tc>
        <w:tc>
          <w:tcPr>
            <w:tcW w:w="1253"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242"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58"/>
              <w:spacing w:before="114" w:line="230" w:lineRule="auto"/>
              <w:rPr>
                <w:rFonts w:ascii="SimSun" w:hAnsi="SimSun" w:eastAsia="SimSun" w:cs="SimSun"/>
                <w:sz w:val="15"/>
                <w:szCs w:val="15"/>
              </w:rPr>
            </w:pPr>
            <w:r>
              <w:rPr>
                <w:rFonts w:ascii="SimSun" w:hAnsi="SimSun" w:eastAsia="SimSun" w:cs="SimSun"/>
                <w:sz w:val="15"/>
                <w:szCs w:val="15"/>
                <w:color w:val="212529"/>
                <w:spacing w:val="5"/>
              </w:rPr>
              <w:t>日常工作经费</w:t>
            </w:r>
          </w:p>
        </w:tc>
        <w:tc>
          <w:tcPr>
            <w:tcW w:w="1253"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1242"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1"/>
              <w:spacing w:before="114" w:line="229" w:lineRule="auto"/>
              <w:rPr>
                <w:rFonts w:ascii="SimSun" w:hAnsi="SimSun" w:eastAsia="SimSun" w:cs="SimSun"/>
                <w:sz w:val="15"/>
                <w:szCs w:val="15"/>
              </w:rPr>
            </w:pPr>
            <w:r>
              <w:rPr>
                <w:rFonts w:ascii="SimSun" w:hAnsi="SimSun" w:eastAsia="SimSun" w:cs="SimSun"/>
                <w:sz w:val="15"/>
                <w:szCs w:val="15"/>
                <w:color w:val="212529"/>
                <w:spacing w:val="11"/>
              </w:rPr>
              <w:t>应急救援设备维修维护费</w:t>
            </w:r>
          </w:p>
        </w:tc>
        <w:tc>
          <w:tcPr>
            <w:tcW w:w="1253"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42"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5" w:line="229" w:lineRule="auto"/>
              <w:rPr>
                <w:rFonts w:ascii="SimSun" w:hAnsi="SimSun" w:eastAsia="SimSun" w:cs="SimSun"/>
                <w:sz w:val="15"/>
                <w:szCs w:val="15"/>
              </w:rPr>
            </w:pPr>
            <w:r>
              <w:rPr>
                <w:rFonts w:ascii="SimSun" w:hAnsi="SimSun" w:eastAsia="SimSun" w:cs="SimSun"/>
                <w:sz w:val="15"/>
                <w:szCs w:val="15"/>
                <w:color w:val="212529"/>
                <w:spacing w:val="9"/>
              </w:rPr>
              <w:t>2024年应急救援物资库租赁费</w:t>
            </w:r>
          </w:p>
        </w:tc>
        <w:tc>
          <w:tcPr>
            <w:tcW w:w="1253" w:type="dxa"/>
            <w:vAlign w:val="top"/>
          </w:tcPr>
          <w:p>
            <w:pPr>
              <w:ind w:right="26"/>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242" w:type="dxa"/>
            <w:vAlign w:val="top"/>
          </w:tcPr>
          <w:p>
            <w:pPr>
              <w:ind w:right="21"/>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3"/>
              <w:spacing w:before="115" w:line="229" w:lineRule="auto"/>
              <w:rPr>
                <w:rFonts w:ascii="SimSun" w:hAnsi="SimSun" w:eastAsia="SimSun" w:cs="SimSun"/>
                <w:sz w:val="15"/>
                <w:szCs w:val="15"/>
              </w:rPr>
            </w:pPr>
            <w:r>
              <w:rPr>
                <w:rFonts w:ascii="SimSun" w:hAnsi="SimSun" w:eastAsia="SimSun" w:cs="SimSun"/>
                <w:sz w:val="15"/>
                <w:szCs w:val="15"/>
                <w:color w:val="212529"/>
                <w:spacing w:val="10"/>
              </w:rPr>
              <w:t>2024年地震监测专项业务工作经费</w:t>
            </w:r>
          </w:p>
        </w:tc>
        <w:tc>
          <w:tcPr>
            <w:tcW w:w="1253"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4.90</w:t>
            </w:r>
          </w:p>
        </w:tc>
        <w:tc>
          <w:tcPr>
            <w:tcW w:w="1242"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9" w:hRule="atLeast"/>
        </w:trPr>
        <w:tc>
          <w:tcPr>
            <w:tcW w:w="2921" w:type="dxa"/>
            <w:vAlign w:val="top"/>
          </w:tcPr>
          <w:p>
            <w:pPr>
              <w:ind w:left="331"/>
              <w:spacing w:before="115" w:line="229" w:lineRule="auto"/>
              <w:rPr>
                <w:rFonts w:ascii="SimSun" w:hAnsi="SimSun" w:eastAsia="SimSun" w:cs="SimSun"/>
                <w:sz w:val="15"/>
                <w:szCs w:val="15"/>
              </w:rPr>
            </w:pPr>
            <w:r>
              <w:rPr>
                <w:rFonts w:ascii="SimSun" w:hAnsi="SimSun" w:eastAsia="SimSun" w:cs="SimSun"/>
                <w:sz w:val="15"/>
                <w:szCs w:val="15"/>
                <w:color w:val="212529"/>
                <w:spacing w:val="11"/>
              </w:rPr>
              <w:t>磁扰动地震监测预报系统购置</w:t>
            </w:r>
          </w:p>
        </w:tc>
        <w:tc>
          <w:tcPr>
            <w:tcW w:w="1253"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1242"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8" w:hRule="atLeast"/>
        </w:trPr>
        <w:tc>
          <w:tcPr>
            <w:tcW w:w="2921" w:type="dxa"/>
            <w:vAlign w:val="top"/>
          </w:tcPr>
          <w:p>
            <w:pPr>
              <w:ind w:left="333"/>
              <w:spacing w:before="115" w:line="229" w:lineRule="auto"/>
              <w:rPr>
                <w:rFonts w:ascii="SimSun" w:hAnsi="SimSun" w:eastAsia="SimSun" w:cs="SimSun"/>
                <w:sz w:val="15"/>
                <w:szCs w:val="15"/>
              </w:rPr>
            </w:pPr>
            <w:r>
              <w:rPr>
                <w:rFonts w:ascii="SimSun" w:hAnsi="SimSun" w:eastAsia="SimSun" w:cs="SimSun"/>
                <w:sz w:val="15"/>
                <w:szCs w:val="15"/>
                <w:color w:val="212529"/>
                <w:spacing w:val="9"/>
              </w:rPr>
              <w:t>2025年应急救援物资库租赁费</w:t>
            </w:r>
          </w:p>
        </w:tc>
        <w:tc>
          <w:tcPr>
            <w:tcW w:w="1253"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42"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78" w:hRule="atLeast"/>
        </w:trPr>
        <w:tc>
          <w:tcPr>
            <w:tcW w:w="2921" w:type="dxa"/>
            <w:vAlign w:val="top"/>
          </w:tcPr>
          <w:p>
            <w:pPr>
              <w:ind w:left="331"/>
              <w:spacing w:before="116" w:line="229" w:lineRule="auto"/>
              <w:rPr>
                <w:rFonts w:ascii="SimSun" w:hAnsi="SimSun" w:eastAsia="SimSun" w:cs="SimSun"/>
                <w:sz w:val="15"/>
                <w:szCs w:val="15"/>
              </w:rPr>
            </w:pPr>
            <w:r>
              <w:rPr>
                <w:rFonts w:ascii="SimSun" w:hAnsi="SimSun" w:eastAsia="SimSun" w:cs="SimSun"/>
                <w:sz w:val="15"/>
                <w:szCs w:val="15"/>
                <w:color w:val="212529"/>
                <w:spacing w:val="11"/>
              </w:rPr>
              <w:t>应急救援设备维修维护费</w:t>
            </w:r>
          </w:p>
        </w:tc>
        <w:tc>
          <w:tcPr>
            <w:tcW w:w="1253"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42"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r>
        <w:trPr>
          <w:trHeight w:val="384" w:hRule="atLeast"/>
        </w:trPr>
        <w:tc>
          <w:tcPr>
            <w:tcW w:w="2921" w:type="dxa"/>
            <w:vAlign w:val="top"/>
          </w:tcPr>
          <w:p>
            <w:pPr>
              <w:ind w:left="358"/>
              <w:spacing w:before="117" w:line="230" w:lineRule="auto"/>
              <w:rPr>
                <w:rFonts w:ascii="SimSun" w:hAnsi="SimSun" w:eastAsia="SimSun" w:cs="SimSun"/>
                <w:sz w:val="15"/>
                <w:szCs w:val="15"/>
              </w:rPr>
            </w:pPr>
            <w:r>
              <w:rPr>
                <w:rFonts w:ascii="SimSun" w:hAnsi="SimSun" w:eastAsia="SimSun" w:cs="SimSun"/>
                <w:sz w:val="15"/>
                <w:szCs w:val="15"/>
                <w:color w:val="212529"/>
                <w:spacing w:val="5"/>
              </w:rPr>
              <w:t>日常工作经费</w:t>
            </w:r>
          </w:p>
        </w:tc>
        <w:tc>
          <w:tcPr>
            <w:tcW w:w="1253"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1242"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659" w:type="dxa"/>
            <w:vAlign w:val="top"/>
          </w:tcPr>
          <w:p>
            <w:pPr>
              <w:pStyle w:val="TableText"/>
              <w:rPr/>
            </w:pPr>
            <w:r/>
          </w:p>
        </w:tc>
        <w:tc>
          <w:tcPr>
            <w:tcW w:w="1134" w:type="dxa"/>
            <w:vAlign w:val="top"/>
          </w:tcPr>
          <w:p>
            <w:pPr>
              <w:pStyle w:val="TableText"/>
              <w:rPr/>
            </w:pPr>
            <w:r/>
          </w:p>
        </w:tc>
        <w:tc>
          <w:tcPr>
            <w:tcW w:w="1101" w:type="dxa"/>
            <w:vAlign w:val="top"/>
          </w:tcPr>
          <w:p>
            <w:pPr>
              <w:pStyle w:val="TableText"/>
              <w:rPr/>
            </w:pPr>
            <w:r/>
          </w:p>
        </w:tc>
        <w:tc>
          <w:tcPr>
            <w:tcW w:w="848" w:type="dxa"/>
            <w:vAlign w:val="top"/>
          </w:tcPr>
          <w:p>
            <w:pPr>
              <w:pStyle w:val="TableText"/>
              <w:rPr/>
            </w:pPr>
            <w:r/>
          </w:p>
        </w:tc>
      </w:tr>
    </w:tbl>
    <w:p>
      <w:pPr>
        <w:rPr>
          <w:rFonts w:ascii="Arial"/>
          <w:sz w:val="21"/>
        </w:rPr>
      </w:pPr>
      <w:r/>
    </w:p>
    <w:p>
      <w:pPr>
        <w:sectPr>
          <w:footerReference w:type="default" r:id="rId18"/>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142"/>
        <w:gridCol w:w="1155"/>
        <w:gridCol w:w="1285"/>
        <w:gridCol w:w="1242"/>
        <w:gridCol w:w="1334"/>
      </w:tblGrid>
      <w:tr>
        <w:trPr>
          <w:trHeight w:val="383" w:hRule="atLeast"/>
        </w:trPr>
        <w:tc>
          <w:tcPr>
            <w:tcW w:w="41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34" w:type="dxa"/>
            <w:vAlign w:val="top"/>
            <w:tcBorders>
              <w:left w:val="single" w:color="FFFFFF" w:sz="2" w:space="0"/>
              <w:right w:val="single" w:color="FFFFFF" w:sz="2" w:space="0"/>
              <w:bottom w:val="single" w:color="FFFFFF" w:sz="4" w:space="0"/>
              <w:top w:val="single" w:color="FFFFFF" w:sz="4" w:space="0"/>
            </w:tcBorders>
          </w:tcPr>
          <w:p>
            <w:pPr>
              <w:ind w:left="531"/>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17" w:id="31"/>
            <w:bookmarkEnd w:id="31"/>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824" w:type="dxa"/>
            <w:vAlign w:val="top"/>
            <w:gridSpan w:val="4"/>
            <w:tcBorders>
              <w:left w:val="single" w:color="FFFFFF" w:sz="2" w:space="0"/>
              <w:right w:val="single" w:color="FFFFFF" w:sz="2" w:space="0"/>
              <w:top w:val="single" w:color="FFFFFF" w:sz="4" w:space="0"/>
            </w:tcBorders>
          </w:tcPr>
          <w:p>
            <w:pPr>
              <w:ind w:left="9"/>
              <w:spacing w:before="124" w:line="235" w:lineRule="auto"/>
              <w:rPr>
                <w:rFonts w:ascii="SimSun" w:hAnsi="SimSun" w:eastAsia="SimSun" w:cs="SimSun"/>
                <w:sz w:val="12"/>
                <w:szCs w:val="12"/>
              </w:rPr>
            </w:pPr>
            <w:r>
              <w:rPr>
                <w:rFonts w:ascii="SimSun" w:hAnsi="SimSun" w:eastAsia="SimSun" w:cs="SimSun"/>
                <w:sz w:val="12"/>
                <w:szCs w:val="12"/>
                <w:color w:val="212529"/>
                <w:spacing w:val="9"/>
              </w:rPr>
              <w:t>单位名称：兴县应急减灾中心</w:t>
            </w:r>
          </w:p>
        </w:tc>
        <w:tc>
          <w:tcPr>
            <w:tcW w:w="1334" w:type="dxa"/>
            <w:vAlign w:val="top"/>
            <w:tcBorders>
              <w:left w:val="single" w:color="FFFFFF" w:sz="2" w:space="0"/>
              <w:right w:val="single" w:color="FFFFFF" w:sz="2" w:space="0"/>
              <w:top w:val="single" w:color="FFFFFF" w:sz="4" w:space="0"/>
            </w:tcBorders>
          </w:tcPr>
          <w:p>
            <w:pPr>
              <w:ind w:left="6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4142" w:type="dxa"/>
            <w:vAlign w:val="top"/>
            <w:vMerge w:val="restart"/>
            <w:tcBorders>
              <w:bottom w:val="nil"/>
            </w:tcBorders>
          </w:tcPr>
          <w:p>
            <w:pPr>
              <w:ind w:left="1735"/>
              <w:spacing w:before="30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155" w:type="dxa"/>
            <w:vAlign w:val="top"/>
            <w:vMerge w:val="restart"/>
            <w:tcBorders>
              <w:bottom w:val="nil"/>
            </w:tcBorders>
          </w:tcPr>
          <w:p>
            <w:pPr>
              <w:ind w:left="408"/>
              <w:spacing w:before="30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861" w:type="dxa"/>
            <w:vAlign w:val="top"/>
            <w:gridSpan w:val="3"/>
          </w:tcPr>
          <w:p>
            <w:pPr>
              <w:ind w:left="135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4142" w:type="dxa"/>
            <w:vAlign w:val="top"/>
            <w:vMerge w:val="continue"/>
            <w:tcBorders>
              <w:top w:val="nil"/>
            </w:tcBorders>
          </w:tcPr>
          <w:p>
            <w:pPr>
              <w:pStyle w:val="TableText"/>
              <w:rPr/>
            </w:pPr>
            <w:r/>
          </w:p>
        </w:tc>
        <w:tc>
          <w:tcPr>
            <w:tcW w:w="1155" w:type="dxa"/>
            <w:vAlign w:val="top"/>
            <w:vMerge w:val="continue"/>
            <w:tcBorders>
              <w:top w:val="nil"/>
            </w:tcBorders>
          </w:tcPr>
          <w:p>
            <w:pPr>
              <w:pStyle w:val="TableText"/>
              <w:rPr/>
            </w:pPr>
            <w:r/>
          </w:p>
        </w:tc>
        <w:tc>
          <w:tcPr>
            <w:tcW w:w="1285" w:type="dxa"/>
            <w:vAlign w:val="top"/>
          </w:tcPr>
          <w:p>
            <w:pPr>
              <w:ind w:left="147"/>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242" w:type="dxa"/>
            <w:vAlign w:val="top"/>
          </w:tcPr>
          <w:p>
            <w:pPr>
              <w:ind w:left="446" w:right="220" w:hanging="240"/>
              <w:spacing w:before="2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政府性基金</w:t>
            </w:r>
            <w:r>
              <w:rPr>
                <w:rFonts w:ascii="Microsoft YaHei" w:hAnsi="Microsoft YaHei" w:eastAsia="Microsoft YaHei" w:cs="Microsoft YaHei"/>
                <w:sz w:val="15"/>
                <w:szCs w:val="15"/>
                <w:color w:val="212529"/>
                <w:spacing w:val="11"/>
              </w:rPr>
              <w:t>预算</w:t>
            </w:r>
          </w:p>
        </w:tc>
        <w:tc>
          <w:tcPr>
            <w:tcW w:w="1334" w:type="dxa"/>
            <w:vAlign w:val="top"/>
          </w:tcPr>
          <w:p>
            <w:pPr>
              <w:ind w:left="348"/>
              <w:spacing w:before="2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332"/>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4142" w:type="dxa"/>
            <w:vAlign w:val="top"/>
          </w:tcPr>
          <w:p>
            <w:pPr>
              <w:ind w:left="2033"/>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155" w:type="dxa"/>
            <w:vAlign w:val="top"/>
          </w:tcPr>
          <w:p>
            <w:pPr>
              <w:ind w:left="532"/>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85" w:type="dxa"/>
            <w:vAlign w:val="top"/>
          </w:tcPr>
          <w:p>
            <w:pPr>
              <w:ind w:left="599"/>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242" w:type="dxa"/>
            <w:vAlign w:val="top"/>
          </w:tcPr>
          <w:p>
            <w:pPr>
              <w:ind w:left="572"/>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334" w:type="dxa"/>
            <w:vAlign w:val="top"/>
          </w:tcPr>
          <w:p>
            <w:pPr>
              <w:ind w:left="620"/>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4142" w:type="dxa"/>
            <w:vAlign w:val="top"/>
          </w:tcPr>
          <w:p>
            <w:pPr>
              <w:pStyle w:val="TableText"/>
              <w:rPr/>
            </w:pPr>
            <w:r/>
          </w:p>
        </w:tc>
        <w:tc>
          <w:tcPr>
            <w:tcW w:w="1155" w:type="dxa"/>
            <w:vAlign w:val="top"/>
          </w:tcPr>
          <w:p>
            <w:pPr>
              <w:pStyle w:val="TableText"/>
              <w:rPr/>
            </w:pPr>
            <w:r/>
          </w:p>
        </w:tc>
        <w:tc>
          <w:tcPr>
            <w:tcW w:w="1285" w:type="dxa"/>
            <w:vAlign w:val="top"/>
          </w:tcPr>
          <w:p>
            <w:pPr>
              <w:pStyle w:val="TableText"/>
              <w:rPr/>
            </w:pPr>
            <w:r/>
          </w:p>
        </w:tc>
        <w:tc>
          <w:tcPr>
            <w:tcW w:w="1242" w:type="dxa"/>
            <w:vAlign w:val="top"/>
          </w:tcPr>
          <w:p>
            <w:pPr>
              <w:pStyle w:val="TableText"/>
              <w:rPr/>
            </w:pPr>
            <w:r/>
          </w:p>
        </w:tc>
        <w:tc>
          <w:tcPr>
            <w:tcW w:w="1334" w:type="dxa"/>
            <w:vAlign w:val="top"/>
          </w:tcPr>
          <w:p>
            <w:pPr>
              <w:pStyle w:val="TableText"/>
              <w:rPr/>
            </w:pPr>
            <w:r/>
          </w:p>
        </w:tc>
      </w:tr>
      <w:tr>
        <w:trPr>
          <w:trHeight w:val="383" w:hRule="atLeast"/>
        </w:trPr>
        <w:tc>
          <w:tcPr>
            <w:tcW w:w="4142" w:type="dxa"/>
            <w:vAlign w:val="top"/>
            <w:tcBorders>
              <w:left w:val="single" w:color="FFFFFF" w:sz="4" w:space="0"/>
              <w:bottom w:val="single" w:color="FFFFFF" w:sz="4" w:space="0"/>
              <w:right w:val="single" w:color="000000" w:sz="2"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155" w:type="dxa"/>
            <w:vAlign w:val="top"/>
            <w:tcBorders>
              <w:left w:val="single" w:color="FFFFFF" w:sz="2" w:space="0"/>
              <w:right w:val="single" w:color="FFFFFF" w:sz="2" w:space="0"/>
              <w:bottom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cBorders>
          </w:tcPr>
          <w:p>
            <w:pPr>
              <w:pStyle w:val="TableText"/>
              <w:rPr/>
            </w:pPr>
            <w:r/>
          </w:p>
        </w:tc>
        <w:tc>
          <w:tcPr>
            <w:tcW w:w="1334" w:type="dxa"/>
            <w:vAlign w:val="top"/>
            <w:tcBorders>
              <w:left w:val="single" w:color="FFFFFF" w:sz="2" w:space="0"/>
              <w:right w:val="single" w:color="FFFFFF" w:sz="2" w:space="0"/>
              <w:bottom w:val="single" w:color="FFFFFF" w:sz="4" w:space="0"/>
            </w:tcBorders>
          </w:tcPr>
          <w:p>
            <w:pPr>
              <w:pStyle w:val="TableText"/>
              <w:rPr/>
            </w:pPr>
            <w:r/>
          </w:p>
        </w:tc>
      </w:tr>
    </w:tbl>
    <w:p>
      <w:pPr>
        <w:rPr>
          <w:rFonts w:ascii="Arial"/>
          <w:sz w:val="21"/>
        </w:rPr>
      </w:pPr>
      <w:r/>
    </w:p>
    <w:p>
      <w:pPr>
        <w:sectPr>
          <w:footerReference w:type="default" r:id="rId19"/>
          <w:pgSz w:w="11900" w:h="16840"/>
          <w:pgMar w:top="642" w:right="600" w:bottom="340" w:left="600" w:header="326" w:footer="111" w:gutter="0"/>
        </w:sectPr>
        <w:rPr>
          <w:rFonts w:ascii="Arial" w:hAnsi="Arial" w:eastAsia="Arial" w:cs="Arial"/>
          <w:sz w:val="21"/>
          <w:szCs w:val="21"/>
        </w:rPr>
      </w:pPr>
    </w:p>
    <w:p>
      <w:pPr>
        <w:spacing w:line="334" w:lineRule="auto"/>
        <w:rPr>
          <w:rFonts w:ascii="Arial"/>
          <w:sz w:val="21"/>
        </w:rPr>
      </w:pPr>
      <w:r/>
    </w:p>
    <w:p>
      <w:pPr>
        <w:spacing w:line="335" w:lineRule="auto"/>
        <w:rPr>
          <w:rFonts w:ascii="Arial"/>
          <w:sz w:val="21"/>
        </w:rPr>
      </w:pPr>
      <w:r/>
    </w:p>
    <w:p>
      <w:pPr>
        <w:ind w:left="3464"/>
        <w:spacing w:before="94" w:line="230" w:lineRule="exact"/>
        <w:outlineLvl w:val="0"/>
        <w:rPr>
          <w:rFonts w:ascii="Microsoft YaHei" w:hAnsi="Microsoft YaHei" w:eastAsia="Microsoft YaHei" w:cs="Microsoft YaHei"/>
          <w:sz w:val="22"/>
          <w:szCs w:val="22"/>
        </w:rPr>
      </w:pPr>
      <w:bookmarkStart w:name="bookmark18" w:id="32"/>
      <w:bookmarkEnd w:id="32"/>
      <w:r>
        <w:rPr>
          <w:rFonts w:ascii="Microsoft YaHei" w:hAnsi="Microsoft YaHei" w:eastAsia="Microsoft YaHei" w:cs="Microsoft YaHei"/>
          <w:sz w:val="22"/>
          <w:szCs w:val="22"/>
          <w:spacing w:val="4"/>
          <w:position w:val="-1"/>
        </w:rPr>
        <w:t>第三部分</w:t>
      </w:r>
      <w:r>
        <w:rPr>
          <w:rFonts w:ascii="Microsoft YaHei" w:hAnsi="Microsoft YaHei" w:eastAsia="Microsoft YaHei" w:cs="Microsoft YaHei"/>
          <w:sz w:val="22"/>
          <w:szCs w:val="22"/>
          <w:spacing w:val="53"/>
          <w:position w:val="-1"/>
        </w:rPr>
        <w:t xml:space="preserve"> </w:t>
      </w:r>
      <w:r>
        <w:rPr>
          <w:rFonts w:ascii="Microsoft YaHei" w:hAnsi="Microsoft YaHei" w:eastAsia="Microsoft YaHei" w:cs="Microsoft YaHei"/>
          <w:sz w:val="22"/>
          <w:szCs w:val="22"/>
          <w:spacing w:val="4"/>
          <w:position w:val="-1"/>
        </w:rPr>
        <w:t>2025年度单位预算情况说明</w:t>
      </w:r>
    </w:p>
    <w:p>
      <w:pPr>
        <w:ind w:left="661"/>
        <w:spacing w:before="299" w:line="229" w:lineRule="exact"/>
        <w:outlineLvl w:val="1"/>
        <w:rPr>
          <w:rFonts w:ascii="Microsoft YaHei" w:hAnsi="Microsoft YaHei" w:eastAsia="Microsoft YaHei" w:cs="Microsoft YaHei"/>
          <w:sz w:val="22"/>
          <w:szCs w:val="22"/>
        </w:rPr>
      </w:pPr>
      <w:bookmarkStart w:name="bookmark19" w:id="33"/>
      <w:bookmarkEnd w:id="33"/>
      <w:r>
        <w:rPr>
          <w:rFonts w:ascii="Microsoft YaHei" w:hAnsi="Microsoft YaHei" w:eastAsia="Microsoft YaHei" w:cs="Microsoft YaHei"/>
          <w:sz w:val="22"/>
          <w:szCs w:val="22"/>
          <w:spacing w:val="9"/>
          <w:position w:val="-1"/>
        </w:rPr>
        <w:t>一、单位预算收支数据变动情况及原因</w:t>
      </w:r>
    </w:p>
    <w:p>
      <w:pPr>
        <w:ind w:left="655" w:right="623" w:firstLine="464"/>
        <w:spacing w:before="188" w:line="323" w:lineRule="auto"/>
        <w:jc w:val="both"/>
        <w:rPr>
          <w:rFonts w:ascii="FangSong" w:hAnsi="FangSong" w:eastAsia="FangSong" w:cs="FangSong"/>
          <w:sz w:val="23"/>
          <w:szCs w:val="23"/>
        </w:rPr>
      </w:pPr>
      <w:r>
        <w:rPr>
          <w:rFonts w:ascii="FangSong" w:hAnsi="FangSong" w:eastAsia="FangSong" w:cs="FangSong"/>
          <w:sz w:val="23"/>
          <w:szCs w:val="23"/>
          <w:spacing w:val="5"/>
        </w:rPr>
        <w:t>2025年度兴县应急减灾中心预算收入总计349.18万元，其</w:t>
      </w:r>
      <w:r>
        <w:rPr>
          <w:rFonts w:ascii="FangSong" w:hAnsi="FangSong" w:eastAsia="FangSong" w:cs="FangSong"/>
          <w:sz w:val="23"/>
          <w:szCs w:val="23"/>
          <w:spacing w:val="4"/>
        </w:rPr>
        <w:t>中：本年收入349.18万元，上</w:t>
      </w:r>
      <w:r>
        <w:rPr>
          <w:rFonts w:ascii="FangSong" w:hAnsi="FangSong" w:eastAsia="FangSong" w:cs="FangSong"/>
          <w:sz w:val="23"/>
          <w:szCs w:val="23"/>
          <w:spacing w:val="4"/>
        </w:rPr>
        <w:t>年结转0万元，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比上年增加114.79万元，增长48.97%，主</w:t>
      </w:r>
      <w:r>
        <w:rPr>
          <w:rFonts w:ascii="FangSong" w:hAnsi="FangSong" w:eastAsia="FangSong" w:cs="FangSong"/>
          <w:sz w:val="23"/>
          <w:szCs w:val="23"/>
          <w:spacing w:val="3"/>
        </w:rPr>
        <w:t>要原因是1、人员工资调整，基本支</w:t>
      </w:r>
      <w:r>
        <w:rPr>
          <w:rFonts w:ascii="FangSong" w:hAnsi="FangSong" w:eastAsia="FangSong" w:cs="FangSong"/>
          <w:sz w:val="23"/>
          <w:szCs w:val="23"/>
          <w:spacing w:val="5"/>
        </w:rPr>
        <w:t>出增加20.49万元；2、因工作需要，项目支出增加94</w:t>
      </w:r>
      <w:r>
        <w:rPr>
          <w:rFonts w:ascii="FangSong" w:hAnsi="FangSong" w:eastAsia="FangSong" w:cs="FangSong"/>
          <w:sz w:val="23"/>
          <w:szCs w:val="23"/>
          <w:spacing w:val="4"/>
        </w:rPr>
        <w:t>.3万元；本年单位预算支出总计349.18</w:t>
      </w:r>
      <w:r>
        <w:rPr>
          <w:rFonts w:ascii="FangSong" w:hAnsi="FangSong" w:eastAsia="FangSong" w:cs="FangSong"/>
          <w:sz w:val="23"/>
          <w:szCs w:val="23"/>
          <w:spacing w:val="6"/>
        </w:rPr>
        <w:t>万元</w:t>
      </w:r>
      <w:r>
        <w:rPr>
          <w:rFonts w:ascii="FangSong" w:hAnsi="FangSong" w:eastAsia="FangSong" w:cs="FangSong"/>
          <w:sz w:val="23"/>
          <w:szCs w:val="23"/>
          <w:spacing w:val="-67"/>
        </w:rPr>
        <w:t xml:space="preserve"> </w:t>
      </w:r>
      <w:r>
        <w:rPr>
          <w:rFonts w:ascii="FangSong" w:hAnsi="FangSong" w:eastAsia="FangSong" w:cs="FangSong"/>
          <w:sz w:val="23"/>
          <w:szCs w:val="23"/>
          <w:spacing w:val="6"/>
        </w:rPr>
        <w:t>，其中：</w:t>
      </w:r>
      <w:r>
        <w:rPr>
          <w:rFonts w:ascii="FangSong" w:hAnsi="FangSong" w:eastAsia="FangSong" w:cs="FangSong"/>
          <w:sz w:val="23"/>
          <w:szCs w:val="23"/>
          <w:spacing w:val="-66"/>
        </w:rPr>
        <w:t xml:space="preserve"> </w:t>
      </w:r>
      <w:r>
        <w:rPr>
          <w:rFonts w:ascii="FangSong" w:hAnsi="FangSong" w:eastAsia="FangSong" w:cs="FangSong"/>
          <w:sz w:val="23"/>
          <w:szCs w:val="23"/>
          <w:spacing w:val="6"/>
        </w:rPr>
        <w:t>本年预算安排349.18万元</w:t>
      </w:r>
      <w:r>
        <w:rPr>
          <w:rFonts w:ascii="FangSong" w:hAnsi="FangSong" w:eastAsia="FangSong" w:cs="FangSong"/>
          <w:sz w:val="23"/>
          <w:szCs w:val="23"/>
          <w:spacing w:val="-68"/>
        </w:rPr>
        <w:t xml:space="preserve"> </w:t>
      </w:r>
      <w:r>
        <w:rPr>
          <w:rFonts w:ascii="FangSong" w:hAnsi="FangSong" w:eastAsia="FangSong" w:cs="FangSong"/>
          <w:sz w:val="23"/>
          <w:szCs w:val="23"/>
          <w:spacing w:val="6"/>
        </w:rPr>
        <w:t>，上年结转0万元</w:t>
      </w:r>
      <w:r>
        <w:rPr>
          <w:rFonts w:ascii="FangSong" w:hAnsi="FangSong" w:eastAsia="FangSong" w:cs="FangSong"/>
          <w:sz w:val="23"/>
          <w:szCs w:val="23"/>
          <w:spacing w:val="-67"/>
        </w:rPr>
        <w:t xml:space="preserve"> </w:t>
      </w:r>
      <w:r>
        <w:rPr>
          <w:rFonts w:ascii="FangSong" w:hAnsi="FangSong" w:eastAsia="FangSong" w:cs="FangSong"/>
          <w:sz w:val="23"/>
          <w:szCs w:val="23"/>
          <w:spacing w:val="6"/>
        </w:rPr>
        <w:t>，</w:t>
      </w:r>
      <w:r>
        <w:rPr>
          <w:rFonts w:ascii="FangSong" w:hAnsi="FangSong" w:eastAsia="FangSong" w:cs="FangSong"/>
          <w:sz w:val="23"/>
          <w:szCs w:val="23"/>
          <w:spacing w:val="-57"/>
        </w:rPr>
        <w:t xml:space="preserve"> </w:t>
      </w:r>
      <w:r>
        <w:rPr>
          <w:rFonts w:ascii="FangSong" w:hAnsi="FangSong" w:eastAsia="FangSong" w:cs="FangSong"/>
          <w:sz w:val="23"/>
          <w:szCs w:val="23"/>
          <w:spacing w:val="6"/>
        </w:rPr>
        <w:t>比上年增加114.79万</w:t>
      </w:r>
      <w:r>
        <w:rPr>
          <w:rFonts w:ascii="FangSong" w:hAnsi="FangSong" w:eastAsia="FangSong" w:cs="FangSong"/>
          <w:sz w:val="23"/>
          <w:szCs w:val="23"/>
          <w:spacing w:val="5"/>
        </w:rPr>
        <w:t>元</w:t>
      </w:r>
      <w:r>
        <w:rPr>
          <w:rFonts w:ascii="FangSong" w:hAnsi="FangSong" w:eastAsia="FangSong" w:cs="FangSong"/>
          <w:sz w:val="23"/>
          <w:szCs w:val="23"/>
          <w:spacing w:val="-67"/>
        </w:rPr>
        <w:t xml:space="preserve"> </w:t>
      </w:r>
      <w:r>
        <w:rPr>
          <w:rFonts w:ascii="FangSong" w:hAnsi="FangSong" w:eastAsia="FangSong" w:cs="FangSong"/>
          <w:sz w:val="23"/>
          <w:szCs w:val="23"/>
          <w:spacing w:val="5"/>
        </w:rPr>
        <w:t>，增长</w:t>
      </w:r>
      <w:r>
        <w:rPr>
          <w:rFonts w:ascii="FangSong" w:hAnsi="FangSong" w:eastAsia="FangSong" w:cs="FangSong"/>
          <w:sz w:val="23"/>
          <w:szCs w:val="23"/>
          <w:spacing w:val="2"/>
        </w:rPr>
        <w:t>48.97%，主要原因是1、人员工资调整，基本支出增加20.49万元；2、因工作需要，项目支出</w:t>
      </w:r>
      <w:r>
        <w:rPr>
          <w:rFonts w:ascii="FangSong" w:hAnsi="FangSong" w:eastAsia="FangSong" w:cs="FangSong"/>
          <w:sz w:val="23"/>
          <w:szCs w:val="23"/>
          <w:spacing w:val="-1"/>
        </w:rPr>
        <w:t>增加94.3万元。</w:t>
      </w:r>
    </w:p>
    <w:p>
      <w:pPr>
        <w:ind w:left="661"/>
        <w:spacing w:before="1" w:line="230" w:lineRule="exact"/>
        <w:outlineLvl w:val="1"/>
        <w:rPr>
          <w:rFonts w:ascii="Microsoft YaHei" w:hAnsi="Microsoft YaHei" w:eastAsia="Microsoft YaHei" w:cs="Microsoft YaHei"/>
          <w:sz w:val="22"/>
          <w:szCs w:val="22"/>
        </w:rPr>
      </w:pPr>
      <w:bookmarkStart w:name="bookmark20" w:id="34"/>
      <w:bookmarkEnd w:id="34"/>
      <w:r>
        <w:rPr>
          <w:rFonts w:ascii="Microsoft YaHei" w:hAnsi="Microsoft YaHei" w:eastAsia="Microsoft YaHei" w:cs="Microsoft YaHei"/>
          <w:sz w:val="22"/>
          <w:szCs w:val="22"/>
          <w:spacing w:val="8"/>
          <w:position w:val="-1"/>
        </w:rPr>
        <w:t>二、收入预算情况说明</w:t>
      </w:r>
    </w:p>
    <w:p>
      <w:pPr>
        <w:ind w:left="661" w:right="623" w:firstLine="459"/>
        <w:spacing w:before="171" w:line="326" w:lineRule="auto"/>
        <w:jc w:val="both"/>
        <w:rPr>
          <w:rFonts w:ascii="FangSong" w:hAnsi="FangSong" w:eastAsia="FangSong" w:cs="FangSong"/>
          <w:sz w:val="23"/>
          <w:szCs w:val="23"/>
        </w:rPr>
      </w:pPr>
      <w:r>
        <w:rPr>
          <w:rFonts w:ascii="FangSong" w:hAnsi="FangSong" w:eastAsia="FangSong" w:cs="FangSong"/>
          <w:sz w:val="23"/>
          <w:szCs w:val="23"/>
          <w:spacing w:val="15"/>
        </w:rPr>
        <w:t>2025年度兴县应急减灾中心预算收入349.18万元</w:t>
      </w:r>
      <w:r>
        <w:rPr>
          <w:rFonts w:ascii="FangSong" w:hAnsi="FangSong" w:eastAsia="FangSong" w:cs="FangSong"/>
          <w:sz w:val="23"/>
          <w:szCs w:val="23"/>
          <w:spacing w:val="-56"/>
        </w:rPr>
        <w:t xml:space="preserve"> </w:t>
      </w:r>
      <w:r>
        <w:rPr>
          <w:rFonts w:ascii="FangSong" w:hAnsi="FangSong" w:eastAsia="FangSong" w:cs="FangSong"/>
          <w:sz w:val="23"/>
          <w:szCs w:val="23"/>
          <w:spacing w:val="15"/>
        </w:rPr>
        <w:t>，主要包括一般公共预算拨款收入</w:t>
      </w:r>
      <w:r>
        <w:rPr>
          <w:rFonts w:ascii="FangSong" w:hAnsi="FangSong" w:eastAsia="FangSong" w:cs="FangSong"/>
          <w:sz w:val="23"/>
          <w:szCs w:val="23"/>
          <w:spacing w:val="1"/>
        </w:rPr>
        <w:t>349.18万元，</w:t>
      </w:r>
      <w:r>
        <w:rPr>
          <w:rFonts w:ascii="FangSong" w:hAnsi="FangSong" w:eastAsia="FangSong" w:cs="FangSong"/>
          <w:sz w:val="23"/>
          <w:szCs w:val="23"/>
          <w:spacing w:val="-53"/>
        </w:rPr>
        <w:t xml:space="preserve"> </w:t>
      </w:r>
      <w:r>
        <w:rPr>
          <w:rFonts w:ascii="FangSong" w:hAnsi="FangSong" w:eastAsia="FangSong" w:cs="FangSong"/>
          <w:sz w:val="23"/>
          <w:szCs w:val="23"/>
          <w:spacing w:val="1"/>
        </w:rPr>
        <w:t>占100.00%；政府性基金预算拨款收入0万元，</w:t>
      </w:r>
      <w:r>
        <w:rPr>
          <w:rFonts w:ascii="FangSong" w:hAnsi="FangSong" w:eastAsia="FangSong" w:cs="FangSong"/>
          <w:sz w:val="23"/>
          <w:szCs w:val="23"/>
          <w:spacing w:val="-54"/>
        </w:rPr>
        <w:t xml:space="preserve"> </w:t>
      </w:r>
      <w:r>
        <w:rPr>
          <w:rFonts w:ascii="FangSong" w:hAnsi="FangSong" w:eastAsia="FangSong" w:cs="FangSong"/>
          <w:sz w:val="23"/>
          <w:szCs w:val="23"/>
          <w:spacing w:val="1"/>
        </w:rPr>
        <w:t>占0%；</w:t>
      </w:r>
      <w:r>
        <w:rPr>
          <w:rFonts w:ascii="FangSong" w:hAnsi="FangSong" w:eastAsia="FangSong" w:cs="FangSong"/>
          <w:sz w:val="23"/>
          <w:szCs w:val="23"/>
          <w:spacing w:val="-66"/>
        </w:rPr>
        <w:t xml:space="preserve"> </w:t>
      </w:r>
      <w:r>
        <w:rPr>
          <w:rFonts w:ascii="FangSong" w:hAnsi="FangSong" w:eastAsia="FangSong" w:cs="FangSong"/>
          <w:sz w:val="23"/>
          <w:szCs w:val="23"/>
          <w:spacing w:val="1"/>
        </w:rPr>
        <w:t>国有资本经</w:t>
      </w:r>
      <w:r>
        <w:rPr>
          <w:rFonts w:ascii="FangSong" w:hAnsi="FangSong" w:eastAsia="FangSong" w:cs="FangSong"/>
          <w:sz w:val="23"/>
          <w:szCs w:val="23"/>
        </w:rPr>
        <w:t>营预算拨款收</w:t>
      </w:r>
      <w:r>
        <w:rPr>
          <w:rFonts w:ascii="FangSong" w:hAnsi="FangSong" w:eastAsia="FangSong" w:cs="FangSong"/>
          <w:sz w:val="23"/>
          <w:szCs w:val="23"/>
          <w:spacing w:val="1"/>
        </w:rPr>
        <w:t>入0万元，</w:t>
      </w:r>
      <w:r>
        <w:rPr>
          <w:rFonts w:ascii="FangSong" w:hAnsi="FangSong" w:eastAsia="FangSong" w:cs="FangSong"/>
          <w:sz w:val="23"/>
          <w:szCs w:val="23"/>
          <w:spacing w:val="-54"/>
        </w:rPr>
        <w:t xml:space="preserve"> </w:t>
      </w:r>
      <w:r>
        <w:rPr>
          <w:rFonts w:ascii="FangSong" w:hAnsi="FangSong" w:eastAsia="FangSong" w:cs="FangSong"/>
          <w:sz w:val="23"/>
          <w:szCs w:val="23"/>
          <w:spacing w:val="1"/>
        </w:rPr>
        <w:t>占0%；财政专户管理资金收入0万元，</w:t>
      </w:r>
      <w:r>
        <w:rPr>
          <w:rFonts w:ascii="FangSong" w:hAnsi="FangSong" w:eastAsia="FangSong" w:cs="FangSong"/>
          <w:sz w:val="23"/>
          <w:szCs w:val="23"/>
          <w:spacing w:val="-54"/>
        </w:rPr>
        <w:t xml:space="preserve"> </w:t>
      </w:r>
      <w:r>
        <w:rPr>
          <w:rFonts w:ascii="FangSong" w:hAnsi="FangSong" w:eastAsia="FangSong" w:cs="FangSong"/>
          <w:sz w:val="23"/>
          <w:szCs w:val="23"/>
          <w:spacing w:val="1"/>
        </w:rPr>
        <w:t>占0%；单位资金</w:t>
      </w:r>
      <w:r>
        <w:rPr>
          <w:rFonts w:ascii="FangSong" w:hAnsi="FangSong" w:eastAsia="FangSong" w:cs="FangSong"/>
          <w:sz w:val="23"/>
          <w:szCs w:val="23"/>
        </w:rPr>
        <w:t>0万元，</w:t>
      </w:r>
      <w:r>
        <w:rPr>
          <w:rFonts w:ascii="FangSong" w:hAnsi="FangSong" w:eastAsia="FangSong" w:cs="FangSong"/>
          <w:sz w:val="23"/>
          <w:szCs w:val="23"/>
          <w:spacing w:val="-55"/>
        </w:rPr>
        <w:t xml:space="preserve"> </w:t>
      </w:r>
      <w:r>
        <w:rPr>
          <w:rFonts w:ascii="FangSong" w:hAnsi="FangSong" w:eastAsia="FangSong" w:cs="FangSong"/>
          <w:sz w:val="23"/>
          <w:szCs w:val="23"/>
        </w:rPr>
        <w:t>占0%；上年结转0万</w:t>
      </w:r>
      <w:r>
        <w:rPr>
          <w:rFonts w:ascii="FangSong" w:hAnsi="FangSong" w:eastAsia="FangSong" w:cs="FangSong"/>
          <w:sz w:val="23"/>
          <w:szCs w:val="23"/>
          <w:spacing w:val="-11"/>
        </w:rPr>
        <w:t>元，</w:t>
      </w:r>
      <w:r>
        <w:rPr>
          <w:rFonts w:ascii="FangSong" w:hAnsi="FangSong" w:eastAsia="FangSong" w:cs="FangSong"/>
          <w:sz w:val="23"/>
          <w:szCs w:val="23"/>
          <w:spacing w:val="-60"/>
        </w:rPr>
        <w:t xml:space="preserve"> </w:t>
      </w:r>
      <w:r>
        <w:rPr>
          <w:rFonts w:ascii="FangSong" w:hAnsi="FangSong" w:eastAsia="FangSong" w:cs="FangSong"/>
          <w:sz w:val="23"/>
          <w:szCs w:val="23"/>
          <w:spacing w:val="-11"/>
        </w:rPr>
        <w:t>占0%。</w:t>
      </w:r>
    </w:p>
    <w:p>
      <w:pPr>
        <w:spacing w:line="352" w:lineRule="auto"/>
        <w:rPr>
          <w:rFonts w:ascii="Arial"/>
          <w:sz w:val="21"/>
        </w:rPr>
      </w:pPr>
      <w:r/>
    </w:p>
    <w:p>
      <w:pPr>
        <w:ind w:firstLine="3085"/>
        <w:spacing w:line="2856" w:lineRule="exact"/>
        <w:rPr/>
      </w:pPr>
      <w:r>
        <w:rPr>
          <w:position w:val="-57"/>
        </w:rPr>
        <w:drawing>
          <wp:inline distT="0" distB="0" distL="0" distR="0">
            <wp:extent cx="2333735" cy="1813292"/>
            <wp:effectExtent l="0" t="0" r="0" b="0"/>
            <wp:docPr id="4" name="IM 4"/>
            <wp:cNvGraphicFramePr/>
            <a:graphic>
              <a:graphicData uri="http://schemas.openxmlformats.org/drawingml/2006/picture">
                <pic:pic>
                  <pic:nvPicPr>
                    <pic:cNvPr id="4" name="IM 4"/>
                    <pic:cNvPicPr/>
                  </pic:nvPicPr>
                  <pic:blipFill>
                    <a:blip r:embed="rId21"/>
                    <a:stretch>
                      <a:fillRect/>
                    </a:stretch>
                  </pic:blipFill>
                  <pic:spPr>
                    <a:xfrm rot="0">
                      <a:off x="0" y="0"/>
                      <a:ext cx="2333735" cy="1813292"/>
                    </a:xfrm>
                    <a:prstGeom prst="rect">
                      <a:avLst/>
                    </a:prstGeom>
                  </pic:spPr>
                </pic:pic>
              </a:graphicData>
            </a:graphic>
          </wp:inline>
        </w:drawing>
      </w:r>
    </w:p>
    <w:p>
      <w:pPr>
        <w:spacing w:line="284" w:lineRule="auto"/>
        <w:rPr>
          <w:rFonts w:ascii="Arial"/>
          <w:sz w:val="21"/>
        </w:rPr>
      </w:pPr>
      <w:r/>
    </w:p>
    <w:p>
      <w:pPr>
        <w:spacing w:line="284" w:lineRule="auto"/>
        <w:rPr>
          <w:rFonts w:ascii="Arial"/>
          <w:sz w:val="21"/>
        </w:rPr>
      </w:pPr>
      <w:r/>
    </w:p>
    <w:p>
      <w:pPr>
        <w:ind w:left="662"/>
        <w:spacing w:before="95" w:line="230" w:lineRule="exact"/>
        <w:outlineLvl w:val="1"/>
        <w:rPr>
          <w:rFonts w:ascii="Microsoft YaHei" w:hAnsi="Microsoft YaHei" w:eastAsia="Microsoft YaHei" w:cs="Microsoft YaHei"/>
          <w:sz w:val="22"/>
          <w:szCs w:val="22"/>
        </w:rPr>
      </w:pPr>
      <w:bookmarkStart w:name="bookmark21" w:id="35"/>
      <w:bookmarkEnd w:id="35"/>
      <w:r>
        <w:rPr>
          <w:rFonts w:ascii="Microsoft YaHei" w:hAnsi="Microsoft YaHei" w:eastAsia="Microsoft YaHei" w:cs="Microsoft YaHei"/>
          <w:sz w:val="22"/>
          <w:szCs w:val="22"/>
          <w:spacing w:val="7"/>
          <w:position w:val="-1"/>
        </w:rPr>
        <w:t>三、支出预算情况说明</w:t>
      </w:r>
    </w:p>
    <w:p>
      <w:pPr>
        <w:ind w:left="658" w:right="623" w:firstLine="462"/>
        <w:spacing w:before="186" w:line="319" w:lineRule="auto"/>
        <w:rPr>
          <w:rFonts w:ascii="FangSong" w:hAnsi="FangSong" w:eastAsia="FangSong" w:cs="FangSong"/>
          <w:sz w:val="23"/>
          <w:szCs w:val="23"/>
        </w:rPr>
      </w:pPr>
      <w:r>
        <w:rPr>
          <w:rFonts w:ascii="FangSong" w:hAnsi="FangSong" w:eastAsia="FangSong" w:cs="FangSong"/>
          <w:sz w:val="23"/>
          <w:szCs w:val="23"/>
          <w:spacing w:val="3"/>
        </w:rPr>
        <w:t>2025年度兴县应</w:t>
      </w:r>
      <w:r>
        <w:rPr>
          <w:rFonts w:ascii="FangSong" w:hAnsi="FangSong" w:eastAsia="FangSong" w:cs="FangSong"/>
          <w:sz w:val="23"/>
          <w:szCs w:val="23"/>
          <w:spacing w:val="-65"/>
        </w:rPr>
        <w:t xml:space="preserve"> </w:t>
      </w:r>
      <w:r>
        <w:rPr>
          <w:rFonts w:ascii="FangSong" w:hAnsi="FangSong" w:eastAsia="FangSong" w:cs="FangSong"/>
          <w:sz w:val="23"/>
          <w:szCs w:val="23"/>
          <w:spacing w:val="3"/>
        </w:rPr>
        <w:t>急减灾</w:t>
      </w:r>
      <w:r>
        <w:rPr>
          <w:rFonts w:ascii="FangSong" w:hAnsi="FangSong" w:eastAsia="FangSong" w:cs="FangSong"/>
          <w:sz w:val="23"/>
          <w:szCs w:val="23"/>
          <w:spacing w:val="-48"/>
        </w:rPr>
        <w:t xml:space="preserve"> </w:t>
      </w:r>
      <w:r>
        <w:rPr>
          <w:rFonts w:ascii="FangSong" w:hAnsi="FangSong" w:eastAsia="FangSong" w:cs="FangSong"/>
          <w:sz w:val="23"/>
          <w:szCs w:val="23"/>
          <w:spacing w:val="3"/>
        </w:rPr>
        <w:t>中心支</w:t>
      </w:r>
      <w:r>
        <w:rPr>
          <w:rFonts w:ascii="FangSong" w:hAnsi="FangSong" w:eastAsia="FangSong" w:cs="FangSong"/>
          <w:sz w:val="23"/>
          <w:szCs w:val="23"/>
          <w:spacing w:val="-54"/>
        </w:rPr>
        <w:t xml:space="preserve"> </w:t>
      </w:r>
      <w:r>
        <w:rPr>
          <w:rFonts w:ascii="FangSong" w:hAnsi="FangSong" w:eastAsia="FangSong" w:cs="FangSong"/>
          <w:sz w:val="23"/>
          <w:szCs w:val="23"/>
          <w:spacing w:val="3"/>
        </w:rPr>
        <w:t>出预算349.18万元</w:t>
      </w:r>
      <w:r>
        <w:rPr>
          <w:rFonts w:ascii="FangSong" w:hAnsi="FangSong" w:eastAsia="FangSong" w:cs="FangSong"/>
          <w:sz w:val="23"/>
          <w:szCs w:val="23"/>
          <w:spacing w:val="-61"/>
        </w:rPr>
        <w:t xml:space="preserve"> </w:t>
      </w:r>
      <w:r>
        <w:rPr>
          <w:rFonts w:ascii="FangSong" w:hAnsi="FangSong" w:eastAsia="FangSong" w:cs="FangSong"/>
          <w:sz w:val="23"/>
          <w:szCs w:val="23"/>
          <w:spacing w:val="3"/>
        </w:rPr>
        <w:t>，其</w:t>
      </w:r>
      <w:r>
        <w:rPr>
          <w:rFonts w:ascii="FangSong" w:hAnsi="FangSong" w:eastAsia="FangSong" w:cs="FangSong"/>
          <w:sz w:val="23"/>
          <w:szCs w:val="23"/>
          <w:spacing w:val="-48"/>
        </w:rPr>
        <w:t xml:space="preserve"> </w:t>
      </w:r>
      <w:r>
        <w:rPr>
          <w:rFonts w:ascii="FangSong" w:hAnsi="FangSong" w:eastAsia="FangSong" w:cs="FangSong"/>
          <w:sz w:val="23"/>
          <w:szCs w:val="23"/>
          <w:spacing w:val="3"/>
        </w:rPr>
        <w:t>中：</w:t>
      </w:r>
      <w:r>
        <w:rPr>
          <w:rFonts w:ascii="FangSong" w:hAnsi="FangSong" w:eastAsia="FangSong" w:cs="FangSong"/>
          <w:sz w:val="23"/>
          <w:szCs w:val="23"/>
          <w:spacing w:val="-55"/>
        </w:rPr>
        <w:t xml:space="preserve"> </w:t>
      </w:r>
      <w:r>
        <w:rPr>
          <w:rFonts w:ascii="FangSong" w:hAnsi="FangSong" w:eastAsia="FangSong" w:cs="FangSong"/>
          <w:sz w:val="23"/>
          <w:szCs w:val="23"/>
          <w:spacing w:val="3"/>
        </w:rPr>
        <w:t>基本支</w:t>
      </w:r>
      <w:r>
        <w:rPr>
          <w:rFonts w:ascii="FangSong" w:hAnsi="FangSong" w:eastAsia="FangSong" w:cs="FangSong"/>
          <w:sz w:val="23"/>
          <w:szCs w:val="23"/>
          <w:spacing w:val="-54"/>
        </w:rPr>
        <w:t xml:space="preserve"> </w:t>
      </w:r>
      <w:r>
        <w:rPr>
          <w:rFonts w:ascii="FangSong" w:hAnsi="FangSong" w:eastAsia="FangSong" w:cs="FangSong"/>
          <w:sz w:val="23"/>
          <w:szCs w:val="23"/>
          <w:spacing w:val="3"/>
        </w:rPr>
        <w:t>出2</w:t>
      </w:r>
      <w:r>
        <w:rPr>
          <w:rFonts w:ascii="FangSong" w:hAnsi="FangSong" w:eastAsia="FangSong" w:cs="FangSong"/>
          <w:sz w:val="23"/>
          <w:szCs w:val="23"/>
          <w:spacing w:val="2"/>
        </w:rPr>
        <w:t>30.78万元</w:t>
      </w:r>
      <w:r>
        <w:rPr>
          <w:rFonts w:ascii="FangSong" w:hAnsi="FangSong" w:eastAsia="FangSong" w:cs="FangSong"/>
          <w:sz w:val="23"/>
          <w:szCs w:val="23"/>
          <w:spacing w:val="-61"/>
        </w:rPr>
        <w:t xml:space="preserve"> </w:t>
      </w:r>
      <w:r>
        <w:rPr>
          <w:rFonts w:ascii="FangSong" w:hAnsi="FangSong" w:eastAsia="FangSong" w:cs="FangSong"/>
          <w:sz w:val="23"/>
          <w:szCs w:val="23"/>
          <w:spacing w:val="2"/>
        </w:rPr>
        <w:t>，</w:t>
      </w:r>
      <w:r>
        <w:rPr>
          <w:rFonts w:ascii="FangSong" w:hAnsi="FangSong" w:eastAsia="FangSong" w:cs="FangSong"/>
          <w:sz w:val="23"/>
          <w:szCs w:val="23"/>
          <w:spacing w:val="-38"/>
        </w:rPr>
        <w:t xml:space="preserve"> </w:t>
      </w:r>
      <w:r>
        <w:rPr>
          <w:rFonts w:ascii="FangSong" w:hAnsi="FangSong" w:eastAsia="FangSong" w:cs="FangSong"/>
          <w:sz w:val="23"/>
          <w:szCs w:val="23"/>
          <w:spacing w:val="2"/>
        </w:rPr>
        <w:t>占</w:t>
      </w:r>
      <w:r>
        <w:rPr>
          <w:rFonts w:ascii="FangSong" w:hAnsi="FangSong" w:eastAsia="FangSong" w:cs="FangSong"/>
          <w:sz w:val="23"/>
          <w:szCs w:val="23"/>
          <w:spacing w:val="-2"/>
        </w:rPr>
        <w:t>66.09%；项目支出118.4万元，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占33.91</w:t>
      </w:r>
      <w:r>
        <w:rPr>
          <w:rFonts w:ascii="FangSong" w:hAnsi="FangSong" w:eastAsia="FangSong" w:cs="FangSong"/>
          <w:sz w:val="23"/>
          <w:szCs w:val="23"/>
          <w:spacing w:val="-3"/>
        </w:rPr>
        <w:t>%。</w:t>
      </w:r>
    </w:p>
    <w:p>
      <w:pPr>
        <w:ind w:left="671"/>
        <w:spacing w:line="230"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8"/>
          <w:position w:val="-1"/>
        </w:rPr>
        <w:t>四、财政拨款收支预算总体情况说明</w:t>
      </w:r>
    </w:p>
    <w:p>
      <w:pPr>
        <w:ind w:left="661" w:right="623" w:firstLine="459"/>
        <w:spacing w:before="187" w:line="322" w:lineRule="auto"/>
        <w:jc w:val="both"/>
        <w:rPr>
          <w:rFonts w:ascii="FangSong" w:hAnsi="FangSong" w:eastAsia="FangSong" w:cs="FangSong"/>
          <w:sz w:val="23"/>
          <w:szCs w:val="23"/>
        </w:rPr>
      </w:pPr>
      <w:r>
        <w:rPr>
          <w:rFonts w:ascii="FangSong" w:hAnsi="FangSong" w:eastAsia="FangSong" w:cs="FangSong"/>
          <w:sz w:val="23"/>
          <w:szCs w:val="23"/>
          <w:spacing w:val="5"/>
        </w:rPr>
        <w:t>2025年度兴县应急减灾中心财政拨款收支总预算349.18万元。其中：一般公共预算拨款</w:t>
      </w:r>
      <w:r>
        <w:rPr>
          <w:rFonts w:ascii="FangSong" w:hAnsi="FangSong" w:eastAsia="FangSong" w:cs="FangSong"/>
          <w:sz w:val="23"/>
          <w:szCs w:val="23"/>
          <w:spacing w:val="3"/>
        </w:rPr>
        <w:t>349.18万元，政府性基金预算拨款0万元，</w:t>
      </w:r>
      <w:r>
        <w:rPr>
          <w:rFonts w:ascii="FangSong" w:hAnsi="FangSong" w:eastAsia="FangSong" w:cs="FangSong"/>
          <w:sz w:val="23"/>
          <w:szCs w:val="23"/>
          <w:spacing w:val="-67"/>
        </w:rPr>
        <w:t xml:space="preserve"> </w:t>
      </w:r>
      <w:r>
        <w:rPr>
          <w:rFonts w:ascii="FangSong" w:hAnsi="FangSong" w:eastAsia="FangSong" w:cs="FangSong"/>
          <w:sz w:val="23"/>
          <w:szCs w:val="23"/>
          <w:spacing w:val="3"/>
        </w:rPr>
        <w:t>国有资本经</w:t>
      </w:r>
      <w:r>
        <w:rPr>
          <w:rFonts w:ascii="FangSong" w:hAnsi="FangSong" w:eastAsia="FangSong" w:cs="FangSong"/>
          <w:sz w:val="23"/>
          <w:szCs w:val="23"/>
          <w:spacing w:val="2"/>
        </w:rPr>
        <w:t>营预算拨款0万元。其中：</w:t>
      </w:r>
      <w:r>
        <w:rPr>
          <w:rFonts w:ascii="FangSong" w:hAnsi="FangSong" w:eastAsia="FangSong" w:cs="FangSong"/>
          <w:sz w:val="23"/>
          <w:szCs w:val="23"/>
          <w:spacing w:val="-64"/>
        </w:rPr>
        <w:t xml:space="preserve"> </w:t>
      </w:r>
      <w:r>
        <w:rPr>
          <w:rFonts w:ascii="FangSong" w:hAnsi="FangSong" w:eastAsia="FangSong" w:cs="FangSong"/>
          <w:sz w:val="23"/>
          <w:szCs w:val="23"/>
          <w:spacing w:val="2"/>
        </w:rPr>
        <w:t>当年拨款收</w:t>
      </w:r>
      <w:r>
        <w:rPr>
          <w:rFonts w:ascii="FangSong" w:hAnsi="FangSong" w:eastAsia="FangSong" w:cs="FangSong"/>
          <w:sz w:val="23"/>
          <w:szCs w:val="23"/>
          <w:spacing w:val="5"/>
        </w:rPr>
        <w:t>入349.18万元，上年结转收入0万元。支出包括：社会保障和</w:t>
      </w:r>
      <w:r>
        <w:rPr>
          <w:rFonts w:ascii="FangSong" w:hAnsi="FangSong" w:eastAsia="FangSong" w:cs="FangSong"/>
          <w:sz w:val="23"/>
          <w:szCs w:val="23"/>
          <w:spacing w:val="4"/>
        </w:rPr>
        <w:t>就业支出21.78万元、卫生健康</w:t>
      </w:r>
      <w:r>
        <w:rPr>
          <w:rFonts w:ascii="FangSong" w:hAnsi="FangSong" w:eastAsia="FangSong" w:cs="FangSong"/>
          <w:sz w:val="23"/>
          <w:szCs w:val="23"/>
        </w:rPr>
        <w:t>支出8.94万元、住房保障支出17.82万元、灾害防治及应急管理支出300.64万元等。</w:t>
      </w:r>
    </w:p>
    <w:p>
      <w:pPr>
        <w:ind w:left="664"/>
        <w:spacing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8"/>
          <w:position w:val="-1"/>
        </w:rPr>
        <w:t>五、一般公共预算支出情况说明</w:t>
      </w:r>
    </w:p>
    <w:p>
      <w:pPr>
        <w:ind w:left="1125"/>
        <w:spacing w:before="17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663" w:right="671" w:firstLine="456"/>
        <w:spacing w:before="135" w:line="321" w:lineRule="auto"/>
        <w:rPr>
          <w:rFonts w:ascii="FangSong" w:hAnsi="FangSong" w:eastAsia="FangSong" w:cs="FangSong"/>
          <w:sz w:val="23"/>
          <w:szCs w:val="23"/>
        </w:rPr>
      </w:pPr>
      <w:r>
        <w:rPr>
          <w:rFonts w:ascii="FangSong" w:hAnsi="FangSong" w:eastAsia="FangSong" w:cs="FangSong"/>
          <w:sz w:val="23"/>
          <w:szCs w:val="23"/>
          <w:spacing w:val="1"/>
        </w:rPr>
        <w:t>2025年度兴县应急减灾中心一般公共预算当年支出349.18万元,比上年增加114.79万元，</w:t>
      </w:r>
      <w:r>
        <w:rPr>
          <w:rFonts w:ascii="FangSong" w:hAnsi="FangSong" w:eastAsia="FangSong" w:cs="FangSong"/>
          <w:sz w:val="23"/>
          <w:szCs w:val="23"/>
          <w:spacing w:val="-2"/>
        </w:rPr>
        <w:t>增长48.97%。</w:t>
      </w:r>
    </w:p>
    <w:p>
      <w:pPr>
        <w:ind w:left="1125"/>
        <w:spacing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spacing w:line="222" w:lineRule="auto"/>
        <w:sectPr>
          <w:footerReference w:type="default" r:id="rId20"/>
          <w:pgSz w:w="11900" w:h="16840"/>
          <w:pgMar w:top="642" w:right="600" w:bottom="340" w:left="600" w:header="326" w:footer="111" w:gutter="0"/>
        </w:sectPr>
        <w:rPr>
          <w:rFonts w:ascii="FangSong" w:hAnsi="FangSong" w:eastAsia="FangSong" w:cs="FangSong"/>
          <w:sz w:val="23"/>
          <w:szCs w:val="23"/>
        </w:rPr>
      </w:pPr>
    </w:p>
    <w:p>
      <w:pPr>
        <w:spacing w:line="282" w:lineRule="auto"/>
        <w:rPr>
          <w:rFonts w:ascii="Arial"/>
          <w:sz w:val="21"/>
        </w:rPr>
      </w:pPr>
      <w:r/>
    </w:p>
    <w:p>
      <w:pPr>
        <w:spacing w:line="282" w:lineRule="auto"/>
        <w:rPr>
          <w:rFonts w:ascii="Arial"/>
          <w:sz w:val="21"/>
        </w:rPr>
      </w:pPr>
      <w:r/>
    </w:p>
    <w:p>
      <w:pPr>
        <w:ind w:left="664" w:right="623" w:firstLine="455"/>
        <w:spacing w:before="75" w:line="326" w:lineRule="auto"/>
        <w:jc w:val="both"/>
        <w:rPr>
          <w:rFonts w:ascii="FangSong" w:hAnsi="FangSong" w:eastAsia="FangSong" w:cs="FangSong"/>
          <w:sz w:val="23"/>
          <w:szCs w:val="23"/>
        </w:rPr>
      </w:pPr>
      <w:r>
        <w:rPr>
          <w:rFonts w:ascii="FangSong" w:hAnsi="FangSong" w:eastAsia="FangSong" w:cs="FangSong"/>
          <w:sz w:val="23"/>
          <w:szCs w:val="23"/>
          <w:spacing w:val="2"/>
        </w:rPr>
        <w:t>2025年度兴县应急减灾中心一般公共预算当年支出349.18万元,主要用于以下方面：社会</w:t>
      </w:r>
      <w:r>
        <w:rPr>
          <w:rFonts w:ascii="FangSong" w:hAnsi="FangSong" w:eastAsia="FangSong" w:cs="FangSong"/>
          <w:sz w:val="23"/>
          <w:szCs w:val="23"/>
          <w:spacing w:val="7"/>
        </w:rPr>
        <w:t>保障和就业支出21.78万元</w:t>
      </w:r>
      <w:r>
        <w:rPr>
          <w:rFonts w:ascii="FangSong" w:hAnsi="FangSong" w:eastAsia="FangSong" w:cs="FangSong"/>
          <w:sz w:val="23"/>
          <w:szCs w:val="23"/>
          <w:spacing w:val="-65"/>
        </w:rPr>
        <w:t xml:space="preserve"> </w:t>
      </w:r>
      <w:r>
        <w:rPr>
          <w:rFonts w:ascii="FangSong" w:hAnsi="FangSong" w:eastAsia="FangSong" w:cs="FangSong"/>
          <w:sz w:val="23"/>
          <w:szCs w:val="23"/>
          <w:spacing w:val="7"/>
        </w:rPr>
        <w:t>，</w:t>
      </w:r>
      <w:r>
        <w:rPr>
          <w:rFonts w:ascii="FangSong" w:hAnsi="FangSong" w:eastAsia="FangSong" w:cs="FangSong"/>
          <w:sz w:val="23"/>
          <w:szCs w:val="23"/>
          <w:spacing w:val="-41"/>
        </w:rPr>
        <w:t xml:space="preserve"> </w:t>
      </w:r>
      <w:r>
        <w:rPr>
          <w:rFonts w:ascii="FangSong" w:hAnsi="FangSong" w:eastAsia="FangSong" w:cs="FangSong"/>
          <w:sz w:val="23"/>
          <w:szCs w:val="23"/>
          <w:spacing w:val="7"/>
        </w:rPr>
        <w:t>占6.24</w:t>
      </w:r>
      <w:r>
        <w:rPr>
          <w:rFonts w:ascii="FangSong" w:hAnsi="FangSong" w:eastAsia="FangSong" w:cs="FangSong"/>
          <w:sz w:val="23"/>
          <w:szCs w:val="23"/>
          <w:spacing w:val="6"/>
        </w:rPr>
        <w:t>%；卫生健康支出8.94万元</w:t>
      </w:r>
      <w:r>
        <w:rPr>
          <w:rFonts w:ascii="FangSong" w:hAnsi="FangSong" w:eastAsia="FangSong" w:cs="FangSong"/>
          <w:sz w:val="23"/>
          <w:szCs w:val="23"/>
          <w:spacing w:val="-65"/>
        </w:rPr>
        <w:t xml:space="preserve"> </w:t>
      </w:r>
      <w:r>
        <w:rPr>
          <w:rFonts w:ascii="FangSong" w:hAnsi="FangSong" w:eastAsia="FangSong" w:cs="FangSong"/>
          <w:sz w:val="23"/>
          <w:szCs w:val="23"/>
          <w:spacing w:val="6"/>
        </w:rPr>
        <w:t>，</w:t>
      </w:r>
      <w:r>
        <w:rPr>
          <w:rFonts w:ascii="FangSong" w:hAnsi="FangSong" w:eastAsia="FangSong" w:cs="FangSong"/>
          <w:sz w:val="23"/>
          <w:szCs w:val="23"/>
          <w:spacing w:val="-42"/>
        </w:rPr>
        <w:t xml:space="preserve"> </w:t>
      </w:r>
      <w:r>
        <w:rPr>
          <w:rFonts w:ascii="FangSong" w:hAnsi="FangSong" w:eastAsia="FangSong" w:cs="FangSong"/>
          <w:sz w:val="23"/>
          <w:szCs w:val="23"/>
          <w:spacing w:val="6"/>
        </w:rPr>
        <w:t>占2.56%；住房保障支出</w:t>
      </w:r>
      <w:r>
        <w:rPr>
          <w:rFonts w:ascii="FangSong" w:hAnsi="FangSong" w:eastAsia="FangSong" w:cs="FangSong"/>
          <w:sz w:val="23"/>
          <w:szCs w:val="23"/>
          <w:spacing w:val="-2"/>
        </w:rPr>
        <w:t>17.82万元，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占5.10%；灾害防治及应急管</w:t>
      </w:r>
      <w:r>
        <w:rPr>
          <w:rFonts w:ascii="FangSong" w:hAnsi="FangSong" w:eastAsia="FangSong" w:cs="FangSong"/>
          <w:sz w:val="23"/>
          <w:szCs w:val="23"/>
          <w:spacing w:val="-3"/>
        </w:rPr>
        <w:t>理支出300.64万元，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占86.10%等。</w:t>
      </w:r>
    </w:p>
    <w:p>
      <w:pPr>
        <w:ind w:firstLine="3225"/>
        <w:spacing w:before="140" w:line="2384" w:lineRule="exact"/>
        <w:rPr/>
      </w:pPr>
      <w:r>
        <w:rPr>
          <w:position w:val="-47"/>
        </w:rPr>
        <w:drawing>
          <wp:inline distT="0" distB="0" distL="0" distR="0">
            <wp:extent cx="2473252" cy="1513798"/>
            <wp:effectExtent l="0" t="0" r="0" b="0"/>
            <wp:docPr id="6" name="IM 6"/>
            <wp:cNvGraphicFramePr/>
            <a:graphic>
              <a:graphicData uri="http://schemas.openxmlformats.org/drawingml/2006/picture">
                <pic:pic>
                  <pic:nvPicPr>
                    <pic:cNvPr id="6" name="IM 6"/>
                    <pic:cNvPicPr/>
                  </pic:nvPicPr>
                  <pic:blipFill>
                    <a:blip r:embed="rId23"/>
                    <a:stretch>
                      <a:fillRect/>
                    </a:stretch>
                  </pic:blipFill>
                  <pic:spPr>
                    <a:xfrm rot="0">
                      <a:off x="0" y="0"/>
                      <a:ext cx="2473252" cy="1513798"/>
                    </a:xfrm>
                    <a:prstGeom prst="rect">
                      <a:avLst/>
                    </a:prstGeom>
                  </pic:spPr>
                </pic:pic>
              </a:graphicData>
            </a:graphic>
          </wp:inline>
        </w:drawing>
      </w:r>
    </w:p>
    <w:p>
      <w:pPr>
        <w:spacing w:line="304" w:lineRule="auto"/>
        <w:rPr>
          <w:rFonts w:ascii="Arial"/>
          <w:sz w:val="21"/>
        </w:rPr>
      </w:pPr>
      <w:r/>
    </w:p>
    <w:p>
      <w:pPr>
        <w:spacing w:line="305" w:lineRule="auto"/>
        <w:rPr>
          <w:rFonts w:ascii="Arial"/>
          <w:sz w:val="21"/>
        </w:rPr>
      </w:pPr>
      <w:r/>
    </w:p>
    <w:p>
      <w:pPr>
        <w:ind w:left="662"/>
        <w:spacing w:before="94"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8"/>
          <w:position w:val="-1"/>
        </w:rPr>
        <w:t>六、一般公共预算基本支出情况说明</w:t>
      </w:r>
    </w:p>
    <w:p>
      <w:pPr>
        <w:ind w:left="1120"/>
        <w:spacing w:before="174" w:line="222" w:lineRule="auto"/>
        <w:rPr>
          <w:rFonts w:ascii="FangSong" w:hAnsi="FangSong" w:eastAsia="FangSong" w:cs="FangSong"/>
          <w:sz w:val="23"/>
          <w:szCs w:val="23"/>
        </w:rPr>
      </w:pPr>
      <w:r>
        <w:rPr>
          <w:rFonts w:ascii="FangSong" w:hAnsi="FangSong" w:eastAsia="FangSong" w:cs="FangSong"/>
          <w:sz w:val="23"/>
          <w:szCs w:val="23"/>
        </w:rPr>
        <w:t>2025年度兴县应急减灾中心一般公共预算安排基本支出230.78万元，其中：</w:t>
      </w:r>
    </w:p>
    <w:p>
      <w:pPr>
        <w:ind w:left="663" w:right="623" w:firstLine="464"/>
        <w:spacing w:before="133" w:line="322" w:lineRule="auto"/>
        <w:rPr>
          <w:rFonts w:ascii="FangSong" w:hAnsi="FangSong" w:eastAsia="FangSong" w:cs="FangSong"/>
          <w:sz w:val="23"/>
          <w:szCs w:val="23"/>
        </w:rPr>
      </w:pPr>
      <w:r>
        <w:rPr>
          <w:rFonts w:ascii="FangSong" w:hAnsi="FangSong" w:eastAsia="FangSong" w:cs="FangSong"/>
          <w:sz w:val="23"/>
          <w:szCs w:val="23"/>
          <w:spacing w:val="5"/>
        </w:rPr>
        <w:t>人员经费218.03万元，主要包括：其他工资福利支出、其他社会保障缴费、绩效工资、</w:t>
      </w:r>
      <w:r>
        <w:rPr>
          <w:rFonts w:ascii="FangSong" w:hAnsi="FangSong" w:eastAsia="FangSong" w:cs="FangSong"/>
          <w:sz w:val="23"/>
          <w:szCs w:val="23"/>
          <w:spacing w:val="5"/>
        </w:rPr>
        <w:t>基本工资、住房公积金、机关事业单位基本养老保险缴费、职工基本医疗保险缴费、津贴补</w:t>
      </w:r>
      <w:r>
        <w:rPr>
          <w:rFonts w:ascii="FangSong" w:hAnsi="FangSong" w:eastAsia="FangSong" w:cs="FangSong"/>
          <w:sz w:val="23"/>
          <w:szCs w:val="23"/>
          <w:spacing w:val="-5"/>
        </w:rPr>
        <w:t>贴等；</w:t>
      </w:r>
    </w:p>
    <w:p>
      <w:pPr>
        <w:ind w:left="1129"/>
        <w:spacing w:before="8" w:line="222" w:lineRule="auto"/>
        <w:rPr>
          <w:rFonts w:ascii="FangSong" w:hAnsi="FangSong" w:eastAsia="FangSong" w:cs="FangSong"/>
          <w:sz w:val="23"/>
          <w:szCs w:val="23"/>
        </w:rPr>
      </w:pPr>
      <w:r>
        <w:rPr>
          <w:rFonts w:ascii="FangSong" w:hAnsi="FangSong" w:eastAsia="FangSong" w:cs="FangSong"/>
          <w:sz w:val="23"/>
          <w:szCs w:val="23"/>
        </w:rPr>
        <w:t>公用经费12.75万元，主要包括：办公费、福利费、其他商品和服务支出、工会经费等。</w:t>
      </w:r>
    </w:p>
    <w:p>
      <w:pPr>
        <w:ind w:left="655"/>
        <w:spacing w:before="120" w:line="229" w:lineRule="exact"/>
        <w:outlineLvl w:val="1"/>
        <w:rPr>
          <w:rFonts w:ascii="Microsoft YaHei" w:hAnsi="Microsoft YaHei" w:eastAsia="Microsoft YaHei" w:cs="Microsoft YaHei"/>
          <w:sz w:val="22"/>
          <w:szCs w:val="22"/>
        </w:rPr>
      </w:pPr>
      <w:bookmarkStart w:name="bookmark25" w:id="39"/>
      <w:bookmarkEnd w:id="39"/>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126"/>
        <w:spacing w:before="174" w:line="221" w:lineRule="auto"/>
        <w:rPr>
          <w:rFonts w:ascii="FangSong" w:hAnsi="FangSong" w:eastAsia="FangSong" w:cs="FangSong"/>
          <w:sz w:val="23"/>
          <w:szCs w:val="23"/>
        </w:rPr>
      </w:pPr>
      <w:r>
        <w:rPr>
          <w:rFonts w:ascii="FangSong" w:hAnsi="FangSong" w:eastAsia="FangSong" w:cs="FangSong"/>
          <w:sz w:val="23"/>
          <w:szCs w:val="23"/>
          <w:spacing w:val="-4"/>
        </w:rPr>
        <w:t>本单位无“三公</w:t>
      </w:r>
      <w:r>
        <w:rPr>
          <w:rFonts w:ascii="FangSong" w:hAnsi="FangSong" w:eastAsia="FangSong" w:cs="FangSong"/>
          <w:sz w:val="23"/>
          <w:szCs w:val="23"/>
          <w:spacing w:val="-74"/>
        </w:rPr>
        <w:t xml:space="preserve"> </w:t>
      </w:r>
      <w:r>
        <w:rPr>
          <w:rFonts w:ascii="FangSong" w:hAnsi="FangSong" w:eastAsia="FangSong" w:cs="FangSong"/>
          <w:sz w:val="23"/>
          <w:szCs w:val="23"/>
          <w:spacing w:val="-4"/>
        </w:rPr>
        <w:t>”经费预算。</w:t>
      </w:r>
    </w:p>
    <w:p>
      <w:pPr>
        <w:ind w:left="653"/>
        <w:spacing w:before="131" w:line="230" w:lineRule="exact"/>
        <w:outlineLvl w:val="1"/>
        <w:rPr>
          <w:rFonts w:ascii="Microsoft YaHei" w:hAnsi="Microsoft YaHei" w:eastAsia="Microsoft YaHei" w:cs="Microsoft YaHei"/>
          <w:sz w:val="23"/>
          <w:szCs w:val="23"/>
        </w:rPr>
      </w:pPr>
      <w:bookmarkStart w:name="bookmark26" w:id="40"/>
      <w:bookmarkEnd w:id="40"/>
      <w:r>
        <w:rPr>
          <w:rFonts w:ascii="Microsoft YaHei" w:hAnsi="Microsoft YaHei" w:eastAsia="Microsoft YaHei" w:cs="Microsoft YaHei"/>
          <w:sz w:val="23"/>
          <w:szCs w:val="23"/>
          <w:spacing w:val="-1"/>
          <w:position w:val="-1"/>
        </w:rPr>
        <w:t>八、机关运行经费增减变动原因说明</w:t>
      </w:r>
    </w:p>
    <w:p>
      <w:pPr>
        <w:ind w:left="1126"/>
        <w:spacing w:before="175" w:line="221" w:lineRule="auto"/>
        <w:rPr>
          <w:rFonts w:ascii="FangSong" w:hAnsi="FangSong" w:eastAsia="FangSong" w:cs="FangSong"/>
          <w:sz w:val="23"/>
          <w:szCs w:val="23"/>
        </w:rPr>
      </w:pPr>
      <w:r>
        <w:rPr>
          <w:rFonts w:ascii="FangSong" w:hAnsi="FangSong" w:eastAsia="FangSong" w:cs="FangSong"/>
          <w:sz w:val="23"/>
          <w:szCs w:val="23"/>
          <w:spacing w:val="-1"/>
        </w:rPr>
        <w:t>本单位无机关运行经费。</w:t>
      </w:r>
    </w:p>
    <w:p>
      <w:pPr>
        <w:ind w:left="658"/>
        <w:spacing w:before="121" w:line="226" w:lineRule="exact"/>
        <w:outlineLvl w:val="1"/>
        <w:rPr>
          <w:rFonts w:ascii="Microsoft YaHei" w:hAnsi="Microsoft YaHei" w:eastAsia="Microsoft YaHei" w:cs="Microsoft YaHei"/>
          <w:sz w:val="22"/>
          <w:szCs w:val="22"/>
        </w:rPr>
      </w:pPr>
      <w:bookmarkStart w:name="bookmark28" w:id="41"/>
      <w:bookmarkEnd w:id="41"/>
      <w:r>
        <w:rPr>
          <w:rFonts w:ascii="Microsoft YaHei" w:hAnsi="Microsoft YaHei" w:eastAsia="Microsoft YaHei" w:cs="Microsoft YaHei"/>
          <w:sz w:val="22"/>
          <w:szCs w:val="22"/>
          <w:spacing w:val="9"/>
          <w:position w:val="-1"/>
        </w:rPr>
        <w:t>九、政府采购情况</w:t>
      </w:r>
    </w:p>
    <w:p>
      <w:pPr>
        <w:ind w:left="664" w:right="623" w:firstLine="455"/>
        <w:spacing w:before="188" w:line="319" w:lineRule="auto"/>
        <w:rPr>
          <w:rFonts w:ascii="FangSong" w:hAnsi="FangSong" w:eastAsia="FangSong" w:cs="FangSong"/>
          <w:sz w:val="23"/>
          <w:szCs w:val="23"/>
        </w:rPr>
      </w:pPr>
      <w:r>
        <w:rPr>
          <w:rFonts w:ascii="FangSong" w:hAnsi="FangSong" w:eastAsia="FangSong" w:cs="FangSong"/>
          <w:sz w:val="23"/>
          <w:szCs w:val="23"/>
          <w:spacing w:val="5"/>
        </w:rPr>
        <w:t>2025年兴县应急减灾中心政府采购预算总额0万元。其中：政府采购货物预算0万元、政</w:t>
      </w:r>
      <w:r>
        <w:rPr>
          <w:rFonts w:ascii="FangSong" w:hAnsi="FangSong" w:eastAsia="FangSong" w:cs="FangSong"/>
          <w:sz w:val="23"/>
          <w:szCs w:val="23"/>
          <w:spacing w:val="-1"/>
        </w:rPr>
        <w:t>府采购工程预算0万元、政府采购服务预算0万元。</w:t>
      </w:r>
    </w:p>
    <w:p>
      <w:pPr>
        <w:ind w:left="660"/>
        <w:spacing w:line="230" w:lineRule="exact"/>
        <w:outlineLvl w:val="1"/>
        <w:rPr>
          <w:rFonts w:ascii="Microsoft YaHei" w:hAnsi="Microsoft YaHei" w:eastAsia="Microsoft YaHei" w:cs="Microsoft YaHei"/>
          <w:sz w:val="22"/>
          <w:szCs w:val="22"/>
        </w:rPr>
      </w:pPr>
      <w:bookmarkStart w:name="bookmark29" w:id="42"/>
      <w:bookmarkEnd w:id="42"/>
      <w:r>
        <w:rPr>
          <w:rFonts w:ascii="Microsoft YaHei" w:hAnsi="Microsoft YaHei" w:eastAsia="Microsoft YaHei" w:cs="Microsoft YaHei"/>
          <w:sz w:val="22"/>
          <w:szCs w:val="22"/>
          <w:spacing w:val="9"/>
          <w:position w:val="-1"/>
        </w:rPr>
        <w:t>十、绩效管理情况</w:t>
      </w:r>
    </w:p>
    <w:p>
      <w:pPr>
        <w:ind w:left="1135"/>
        <w:spacing w:before="185"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659"/>
        <w:spacing w:before="123" w:line="222" w:lineRule="auto"/>
        <w:rPr>
          <w:rFonts w:ascii="FangSong" w:hAnsi="FangSong" w:eastAsia="FangSong" w:cs="FangSong"/>
          <w:sz w:val="23"/>
          <w:szCs w:val="23"/>
        </w:rPr>
      </w:pPr>
      <w:r>
        <w:rPr>
          <w:rFonts w:ascii="FangSong" w:hAnsi="FangSong" w:eastAsia="FangSong" w:cs="FangSong"/>
          <w:sz w:val="23"/>
          <w:szCs w:val="23"/>
        </w:rPr>
        <w:t>2025年编报部门整体绩效目标，涉及资金118.4万元。</w:t>
      </w:r>
    </w:p>
    <w:p>
      <w:pPr>
        <w:ind w:left="1120"/>
        <w:spacing w:before="123"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655" w:right="623" w:firstLine="464"/>
        <w:spacing w:before="132" w:line="323" w:lineRule="auto"/>
        <w:rPr>
          <w:rFonts w:ascii="FangSong" w:hAnsi="FangSong" w:eastAsia="FangSong" w:cs="FangSong"/>
          <w:sz w:val="23"/>
          <w:szCs w:val="23"/>
        </w:rPr>
      </w:pPr>
      <w:r>
        <w:rPr>
          <w:rFonts w:ascii="FangSong" w:hAnsi="FangSong" w:eastAsia="FangSong" w:cs="FangSong"/>
          <w:sz w:val="23"/>
          <w:szCs w:val="23"/>
          <w:spacing w:val="8"/>
        </w:rPr>
        <w:t>2025年兴县应急减灾中心纳入绩效目标管理的二级项目9个，</w:t>
      </w:r>
      <w:r>
        <w:rPr>
          <w:rFonts w:ascii="FangSong" w:hAnsi="FangSong" w:eastAsia="FangSong" w:cs="FangSong"/>
          <w:sz w:val="23"/>
          <w:szCs w:val="23"/>
          <w:spacing w:val="7"/>
        </w:rPr>
        <w:t>共计金额118.40万元。其</w:t>
      </w:r>
      <w:r>
        <w:rPr>
          <w:rFonts w:ascii="FangSong" w:hAnsi="FangSong" w:eastAsia="FangSong" w:cs="FangSong"/>
          <w:sz w:val="23"/>
          <w:szCs w:val="23"/>
          <w:spacing w:val="5"/>
        </w:rPr>
        <w:t>中：其他运转类项目8个，涉及金额78.40万元；特定目标类项目1个，涉</w:t>
      </w:r>
      <w:r>
        <w:rPr>
          <w:rFonts w:ascii="FangSong" w:hAnsi="FangSong" w:eastAsia="FangSong" w:cs="FangSong"/>
          <w:sz w:val="23"/>
          <w:szCs w:val="23"/>
          <w:spacing w:val="4"/>
        </w:rPr>
        <w:t>及金额40.00万元。</w:t>
      </w:r>
      <w:r>
        <w:rPr>
          <w:rFonts w:ascii="FangSong" w:hAnsi="FangSong" w:eastAsia="FangSong" w:cs="FangSong"/>
          <w:sz w:val="23"/>
          <w:szCs w:val="23"/>
          <w:spacing w:val="1"/>
        </w:rPr>
        <w:t>公开项目绩效目标9个，涉及项目金额118.40万元，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占部门（单位）项目支出总额的100%。其</w:t>
      </w:r>
      <w:r>
        <w:rPr>
          <w:rFonts w:ascii="FangSong" w:hAnsi="FangSong" w:eastAsia="FangSong" w:cs="FangSong"/>
          <w:sz w:val="23"/>
          <w:szCs w:val="23"/>
          <w:spacing w:val="1"/>
        </w:rPr>
        <w:t>中</w:t>
      </w:r>
      <w:r>
        <w:rPr>
          <w:rFonts w:ascii="FangSong" w:hAnsi="FangSong" w:eastAsia="FangSong" w:cs="FangSong"/>
          <w:sz w:val="23"/>
          <w:szCs w:val="23"/>
          <w:spacing w:val="-67"/>
        </w:rPr>
        <w:t xml:space="preserve"> </w:t>
      </w:r>
      <w:r>
        <w:rPr>
          <w:rFonts w:ascii="FangSong" w:hAnsi="FangSong" w:eastAsia="FangSong" w:cs="FangSong"/>
          <w:sz w:val="23"/>
          <w:szCs w:val="23"/>
          <w:spacing w:val="1"/>
        </w:rPr>
        <w:t>：其他运转类项</w:t>
      </w:r>
      <w:r>
        <w:rPr>
          <w:rFonts w:ascii="FangSong" w:hAnsi="FangSong" w:eastAsia="FangSong" w:cs="FangSong"/>
          <w:sz w:val="23"/>
          <w:szCs w:val="23"/>
          <w:spacing w:val="-45"/>
        </w:rPr>
        <w:t xml:space="preserve"> </w:t>
      </w:r>
      <w:r>
        <w:rPr>
          <w:rFonts w:ascii="FangSong" w:hAnsi="FangSong" w:eastAsia="FangSong" w:cs="FangSong"/>
          <w:sz w:val="23"/>
          <w:szCs w:val="23"/>
          <w:spacing w:val="1"/>
        </w:rPr>
        <w:t>目8个</w:t>
      </w:r>
      <w:r>
        <w:rPr>
          <w:rFonts w:ascii="FangSong" w:hAnsi="FangSong" w:eastAsia="FangSong" w:cs="FangSong"/>
          <w:sz w:val="23"/>
          <w:szCs w:val="23"/>
          <w:spacing w:val="-68"/>
        </w:rPr>
        <w:t xml:space="preserve"> </w:t>
      </w:r>
      <w:r>
        <w:rPr>
          <w:rFonts w:ascii="FangSong" w:hAnsi="FangSong" w:eastAsia="FangSong" w:cs="FangSong"/>
          <w:sz w:val="23"/>
          <w:szCs w:val="23"/>
          <w:spacing w:val="1"/>
        </w:rPr>
        <w:t>，涉及项</w:t>
      </w:r>
      <w:r>
        <w:rPr>
          <w:rFonts w:ascii="FangSong" w:hAnsi="FangSong" w:eastAsia="FangSong" w:cs="FangSong"/>
          <w:sz w:val="23"/>
          <w:szCs w:val="23"/>
          <w:spacing w:val="-45"/>
        </w:rPr>
        <w:t xml:space="preserve"> </w:t>
      </w:r>
      <w:r>
        <w:rPr>
          <w:rFonts w:ascii="FangSong" w:hAnsi="FangSong" w:eastAsia="FangSong" w:cs="FangSong"/>
          <w:sz w:val="23"/>
          <w:szCs w:val="23"/>
          <w:spacing w:val="1"/>
        </w:rPr>
        <w:t>目金额78.40万</w:t>
      </w:r>
      <w:r>
        <w:rPr>
          <w:rFonts w:ascii="FangSong" w:hAnsi="FangSong" w:eastAsia="FangSong" w:cs="FangSong"/>
          <w:sz w:val="23"/>
          <w:szCs w:val="23"/>
        </w:rPr>
        <w:t>元</w:t>
      </w:r>
      <w:r>
        <w:rPr>
          <w:rFonts w:ascii="FangSong" w:hAnsi="FangSong" w:eastAsia="FangSong" w:cs="FangSong"/>
          <w:sz w:val="23"/>
          <w:szCs w:val="23"/>
          <w:spacing w:val="-68"/>
        </w:rPr>
        <w:t xml:space="preserve"> </w:t>
      </w:r>
      <w:r>
        <w:rPr>
          <w:rFonts w:ascii="FangSong" w:hAnsi="FangSong" w:eastAsia="FangSong" w:cs="FangSong"/>
          <w:sz w:val="23"/>
          <w:szCs w:val="23"/>
        </w:rPr>
        <w:t>；特定</w:t>
      </w:r>
      <w:r>
        <w:rPr>
          <w:rFonts w:ascii="FangSong" w:hAnsi="FangSong" w:eastAsia="FangSong" w:cs="FangSong"/>
          <w:sz w:val="23"/>
          <w:szCs w:val="23"/>
          <w:spacing w:val="-44"/>
        </w:rPr>
        <w:t xml:space="preserve"> </w:t>
      </w:r>
      <w:r>
        <w:rPr>
          <w:rFonts w:ascii="FangSong" w:hAnsi="FangSong" w:eastAsia="FangSong" w:cs="FangSong"/>
          <w:sz w:val="23"/>
          <w:szCs w:val="23"/>
        </w:rPr>
        <w:t>目标类项</w:t>
      </w:r>
      <w:r>
        <w:rPr>
          <w:rFonts w:ascii="FangSong" w:hAnsi="FangSong" w:eastAsia="FangSong" w:cs="FangSong"/>
          <w:sz w:val="23"/>
          <w:szCs w:val="23"/>
          <w:spacing w:val="-45"/>
        </w:rPr>
        <w:t xml:space="preserve"> </w:t>
      </w:r>
      <w:r>
        <w:rPr>
          <w:rFonts w:ascii="FangSong" w:hAnsi="FangSong" w:eastAsia="FangSong" w:cs="FangSong"/>
          <w:sz w:val="23"/>
          <w:szCs w:val="23"/>
        </w:rPr>
        <w:t>目1个</w:t>
      </w:r>
      <w:r>
        <w:rPr>
          <w:rFonts w:ascii="FangSong" w:hAnsi="FangSong" w:eastAsia="FangSong" w:cs="FangSong"/>
          <w:sz w:val="23"/>
          <w:szCs w:val="23"/>
          <w:spacing w:val="-68"/>
        </w:rPr>
        <w:t xml:space="preserve"> </w:t>
      </w:r>
      <w:r>
        <w:rPr>
          <w:rFonts w:ascii="FangSong" w:hAnsi="FangSong" w:eastAsia="FangSong" w:cs="FangSong"/>
          <w:sz w:val="23"/>
          <w:szCs w:val="23"/>
        </w:rPr>
        <w:t>，涉及项</w:t>
      </w:r>
      <w:r>
        <w:rPr>
          <w:rFonts w:ascii="FangSong" w:hAnsi="FangSong" w:eastAsia="FangSong" w:cs="FangSong"/>
          <w:sz w:val="23"/>
          <w:szCs w:val="23"/>
          <w:spacing w:val="-45"/>
        </w:rPr>
        <w:t xml:space="preserve"> </w:t>
      </w:r>
      <w:r>
        <w:rPr>
          <w:rFonts w:ascii="FangSong" w:hAnsi="FangSong" w:eastAsia="FangSong" w:cs="FangSong"/>
          <w:sz w:val="23"/>
          <w:szCs w:val="23"/>
        </w:rPr>
        <w:t>目金额</w:t>
      </w:r>
      <w:r>
        <w:rPr>
          <w:rFonts w:ascii="FangSong" w:hAnsi="FangSong" w:eastAsia="FangSong" w:cs="FangSong"/>
          <w:sz w:val="23"/>
          <w:szCs w:val="23"/>
          <w:spacing w:val="-1"/>
        </w:rPr>
        <w:t>40.00万元。</w:t>
      </w:r>
    </w:p>
    <w:p>
      <w:pPr>
        <w:ind w:left="664"/>
        <w:spacing w:before="1" w:line="222"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2" w:lineRule="auto"/>
        <w:sectPr>
          <w:footerReference w:type="default" r:id="rId22"/>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373"/>
        <w:spacing w:line="10617" w:lineRule="exact"/>
        <w:rPr/>
      </w:pPr>
      <w:r>
        <w:rPr>
          <w:position w:val="-212"/>
        </w:rPr>
        <w:drawing>
          <wp:inline distT="0" distB="0" distL="0" distR="0">
            <wp:extent cx="5066588" cy="6741721"/>
            <wp:effectExtent l="0" t="0" r="0" b="0"/>
            <wp:docPr id="8" name="IM 8"/>
            <wp:cNvGraphicFramePr/>
            <a:graphic>
              <a:graphicData uri="http://schemas.openxmlformats.org/drawingml/2006/picture">
                <pic:pic>
                  <pic:nvPicPr>
                    <pic:cNvPr id="8" name="IM 8"/>
                    <pic:cNvPicPr/>
                  </pic:nvPicPr>
                  <pic:blipFill>
                    <a:blip r:embed="rId25"/>
                    <a:stretch>
                      <a:fillRect/>
                    </a:stretch>
                  </pic:blipFill>
                  <pic:spPr>
                    <a:xfrm rot="0">
                      <a:off x="0" y="0"/>
                      <a:ext cx="5066588" cy="6741721"/>
                    </a:xfrm>
                    <a:prstGeom prst="rect">
                      <a:avLst/>
                    </a:prstGeom>
                  </pic:spPr>
                </pic:pic>
              </a:graphicData>
            </a:graphic>
          </wp:inline>
        </w:drawing>
      </w:r>
    </w:p>
    <w:p>
      <w:pPr>
        <w:spacing w:line="10617" w:lineRule="exact"/>
        <w:sectPr>
          <w:footerReference w:type="default" r:id="rId2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73"/>
        <w:spacing w:line="10228" w:lineRule="exact"/>
        <w:rPr/>
      </w:pPr>
      <w:r>
        <w:rPr>
          <w:position w:val="-204"/>
        </w:rPr>
        <w:drawing>
          <wp:inline distT="0" distB="0" distL="0" distR="0">
            <wp:extent cx="5066588" cy="6494571"/>
            <wp:effectExtent l="0" t="0" r="0" b="0"/>
            <wp:docPr id="10" name="IM 10"/>
            <wp:cNvGraphicFramePr/>
            <a:graphic>
              <a:graphicData uri="http://schemas.openxmlformats.org/drawingml/2006/picture">
                <pic:pic>
                  <pic:nvPicPr>
                    <pic:cNvPr id="10" name="IM 10"/>
                    <pic:cNvPicPr/>
                  </pic:nvPicPr>
                  <pic:blipFill>
                    <a:blip r:embed="rId27"/>
                    <a:stretch>
                      <a:fillRect/>
                    </a:stretch>
                  </pic:blipFill>
                  <pic:spPr>
                    <a:xfrm rot="0">
                      <a:off x="0" y="0"/>
                      <a:ext cx="5066588" cy="6494571"/>
                    </a:xfrm>
                    <a:prstGeom prst="rect">
                      <a:avLst/>
                    </a:prstGeom>
                  </pic:spPr>
                </pic:pic>
              </a:graphicData>
            </a:graphic>
          </wp:inline>
        </w:drawing>
      </w:r>
    </w:p>
    <w:p>
      <w:pPr>
        <w:spacing w:line="10228" w:lineRule="exact"/>
        <w:sectPr>
          <w:footerReference w:type="default" r:id="rId2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51"/>
        <w:spacing w:line="10131" w:lineRule="exact"/>
        <w:rPr/>
      </w:pPr>
      <w:r>
        <w:rPr>
          <w:position w:val="-202"/>
        </w:rPr>
        <w:drawing>
          <wp:inline distT="0" distB="0" distL="0" distR="0">
            <wp:extent cx="5094050" cy="6432783"/>
            <wp:effectExtent l="0" t="0" r="0" b="0"/>
            <wp:docPr id="12" name="IM 12"/>
            <wp:cNvGraphicFramePr/>
            <a:graphic>
              <a:graphicData uri="http://schemas.openxmlformats.org/drawingml/2006/picture">
                <pic:pic>
                  <pic:nvPicPr>
                    <pic:cNvPr id="12" name="IM 12"/>
                    <pic:cNvPicPr/>
                  </pic:nvPicPr>
                  <pic:blipFill>
                    <a:blip r:embed="rId29"/>
                    <a:stretch>
                      <a:fillRect/>
                    </a:stretch>
                  </pic:blipFill>
                  <pic:spPr>
                    <a:xfrm rot="0">
                      <a:off x="0" y="0"/>
                      <a:ext cx="5094050" cy="6432783"/>
                    </a:xfrm>
                    <a:prstGeom prst="rect">
                      <a:avLst/>
                    </a:prstGeom>
                  </pic:spPr>
                </pic:pic>
              </a:graphicData>
            </a:graphic>
          </wp:inline>
        </w:drawing>
      </w:r>
    </w:p>
    <w:p>
      <w:pPr>
        <w:spacing w:line="10131" w:lineRule="exact"/>
        <w:sectPr>
          <w:footerReference w:type="default" r:id="rId28"/>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62"/>
        <w:spacing w:line="10996" w:lineRule="exact"/>
        <w:rPr/>
      </w:pPr>
      <w:r>
        <w:rPr>
          <w:position w:val="-219"/>
        </w:rPr>
        <w:drawing>
          <wp:inline distT="0" distB="0" distL="0" distR="0">
            <wp:extent cx="5080319" cy="6982007"/>
            <wp:effectExtent l="0" t="0" r="0" b="0"/>
            <wp:docPr id="14" name="IM 14"/>
            <wp:cNvGraphicFramePr/>
            <a:graphic>
              <a:graphicData uri="http://schemas.openxmlformats.org/drawingml/2006/picture">
                <pic:pic>
                  <pic:nvPicPr>
                    <pic:cNvPr id="14" name="IM 14"/>
                    <pic:cNvPicPr/>
                  </pic:nvPicPr>
                  <pic:blipFill>
                    <a:blip r:embed="rId31"/>
                    <a:stretch>
                      <a:fillRect/>
                    </a:stretch>
                  </pic:blipFill>
                  <pic:spPr>
                    <a:xfrm rot="0">
                      <a:off x="0" y="0"/>
                      <a:ext cx="5080319" cy="6982007"/>
                    </a:xfrm>
                    <a:prstGeom prst="rect">
                      <a:avLst/>
                    </a:prstGeom>
                  </pic:spPr>
                </pic:pic>
              </a:graphicData>
            </a:graphic>
          </wp:inline>
        </w:drawing>
      </w:r>
    </w:p>
    <w:p>
      <w:pPr>
        <w:spacing w:line="10996" w:lineRule="exact"/>
        <w:sectPr>
          <w:footerReference w:type="default" r:id="rId30"/>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51"/>
        <w:spacing w:line="10942" w:lineRule="exact"/>
        <w:rPr/>
      </w:pPr>
      <w:r>
        <w:rPr>
          <w:position w:val="-218"/>
        </w:rPr>
        <w:drawing>
          <wp:inline distT="0" distB="0" distL="0" distR="0">
            <wp:extent cx="5094050" cy="6947680"/>
            <wp:effectExtent l="0" t="0" r="0" b="0"/>
            <wp:docPr id="16" name="IM 16"/>
            <wp:cNvGraphicFramePr/>
            <a:graphic>
              <a:graphicData uri="http://schemas.openxmlformats.org/drawingml/2006/picture">
                <pic:pic>
                  <pic:nvPicPr>
                    <pic:cNvPr id="16" name="IM 16"/>
                    <pic:cNvPicPr/>
                  </pic:nvPicPr>
                  <pic:blipFill>
                    <a:blip r:embed="rId33"/>
                    <a:stretch>
                      <a:fillRect/>
                    </a:stretch>
                  </pic:blipFill>
                  <pic:spPr>
                    <a:xfrm rot="0">
                      <a:off x="0" y="0"/>
                      <a:ext cx="5094050" cy="6947680"/>
                    </a:xfrm>
                    <a:prstGeom prst="rect">
                      <a:avLst/>
                    </a:prstGeom>
                  </pic:spPr>
                </pic:pic>
              </a:graphicData>
            </a:graphic>
          </wp:inline>
        </w:drawing>
      </w:r>
    </w:p>
    <w:p>
      <w:pPr>
        <w:spacing w:line="10942" w:lineRule="exact"/>
        <w:sectPr>
          <w:footerReference w:type="default" r:id="rId3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390" w:lineRule="exact"/>
        <w:rPr/>
      </w:pPr>
      <w:r>
        <w:rPr>
          <w:position w:val="-207"/>
        </w:rPr>
        <w:drawing>
          <wp:inline distT="0" distB="0" distL="0" distR="0">
            <wp:extent cx="5045993" cy="6597550"/>
            <wp:effectExtent l="0" t="0" r="0" b="0"/>
            <wp:docPr id="18" name="IM 18"/>
            <wp:cNvGraphicFramePr/>
            <a:graphic>
              <a:graphicData uri="http://schemas.openxmlformats.org/drawingml/2006/picture">
                <pic:pic>
                  <pic:nvPicPr>
                    <pic:cNvPr id="18" name="IM 18"/>
                    <pic:cNvPicPr/>
                  </pic:nvPicPr>
                  <pic:blipFill>
                    <a:blip r:embed="rId35"/>
                    <a:stretch>
                      <a:fillRect/>
                    </a:stretch>
                  </pic:blipFill>
                  <pic:spPr>
                    <a:xfrm rot="0">
                      <a:off x="0" y="0"/>
                      <a:ext cx="5045993" cy="6597550"/>
                    </a:xfrm>
                    <a:prstGeom prst="rect">
                      <a:avLst/>
                    </a:prstGeom>
                  </pic:spPr>
                </pic:pic>
              </a:graphicData>
            </a:graphic>
          </wp:inline>
        </w:drawing>
      </w:r>
    </w:p>
    <w:p>
      <w:pPr>
        <w:spacing w:line="10390" w:lineRule="exact"/>
        <w:sectPr>
          <w:footerReference w:type="default" r:id="rId34"/>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94"/>
        <w:spacing w:line="10585" w:lineRule="exact"/>
        <w:rPr/>
      </w:pPr>
      <w:r>
        <w:rPr>
          <w:position w:val="-211"/>
        </w:rPr>
        <w:drawing>
          <wp:inline distT="0" distB="0" distL="0" distR="0">
            <wp:extent cx="5045993" cy="6721126"/>
            <wp:effectExtent l="0" t="0" r="0" b="0"/>
            <wp:docPr id="20" name="IM 20"/>
            <wp:cNvGraphicFramePr/>
            <a:graphic>
              <a:graphicData uri="http://schemas.openxmlformats.org/drawingml/2006/picture">
                <pic:pic>
                  <pic:nvPicPr>
                    <pic:cNvPr id="20" name="IM 20"/>
                    <pic:cNvPicPr/>
                  </pic:nvPicPr>
                  <pic:blipFill>
                    <a:blip r:embed="rId37"/>
                    <a:stretch>
                      <a:fillRect/>
                    </a:stretch>
                  </pic:blipFill>
                  <pic:spPr>
                    <a:xfrm rot="0">
                      <a:off x="0" y="0"/>
                      <a:ext cx="5045993" cy="6721126"/>
                    </a:xfrm>
                    <a:prstGeom prst="rect">
                      <a:avLst/>
                    </a:prstGeom>
                  </pic:spPr>
                </pic:pic>
              </a:graphicData>
            </a:graphic>
          </wp:inline>
        </w:drawing>
      </w:r>
    </w:p>
    <w:p>
      <w:pPr>
        <w:spacing w:line="10585" w:lineRule="exact"/>
        <w:sectPr>
          <w:footerReference w:type="default" r:id="rId3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736" w:lineRule="exact"/>
        <w:rPr/>
      </w:pPr>
      <w:r>
        <w:rPr>
          <w:position w:val="-214"/>
        </w:rPr>
        <w:drawing>
          <wp:inline distT="0" distB="0" distL="0" distR="0">
            <wp:extent cx="5045993" cy="6817241"/>
            <wp:effectExtent l="0" t="0" r="0" b="0"/>
            <wp:docPr id="22" name="IM 22"/>
            <wp:cNvGraphicFramePr/>
            <a:graphic>
              <a:graphicData uri="http://schemas.openxmlformats.org/drawingml/2006/picture">
                <pic:pic>
                  <pic:nvPicPr>
                    <pic:cNvPr id="22" name="IM 22"/>
                    <pic:cNvPicPr/>
                  </pic:nvPicPr>
                  <pic:blipFill>
                    <a:blip r:embed="rId39"/>
                    <a:stretch>
                      <a:fillRect/>
                    </a:stretch>
                  </pic:blipFill>
                  <pic:spPr>
                    <a:xfrm rot="0">
                      <a:off x="0" y="0"/>
                      <a:ext cx="5045993" cy="6817241"/>
                    </a:xfrm>
                    <a:prstGeom prst="rect">
                      <a:avLst/>
                    </a:prstGeom>
                  </pic:spPr>
                </pic:pic>
              </a:graphicData>
            </a:graphic>
          </wp:inline>
        </w:drawing>
      </w:r>
    </w:p>
    <w:p>
      <w:pPr>
        <w:spacing w:line="10736" w:lineRule="exact"/>
        <w:sectPr>
          <w:footerReference w:type="default" r:id="rId3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509" w:lineRule="exact"/>
        <w:rPr/>
      </w:pPr>
      <w:r>
        <w:rPr>
          <w:position w:val="-210"/>
        </w:rPr>
        <w:drawing>
          <wp:inline distT="0" distB="0" distL="0" distR="0">
            <wp:extent cx="5045993" cy="6673068"/>
            <wp:effectExtent l="0" t="0" r="0" b="0"/>
            <wp:docPr id="24" name="IM 24"/>
            <wp:cNvGraphicFramePr/>
            <a:graphic>
              <a:graphicData uri="http://schemas.openxmlformats.org/drawingml/2006/picture">
                <pic:pic>
                  <pic:nvPicPr>
                    <pic:cNvPr id="24" name="IM 24"/>
                    <pic:cNvPicPr/>
                  </pic:nvPicPr>
                  <pic:blipFill>
                    <a:blip r:embed="rId41"/>
                    <a:stretch>
                      <a:fillRect/>
                    </a:stretch>
                  </pic:blipFill>
                  <pic:spPr>
                    <a:xfrm rot="0">
                      <a:off x="0" y="0"/>
                      <a:ext cx="5045993" cy="6673068"/>
                    </a:xfrm>
                    <a:prstGeom prst="rect">
                      <a:avLst/>
                    </a:prstGeom>
                  </pic:spPr>
                </pic:pic>
              </a:graphicData>
            </a:graphic>
          </wp:inline>
        </w:drawing>
      </w:r>
    </w:p>
    <w:p>
      <w:pPr>
        <w:spacing w:line="10509" w:lineRule="exact"/>
        <w:sectPr>
          <w:footerReference w:type="default" r:id="rId40"/>
          <w:pgSz w:w="11900" w:h="16840"/>
          <w:pgMar w:top="642" w:right="600" w:bottom="340" w:left="600" w:header="326" w:footer="111" w:gutter="0"/>
        </w:sectPr>
        <w:rPr/>
      </w:pPr>
    </w:p>
    <w:p>
      <w:pPr>
        <w:spacing w:line="271" w:lineRule="auto"/>
        <w:rPr>
          <w:rFonts w:ascii="Arial"/>
          <w:sz w:val="21"/>
        </w:rPr>
      </w:pPr>
      <w:r/>
    </w:p>
    <w:p>
      <w:pPr>
        <w:spacing w:line="271" w:lineRule="auto"/>
        <w:rPr>
          <w:rFonts w:ascii="Arial"/>
          <w:sz w:val="21"/>
        </w:rPr>
      </w:pPr>
      <w:r/>
    </w:p>
    <w:p>
      <w:pPr>
        <w:ind w:left="660"/>
        <w:spacing w:before="94" w:line="227" w:lineRule="exact"/>
        <w:outlineLvl w:val="1"/>
        <w:rPr>
          <w:rFonts w:ascii="Microsoft YaHei" w:hAnsi="Microsoft YaHei" w:eastAsia="Microsoft YaHei" w:cs="Microsoft YaHei"/>
          <w:sz w:val="22"/>
          <w:szCs w:val="22"/>
        </w:rPr>
      </w:pPr>
      <w:bookmarkStart w:name="bookmark30" w:id="44"/>
      <w:bookmarkEnd w:id="44"/>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1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663" w:right="623" w:firstLine="461"/>
        <w:spacing w:before="135" w:line="321" w:lineRule="auto"/>
        <w:rPr>
          <w:rFonts w:ascii="FangSong" w:hAnsi="FangSong" w:eastAsia="FangSong" w:cs="FangSong"/>
          <w:sz w:val="23"/>
          <w:szCs w:val="23"/>
        </w:rPr>
      </w:pPr>
      <w:r>
        <w:rPr>
          <w:rFonts w:ascii="FangSong" w:hAnsi="FangSong" w:eastAsia="FangSong" w:cs="FangSong"/>
          <w:sz w:val="23"/>
          <w:szCs w:val="23"/>
          <w:spacing w:val="2"/>
        </w:rPr>
        <w:t>截至2025年4月30日，兴县应急减灾中心共有公务用车编制0辆，实有0辆，其中：领导用</w:t>
      </w:r>
      <w:r>
        <w:rPr>
          <w:rFonts w:ascii="FangSong" w:hAnsi="FangSong" w:eastAsia="FangSong" w:cs="FangSong"/>
          <w:sz w:val="23"/>
          <w:szCs w:val="23"/>
          <w:spacing w:val="2"/>
        </w:rPr>
        <w:t>车0辆，机要通信用车0辆，应急保障用车0辆，执法执勤用车0辆，特种专业技术用车0辆，事</w:t>
      </w:r>
      <w:r>
        <w:rPr>
          <w:rFonts w:ascii="FangSong" w:hAnsi="FangSong" w:eastAsia="FangSong" w:cs="FangSong"/>
          <w:sz w:val="23"/>
          <w:szCs w:val="23"/>
          <w:spacing w:val="-1"/>
        </w:rPr>
        <w:t>业单位业务用车0辆，其他公务用车0辆。</w:t>
      </w:r>
    </w:p>
    <w:p>
      <w:pPr>
        <w:ind w:left="11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125"/>
        <w:spacing w:before="122" w:line="223" w:lineRule="auto"/>
        <w:rPr>
          <w:rFonts w:ascii="FangSong" w:hAnsi="FangSong" w:eastAsia="FangSong" w:cs="FangSong"/>
          <w:sz w:val="23"/>
          <w:szCs w:val="23"/>
        </w:rPr>
      </w:pPr>
      <w:r>
        <w:rPr>
          <w:rFonts w:ascii="FangSong" w:hAnsi="FangSong" w:eastAsia="FangSong" w:cs="FangSong"/>
          <w:sz w:val="23"/>
          <w:szCs w:val="23"/>
        </w:rPr>
        <w:t>截至2025年4月30日，兴县应急减灾中心使用的办公用房建筑总面积420平方米。</w:t>
      </w:r>
    </w:p>
    <w:p>
      <w:pPr>
        <w:ind w:left="1122"/>
        <w:spacing w:before="123"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685" w:right="623" w:firstLine="439"/>
        <w:spacing w:before="135" w:line="320" w:lineRule="auto"/>
        <w:rPr>
          <w:rFonts w:ascii="FangSong" w:hAnsi="FangSong" w:eastAsia="FangSong" w:cs="FangSong"/>
          <w:sz w:val="23"/>
          <w:szCs w:val="23"/>
        </w:rPr>
      </w:pPr>
      <w:r>
        <w:rPr>
          <w:rFonts w:ascii="FangSong" w:hAnsi="FangSong" w:eastAsia="FangSong" w:cs="FangSong"/>
          <w:sz w:val="23"/>
          <w:szCs w:val="23"/>
          <w:spacing w:val="2"/>
        </w:rPr>
        <w:t>截至2025年4月30</w:t>
      </w:r>
      <w:r>
        <w:rPr>
          <w:rFonts w:ascii="FangSong" w:hAnsi="FangSong" w:eastAsia="FangSong" w:cs="FangSong"/>
          <w:sz w:val="23"/>
          <w:szCs w:val="23"/>
          <w:spacing w:val="-41"/>
        </w:rPr>
        <w:t xml:space="preserve"> </w:t>
      </w:r>
      <w:r>
        <w:rPr>
          <w:rFonts w:ascii="FangSong" w:hAnsi="FangSong" w:eastAsia="FangSong" w:cs="FangSong"/>
          <w:sz w:val="23"/>
          <w:szCs w:val="23"/>
          <w:spacing w:val="2"/>
        </w:rPr>
        <w:t>日，兴县应急减灾中心占有使用价值50万元（原值）</w:t>
      </w:r>
      <w:r>
        <w:rPr>
          <w:rFonts w:ascii="FangSong" w:hAnsi="FangSong" w:eastAsia="FangSong" w:cs="FangSong"/>
          <w:sz w:val="23"/>
          <w:szCs w:val="23"/>
          <w:spacing w:val="-65"/>
        </w:rPr>
        <w:t xml:space="preserve"> </w:t>
      </w:r>
      <w:r>
        <w:rPr>
          <w:rFonts w:ascii="FangSong" w:hAnsi="FangSong" w:eastAsia="FangSong" w:cs="FangSong"/>
          <w:sz w:val="23"/>
          <w:szCs w:val="23"/>
          <w:spacing w:val="2"/>
        </w:rPr>
        <w:t>以上的通用设备0</w:t>
      </w:r>
      <w:r>
        <w:rPr>
          <w:rFonts w:ascii="FangSong" w:hAnsi="FangSong" w:eastAsia="FangSong" w:cs="FangSong"/>
          <w:sz w:val="23"/>
          <w:szCs w:val="23"/>
          <w:spacing w:val="-1"/>
        </w:rPr>
        <w:t>台（套</w:t>
      </w:r>
      <w:r>
        <w:rPr>
          <w:rFonts w:ascii="FangSong" w:hAnsi="FangSong" w:eastAsia="FangSong" w:cs="FangSong"/>
          <w:sz w:val="23"/>
          <w:szCs w:val="23"/>
          <w:spacing w:val="11"/>
        </w:rPr>
        <w:t>）；</w:t>
      </w:r>
      <w:r>
        <w:rPr>
          <w:rFonts w:ascii="FangSong" w:hAnsi="FangSong" w:eastAsia="FangSong" w:cs="FangSong"/>
          <w:sz w:val="23"/>
          <w:szCs w:val="23"/>
          <w:spacing w:val="-1"/>
        </w:rPr>
        <w:t>兴县应急减灾中心占有使用价值100万元（原值）以上的通用设备0台（套）。</w:t>
      </w:r>
    </w:p>
    <w:p>
      <w:pPr>
        <w:ind w:left="660"/>
        <w:spacing w:line="227" w:lineRule="exact"/>
        <w:outlineLvl w:val="1"/>
        <w:rPr>
          <w:rFonts w:ascii="Microsoft YaHei" w:hAnsi="Microsoft YaHei" w:eastAsia="Microsoft YaHei" w:cs="Microsoft YaHei"/>
          <w:sz w:val="22"/>
          <w:szCs w:val="22"/>
        </w:rPr>
      </w:pPr>
      <w:bookmarkStart w:name="bookmark31" w:id="45"/>
      <w:bookmarkEnd w:id="45"/>
      <w:r>
        <w:rPr>
          <w:rFonts w:ascii="Microsoft YaHei" w:hAnsi="Microsoft YaHei" w:eastAsia="Microsoft YaHei" w:cs="Microsoft YaHei"/>
          <w:sz w:val="22"/>
          <w:szCs w:val="22"/>
          <w:spacing w:val="7"/>
          <w:position w:val="-1"/>
        </w:rPr>
        <w:t>十二、其他说明</w:t>
      </w:r>
    </w:p>
    <w:p>
      <w:pPr>
        <w:ind w:left="1125"/>
        <w:spacing w:before="185" w:line="221" w:lineRule="auto"/>
        <w:outlineLvl w:val="2"/>
        <w:rPr>
          <w:rFonts w:ascii="FangSong" w:hAnsi="FangSong" w:eastAsia="FangSong" w:cs="FangSong"/>
          <w:sz w:val="23"/>
          <w:szCs w:val="23"/>
        </w:rPr>
      </w:pPr>
      <w:bookmarkStart w:name="bookmark32" w:id="46"/>
      <w:bookmarkEnd w:id="46"/>
      <w:r>
        <w:rPr>
          <w:rFonts w:ascii="FangSong" w:hAnsi="FangSong" w:eastAsia="FangSong" w:cs="FangSong"/>
          <w:sz w:val="23"/>
          <w:szCs w:val="23"/>
          <w:spacing w:val="-1"/>
        </w:rPr>
        <w:t>（一）政府购买服务指导性目录</w:t>
      </w:r>
    </w:p>
    <w:p>
      <w:pPr>
        <w:ind w:left="1126"/>
        <w:spacing w:before="255" w:line="221" w:lineRule="auto"/>
        <w:rPr>
          <w:rFonts w:ascii="FangSong" w:hAnsi="FangSong" w:eastAsia="FangSong" w:cs="FangSong"/>
          <w:sz w:val="23"/>
          <w:szCs w:val="23"/>
        </w:rPr>
      </w:pPr>
      <w:r>
        <w:rPr>
          <w:rFonts w:ascii="FangSong" w:hAnsi="FangSong" w:eastAsia="FangSong" w:cs="FangSong"/>
          <w:sz w:val="23"/>
          <w:szCs w:val="23"/>
          <w:spacing w:val="-1"/>
        </w:rPr>
        <w:t>本单位无政府购买服务项目。</w:t>
      </w:r>
    </w:p>
    <w:p>
      <w:pPr>
        <w:ind w:left="1125"/>
        <w:spacing w:before="255" w:line="222" w:lineRule="auto"/>
        <w:outlineLvl w:val="2"/>
        <w:rPr>
          <w:rFonts w:ascii="FangSong" w:hAnsi="FangSong" w:eastAsia="FangSong" w:cs="FangSong"/>
          <w:sz w:val="23"/>
          <w:szCs w:val="23"/>
        </w:rPr>
      </w:pPr>
      <w:bookmarkStart w:name="bookmark33" w:id="47"/>
      <w:bookmarkEnd w:id="47"/>
      <w:r>
        <w:rPr>
          <w:rFonts w:ascii="FangSong" w:hAnsi="FangSong" w:eastAsia="FangSong" w:cs="FangSong"/>
          <w:sz w:val="23"/>
          <w:szCs w:val="23"/>
          <w:spacing w:val="-3"/>
        </w:rPr>
        <w:t>（二）其他</w:t>
      </w:r>
    </w:p>
    <w:p>
      <w:pPr>
        <w:ind w:left="1127"/>
        <w:spacing w:before="263" w:line="226" w:lineRule="auto"/>
        <w:rPr>
          <w:rFonts w:ascii="FangSong" w:hAnsi="FangSong" w:eastAsia="FangSong" w:cs="FangSong"/>
          <w:sz w:val="23"/>
          <w:szCs w:val="23"/>
        </w:rPr>
      </w:pPr>
      <w:r>
        <w:rPr>
          <w:rFonts w:ascii="FangSong" w:hAnsi="FangSong" w:eastAsia="FangSong" w:cs="FangSong"/>
          <w:sz w:val="23"/>
          <w:szCs w:val="23"/>
        </w:rPr>
        <w:t>无</w:t>
      </w:r>
    </w:p>
    <w:p>
      <w:pPr>
        <w:spacing w:line="226" w:lineRule="auto"/>
        <w:sectPr>
          <w:footerReference w:type="default" r:id="rId42"/>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719"/>
        <w:spacing w:line="12639" w:lineRule="exact"/>
        <w:rPr/>
      </w:pPr>
      <w:r>
        <w:rPr>
          <w:position w:val="-252"/>
        </w:rPr>
        <w:drawing>
          <wp:inline distT="0" distB="0" distL="0" distR="0">
            <wp:extent cx="4627211" cy="8025532"/>
            <wp:effectExtent l="0" t="0" r="0" b="0"/>
            <wp:docPr id="26" name="IM 26"/>
            <wp:cNvGraphicFramePr/>
            <a:graphic>
              <a:graphicData uri="http://schemas.openxmlformats.org/drawingml/2006/picture">
                <pic:pic>
                  <pic:nvPicPr>
                    <pic:cNvPr id="26" name="IM 26"/>
                    <pic:cNvPicPr/>
                  </pic:nvPicPr>
                  <pic:blipFill>
                    <a:blip r:embed="rId44"/>
                    <a:stretch>
                      <a:fillRect/>
                    </a:stretch>
                  </pic:blipFill>
                  <pic:spPr>
                    <a:xfrm rot="0">
                      <a:off x="0" y="0"/>
                      <a:ext cx="4627211" cy="8025532"/>
                    </a:xfrm>
                    <a:prstGeom prst="rect">
                      <a:avLst/>
                    </a:prstGeom>
                  </pic:spPr>
                </pic:pic>
              </a:graphicData>
            </a:graphic>
          </wp:inline>
        </w:drawing>
      </w:r>
    </w:p>
    <w:p>
      <w:pPr>
        <w:spacing w:line="12639" w:lineRule="exact"/>
        <w:sectPr>
          <w:footerReference w:type="default" r:id="rId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29"/>
        <w:spacing w:line="12639" w:lineRule="exact"/>
        <w:rPr/>
      </w:pPr>
      <w:r>
        <w:rPr>
          <w:position w:val="-252"/>
        </w:rPr>
        <w:drawing>
          <wp:inline distT="0" distB="0" distL="0" distR="0">
            <wp:extent cx="4613480" cy="8025532"/>
            <wp:effectExtent l="0" t="0" r="0" b="0"/>
            <wp:docPr id="28" name="IM 28"/>
            <wp:cNvGraphicFramePr/>
            <a:graphic>
              <a:graphicData uri="http://schemas.openxmlformats.org/drawingml/2006/picture">
                <pic:pic>
                  <pic:nvPicPr>
                    <pic:cNvPr id="28" name="IM 28"/>
                    <pic:cNvPicPr/>
                  </pic:nvPicPr>
                  <pic:blipFill>
                    <a:blip r:embed="rId46"/>
                    <a:stretch>
                      <a:fillRect/>
                    </a:stretch>
                  </pic:blipFill>
                  <pic:spPr>
                    <a:xfrm rot="0">
                      <a:off x="0" y="0"/>
                      <a:ext cx="4613480" cy="8025532"/>
                    </a:xfrm>
                    <a:prstGeom prst="rect">
                      <a:avLst/>
                    </a:prstGeom>
                  </pic:spPr>
                </pic:pic>
              </a:graphicData>
            </a:graphic>
          </wp:inline>
        </w:drawing>
      </w:r>
    </w:p>
    <w:p>
      <w:pPr>
        <w:spacing w:line="12639" w:lineRule="exact"/>
        <w:sectPr>
          <w:footerReference w:type="default" r:id="rId4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0" name="IM 30"/>
            <wp:cNvGraphicFramePr/>
            <a:graphic>
              <a:graphicData uri="http://schemas.openxmlformats.org/drawingml/2006/picture">
                <pic:pic>
                  <pic:nvPicPr>
                    <pic:cNvPr id="30" name="IM 30"/>
                    <pic:cNvPicPr/>
                  </pic:nvPicPr>
                  <pic:blipFill>
                    <a:blip r:embed="rId4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4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2" name="IM 32"/>
            <wp:cNvGraphicFramePr/>
            <a:graphic>
              <a:graphicData uri="http://schemas.openxmlformats.org/drawingml/2006/picture">
                <pic:pic>
                  <pic:nvPicPr>
                    <pic:cNvPr id="32" name="IM 32"/>
                    <pic:cNvPicPr/>
                  </pic:nvPicPr>
                  <pic:blipFill>
                    <a:blip r:embed="rId5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4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4" name="IM 34"/>
            <wp:cNvGraphicFramePr/>
            <a:graphic>
              <a:graphicData uri="http://schemas.openxmlformats.org/drawingml/2006/picture">
                <pic:pic>
                  <pic:nvPicPr>
                    <pic:cNvPr id="34" name="IM 34"/>
                    <pic:cNvPicPr/>
                  </pic:nvPicPr>
                  <pic:blipFill>
                    <a:blip r:embed="rId5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6" name="IM 36"/>
            <wp:cNvGraphicFramePr/>
            <a:graphic>
              <a:graphicData uri="http://schemas.openxmlformats.org/drawingml/2006/picture">
                <pic:pic>
                  <pic:nvPicPr>
                    <pic:cNvPr id="36" name="IM 36"/>
                    <pic:cNvPicPr/>
                  </pic:nvPicPr>
                  <pic:blipFill>
                    <a:blip r:embed="rId5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8" name="IM 38"/>
            <wp:cNvGraphicFramePr/>
            <a:graphic>
              <a:graphicData uri="http://schemas.openxmlformats.org/drawingml/2006/picture">
                <pic:pic>
                  <pic:nvPicPr>
                    <pic:cNvPr id="38" name="IM 38"/>
                    <pic:cNvPicPr/>
                  </pic:nvPicPr>
                  <pic:blipFill>
                    <a:blip r:embed="rId5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0" name="IM 40"/>
            <wp:cNvGraphicFramePr/>
            <a:graphic>
              <a:graphicData uri="http://schemas.openxmlformats.org/drawingml/2006/picture">
                <pic:pic>
                  <pic:nvPicPr>
                    <pic:cNvPr id="40" name="IM 40"/>
                    <pic:cNvPicPr/>
                  </pic:nvPicPr>
                  <pic:blipFill>
                    <a:blip r:embed="rId5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2" name="IM 42"/>
            <wp:cNvGraphicFramePr/>
            <a:graphic>
              <a:graphicData uri="http://schemas.openxmlformats.org/drawingml/2006/picture">
                <pic:pic>
                  <pic:nvPicPr>
                    <pic:cNvPr id="42" name="IM 42"/>
                    <pic:cNvPicPr/>
                  </pic:nvPicPr>
                  <pic:blipFill>
                    <a:blip r:embed="rId6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4" name="IM 44"/>
            <wp:cNvGraphicFramePr/>
            <a:graphic>
              <a:graphicData uri="http://schemas.openxmlformats.org/drawingml/2006/picture">
                <pic:pic>
                  <pic:nvPicPr>
                    <pic:cNvPr id="44" name="IM 44"/>
                    <pic:cNvPicPr/>
                  </pic:nvPicPr>
                  <pic:blipFill>
                    <a:blip r:embed="rId6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6" name="IM 46"/>
            <wp:cNvGraphicFramePr/>
            <a:graphic>
              <a:graphicData uri="http://schemas.openxmlformats.org/drawingml/2006/picture">
                <pic:pic>
                  <pic:nvPicPr>
                    <pic:cNvPr id="46" name="IM 46"/>
                    <pic:cNvPicPr/>
                  </pic:nvPicPr>
                  <pic:blipFill>
                    <a:blip r:embed="rId6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8" name="IM 48"/>
            <wp:cNvGraphicFramePr/>
            <a:graphic>
              <a:graphicData uri="http://schemas.openxmlformats.org/drawingml/2006/picture">
                <pic:pic>
                  <pic:nvPicPr>
                    <pic:cNvPr id="48" name="IM 48"/>
                    <pic:cNvPicPr/>
                  </pic:nvPicPr>
                  <pic:blipFill>
                    <a:blip r:embed="rId6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0" name="IM 50"/>
            <wp:cNvGraphicFramePr/>
            <a:graphic>
              <a:graphicData uri="http://schemas.openxmlformats.org/drawingml/2006/picture">
                <pic:pic>
                  <pic:nvPicPr>
                    <pic:cNvPr id="50" name="IM 50"/>
                    <pic:cNvPicPr/>
                  </pic:nvPicPr>
                  <pic:blipFill>
                    <a:blip r:embed="rId6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7"/>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2" name="IM 52"/>
            <wp:cNvGraphicFramePr/>
            <a:graphic>
              <a:graphicData uri="http://schemas.openxmlformats.org/drawingml/2006/picture">
                <pic:pic>
                  <pic:nvPicPr>
                    <pic:cNvPr id="52" name="IM 52"/>
                    <pic:cNvPicPr/>
                  </pic:nvPicPr>
                  <pic:blipFill>
                    <a:blip r:embed="rId7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9"/>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4" name="IM 54"/>
            <wp:cNvGraphicFramePr/>
            <a:graphic>
              <a:graphicData uri="http://schemas.openxmlformats.org/drawingml/2006/picture">
                <pic:pic>
                  <pic:nvPicPr>
                    <pic:cNvPr id="54" name="IM 54"/>
                    <pic:cNvPicPr/>
                  </pic:nvPicPr>
                  <pic:blipFill>
                    <a:blip r:embed="rId7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6" name="IM 56"/>
            <wp:cNvGraphicFramePr/>
            <a:graphic>
              <a:graphicData uri="http://schemas.openxmlformats.org/drawingml/2006/picture">
                <pic:pic>
                  <pic:nvPicPr>
                    <pic:cNvPr id="56" name="IM 56"/>
                    <pic:cNvPicPr/>
                  </pic:nvPicPr>
                  <pic:blipFill>
                    <a:blip r:embed="rId7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3"/>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8" name="IM 58"/>
            <wp:cNvGraphicFramePr/>
            <a:graphic>
              <a:graphicData uri="http://schemas.openxmlformats.org/drawingml/2006/picture">
                <pic:pic>
                  <pic:nvPicPr>
                    <pic:cNvPr id="58" name="IM 58"/>
                    <pic:cNvPicPr/>
                  </pic:nvPicPr>
                  <pic:blipFill>
                    <a:blip r:embed="rId7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0" name="IM 60"/>
            <wp:cNvGraphicFramePr/>
            <a:graphic>
              <a:graphicData uri="http://schemas.openxmlformats.org/drawingml/2006/picture">
                <pic:pic>
                  <pic:nvPicPr>
                    <pic:cNvPr id="60" name="IM 60"/>
                    <pic:cNvPicPr/>
                  </pic:nvPicPr>
                  <pic:blipFill>
                    <a:blip r:embed="rId7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2" name="IM 62"/>
            <wp:cNvGraphicFramePr/>
            <a:graphic>
              <a:graphicData uri="http://schemas.openxmlformats.org/drawingml/2006/picture">
                <pic:pic>
                  <pic:nvPicPr>
                    <pic:cNvPr id="62" name="IM 62"/>
                    <pic:cNvPicPr/>
                  </pic:nvPicPr>
                  <pic:blipFill>
                    <a:blip r:embed="rId8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4" name="IM 64"/>
            <wp:cNvGraphicFramePr/>
            <a:graphic>
              <a:graphicData uri="http://schemas.openxmlformats.org/drawingml/2006/picture">
                <pic:pic>
                  <pic:nvPicPr>
                    <pic:cNvPr id="64" name="IM 64"/>
                    <pic:cNvPicPr/>
                  </pic:nvPicPr>
                  <pic:blipFill>
                    <a:blip r:embed="rId8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6" name="IM 66"/>
            <wp:cNvGraphicFramePr/>
            <a:graphic>
              <a:graphicData uri="http://schemas.openxmlformats.org/drawingml/2006/picture">
                <pic:pic>
                  <pic:nvPicPr>
                    <pic:cNvPr id="66" name="IM 66"/>
                    <pic:cNvPicPr/>
                  </pic:nvPicPr>
                  <pic:blipFill>
                    <a:blip r:embed="rId8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8" name="IM 68"/>
            <wp:cNvGraphicFramePr/>
            <a:graphic>
              <a:graphicData uri="http://schemas.openxmlformats.org/drawingml/2006/picture">
                <pic:pic>
                  <pic:nvPicPr>
                    <pic:cNvPr id="68" name="IM 68"/>
                    <pic:cNvPicPr/>
                  </pic:nvPicPr>
                  <pic:blipFill>
                    <a:blip r:embed="rId8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0" name="IM 70"/>
            <wp:cNvGraphicFramePr/>
            <a:graphic>
              <a:graphicData uri="http://schemas.openxmlformats.org/drawingml/2006/picture">
                <pic:pic>
                  <pic:nvPicPr>
                    <pic:cNvPr id="70" name="IM 70"/>
                    <pic:cNvPicPr/>
                  </pic:nvPicPr>
                  <pic:blipFill>
                    <a:blip r:embed="rId8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2" name="IM 72"/>
            <wp:cNvGraphicFramePr/>
            <a:graphic>
              <a:graphicData uri="http://schemas.openxmlformats.org/drawingml/2006/picture">
                <pic:pic>
                  <pic:nvPicPr>
                    <pic:cNvPr id="72" name="IM 72"/>
                    <pic:cNvPicPr/>
                  </pic:nvPicPr>
                  <pic:blipFill>
                    <a:blip r:embed="rId9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4" name="IM 74"/>
            <wp:cNvGraphicFramePr/>
            <a:graphic>
              <a:graphicData uri="http://schemas.openxmlformats.org/drawingml/2006/picture">
                <pic:pic>
                  <pic:nvPicPr>
                    <pic:cNvPr id="74" name="IM 74"/>
                    <pic:cNvPicPr/>
                  </pic:nvPicPr>
                  <pic:blipFill>
                    <a:blip r:embed="rId9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6" name="IM 76"/>
            <wp:cNvGraphicFramePr/>
            <a:graphic>
              <a:graphicData uri="http://schemas.openxmlformats.org/drawingml/2006/picture">
                <pic:pic>
                  <pic:nvPicPr>
                    <pic:cNvPr id="76" name="IM 76"/>
                    <pic:cNvPicPr/>
                  </pic:nvPicPr>
                  <pic:blipFill>
                    <a:blip r:embed="rId9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8" name="IM 78"/>
            <wp:cNvGraphicFramePr/>
            <a:graphic>
              <a:graphicData uri="http://schemas.openxmlformats.org/drawingml/2006/picture">
                <pic:pic>
                  <pic:nvPicPr>
                    <pic:cNvPr id="78" name="IM 78"/>
                    <pic:cNvPicPr/>
                  </pic:nvPicPr>
                  <pic:blipFill>
                    <a:blip r:embed="rId9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0" name="IM 80"/>
            <wp:cNvGraphicFramePr/>
            <a:graphic>
              <a:graphicData uri="http://schemas.openxmlformats.org/drawingml/2006/picture">
                <pic:pic>
                  <pic:nvPicPr>
                    <pic:cNvPr id="80" name="IM 80"/>
                    <pic:cNvPicPr/>
                  </pic:nvPicPr>
                  <pic:blipFill>
                    <a:blip r:embed="rId9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2" name="IM 82"/>
            <wp:cNvGraphicFramePr/>
            <a:graphic>
              <a:graphicData uri="http://schemas.openxmlformats.org/drawingml/2006/picture">
                <pic:pic>
                  <pic:nvPicPr>
                    <pic:cNvPr id="82" name="IM 82"/>
                    <pic:cNvPicPr/>
                  </pic:nvPicPr>
                  <pic:blipFill>
                    <a:blip r:embed="rId10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4" name="IM 84"/>
            <wp:cNvGraphicFramePr/>
            <a:graphic>
              <a:graphicData uri="http://schemas.openxmlformats.org/drawingml/2006/picture">
                <pic:pic>
                  <pic:nvPicPr>
                    <pic:cNvPr id="84" name="IM 84"/>
                    <pic:cNvPicPr/>
                  </pic:nvPicPr>
                  <pic:blipFill>
                    <a:blip r:embed="rId10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6" name="IM 86"/>
            <wp:cNvGraphicFramePr/>
            <a:graphic>
              <a:graphicData uri="http://schemas.openxmlformats.org/drawingml/2006/picture">
                <pic:pic>
                  <pic:nvPicPr>
                    <pic:cNvPr id="86" name="IM 86"/>
                    <pic:cNvPicPr/>
                  </pic:nvPicPr>
                  <pic:blipFill>
                    <a:blip r:embed="rId10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8" name="IM 88"/>
            <wp:cNvGraphicFramePr/>
            <a:graphic>
              <a:graphicData uri="http://schemas.openxmlformats.org/drawingml/2006/picture">
                <pic:pic>
                  <pic:nvPicPr>
                    <pic:cNvPr id="88" name="IM 88"/>
                    <pic:cNvPicPr/>
                  </pic:nvPicPr>
                  <pic:blipFill>
                    <a:blip r:embed="rId10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0" name="IM 90"/>
            <wp:cNvGraphicFramePr/>
            <a:graphic>
              <a:graphicData uri="http://schemas.openxmlformats.org/drawingml/2006/picture">
                <pic:pic>
                  <pic:nvPicPr>
                    <pic:cNvPr id="90" name="IM 90"/>
                    <pic:cNvPicPr/>
                  </pic:nvPicPr>
                  <pic:blipFill>
                    <a:blip r:embed="rId10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2" name="IM 92"/>
            <wp:cNvGraphicFramePr/>
            <a:graphic>
              <a:graphicData uri="http://schemas.openxmlformats.org/drawingml/2006/picture">
                <pic:pic>
                  <pic:nvPicPr>
                    <pic:cNvPr id="92" name="IM 92"/>
                    <pic:cNvPicPr/>
                  </pic:nvPicPr>
                  <pic:blipFill>
                    <a:blip r:embed="rId11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4" name="IM 94"/>
            <wp:cNvGraphicFramePr/>
            <a:graphic>
              <a:graphicData uri="http://schemas.openxmlformats.org/drawingml/2006/picture">
                <pic:pic>
                  <pic:nvPicPr>
                    <pic:cNvPr id="94" name="IM 94"/>
                    <pic:cNvPicPr/>
                  </pic:nvPicPr>
                  <pic:blipFill>
                    <a:blip r:embed="rId11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6" name="IM 96"/>
            <wp:cNvGraphicFramePr/>
            <a:graphic>
              <a:graphicData uri="http://schemas.openxmlformats.org/drawingml/2006/picture">
                <pic:pic>
                  <pic:nvPicPr>
                    <pic:cNvPr id="96" name="IM 96"/>
                    <pic:cNvPicPr/>
                  </pic:nvPicPr>
                  <pic:blipFill>
                    <a:blip r:embed="rId11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8" name="IM 98"/>
            <wp:cNvGraphicFramePr/>
            <a:graphic>
              <a:graphicData uri="http://schemas.openxmlformats.org/drawingml/2006/picture">
                <pic:pic>
                  <pic:nvPicPr>
                    <pic:cNvPr id="98" name="IM 98"/>
                    <pic:cNvPicPr/>
                  </pic:nvPicPr>
                  <pic:blipFill>
                    <a:blip r:embed="rId11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0" name="IM 100"/>
            <wp:cNvGraphicFramePr/>
            <a:graphic>
              <a:graphicData uri="http://schemas.openxmlformats.org/drawingml/2006/picture">
                <pic:pic>
                  <pic:nvPicPr>
                    <pic:cNvPr id="100" name="IM 100"/>
                    <pic:cNvPicPr/>
                  </pic:nvPicPr>
                  <pic:blipFill>
                    <a:blip r:embed="rId11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2" name="IM 102"/>
            <wp:cNvGraphicFramePr/>
            <a:graphic>
              <a:graphicData uri="http://schemas.openxmlformats.org/drawingml/2006/picture">
                <pic:pic>
                  <pic:nvPicPr>
                    <pic:cNvPr id="102" name="IM 102"/>
                    <pic:cNvPicPr/>
                  </pic:nvPicPr>
                  <pic:blipFill>
                    <a:blip r:embed="rId12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4" name="IM 104"/>
            <wp:cNvGraphicFramePr/>
            <a:graphic>
              <a:graphicData uri="http://schemas.openxmlformats.org/drawingml/2006/picture">
                <pic:pic>
                  <pic:nvPicPr>
                    <pic:cNvPr id="104" name="IM 104"/>
                    <pic:cNvPicPr/>
                  </pic:nvPicPr>
                  <pic:blipFill>
                    <a:blip r:embed="rId12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6" name="IM 106"/>
            <wp:cNvGraphicFramePr/>
            <a:graphic>
              <a:graphicData uri="http://schemas.openxmlformats.org/drawingml/2006/picture">
                <pic:pic>
                  <pic:nvPicPr>
                    <pic:cNvPr id="106" name="IM 106"/>
                    <pic:cNvPicPr/>
                  </pic:nvPicPr>
                  <pic:blipFill>
                    <a:blip r:embed="rId12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8" name="IM 108"/>
            <wp:cNvGraphicFramePr/>
            <a:graphic>
              <a:graphicData uri="http://schemas.openxmlformats.org/drawingml/2006/picture">
                <pic:pic>
                  <pic:nvPicPr>
                    <pic:cNvPr id="108" name="IM 108"/>
                    <pic:cNvPicPr/>
                  </pic:nvPicPr>
                  <pic:blipFill>
                    <a:blip r:embed="rId12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0" name="IM 110"/>
            <wp:cNvGraphicFramePr/>
            <a:graphic>
              <a:graphicData uri="http://schemas.openxmlformats.org/drawingml/2006/picture">
                <pic:pic>
                  <pic:nvPicPr>
                    <pic:cNvPr id="110" name="IM 110"/>
                    <pic:cNvPicPr/>
                  </pic:nvPicPr>
                  <pic:blipFill>
                    <a:blip r:embed="rId12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2" name="IM 112"/>
            <wp:cNvGraphicFramePr/>
            <a:graphic>
              <a:graphicData uri="http://schemas.openxmlformats.org/drawingml/2006/picture">
                <pic:pic>
                  <pic:nvPicPr>
                    <pic:cNvPr id="112" name="IM 112"/>
                    <pic:cNvPicPr/>
                  </pic:nvPicPr>
                  <pic:blipFill>
                    <a:blip r:embed="rId13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4" name="IM 114"/>
            <wp:cNvGraphicFramePr/>
            <a:graphic>
              <a:graphicData uri="http://schemas.openxmlformats.org/drawingml/2006/picture">
                <pic:pic>
                  <pic:nvPicPr>
                    <pic:cNvPr id="114" name="IM 114"/>
                    <pic:cNvPicPr/>
                  </pic:nvPicPr>
                  <pic:blipFill>
                    <a:blip r:embed="rId13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6" name="IM 116"/>
            <wp:cNvGraphicFramePr/>
            <a:graphic>
              <a:graphicData uri="http://schemas.openxmlformats.org/drawingml/2006/picture">
                <pic:pic>
                  <pic:nvPicPr>
                    <pic:cNvPr id="116" name="IM 116"/>
                    <pic:cNvPicPr/>
                  </pic:nvPicPr>
                  <pic:blipFill>
                    <a:blip r:embed="rId13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8" name="IM 118"/>
            <wp:cNvGraphicFramePr/>
            <a:graphic>
              <a:graphicData uri="http://schemas.openxmlformats.org/drawingml/2006/picture">
                <pic:pic>
                  <pic:nvPicPr>
                    <pic:cNvPr id="118" name="IM 118"/>
                    <pic:cNvPicPr/>
                  </pic:nvPicPr>
                  <pic:blipFill>
                    <a:blip r:embed="rId13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0" name="IM 120"/>
            <wp:cNvGraphicFramePr/>
            <a:graphic>
              <a:graphicData uri="http://schemas.openxmlformats.org/drawingml/2006/picture">
                <pic:pic>
                  <pic:nvPicPr>
                    <pic:cNvPr id="120" name="IM 120"/>
                    <pic:cNvPicPr/>
                  </pic:nvPicPr>
                  <pic:blipFill>
                    <a:blip r:embed="rId13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2" name="IM 122"/>
            <wp:cNvGraphicFramePr/>
            <a:graphic>
              <a:graphicData uri="http://schemas.openxmlformats.org/drawingml/2006/picture">
                <pic:pic>
                  <pic:nvPicPr>
                    <pic:cNvPr id="122" name="IM 122"/>
                    <pic:cNvPicPr/>
                  </pic:nvPicPr>
                  <pic:blipFill>
                    <a:blip r:embed="rId14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4" name="IM 124"/>
            <wp:cNvGraphicFramePr/>
            <a:graphic>
              <a:graphicData uri="http://schemas.openxmlformats.org/drawingml/2006/picture">
                <pic:pic>
                  <pic:nvPicPr>
                    <pic:cNvPr id="124" name="IM 124"/>
                    <pic:cNvPicPr/>
                  </pic:nvPicPr>
                  <pic:blipFill>
                    <a:blip r:embed="rId14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6" name="IM 126"/>
            <wp:cNvGraphicFramePr/>
            <a:graphic>
              <a:graphicData uri="http://schemas.openxmlformats.org/drawingml/2006/picture">
                <pic:pic>
                  <pic:nvPicPr>
                    <pic:cNvPr id="126" name="IM 126"/>
                    <pic:cNvPicPr/>
                  </pic:nvPicPr>
                  <pic:blipFill>
                    <a:blip r:embed="rId14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8" name="IM 128"/>
            <wp:cNvGraphicFramePr/>
            <a:graphic>
              <a:graphicData uri="http://schemas.openxmlformats.org/drawingml/2006/picture">
                <pic:pic>
                  <pic:nvPicPr>
                    <pic:cNvPr id="128" name="IM 128"/>
                    <pic:cNvPicPr/>
                  </pic:nvPicPr>
                  <pic:blipFill>
                    <a:blip r:embed="rId14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0" name="IM 130"/>
            <wp:cNvGraphicFramePr/>
            <a:graphic>
              <a:graphicData uri="http://schemas.openxmlformats.org/drawingml/2006/picture">
                <pic:pic>
                  <pic:nvPicPr>
                    <pic:cNvPr id="130" name="IM 130"/>
                    <pic:cNvPicPr/>
                  </pic:nvPicPr>
                  <pic:blipFill>
                    <a:blip r:embed="rId14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2" name="IM 132"/>
            <wp:cNvGraphicFramePr/>
            <a:graphic>
              <a:graphicData uri="http://schemas.openxmlformats.org/drawingml/2006/picture">
                <pic:pic>
                  <pic:nvPicPr>
                    <pic:cNvPr id="132" name="IM 132"/>
                    <pic:cNvPicPr/>
                  </pic:nvPicPr>
                  <pic:blipFill>
                    <a:blip r:embed="rId15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4" name="IM 134"/>
            <wp:cNvGraphicFramePr/>
            <a:graphic>
              <a:graphicData uri="http://schemas.openxmlformats.org/drawingml/2006/picture">
                <pic:pic>
                  <pic:nvPicPr>
                    <pic:cNvPr id="134" name="IM 134"/>
                    <pic:cNvPicPr/>
                  </pic:nvPicPr>
                  <pic:blipFill>
                    <a:blip r:embed="rId15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6" name="IM 136"/>
            <wp:cNvGraphicFramePr/>
            <a:graphic>
              <a:graphicData uri="http://schemas.openxmlformats.org/drawingml/2006/picture">
                <pic:pic>
                  <pic:nvPicPr>
                    <pic:cNvPr id="136" name="IM 136"/>
                    <pic:cNvPicPr/>
                  </pic:nvPicPr>
                  <pic:blipFill>
                    <a:blip r:embed="rId15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8" name="IM 138"/>
            <wp:cNvGraphicFramePr/>
            <a:graphic>
              <a:graphicData uri="http://schemas.openxmlformats.org/drawingml/2006/picture">
                <pic:pic>
                  <pic:nvPicPr>
                    <pic:cNvPr id="138" name="IM 138"/>
                    <pic:cNvPicPr/>
                  </pic:nvPicPr>
                  <pic:blipFill>
                    <a:blip r:embed="rId15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19"/>
        <w:spacing w:line="12088" w:lineRule="exact"/>
        <w:rPr/>
      </w:pPr>
      <w:r>
        <w:rPr>
          <w:position w:val="-241"/>
        </w:rPr>
        <w:drawing>
          <wp:inline distT="0" distB="0" distL="0" distR="0">
            <wp:extent cx="4627211" cy="7675403"/>
            <wp:effectExtent l="0" t="0" r="0" b="0"/>
            <wp:docPr id="140" name="IM 140"/>
            <wp:cNvGraphicFramePr/>
            <a:graphic>
              <a:graphicData uri="http://schemas.openxmlformats.org/drawingml/2006/picture">
                <pic:pic>
                  <pic:nvPicPr>
                    <pic:cNvPr id="140" name="IM 140"/>
                    <pic:cNvPicPr/>
                  </pic:nvPicPr>
                  <pic:blipFill>
                    <a:blip r:embed="rId158"/>
                    <a:stretch>
                      <a:fillRect/>
                    </a:stretch>
                  </pic:blipFill>
                  <pic:spPr>
                    <a:xfrm rot="0">
                      <a:off x="0" y="0"/>
                      <a:ext cx="4627211" cy="7675403"/>
                    </a:xfrm>
                    <a:prstGeom prst="rect">
                      <a:avLst/>
                    </a:prstGeom>
                  </pic:spPr>
                </pic:pic>
              </a:graphicData>
            </a:graphic>
          </wp:inline>
        </w:drawing>
      </w:r>
    </w:p>
    <w:p>
      <w:pPr>
        <w:spacing w:line="12088" w:lineRule="exact"/>
        <w:sectPr>
          <w:footerReference w:type="default" r:id="rId157"/>
          <w:pgSz w:w="11900" w:h="16840"/>
          <w:pgMar w:top="642" w:right="600" w:bottom="340" w:left="600" w:header="326" w:footer="111" w:gutter="0"/>
        </w:sectPr>
        <w:rPr/>
      </w:pPr>
    </w:p>
    <w:p>
      <w:pPr>
        <w:spacing w:line="269" w:lineRule="auto"/>
        <w:rPr>
          <w:rFonts w:ascii="Arial"/>
          <w:sz w:val="21"/>
        </w:rPr>
      </w:pPr>
      <w:r/>
    </w:p>
    <w:p>
      <w:pPr>
        <w:spacing w:line="270"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34" w:id="49"/>
      <w:bookmarkEnd w:id="49"/>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87" w:right="6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spacing w:val="-20"/>
        </w:rPr>
        <w:t>出。</w:t>
      </w:r>
    </w:p>
    <w:p>
      <w:pPr>
        <w:ind w:left="11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666" w:right="6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664" w:right="6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
        </w:rPr>
        <w:t>本支出中的公用经费支出。</w:t>
      </w:r>
    </w:p>
    <w:p>
      <w:pPr>
        <w:ind w:left="663" w:right="6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5"/>
        </w:rPr>
        <w:t>行为。</w:t>
      </w:r>
    </w:p>
    <w:p>
      <w:pPr>
        <w:ind w:left="11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669" w:right="6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663" w:right="6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事业单位经营收入、上级补助收入、附属单位上缴收入、其他收入。</w:t>
      </w:r>
    </w:p>
    <w:p>
      <w:pPr>
        <w:ind w:left="11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665" w:right="6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济社会发展、维护国家安全、维持国家机构正常运转等方面的收支预算。</w:t>
      </w:r>
    </w:p>
    <w:p>
      <w:pPr>
        <w:ind w:left="676" w:right="6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1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1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footerReference w:type="default" r:id="rId159"/>
      <w:pgSz w:w="11900" w:h="16840"/>
      <w:pgMar w:top="642" w:right="600"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bookmarkStart w:name="bookmark48" w:id="43"/>
    <w:bookmarkEnd w:id="43"/>
    <w:r>
      <w:rPr>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bookmarkStart w:name="bookmark49" w:id="48"/>
    <w:bookmarkEnd w:id="48"/>
    <w:r>
      <w:rPr>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-87-</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sz w:val="16"/>
        <w:szCs w:val="16"/>
        <w:spacing w:val="-2"/>
        <w:position w:val="1"/>
      </w:rPr>
      <w:t>兴县应急减灾中心2025年单位预算公开报告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4" style="position:absolute;margin-left:30pt;margin-top:29.5pt;mso-position-vertical-relative:page;mso-position-horizontal-relative:page;width:782pt;height:1pt;z-index:251662336;" o:allowincell="f" filled="false" strokecolor="#646464" strokeweight="1.00pt" coordsize="15640,20" coordorigin="0,0" path="m0,10l15640,10e">
          <v:stroke joinstyle="miter" miterlimit="10"/>
        </v:shape>
      </w:pict>
    </w:r>
    <w:r>
      <w:rPr>
        <w:sz w:val="16"/>
        <w:szCs w:val="16"/>
        <w:spacing w:val="-2"/>
        <w:position w:val="1"/>
      </w:rPr>
      <w:t>兴县应急减灾中心2025年单位预算公开报告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43"/>
      <w:szCs w:val="43"/>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7.xml"/><Relationship Id="rId98" Type="http://schemas.openxmlformats.org/officeDocument/2006/relationships/image" Target="media/image40.png"/><Relationship Id="rId97" Type="http://schemas.openxmlformats.org/officeDocument/2006/relationships/footer" Target="footer56.xml"/><Relationship Id="rId96" Type="http://schemas.openxmlformats.org/officeDocument/2006/relationships/image" Target="media/image39.png"/><Relationship Id="rId95" Type="http://schemas.openxmlformats.org/officeDocument/2006/relationships/footer" Target="footer55.xml"/><Relationship Id="rId94" Type="http://schemas.openxmlformats.org/officeDocument/2006/relationships/image" Target="media/image38.png"/><Relationship Id="rId93" Type="http://schemas.openxmlformats.org/officeDocument/2006/relationships/footer" Target="footer54.xml"/><Relationship Id="rId92" Type="http://schemas.openxmlformats.org/officeDocument/2006/relationships/image" Target="media/image37.png"/><Relationship Id="rId91" Type="http://schemas.openxmlformats.org/officeDocument/2006/relationships/footer" Target="footer53.xml"/><Relationship Id="rId90" Type="http://schemas.openxmlformats.org/officeDocument/2006/relationships/image" Target="media/image36.png"/><Relationship Id="rId9" Type="http://schemas.openxmlformats.org/officeDocument/2006/relationships/footer" Target="footer6.xml"/><Relationship Id="rId89" Type="http://schemas.openxmlformats.org/officeDocument/2006/relationships/footer" Target="footer52.xml"/><Relationship Id="rId88" Type="http://schemas.openxmlformats.org/officeDocument/2006/relationships/image" Target="media/image35.png"/><Relationship Id="rId87" Type="http://schemas.openxmlformats.org/officeDocument/2006/relationships/footer" Target="footer51.xml"/><Relationship Id="rId86" Type="http://schemas.openxmlformats.org/officeDocument/2006/relationships/image" Target="media/image34.png"/><Relationship Id="rId85" Type="http://schemas.openxmlformats.org/officeDocument/2006/relationships/footer" Target="footer50.xml"/><Relationship Id="rId84" Type="http://schemas.openxmlformats.org/officeDocument/2006/relationships/image" Target="media/image33.png"/><Relationship Id="rId83" Type="http://schemas.openxmlformats.org/officeDocument/2006/relationships/footer" Target="footer49.xml"/><Relationship Id="rId82" Type="http://schemas.openxmlformats.org/officeDocument/2006/relationships/image" Target="media/image32.png"/><Relationship Id="rId81" Type="http://schemas.openxmlformats.org/officeDocument/2006/relationships/footer" Target="footer48.xml"/><Relationship Id="rId80" Type="http://schemas.openxmlformats.org/officeDocument/2006/relationships/image" Target="media/image31.png"/><Relationship Id="rId8" Type="http://schemas.openxmlformats.org/officeDocument/2006/relationships/footer" Target="footer5.xml"/><Relationship Id="rId79" Type="http://schemas.openxmlformats.org/officeDocument/2006/relationships/footer" Target="footer47.xml"/><Relationship Id="rId78" Type="http://schemas.openxmlformats.org/officeDocument/2006/relationships/image" Target="media/image30.png"/><Relationship Id="rId77" Type="http://schemas.openxmlformats.org/officeDocument/2006/relationships/footer" Target="footer46.xml"/><Relationship Id="rId76" Type="http://schemas.openxmlformats.org/officeDocument/2006/relationships/image" Target="media/image29.png"/><Relationship Id="rId75" Type="http://schemas.openxmlformats.org/officeDocument/2006/relationships/footer" Target="footer45.xml"/><Relationship Id="rId74" Type="http://schemas.openxmlformats.org/officeDocument/2006/relationships/image" Target="media/image28.png"/><Relationship Id="rId73" Type="http://schemas.openxmlformats.org/officeDocument/2006/relationships/footer" Target="footer44.xml"/><Relationship Id="rId72" Type="http://schemas.openxmlformats.org/officeDocument/2006/relationships/image" Target="media/image27.png"/><Relationship Id="rId71" Type="http://schemas.openxmlformats.org/officeDocument/2006/relationships/footer" Target="footer43.xml"/><Relationship Id="rId70" Type="http://schemas.openxmlformats.org/officeDocument/2006/relationships/image" Target="media/image26.png"/><Relationship Id="rId7" Type="http://schemas.openxmlformats.org/officeDocument/2006/relationships/header" Target="header2.xml"/><Relationship Id="rId69" Type="http://schemas.openxmlformats.org/officeDocument/2006/relationships/footer" Target="footer42.xml"/><Relationship Id="rId68" Type="http://schemas.openxmlformats.org/officeDocument/2006/relationships/image" Target="media/image25.png"/><Relationship Id="rId67" Type="http://schemas.openxmlformats.org/officeDocument/2006/relationships/footer" Target="footer41.xml"/><Relationship Id="rId66" Type="http://schemas.openxmlformats.org/officeDocument/2006/relationships/image" Target="media/image24.png"/><Relationship Id="rId65" Type="http://schemas.openxmlformats.org/officeDocument/2006/relationships/footer" Target="footer40.xml"/><Relationship Id="rId64" Type="http://schemas.openxmlformats.org/officeDocument/2006/relationships/image" Target="media/image23.png"/><Relationship Id="rId63" Type="http://schemas.openxmlformats.org/officeDocument/2006/relationships/footer" Target="footer39.xml"/><Relationship Id="rId62" Type="http://schemas.openxmlformats.org/officeDocument/2006/relationships/image" Target="media/image22.png"/><Relationship Id="rId61" Type="http://schemas.openxmlformats.org/officeDocument/2006/relationships/footer" Target="footer38.xml"/><Relationship Id="rId60" Type="http://schemas.openxmlformats.org/officeDocument/2006/relationships/image" Target="media/image21.png"/><Relationship Id="rId6" Type="http://schemas.openxmlformats.org/officeDocument/2006/relationships/footer" Target="footer4.xml"/><Relationship Id="rId59" Type="http://schemas.openxmlformats.org/officeDocument/2006/relationships/footer" Target="footer37.xml"/><Relationship Id="rId58" Type="http://schemas.openxmlformats.org/officeDocument/2006/relationships/image" Target="media/image20.png"/><Relationship Id="rId57" Type="http://schemas.openxmlformats.org/officeDocument/2006/relationships/footer" Target="footer36.xml"/><Relationship Id="rId56" Type="http://schemas.openxmlformats.org/officeDocument/2006/relationships/image" Target="media/image19.png"/><Relationship Id="rId55" Type="http://schemas.openxmlformats.org/officeDocument/2006/relationships/footer" Target="footer35.xml"/><Relationship Id="rId54" Type="http://schemas.openxmlformats.org/officeDocument/2006/relationships/image" Target="media/image18.png"/><Relationship Id="rId53" Type="http://schemas.openxmlformats.org/officeDocument/2006/relationships/footer" Target="footer34.xml"/><Relationship Id="rId52" Type="http://schemas.openxmlformats.org/officeDocument/2006/relationships/image" Target="media/image17.png"/><Relationship Id="rId51" Type="http://schemas.openxmlformats.org/officeDocument/2006/relationships/footer" Target="footer33.xml"/><Relationship Id="rId50" Type="http://schemas.openxmlformats.org/officeDocument/2006/relationships/image" Target="media/image16.png"/><Relationship Id="rId5" Type="http://schemas.openxmlformats.org/officeDocument/2006/relationships/footer" Target="footer3.xml"/><Relationship Id="rId49" Type="http://schemas.openxmlformats.org/officeDocument/2006/relationships/footer" Target="footer32.xml"/><Relationship Id="rId48" Type="http://schemas.openxmlformats.org/officeDocument/2006/relationships/image" Target="media/image15.png"/><Relationship Id="rId47" Type="http://schemas.openxmlformats.org/officeDocument/2006/relationships/footer" Target="footer31.xml"/><Relationship Id="rId46" Type="http://schemas.openxmlformats.org/officeDocument/2006/relationships/image" Target="media/image14.png"/><Relationship Id="rId45" Type="http://schemas.openxmlformats.org/officeDocument/2006/relationships/footer" Target="footer30.xml"/><Relationship Id="rId44" Type="http://schemas.openxmlformats.org/officeDocument/2006/relationships/image" Target="media/image13.png"/><Relationship Id="rId43" Type="http://schemas.openxmlformats.org/officeDocument/2006/relationships/footer" Target="footer29.xml"/><Relationship Id="rId42" Type="http://schemas.openxmlformats.org/officeDocument/2006/relationships/footer" Target="footer28.xml"/><Relationship Id="rId41" Type="http://schemas.openxmlformats.org/officeDocument/2006/relationships/image" Target="media/image12.png"/><Relationship Id="rId40" Type="http://schemas.openxmlformats.org/officeDocument/2006/relationships/footer" Target="footer27.xml"/><Relationship Id="rId4" Type="http://schemas.openxmlformats.org/officeDocument/2006/relationships/footer" Target="footer2.xml"/><Relationship Id="rId39" Type="http://schemas.openxmlformats.org/officeDocument/2006/relationships/image" Target="media/image11.png"/><Relationship Id="rId38" Type="http://schemas.openxmlformats.org/officeDocument/2006/relationships/footer" Target="footer26.xml"/><Relationship Id="rId37" Type="http://schemas.openxmlformats.org/officeDocument/2006/relationships/image" Target="media/image10.png"/><Relationship Id="rId36" Type="http://schemas.openxmlformats.org/officeDocument/2006/relationships/footer" Target="footer25.xml"/><Relationship Id="rId35" Type="http://schemas.openxmlformats.org/officeDocument/2006/relationships/image" Target="media/image9.png"/><Relationship Id="rId34" Type="http://schemas.openxmlformats.org/officeDocument/2006/relationships/footer" Target="footer24.xml"/><Relationship Id="rId33" Type="http://schemas.openxmlformats.org/officeDocument/2006/relationships/image" Target="media/image8.png"/><Relationship Id="rId32" Type="http://schemas.openxmlformats.org/officeDocument/2006/relationships/footer" Target="footer23.xml"/><Relationship Id="rId31" Type="http://schemas.openxmlformats.org/officeDocument/2006/relationships/image" Target="media/image7.png"/><Relationship Id="rId30" Type="http://schemas.openxmlformats.org/officeDocument/2006/relationships/footer" Target="footer22.xml"/><Relationship Id="rId3" Type="http://schemas.openxmlformats.org/officeDocument/2006/relationships/footer" Target="footer1.xml"/><Relationship Id="rId29" Type="http://schemas.openxmlformats.org/officeDocument/2006/relationships/image" Target="media/image6.png"/><Relationship Id="rId28" Type="http://schemas.openxmlformats.org/officeDocument/2006/relationships/footer" Target="footer21.xml"/><Relationship Id="rId27" Type="http://schemas.openxmlformats.org/officeDocument/2006/relationships/image" Target="media/image5.png"/><Relationship Id="rId26" Type="http://schemas.openxmlformats.org/officeDocument/2006/relationships/footer" Target="footer20.xml"/><Relationship Id="rId25" Type="http://schemas.openxmlformats.org/officeDocument/2006/relationships/image" Target="media/image4.png"/><Relationship Id="rId24" Type="http://schemas.openxmlformats.org/officeDocument/2006/relationships/footer" Target="footer19.xml"/><Relationship Id="rId23" Type="http://schemas.openxmlformats.org/officeDocument/2006/relationships/image" Target="media/image3.png"/><Relationship Id="rId22" Type="http://schemas.openxmlformats.org/officeDocument/2006/relationships/footer" Target="footer18.xml"/><Relationship Id="rId21" Type="http://schemas.openxmlformats.org/officeDocument/2006/relationships/image" Target="media/image2.png"/><Relationship Id="rId20" Type="http://schemas.openxmlformats.org/officeDocument/2006/relationships/footer" Target="footer17.xml"/><Relationship Id="rId2" Type="http://schemas.openxmlformats.org/officeDocument/2006/relationships/header" Target="header1.xml"/><Relationship Id="rId19" Type="http://schemas.openxmlformats.org/officeDocument/2006/relationships/footer" Target="footer16.xml"/><Relationship Id="rId18" Type="http://schemas.openxmlformats.org/officeDocument/2006/relationships/footer" Target="footer15.xml"/><Relationship Id="rId17" Type="http://schemas.openxmlformats.org/officeDocument/2006/relationships/footer" Target="footer14.xml"/><Relationship Id="rId162" Type="http://schemas.openxmlformats.org/officeDocument/2006/relationships/fontTable" Target="fontTable.xml"/><Relationship Id="rId161" Type="http://schemas.openxmlformats.org/officeDocument/2006/relationships/styles" Target="styles.xml"/><Relationship Id="rId160" Type="http://schemas.openxmlformats.org/officeDocument/2006/relationships/settings" Target="settings.xml"/><Relationship Id="rId16" Type="http://schemas.openxmlformats.org/officeDocument/2006/relationships/footer" Target="footer13.xml"/><Relationship Id="rId159" Type="http://schemas.openxmlformats.org/officeDocument/2006/relationships/footer" Target="footer87.xml"/><Relationship Id="rId158" Type="http://schemas.openxmlformats.org/officeDocument/2006/relationships/image" Target="media/image70.png"/><Relationship Id="rId157" Type="http://schemas.openxmlformats.org/officeDocument/2006/relationships/footer" Target="footer86.xml"/><Relationship Id="rId156" Type="http://schemas.openxmlformats.org/officeDocument/2006/relationships/image" Target="media/image69.png"/><Relationship Id="rId155" Type="http://schemas.openxmlformats.org/officeDocument/2006/relationships/footer" Target="footer85.xml"/><Relationship Id="rId154" Type="http://schemas.openxmlformats.org/officeDocument/2006/relationships/image" Target="media/image68.png"/><Relationship Id="rId153" Type="http://schemas.openxmlformats.org/officeDocument/2006/relationships/footer" Target="footer84.xml"/><Relationship Id="rId152" Type="http://schemas.openxmlformats.org/officeDocument/2006/relationships/image" Target="media/image67.png"/><Relationship Id="rId151" Type="http://schemas.openxmlformats.org/officeDocument/2006/relationships/footer" Target="footer83.xml"/><Relationship Id="rId150" Type="http://schemas.openxmlformats.org/officeDocument/2006/relationships/image" Target="media/image66.png"/><Relationship Id="rId15" Type="http://schemas.openxmlformats.org/officeDocument/2006/relationships/footer" Target="footer12.xml"/><Relationship Id="rId149" Type="http://schemas.openxmlformats.org/officeDocument/2006/relationships/footer" Target="footer82.xml"/><Relationship Id="rId148" Type="http://schemas.openxmlformats.org/officeDocument/2006/relationships/image" Target="media/image65.png"/><Relationship Id="rId147" Type="http://schemas.openxmlformats.org/officeDocument/2006/relationships/footer" Target="footer81.xml"/><Relationship Id="rId146" Type="http://schemas.openxmlformats.org/officeDocument/2006/relationships/image" Target="media/image64.png"/><Relationship Id="rId145" Type="http://schemas.openxmlformats.org/officeDocument/2006/relationships/footer" Target="footer80.xml"/><Relationship Id="rId144" Type="http://schemas.openxmlformats.org/officeDocument/2006/relationships/image" Target="media/image63.png"/><Relationship Id="rId143" Type="http://schemas.openxmlformats.org/officeDocument/2006/relationships/footer" Target="footer79.xml"/><Relationship Id="rId142" Type="http://schemas.openxmlformats.org/officeDocument/2006/relationships/image" Target="media/image62.png"/><Relationship Id="rId141" Type="http://schemas.openxmlformats.org/officeDocument/2006/relationships/footer" Target="footer78.xml"/><Relationship Id="rId140" Type="http://schemas.openxmlformats.org/officeDocument/2006/relationships/image" Target="media/image61.png"/><Relationship Id="rId14" Type="http://schemas.openxmlformats.org/officeDocument/2006/relationships/footer" Target="footer11.xml"/><Relationship Id="rId139" Type="http://schemas.openxmlformats.org/officeDocument/2006/relationships/footer" Target="footer77.xml"/><Relationship Id="rId138" Type="http://schemas.openxmlformats.org/officeDocument/2006/relationships/image" Target="media/image60.png"/><Relationship Id="rId137" Type="http://schemas.openxmlformats.org/officeDocument/2006/relationships/footer" Target="footer76.xml"/><Relationship Id="rId136" Type="http://schemas.openxmlformats.org/officeDocument/2006/relationships/image" Target="media/image59.png"/><Relationship Id="rId135" Type="http://schemas.openxmlformats.org/officeDocument/2006/relationships/footer" Target="footer75.xml"/><Relationship Id="rId134" Type="http://schemas.openxmlformats.org/officeDocument/2006/relationships/image" Target="media/image58.png"/><Relationship Id="rId133" Type="http://schemas.openxmlformats.org/officeDocument/2006/relationships/footer" Target="footer74.xml"/><Relationship Id="rId132" Type="http://schemas.openxmlformats.org/officeDocument/2006/relationships/image" Target="media/image57.png"/><Relationship Id="rId131" Type="http://schemas.openxmlformats.org/officeDocument/2006/relationships/footer" Target="footer73.xml"/><Relationship Id="rId130" Type="http://schemas.openxmlformats.org/officeDocument/2006/relationships/image" Target="media/image56.png"/><Relationship Id="rId13" Type="http://schemas.openxmlformats.org/officeDocument/2006/relationships/footer" Target="footer10.xml"/><Relationship Id="rId129" Type="http://schemas.openxmlformats.org/officeDocument/2006/relationships/footer" Target="footer72.xml"/><Relationship Id="rId128" Type="http://schemas.openxmlformats.org/officeDocument/2006/relationships/image" Target="media/image55.png"/><Relationship Id="rId127" Type="http://schemas.openxmlformats.org/officeDocument/2006/relationships/footer" Target="footer71.xml"/><Relationship Id="rId126" Type="http://schemas.openxmlformats.org/officeDocument/2006/relationships/image" Target="media/image54.png"/><Relationship Id="rId125" Type="http://schemas.openxmlformats.org/officeDocument/2006/relationships/footer" Target="footer70.xml"/><Relationship Id="rId124" Type="http://schemas.openxmlformats.org/officeDocument/2006/relationships/image" Target="media/image53.png"/><Relationship Id="rId123" Type="http://schemas.openxmlformats.org/officeDocument/2006/relationships/footer" Target="footer69.xml"/><Relationship Id="rId122" Type="http://schemas.openxmlformats.org/officeDocument/2006/relationships/image" Target="media/image52.png"/><Relationship Id="rId121" Type="http://schemas.openxmlformats.org/officeDocument/2006/relationships/footer" Target="footer68.xml"/><Relationship Id="rId120" Type="http://schemas.openxmlformats.org/officeDocument/2006/relationships/image" Target="media/image51.png"/><Relationship Id="rId12" Type="http://schemas.openxmlformats.org/officeDocument/2006/relationships/footer" Target="footer9.xml"/><Relationship Id="rId119" Type="http://schemas.openxmlformats.org/officeDocument/2006/relationships/footer" Target="footer67.xml"/><Relationship Id="rId118" Type="http://schemas.openxmlformats.org/officeDocument/2006/relationships/image" Target="media/image50.png"/><Relationship Id="rId117" Type="http://schemas.openxmlformats.org/officeDocument/2006/relationships/footer" Target="footer66.xml"/><Relationship Id="rId116" Type="http://schemas.openxmlformats.org/officeDocument/2006/relationships/image" Target="media/image49.png"/><Relationship Id="rId115" Type="http://schemas.openxmlformats.org/officeDocument/2006/relationships/footer" Target="footer65.xml"/><Relationship Id="rId114" Type="http://schemas.openxmlformats.org/officeDocument/2006/relationships/image" Target="media/image48.png"/><Relationship Id="rId113" Type="http://schemas.openxmlformats.org/officeDocument/2006/relationships/footer" Target="footer64.xml"/><Relationship Id="rId112" Type="http://schemas.openxmlformats.org/officeDocument/2006/relationships/image" Target="media/image47.png"/><Relationship Id="rId111" Type="http://schemas.openxmlformats.org/officeDocument/2006/relationships/footer" Target="footer63.xml"/><Relationship Id="rId110" Type="http://schemas.openxmlformats.org/officeDocument/2006/relationships/image" Target="media/image46.png"/><Relationship Id="rId11" Type="http://schemas.openxmlformats.org/officeDocument/2006/relationships/footer" Target="footer8.xml"/><Relationship Id="rId109" Type="http://schemas.openxmlformats.org/officeDocument/2006/relationships/footer" Target="footer62.xml"/><Relationship Id="rId108" Type="http://schemas.openxmlformats.org/officeDocument/2006/relationships/image" Target="media/image45.png"/><Relationship Id="rId107" Type="http://schemas.openxmlformats.org/officeDocument/2006/relationships/footer" Target="footer61.xml"/><Relationship Id="rId106" Type="http://schemas.openxmlformats.org/officeDocument/2006/relationships/image" Target="media/image44.png"/><Relationship Id="rId105" Type="http://schemas.openxmlformats.org/officeDocument/2006/relationships/footer" Target="footer60.xml"/><Relationship Id="rId104" Type="http://schemas.openxmlformats.org/officeDocument/2006/relationships/image" Target="media/image43.png"/><Relationship Id="rId103" Type="http://schemas.openxmlformats.org/officeDocument/2006/relationships/footer" Target="footer59.xml"/><Relationship Id="rId102" Type="http://schemas.openxmlformats.org/officeDocument/2006/relationships/image" Target="media/image42.png"/><Relationship Id="rId101" Type="http://schemas.openxmlformats.org/officeDocument/2006/relationships/footer" Target="footer58.xml"/><Relationship Id="rId100" Type="http://schemas.openxmlformats.org/officeDocument/2006/relationships/image" Target="media/image41.png"/><Relationship Id="rId10" Type="http://schemas.openxmlformats.org/officeDocument/2006/relationships/footer" Target="footer7.xml"/><Relationship Id="rId1" Type="http://schemas.openxmlformats.org/officeDocument/2006/relationships/image" Target="media/image1.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2025-05-06T16:45:06Z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2025-10-17T15:31:59</vt:filetime>
  </property>
</Properties>
</file>