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082"/>
        <w:spacing w:before="140" w:line="219" w:lineRule="auto"/>
        <w:rPr>
          <w:rFonts w:ascii="SimSun" w:hAnsi="SimSun" w:eastAsia="SimSun" w:cs="SimSun"/>
          <w:sz w:val="43"/>
          <w:szCs w:val="43"/>
        </w:rPr>
      </w:pPr>
      <w:r>
        <w:rPr>
          <w:rFonts w:ascii="SimSun" w:hAnsi="SimSun" w:eastAsia="SimSun" w:cs="SimSun"/>
          <w:sz w:val="43"/>
          <w:szCs w:val="43"/>
          <w:spacing w:val="96"/>
        </w:rPr>
        <w:t>兴县医疗保障局</w:t>
      </w:r>
    </w:p>
    <w:p>
      <w:pPr>
        <w:pStyle w:val="BodyText"/>
        <w:spacing w:line="381"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4"/>
          <w:position w:val="2"/>
        </w:rPr>
        <w:t>2</w:t>
      </w:r>
      <w:r>
        <w:rPr>
          <w:rFonts w:ascii="SimSun" w:hAnsi="SimSun" w:eastAsia="SimSun" w:cs="SimSun"/>
          <w:sz w:val="43"/>
          <w:szCs w:val="43"/>
          <w:spacing w:val="-89"/>
          <w:position w:val="2"/>
        </w:rPr>
        <w:t xml:space="preserve"> </w:t>
      </w:r>
      <w:r>
        <w:rPr>
          <w:rFonts w:ascii="SimSun" w:hAnsi="SimSun" w:eastAsia="SimSun" w:cs="SimSun"/>
          <w:sz w:val="43"/>
          <w:szCs w:val="43"/>
          <w:spacing w:val="4"/>
          <w:position w:val="2"/>
        </w:rPr>
        <w:t>0</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4"/>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4"/>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4"/>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4"/>
          <w:position w:val="2"/>
        </w:rPr>
        <w:t>门</w:t>
      </w:r>
      <w:r>
        <w:rPr>
          <w:rFonts w:ascii="SimSun" w:hAnsi="SimSun" w:eastAsia="SimSun" w:cs="SimSun"/>
          <w:sz w:val="43"/>
          <w:szCs w:val="43"/>
          <w:spacing w:val="-108"/>
          <w:position w:val="2"/>
        </w:rPr>
        <w:t xml:space="preserve"> </w:t>
      </w:r>
      <w:r>
        <w:rPr>
          <w:rFonts w:ascii="SimSun" w:hAnsi="SimSun" w:eastAsia="SimSun" w:cs="SimSun"/>
          <w:sz w:val="43"/>
          <w:szCs w:val="43"/>
          <w:spacing w:val="4"/>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4"/>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rPr>
              <w:t>2</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3"/>
              </w:rPr>
              <w:t xml:space="preserve"> </w:t>
            </w:r>
            <w:r>
              <w:rPr>
                <w:rFonts w:ascii="FangSong" w:hAnsi="FangSong" w:eastAsia="FangSong" w:cs="FangSong"/>
                <w:sz w:val="32"/>
                <w:szCs w:val="32"/>
                <w:b/>
                <w:bCs/>
                <w:spacing w:val="-4"/>
              </w:rPr>
              <w:t>3</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rPr>
              <w:t>3</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7"/>
              </w:rPr>
              <w:t xml:space="preserve"> </w:t>
            </w:r>
            <w:r>
              <w:rPr>
                <w:rFonts w:ascii="FangSong" w:hAnsi="FangSong" w:eastAsia="FangSong" w:cs="FangSong"/>
                <w:sz w:val="32"/>
                <w:szCs w:val="32"/>
              </w:rPr>
              <w:t>7</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3"/>
              </w:rPr>
              <w:t xml:space="preserve"> </w:t>
            </w:r>
            <w:r>
              <w:rPr>
                <w:rFonts w:ascii="FangSong" w:hAnsi="FangSong" w:eastAsia="FangSong" w:cs="FangSong"/>
                <w:sz w:val="32"/>
                <w:szCs w:val="32"/>
              </w:rPr>
              <w:t>8</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1"/>
              </w:rPr>
              <w:t>表五2025年一般公共预算支出预算表（不含上年结转）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10</w:t>
            </w:r>
          </w:hyperlink>
        </w:p>
        <w:p>
          <w:pPr>
            <w:ind w:left="1983"/>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11</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13</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14</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14</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15</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17</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18</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bookmarkStart w:name="bookmark28" w:id="2"/>
          <w:bookmarkEnd w:id="2"/>
          <w:hyperlink w:history="true" w:anchor="bookmark29">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33</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33</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33</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33</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5">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54</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1515" w:right="1791" w:firstLine="5"/>
        <w:spacing w:before="283" w:line="311" w:lineRule="auto"/>
        <w:rPr>
          <w:rFonts w:ascii="FangSong" w:hAnsi="FangSong" w:eastAsia="FangSong" w:cs="FangSong"/>
          <w:sz w:val="24"/>
          <w:szCs w:val="24"/>
        </w:rPr>
      </w:pPr>
      <w:r>
        <w:rPr>
          <w:rFonts w:ascii="FangSong" w:hAnsi="FangSong" w:eastAsia="FangSong" w:cs="FangSong"/>
          <w:sz w:val="24"/>
          <w:szCs w:val="24"/>
          <w:spacing w:val="-1"/>
        </w:rPr>
        <w:t>兴县医疗保障局贯彻落实党中央、省委、市.县委关于医疗保障工作的方针政策</w:t>
      </w:r>
      <w:r>
        <w:rPr>
          <w:rFonts w:ascii="FangSong" w:hAnsi="FangSong" w:eastAsia="FangSong" w:cs="FangSong"/>
          <w:sz w:val="24"/>
          <w:szCs w:val="24"/>
          <w:spacing w:val="4"/>
        </w:rPr>
        <w:t xml:space="preserve">   </w:t>
      </w:r>
      <w:r>
        <w:rPr>
          <w:rFonts w:ascii="FangSong" w:hAnsi="FangSong" w:eastAsia="FangSong" w:cs="FangSong"/>
          <w:sz w:val="24"/>
          <w:szCs w:val="24"/>
          <w:spacing w:val="-1"/>
        </w:rPr>
        <w:t>和决策部署,</w:t>
      </w:r>
      <w:r>
        <w:rPr>
          <w:rFonts w:ascii="FangSong" w:hAnsi="FangSong" w:eastAsia="FangSong" w:cs="FangSong"/>
          <w:sz w:val="24"/>
          <w:szCs w:val="24"/>
          <w:spacing w:val="-1"/>
        </w:rPr>
        <w:t xml:space="preserve"> </w:t>
      </w:r>
      <w:r>
        <w:rPr>
          <w:rFonts w:ascii="FangSong" w:hAnsi="FangSong" w:eastAsia="FangSong" w:cs="FangSong"/>
          <w:sz w:val="24"/>
          <w:szCs w:val="24"/>
          <w:spacing w:val="-1"/>
        </w:rPr>
        <w:t>在履行职责过程中,</w:t>
      </w:r>
      <w:r>
        <w:rPr>
          <w:rFonts w:ascii="FangSong" w:hAnsi="FangSong" w:eastAsia="FangSong" w:cs="FangSong"/>
          <w:sz w:val="24"/>
          <w:szCs w:val="24"/>
          <w:spacing w:val="-1"/>
        </w:rPr>
        <w:t xml:space="preserve"> </w:t>
      </w:r>
      <w:r>
        <w:rPr>
          <w:rFonts w:ascii="FangSong" w:hAnsi="FangSong" w:eastAsia="FangSong" w:cs="FangSong"/>
          <w:sz w:val="24"/>
          <w:szCs w:val="24"/>
          <w:spacing w:val="-1"/>
        </w:rPr>
        <w:t>坚持和加强党对医疗保</w:t>
      </w:r>
      <w:r>
        <w:rPr>
          <w:rFonts w:ascii="FangSong" w:hAnsi="FangSong" w:eastAsia="FangSong" w:cs="FangSong"/>
          <w:sz w:val="24"/>
          <w:szCs w:val="24"/>
          <w:spacing w:val="-2"/>
        </w:rPr>
        <w:t>障工作的集中统一领导。</w:t>
      </w:r>
    </w:p>
    <w:p>
      <w:pPr>
        <w:ind w:left="1522"/>
        <w:spacing w:before="1" w:line="224" w:lineRule="auto"/>
        <w:rPr>
          <w:rFonts w:ascii="FangSong" w:hAnsi="FangSong" w:eastAsia="FangSong" w:cs="FangSong"/>
          <w:sz w:val="24"/>
          <w:szCs w:val="24"/>
        </w:rPr>
      </w:pPr>
      <w:r>
        <w:rPr>
          <w:rFonts w:ascii="FangSong" w:hAnsi="FangSong" w:eastAsia="FangSong" w:cs="FangSong"/>
          <w:sz w:val="24"/>
          <w:szCs w:val="24"/>
          <w:spacing w:val="-4"/>
        </w:rPr>
        <w:t>主要职责是:</w:t>
      </w:r>
    </w:p>
    <w:p>
      <w:pPr>
        <w:ind w:left="1517" w:right="2000" w:firstLine="512"/>
        <w:spacing w:before="97" w:line="267" w:lineRule="auto"/>
        <w:rPr>
          <w:rFonts w:ascii="FangSong" w:hAnsi="FangSong" w:eastAsia="FangSong" w:cs="FangSong"/>
          <w:sz w:val="24"/>
          <w:szCs w:val="24"/>
        </w:rPr>
      </w:pPr>
      <w:r>
        <w:rPr>
          <w:rFonts w:ascii="FangSong" w:hAnsi="FangSong" w:eastAsia="FangSong" w:cs="FangSong"/>
          <w:sz w:val="24"/>
          <w:szCs w:val="24"/>
          <w:spacing w:val="-2"/>
        </w:rPr>
        <w:t>(一)贯彻实施医疗保险、生育保险、医疗救助等医疗保障相关法律法规、规</w:t>
      </w:r>
      <w:r>
        <w:rPr>
          <w:rFonts w:ascii="FangSong" w:hAnsi="FangSong" w:eastAsia="FangSong" w:cs="FangSong"/>
          <w:sz w:val="24"/>
          <w:szCs w:val="24"/>
          <w:spacing w:val="16"/>
        </w:rPr>
        <w:t xml:space="preserve"> </w:t>
      </w:r>
      <w:r>
        <w:rPr>
          <w:rFonts w:ascii="FangSong" w:hAnsi="FangSong" w:eastAsia="FangSong" w:cs="FangSong"/>
          <w:sz w:val="24"/>
          <w:szCs w:val="24"/>
          <w:spacing w:val="-5"/>
        </w:rPr>
        <w:t>章、政策、规划和标准。</w:t>
      </w:r>
    </w:p>
    <w:p>
      <w:pPr>
        <w:ind w:left="1521" w:right="1640" w:firstLine="509"/>
        <w:spacing w:before="118" w:line="260" w:lineRule="auto"/>
        <w:rPr>
          <w:rFonts w:ascii="FangSong" w:hAnsi="FangSong" w:eastAsia="FangSong" w:cs="FangSong"/>
          <w:sz w:val="24"/>
          <w:szCs w:val="24"/>
        </w:rPr>
      </w:pPr>
      <w:r>
        <w:rPr>
          <w:rFonts w:ascii="FangSong" w:hAnsi="FangSong" w:eastAsia="FangSong" w:cs="FangSong"/>
          <w:sz w:val="24"/>
          <w:szCs w:val="24"/>
          <w:spacing w:val="-1"/>
        </w:rPr>
        <w:t>(二)组织制定并实施全县医疗保障基金监督</w:t>
      </w:r>
      <w:r>
        <w:rPr>
          <w:rFonts w:ascii="FangSong" w:hAnsi="FangSong" w:eastAsia="FangSong" w:cs="FangSong"/>
          <w:sz w:val="24"/>
          <w:szCs w:val="24"/>
          <w:spacing w:val="-2"/>
        </w:rPr>
        <w:t>管理办法,建立健全医疗保障基金安</w:t>
      </w:r>
      <w:r>
        <w:rPr>
          <w:rFonts w:ascii="FangSong" w:hAnsi="FangSong" w:eastAsia="FangSong" w:cs="FangSong"/>
          <w:sz w:val="24"/>
          <w:szCs w:val="24"/>
        </w:rPr>
        <w:t xml:space="preserve"> </w:t>
      </w:r>
      <w:r>
        <w:rPr>
          <w:rFonts w:ascii="FangSong" w:hAnsi="FangSong" w:eastAsia="FangSong" w:cs="FangSong"/>
          <w:sz w:val="24"/>
          <w:szCs w:val="24"/>
          <w:spacing w:val="-3"/>
        </w:rPr>
        <w:t>全防控机制,</w:t>
      </w:r>
      <w:r>
        <w:rPr>
          <w:rFonts w:ascii="FangSong" w:hAnsi="FangSong" w:eastAsia="FangSong" w:cs="FangSong"/>
          <w:sz w:val="24"/>
          <w:szCs w:val="24"/>
          <w:spacing w:val="-3"/>
        </w:rPr>
        <w:t xml:space="preserve"> </w:t>
      </w:r>
      <w:r>
        <w:rPr>
          <w:rFonts w:ascii="FangSong" w:hAnsi="FangSong" w:eastAsia="FangSong" w:cs="FangSong"/>
          <w:sz w:val="24"/>
          <w:szCs w:val="24"/>
          <w:spacing w:val="-3"/>
        </w:rPr>
        <w:t>推进医疗保障基金支付方式改革。</w:t>
      </w:r>
    </w:p>
    <w:p>
      <w:pPr>
        <w:ind w:left="1515" w:right="1760" w:firstLine="514"/>
        <w:spacing w:before="118" w:line="277" w:lineRule="auto"/>
        <w:rPr>
          <w:rFonts w:ascii="FangSong" w:hAnsi="FangSong" w:eastAsia="FangSong" w:cs="FangSong"/>
          <w:sz w:val="24"/>
          <w:szCs w:val="24"/>
        </w:rPr>
      </w:pPr>
      <w:r>
        <w:rPr>
          <w:rFonts w:ascii="FangSong" w:hAnsi="FangSong" w:eastAsia="FangSong" w:cs="FangSong"/>
          <w:sz w:val="24"/>
          <w:szCs w:val="24"/>
          <w:spacing w:val="-1"/>
        </w:rPr>
        <w:t>(三)组织制定并实施全县医疗保障筹资和待</w:t>
      </w:r>
      <w:r>
        <w:rPr>
          <w:rFonts w:ascii="FangSong" w:hAnsi="FangSong" w:eastAsia="FangSong" w:cs="FangSong"/>
          <w:sz w:val="24"/>
          <w:szCs w:val="24"/>
          <w:spacing w:val="-2"/>
        </w:rPr>
        <w:t>遇政策,</w:t>
      </w:r>
      <w:r>
        <w:rPr>
          <w:rFonts w:ascii="FangSong" w:hAnsi="FangSong" w:eastAsia="FangSong" w:cs="FangSong"/>
          <w:sz w:val="24"/>
          <w:szCs w:val="24"/>
          <w:spacing w:val="-2"/>
        </w:rPr>
        <w:t xml:space="preserve"> </w:t>
      </w:r>
      <w:r>
        <w:rPr>
          <w:rFonts w:ascii="FangSong" w:hAnsi="FangSong" w:eastAsia="FangSong" w:cs="FangSong"/>
          <w:sz w:val="24"/>
          <w:szCs w:val="24"/>
          <w:spacing w:val="-2"/>
        </w:rPr>
        <w:t>建立健全与筹资水平相适</w:t>
      </w:r>
      <w:r>
        <w:rPr>
          <w:rFonts w:ascii="FangSong" w:hAnsi="FangSong" w:eastAsia="FangSong" w:cs="FangSong"/>
          <w:sz w:val="24"/>
          <w:szCs w:val="24"/>
        </w:rPr>
        <w:t xml:space="preserve"> </w:t>
      </w:r>
      <w:r>
        <w:rPr>
          <w:rFonts w:ascii="FangSong" w:hAnsi="FangSong" w:eastAsia="FangSong" w:cs="FangSong"/>
          <w:sz w:val="24"/>
          <w:szCs w:val="24"/>
        </w:rPr>
        <w:t>应的待遇调整机制。组织拟订并实施长期护</w:t>
      </w:r>
      <w:r>
        <w:rPr>
          <w:rFonts w:ascii="FangSong" w:hAnsi="FangSong" w:eastAsia="FangSong" w:cs="FangSong"/>
          <w:sz w:val="24"/>
          <w:szCs w:val="24"/>
          <w:spacing w:val="-1"/>
        </w:rPr>
        <w:t>理保险制度改革方案。负责中央、省、</w:t>
      </w:r>
      <w:r>
        <w:rPr>
          <w:rFonts w:ascii="FangSong" w:hAnsi="FangSong" w:eastAsia="FangSong" w:cs="FangSong"/>
          <w:sz w:val="24"/>
          <w:szCs w:val="24"/>
        </w:rPr>
        <w:t xml:space="preserve"> </w:t>
      </w:r>
      <w:r>
        <w:rPr>
          <w:rFonts w:ascii="FangSong" w:hAnsi="FangSong" w:eastAsia="FangSong" w:cs="FangSong"/>
          <w:sz w:val="24"/>
          <w:szCs w:val="24"/>
          <w:spacing w:val="-1"/>
        </w:rPr>
        <w:t>市驻县单位和县直机关、事业、社会团体等单位的医疗</w:t>
      </w:r>
      <w:r>
        <w:rPr>
          <w:rFonts w:ascii="FangSong" w:hAnsi="FangSong" w:eastAsia="FangSong" w:cs="FangSong"/>
          <w:sz w:val="24"/>
          <w:szCs w:val="24"/>
          <w:spacing w:val="-2"/>
        </w:rPr>
        <w:t>保险和生育保险管理工作。</w:t>
      </w:r>
    </w:p>
    <w:p>
      <w:pPr>
        <w:ind w:left="1516" w:right="1760" w:firstLine="513"/>
        <w:spacing w:before="120" w:line="266" w:lineRule="auto"/>
        <w:rPr>
          <w:rFonts w:ascii="FangSong" w:hAnsi="FangSong" w:eastAsia="FangSong" w:cs="FangSong"/>
          <w:sz w:val="24"/>
          <w:szCs w:val="24"/>
        </w:rPr>
      </w:pPr>
      <w:r>
        <w:rPr>
          <w:rFonts w:ascii="FangSong" w:hAnsi="FangSong" w:eastAsia="FangSong" w:cs="FangSong"/>
          <w:sz w:val="24"/>
          <w:szCs w:val="24"/>
          <w:spacing w:val="-2"/>
        </w:rPr>
        <w:t>(四)监督执行城乡统一的药品、医用耗材、医疗服务项目、医疗服务设施等医</w:t>
      </w:r>
      <w:r>
        <w:rPr>
          <w:rFonts w:ascii="FangSong" w:hAnsi="FangSong" w:eastAsia="FangSong" w:cs="FangSong"/>
          <w:sz w:val="24"/>
          <w:szCs w:val="24"/>
          <w:spacing w:val="18"/>
        </w:rPr>
        <w:t xml:space="preserve"> </w:t>
      </w:r>
      <w:r>
        <w:rPr>
          <w:rFonts w:ascii="FangSong" w:hAnsi="FangSong" w:eastAsia="FangSong" w:cs="FangSong"/>
          <w:sz w:val="24"/>
          <w:szCs w:val="24"/>
          <w:spacing w:val="-2"/>
        </w:rPr>
        <w:t>保目录和支付标准,建立动态调整机制,贯彻执行医保目录准入谈判规则。</w:t>
      </w:r>
    </w:p>
    <w:p>
      <w:pPr>
        <w:ind w:left="1516" w:right="1640" w:firstLine="513"/>
        <w:spacing w:before="103" w:line="281" w:lineRule="auto"/>
        <w:rPr>
          <w:rFonts w:ascii="FangSong" w:hAnsi="FangSong" w:eastAsia="FangSong" w:cs="FangSong"/>
          <w:sz w:val="24"/>
          <w:szCs w:val="24"/>
        </w:rPr>
      </w:pPr>
      <w:r>
        <w:rPr>
          <w:rFonts w:ascii="FangSong" w:hAnsi="FangSong" w:eastAsia="FangSong" w:cs="FangSong"/>
          <w:sz w:val="24"/>
          <w:szCs w:val="24"/>
          <w:spacing w:val="-2"/>
        </w:rPr>
        <w:t>(五)贯彻实施药品、医用耗材价格和医疗服务项目价格、医疗服务设施收费等</w:t>
      </w:r>
      <w:r>
        <w:rPr>
          <w:rFonts w:ascii="FangSong" w:hAnsi="FangSong" w:eastAsia="FangSong" w:cs="FangSong"/>
          <w:sz w:val="24"/>
          <w:szCs w:val="24"/>
          <w:spacing w:val="9"/>
        </w:rPr>
        <w:t xml:space="preserve">  </w:t>
      </w:r>
      <w:r>
        <w:rPr>
          <w:rFonts w:ascii="FangSong" w:hAnsi="FangSong" w:eastAsia="FangSong" w:cs="FangSong"/>
          <w:sz w:val="24"/>
          <w:szCs w:val="24"/>
        </w:rPr>
        <w:t>政策;建立健全医保支付医药服务价格合理确</w:t>
      </w:r>
      <w:r>
        <w:rPr>
          <w:rFonts w:ascii="FangSong" w:hAnsi="FangSong" w:eastAsia="FangSong" w:cs="FangSong"/>
          <w:sz w:val="24"/>
          <w:szCs w:val="24"/>
          <w:spacing w:val="-1"/>
        </w:rPr>
        <w:t>定和动态调整机制,</w:t>
      </w:r>
      <w:r>
        <w:rPr>
          <w:rFonts w:ascii="FangSong" w:hAnsi="FangSong" w:eastAsia="FangSong" w:cs="FangSong"/>
          <w:sz w:val="24"/>
          <w:szCs w:val="24"/>
          <w:spacing w:val="-1"/>
        </w:rPr>
        <w:t xml:space="preserve"> </w:t>
      </w:r>
      <w:r>
        <w:rPr>
          <w:rFonts w:ascii="FangSong" w:hAnsi="FangSong" w:eastAsia="FangSong" w:cs="FangSong"/>
          <w:sz w:val="24"/>
          <w:szCs w:val="24"/>
          <w:spacing w:val="-1"/>
        </w:rPr>
        <w:t>推动建立市场主导</w:t>
      </w:r>
      <w:r>
        <w:rPr>
          <w:rFonts w:ascii="FangSong" w:hAnsi="FangSong" w:eastAsia="FangSong" w:cs="FangSong"/>
          <w:sz w:val="24"/>
          <w:szCs w:val="24"/>
        </w:rPr>
        <w:t xml:space="preserve"> </w:t>
      </w:r>
      <w:r>
        <w:rPr>
          <w:rFonts w:ascii="FangSong" w:hAnsi="FangSong" w:eastAsia="FangSong" w:cs="FangSong"/>
          <w:sz w:val="24"/>
          <w:szCs w:val="24"/>
          <w:spacing w:val="-2"/>
        </w:rPr>
        <w:t>的社会医药服务价格形成机制,</w:t>
      </w:r>
      <w:r>
        <w:rPr>
          <w:rFonts w:ascii="FangSong" w:hAnsi="FangSong" w:eastAsia="FangSong" w:cs="FangSong"/>
          <w:sz w:val="24"/>
          <w:szCs w:val="24"/>
          <w:spacing w:val="-2"/>
        </w:rPr>
        <w:t xml:space="preserve"> </w:t>
      </w:r>
      <w:r>
        <w:rPr>
          <w:rFonts w:ascii="FangSong" w:hAnsi="FangSong" w:eastAsia="FangSong" w:cs="FangSong"/>
          <w:sz w:val="24"/>
          <w:szCs w:val="24"/>
          <w:spacing w:val="-2"/>
        </w:rPr>
        <w:t>建立价格信息监测和信息发布制度。</w:t>
      </w:r>
    </w:p>
    <w:p>
      <w:pPr>
        <w:ind w:left="1515" w:right="1640" w:firstLine="514"/>
        <w:spacing w:before="103" w:line="266" w:lineRule="auto"/>
        <w:rPr>
          <w:rFonts w:ascii="FangSong" w:hAnsi="FangSong" w:eastAsia="FangSong" w:cs="FangSong"/>
          <w:sz w:val="24"/>
          <w:szCs w:val="24"/>
        </w:rPr>
      </w:pPr>
      <w:r>
        <w:rPr>
          <w:rFonts w:ascii="FangSong" w:hAnsi="FangSong" w:eastAsia="FangSong" w:cs="FangSong"/>
          <w:sz w:val="24"/>
          <w:szCs w:val="24"/>
          <w:spacing w:val="-1"/>
        </w:rPr>
        <w:t>(六)贯彻实施药品、医用耗材的招标采购政</w:t>
      </w:r>
      <w:r>
        <w:rPr>
          <w:rFonts w:ascii="FangSong" w:hAnsi="FangSong" w:eastAsia="FangSong" w:cs="FangSong"/>
          <w:sz w:val="24"/>
          <w:szCs w:val="24"/>
          <w:spacing w:val="-2"/>
        </w:rPr>
        <w:t>策,协同推进药品、医用耗材招标采</w:t>
      </w:r>
      <w:r>
        <w:rPr>
          <w:rFonts w:ascii="FangSong" w:hAnsi="FangSong" w:eastAsia="FangSong" w:cs="FangSong"/>
          <w:sz w:val="24"/>
          <w:szCs w:val="24"/>
        </w:rPr>
        <w:t xml:space="preserve"> </w:t>
      </w:r>
      <w:r>
        <w:rPr>
          <w:rFonts w:ascii="FangSong" w:hAnsi="FangSong" w:eastAsia="FangSong" w:cs="FangSong"/>
          <w:sz w:val="24"/>
          <w:szCs w:val="24"/>
          <w:spacing w:val="-4"/>
        </w:rPr>
        <w:t>购平台建设并指导运用。</w:t>
      </w:r>
    </w:p>
    <w:p>
      <w:pPr>
        <w:ind w:left="1515" w:right="1640" w:firstLine="514"/>
        <w:spacing w:before="105" w:line="281" w:lineRule="auto"/>
        <w:rPr>
          <w:rFonts w:ascii="FangSong" w:hAnsi="FangSong" w:eastAsia="FangSong" w:cs="FangSong"/>
          <w:sz w:val="24"/>
          <w:szCs w:val="24"/>
        </w:rPr>
      </w:pPr>
      <w:r>
        <w:rPr>
          <w:rFonts w:ascii="FangSong" w:hAnsi="FangSong" w:eastAsia="FangSong" w:cs="FangSong"/>
          <w:sz w:val="24"/>
          <w:szCs w:val="24"/>
          <w:spacing w:val="-1"/>
        </w:rPr>
        <w:t>(七)制定并组织实施定点医药机构协议和支</w:t>
      </w:r>
      <w:r>
        <w:rPr>
          <w:rFonts w:ascii="FangSong" w:hAnsi="FangSong" w:eastAsia="FangSong" w:cs="FangSong"/>
          <w:sz w:val="24"/>
          <w:szCs w:val="24"/>
          <w:spacing w:val="-2"/>
        </w:rPr>
        <w:t>付管理办法;</w:t>
      </w:r>
      <w:r>
        <w:rPr>
          <w:rFonts w:ascii="FangSong" w:hAnsi="FangSong" w:eastAsia="FangSong" w:cs="FangSong"/>
          <w:sz w:val="24"/>
          <w:szCs w:val="24"/>
          <w:spacing w:val="-2"/>
        </w:rPr>
        <w:t xml:space="preserve"> </w:t>
      </w:r>
      <w:r>
        <w:rPr>
          <w:rFonts w:ascii="FangSong" w:hAnsi="FangSong" w:eastAsia="FangSong" w:cs="FangSong"/>
          <w:sz w:val="24"/>
          <w:szCs w:val="24"/>
          <w:spacing w:val="-2"/>
        </w:rPr>
        <w:t>建立健全医疗保障信</w:t>
      </w:r>
      <w:r>
        <w:rPr>
          <w:rFonts w:ascii="FangSong" w:hAnsi="FangSong" w:eastAsia="FangSong" w:cs="FangSong"/>
          <w:sz w:val="24"/>
          <w:szCs w:val="24"/>
        </w:rPr>
        <w:t xml:space="preserve">  </w:t>
      </w:r>
      <w:r>
        <w:rPr>
          <w:rFonts w:ascii="FangSong" w:hAnsi="FangSong" w:eastAsia="FangSong" w:cs="FangSong"/>
          <w:sz w:val="24"/>
          <w:szCs w:val="24"/>
        </w:rPr>
        <w:t>用评价体系和信息披露制度,</w:t>
      </w:r>
      <w:r>
        <w:rPr>
          <w:rFonts w:ascii="FangSong" w:hAnsi="FangSong" w:eastAsia="FangSong" w:cs="FangSong"/>
          <w:sz w:val="24"/>
          <w:szCs w:val="24"/>
        </w:rPr>
        <w:t xml:space="preserve"> </w:t>
      </w:r>
      <w:r>
        <w:rPr>
          <w:rFonts w:ascii="FangSong" w:hAnsi="FangSong" w:eastAsia="FangSong" w:cs="FangSong"/>
          <w:sz w:val="24"/>
          <w:szCs w:val="24"/>
        </w:rPr>
        <w:t>监督管理纳入医</w:t>
      </w:r>
      <w:r>
        <w:rPr>
          <w:rFonts w:ascii="FangSong" w:hAnsi="FangSong" w:eastAsia="FangSong" w:cs="FangSong"/>
          <w:sz w:val="24"/>
          <w:szCs w:val="24"/>
          <w:spacing w:val="-1"/>
        </w:rPr>
        <w:t>保范围内的医疗服务行为和医疗费用;</w:t>
      </w:r>
      <w:r>
        <w:rPr>
          <w:rFonts w:ascii="FangSong" w:hAnsi="FangSong" w:eastAsia="FangSong" w:cs="FangSong"/>
          <w:sz w:val="24"/>
          <w:szCs w:val="24"/>
        </w:rPr>
        <w:t xml:space="preserve"> </w:t>
      </w:r>
      <w:r>
        <w:rPr>
          <w:rFonts w:ascii="FangSong" w:hAnsi="FangSong" w:eastAsia="FangSong" w:cs="FangSong"/>
          <w:sz w:val="24"/>
          <w:szCs w:val="24"/>
          <w:spacing w:val="-3"/>
        </w:rPr>
        <w:t>依法查处医疗保障领域违法违规行为。</w:t>
      </w:r>
    </w:p>
    <w:p>
      <w:pPr>
        <w:ind w:left="1519" w:right="1760" w:firstLine="510"/>
        <w:spacing w:before="103" w:line="281" w:lineRule="auto"/>
        <w:rPr>
          <w:rFonts w:ascii="FangSong" w:hAnsi="FangSong" w:eastAsia="FangSong" w:cs="FangSong"/>
          <w:sz w:val="24"/>
          <w:szCs w:val="24"/>
        </w:rPr>
      </w:pPr>
      <w:r>
        <w:rPr>
          <w:rFonts w:ascii="FangSong" w:hAnsi="FangSong" w:eastAsia="FangSong" w:cs="FangSong"/>
          <w:sz w:val="24"/>
          <w:szCs w:val="24"/>
          <w:spacing w:val="-2"/>
        </w:rPr>
        <w:t>(八)负责医疗保障经办管理、公共服务体系和信息化建设。组织实施异地就医</w:t>
      </w:r>
      <w:r>
        <w:rPr>
          <w:rFonts w:ascii="FangSong" w:hAnsi="FangSong" w:eastAsia="FangSong" w:cs="FangSong"/>
          <w:sz w:val="24"/>
          <w:szCs w:val="24"/>
          <w:spacing w:val="18"/>
        </w:rPr>
        <w:t xml:space="preserve"> </w:t>
      </w:r>
      <w:r>
        <w:rPr>
          <w:rFonts w:ascii="FangSong" w:hAnsi="FangSong" w:eastAsia="FangSong" w:cs="FangSong"/>
          <w:sz w:val="24"/>
          <w:szCs w:val="24"/>
          <w:spacing w:val="-1"/>
        </w:rPr>
        <w:t>管理和费用结算政策。建立健全医疗保障关系转移接续制度。开展医疗保障领域合</w:t>
      </w:r>
      <w:r>
        <w:rPr>
          <w:rFonts w:ascii="FangSong" w:hAnsi="FangSong" w:eastAsia="FangSong" w:cs="FangSong"/>
          <w:sz w:val="24"/>
          <w:szCs w:val="24"/>
          <w:spacing w:val="15"/>
        </w:rPr>
        <w:t xml:space="preserve"> </w:t>
      </w:r>
      <w:r>
        <w:rPr>
          <w:rFonts w:ascii="FangSong" w:hAnsi="FangSong" w:eastAsia="FangSong" w:cs="FangSong"/>
          <w:sz w:val="24"/>
          <w:szCs w:val="24"/>
          <w:spacing w:val="-10"/>
        </w:rPr>
        <w:t>作交流。</w:t>
      </w:r>
    </w:p>
    <w:p>
      <w:pPr>
        <w:ind w:left="2030"/>
        <w:spacing w:before="104" w:line="221" w:lineRule="auto"/>
        <w:rPr>
          <w:rFonts w:ascii="FangSong" w:hAnsi="FangSong" w:eastAsia="FangSong" w:cs="FangSong"/>
          <w:sz w:val="24"/>
          <w:szCs w:val="24"/>
        </w:rPr>
      </w:pPr>
      <w:r>
        <w:rPr>
          <w:rFonts w:ascii="FangSong" w:hAnsi="FangSong" w:eastAsia="FangSong" w:cs="FangSong"/>
          <w:sz w:val="24"/>
          <w:szCs w:val="24"/>
          <w:spacing w:val="-3"/>
        </w:rPr>
        <w:t>(九)所属事业单位承担的行政职能全部划</w:t>
      </w:r>
      <w:r>
        <w:rPr>
          <w:rFonts w:ascii="FangSong" w:hAnsi="FangSong" w:eastAsia="FangSong" w:cs="FangSong"/>
          <w:sz w:val="24"/>
          <w:szCs w:val="24"/>
          <w:spacing w:val="-4"/>
        </w:rPr>
        <w:t>归行政机关。</w:t>
      </w:r>
    </w:p>
    <w:p>
      <w:pPr>
        <w:ind w:left="2030"/>
        <w:spacing w:before="117" w:line="222" w:lineRule="auto"/>
        <w:rPr>
          <w:rFonts w:ascii="FangSong" w:hAnsi="FangSong" w:eastAsia="FangSong" w:cs="FangSong"/>
          <w:sz w:val="24"/>
          <w:szCs w:val="24"/>
        </w:rPr>
      </w:pPr>
      <w:r>
        <w:rPr>
          <w:rFonts w:ascii="FangSong" w:hAnsi="FangSong" w:eastAsia="FangSong" w:cs="FangSong"/>
          <w:sz w:val="24"/>
          <w:szCs w:val="24"/>
          <w:spacing w:val="-5"/>
        </w:rPr>
        <w:t>(十)完成县委、县政府交办的其他任务。</w:t>
      </w:r>
    </w:p>
    <w:p>
      <w:pPr>
        <w:ind w:left="1517" w:right="1760" w:firstLine="512"/>
        <w:spacing w:before="120" w:line="289" w:lineRule="auto"/>
        <w:rPr>
          <w:rFonts w:ascii="FangSong" w:hAnsi="FangSong" w:eastAsia="FangSong" w:cs="FangSong"/>
          <w:sz w:val="24"/>
          <w:szCs w:val="24"/>
        </w:rPr>
      </w:pPr>
      <w:r>
        <w:rPr>
          <w:rFonts w:ascii="FangSong" w:hAnsi="FangSong" w:eastAsia="FangSong" w:cs="FangSong"/>
          <w:sz w:val="24"/>
          <w:szCs w:val="24"/>
          <w:spacing w:val="-2"/>
        </w:rPr>
        <w:t>(十一)职能转变。县医疗保障局应根据市医疗保障局相关规定，建立健全统一</w:t>
      </w:r>
      <w:r>
        <w:rPr>
          <w:rFonts w:ascii="FangSong" w:hAnsi="FangSong" w:eastAsia="FangSong" w:cs="FangSong"/>
          <w:sz w:val="24"/>
          <w:szCs w:val="24"/>
          <w:spacing w:val="18"/>
        </w:rPr>
        <w:t xml:space="preserve"> </w:t>
      </w:r>
      <w:r>
        <w:rPr>
          <w:rFonts w:ascii="FangSong" w:hAnsi="FangSong" w:eastAsia="FangSong" w:cs="FangSong"/>
          <w:sz w:val="24"/>
          <w:szCs w:val="24"/>
          <w:spacing w:val="-1"/>
        </w:rPr>
        <w:t>的城乡居民基本医疗保险制度和大病保险制度,</w:t>
      </w:r>
      <w:r>
        <w:rPr>
          <w:rFonts w:ascii="FangSong" w:hAnsi="FangSong" w:eastAsia="FangSong" w:cs="FangSong"/>
          <w:sz w:val="24"/>
          <w:szCs w:val="24"/>
          <w:spacing w:val="-1"/>
        </w:rPr>
        <w:t xml:space="preserve"> </w:t>
      </w:r>
      <w:r>
        <w:rPr>
          <w:rFonts w:ascii="FangSong" w:hAnsi="FangSong" w:eastAsia="FangSong" w:cs="FangSong"/>
          <w:sz w:val="24"/>
          <w:szCs w:val="24"/>
          <w:spacing w:val="-1"/>
        </w:rPr>
        <w:t>建立健全覆盖全民、城乡统筹的多</w:t>
      </w:r>
      <w:r>
        <w:rPr>
          <w:rFonts w:ascii="FangSong" w:hAnsi="FangSong" w:eastAsia="FangSong" w:cs="FangSong"/>
          <w:sz w:val="24"/>
          <w:szCs w:val="24"/>
          <w:spacing w:val="18"/>
        </w:rPr>
        <w:t xml:space="preserve"> </w:t>
      </w:r>
      <w:r>
        <w:rPr>
          <w:rFonts w:ascii="FangSong" w:hAnsi="FangSong" w:eastAsia="FangSong" w:cs="FangSong"/>
          <w:sz w:val="24"/>
          <w:szCs w:val="24"/>
          <w:spacing w:val="-1"/>
        </w:rPr>
        <w:t>层次医疗保障体系,不断提高医疗保障水平,确保医保资金合理使用、安全可控。推</w:t>
      </w:r>
      <w:r>
        <w:rPr>
          <w:rFonts w:ascii="FangSong" w:hAnsi="FangSong" w:eastAsia="FangSong" w:cs="FangSong"/>
          <w:sz w:val="24"/>
          <w:szCs w:val="24"/>
          <w:spacing w:val="18"/>
        </w:rPr>
        <w:t xml:space="preserve"> </w:t>
      </w:r>
      <w:r>
        <w:rPr>
          <w:rFonts w:ascii="FangSong" w:hAnsi="FangSong" w:eastAsia="FangSong" w:cs="FangSong"/>
          <w:sz w:val="24"/>
          <w:szCs w:val="24"/>
          <w:spacing w:val="-1"/>
        </w:rPr>
        <w:t>进医疗、医保、医药“三医联动”改革,更好保障人民群众就医需求,减轻医药费用</w:t>
      </w:r>
      <w:r>
        <w:rPr>
          <w:rFonts w:ascii="FangSong" w:hAnsi="FangSong" w:eastAsia="FangSong" w:cs="FangSong"/>
          <w:sz w:val="24"/>
          <w:szCs w:val="24"/>
          <w:spacing w:val="18"/>
        </w:rPr>
        <w:t xml:space="preserve"> </w:t>
      </w:r>
      <w:r>
        <w:rPr>
          <w:rFonts w:ascii="FangSong" w:hAnsi="FangSong" w:eastAsia="FangSong" w:cs="FangSong"/>
          <w:sz w:val="24"/>
          <w:szCs w:val="24"/>
          <w:spacing w:val="-12"/>
        </w:rPr>
        <w:t>负担。</w:t>
      </w:r>
    </w:p>
    <w:p>
      <w:pPr>
        <w:ind w:left="1516" w:right="1760" w:firstLine="513"/>
        <w:spacing w:before="116" w:line="277" w:lineRule="auto"/>
        <w:rPr>
          <w:rFonts w:ascii="FangSong" w:hAnsi="FangSong" w:eastAsia="FangSong" w:cs="FangSong"/>
          <w:sz w:val="24"/>
          <w:szCs w:val="24"/>
        </w:rPr>
      </w:pPr>
      <w:r>
        <w:rPr>
          <w:rFonts w:ascii="FangSong" w:hAnsi="FangSong" w:eastAsia="FangSong" w:cs="FangSong"/>
          <w:sz w:val="24"/>
          <w:szCs w:val="24"/>
          <w:spacing w:val="-2"/>
        </w:rPr>
        <w:t>(十二)与县卫生健康和体育局的有关职责分工。县卫生健康和体育局、县医疗</w:t>
      </w:r>
      <w:r>
        <w:rPr>
          <w:rFonts w:ascii="FangSong" w:hAnsi="FangSong" w:eastAsia="FangSong" w:cs="FangSong"/>
          <w:sz w:val="24"/>
          <w:szCs w:val="24"/>
          <w:spacing w:val="18"/>
        </w:rPr>
        <w:t xml:space="preserve"> </w:t>
      </w:r>
      <w:r>
        <w:rPr>
          <w:rFonts w:ascii="FangSong" w:hAnsi="FangSong" w:eastAsia="FangSong" w:cs="FangSong"/>
          <w:sz w:val="24"/>
          <w:szCs w:val="24"/>
        </w:rPr>
        <w:t>保障局等部门在医疗、医保、医药等方面加</w:t>
      </w:r>
      <w:r>
        <w:rPr>
          <w:rFonts w:ascii="FangSong" w:hAnsi="FangSong" w:eastAsia="FangSong" w:cs="FangSong"/>
          <w:sz w:val="24"/>
          <w:szCs w:val="24"/>
          <w:spacing w:val="-1"/>
        </w:rPr>
        <w:t>强制度、政策衔接,建立沟通协商机制,</w:t>
      </w:r>
      <w:r>
        <w:rPr>
          <w:rFonts w:ascii="FangSong" w:hAnsi="FangSong" w:eastAsia="FangSong" w:cs="FangSong"/>
          <w:sz w:val="24"/>
          <w:szCs w:val="24"/>
        </w:rPr>
        <w:t xml:space="preserve"> </w:t>
      </w:r>
      <w:r>
        <w:rPr>
          <w:rFonts w:ascii="FangSong" w:hAnsi="FangSong" w:eastAsia="FangSong" w:cs="FangSong"/>
          <w:sz w:val="24"/>
          <w:szCs w:val="24"/>
          <w:spacing w:val="-2"/>
        </w:rPr>
        <w:t>协同推进改革,提高医疗资源使用效率和医疗保障水平。</w:t>
      </w:r>
    </w:p>
    <w:p>
      <w:pPr>
        <w:spacing w:line="277"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270" w:lineRule="auto"/>
        <w:rPr/>
      </w:pPr>
      <w:r/>
    </w:p>
    <w:p>
      <w:pPr>
        <w:pStyle w:val="BodyText"/>
        <w:spacing w:line="271" w:lineRule="auto"/>
        <w:rPr/>
      </w:pPr>
      <w:r/>
    </w:p>
    <w:p>
      <w:pPr>
        <w:ind w:left="1513"/>
        <w:spacing w:before="78" w:line="222" w:lineRule="auto"/>
        <w:outlineLvl w:val="1"/>
        <w:rPr>
          <w:rFonts w:ascii="SimHei" w:hAnsi="SimHei" w:eastAsia="SimHei" w:cs="SimHei"/>
          <w:sz w:val="24"/>
          <w:szCs w:val="24"/>
        </w:rPr>
      </w:pPr>
      <w:bookmarkStart w:name="bookmark36" w:id="5"/>
      <w:bookmarkEnd w:id="5"/>
      <w:bookmarkStart w:name="bookmark4" w:id="6"/>
      <w:bookmarkEnd w:id="6"/>
      <w:r>
        <w:rPr>
          <w:rFonts w:ascii="SimHei" w:hAnsi="SimHei" w:eastAsia="SimHei" w:cs="SimHei"/>
          <w:sz w:val="24"/>
          <w:szCs w:val="24"/>
          <w:spacing w:val="-2"/>
        </w:rPr>
        <w:t>二、机构设置情况</w:t>
      </w:r>
    </w:p>
    <w:p>
      <w:pPr>
        <w:ind w:left="1515" w:right="1671"/>
        <w:spacing w:before="114" w:line="296" w:lineRule="auto"/>
        <w:rPr>
          <w:rFonts w:ascii="FangSong" w:hAnsi="FangSong" w:eastAsia="FangSong" w:cs="FangSong"/>
          <w:sz w:val="24"/>
          <w:szCs w:val="24"/>
        </w:rPr>
      </w:pPr>
      <w:r>
        <w:rPr>
          <w:rFonts w:ascii="FangSong" w:hAnsi="FangSong" w:eastAsia="FangSong" w:cs="FangSong"/>
          <w:sz w:val="24"/>
          <w:szCs w:val="24"/>
          <w:spacing w:val="-1"/>
        </w:rPr>
        <w:t>（一）综合办公室。负责文电、会务、机要、档案、督查、宣传等机关日常运转工</w:t>
      </w:r>
      <w:r>
        <w:rPr>
          <w:rFonts w:ascii="FangSong" w:hAnsi="FangSong" w:eastAsia="FangSong" w:cs="FangSong"/>
          <w:sz w:val="24"/>
          <w:szCs w:val="24"/>
          <w:spacing w:val="1"/>
        </w:rPr>
        <w:t xml:space="preserve">  </w:t>
      </w:r>
      <w:r>
        <w:rPr>
          <w:rFonts w:ascii="FangSong" w:hAnsi="FangSong" w:eastAsia="FangSong" w:cs="FangSong"/>
          <w:sz w:val="24"/>
          <w:szCs w:val="24"/>
        </w:rPr>
        <w:t>作。承担安全、保密、信访、政务公开和国</w:t>
      </w:r>
      <w:r>
        <w:rPr>
          <w:rFonts w:ascii="FangSong" w:hAnsi="FangSong" w:eastAsia="FangSong" w:cs="FangSong"/>
          <w:sz w:val="24"/>
          <w:szCs w:val="24"/>
          <w:spacing w:val="-1"/>
        </w:rPr>
        <w:t>际、国内、省内合作交流等工作。组织</w:t>
      </w:r>
      <w:r>
        <w:rPr>
          <w:rFonts w:ascii="FangSong" w:hAnsi="FangSong" w:eastAsia="FangSong" w:cs="FangSong"/>
          <w:sz w:val="24"/>
          <w:szCs w:val="24"/>
        </w:rPr>
        <w:t xml:space="preserve"> </w:t>
      </w:r>
      <w:r>
        <w:rPr>
          <w:rFonts w:ascii="FangSong" w:hAnsi="FangSong" w:eastAsia="FangSong" w:cs="FangSong"/>
          <w:sz w:val="24"/>
          <w:szCs w:val="24"/>
        </w:rPr>
        <w:t>协调人大代表建议、政协提案的办理工作。承担机关和所属事业单位的人事管</w:t>
      </w:r>
      <w:r>
        <w:rPr>
          <w:rFonts w:ascii="FangSong" w:hAnsi="FangSong" w:eastAsia="FangSong" w:cs="FangSong"/>
          <w:sz w:val="24"/>
          <w:szCs w:val="24"/>
          <w:spacing w:val="-1"/>
        </w:rPr>
        <w:t>理、</w:t>
      </w:r>
      <w:r>
        <w:rPr>
          <w:rFonts w:ascii="FangSong" w:hAnsi="FangSong" w:eastAsia="FangSong" w:cs="FangSong"/>
          <w:sz w:val="24"/>
          <w:szCs w:val="24"/>
        </w:rPr>
        <w:t xml:space="preserve"> </w:t>
      </w:r>
      <w:r>
        <w:rPr>
          <w:rFonts w:ascii="FangSong" w:hAnsi="FangSong" w:eastAsia="FangSong" w:cs="FangSong"/>
          <w:sz w:val="24"/>
          <w:szCs w:val="24"/>
        </w:rPr>
        <w:t>机构编制、教育培训、队伍建设等工作。负</w:t>
      </w:r>
      <w:r>
        <w:rPr>
          <w:rFonts w:ascii="FangSong" w:hAnsi="FangSong" w:eastAsia="FangSong" w:cs="FangSong"/>
          <w:sz w:val="24"/>
          <w:szCs w:val="24"/>
          <w:spacing w:val="-1"/>
        </w:rPr>
        <w:t>责机关和所属事业单位的党群、精神文</w:t>
      </w:r>
      <w:r>
        <w:rPr>
          <w:rFonts w:ascii="FangSong" w:hAnsi="FangSong" w:eastAsia="FangSong" w:cs="FangSong"/>
          <w:sz w:val="24"/>
          <w:szCs w:val="24"/>
        </w:rPr>
        <w:t xml:space="preserve"> </w:t>
      </w:r>
      <w:r>
        <w:rPr>
          <w:rFonts w:ascii="FangSong" w:hAnsi="FangSong" w:eastAsia="FangSong" w:cs="FangSong"/>
          <w:sz w:val="24"/>
          <w:szCs w:val="24"/>
        </w:rPr>
        <w:t>明建设工作。组织实施全县医疗保障工作规划。承担机关和所属事业单位预决</w:t>
      </w:r>
      <w:r>
        <w:rPr>
          <w:rFonts w:ascii="FangSong" w:hAnsi="FangSong" w:eastAsia="FangSong" w:cs="FangSong"/>
          <w:sz w:val="24"/>
          <w:szCs w:val="24"/>
          <w:spacing w:val="-1"/>
        </w:rPr>
        <w:t>算、</w:t>
      </w:r>
      <w:r>
        <w:rPr>
          <w:rFonts w:ascii="FangSong" w:hAnsi="FangSong" w:eastAsia="FangSong" w:cs="FangSong"/>
          <w:sz w:val="24"/>
          <w:szCs w:val="24"/>
        </w:rPr>
        <w:t xml:space="preserve"> </w:t>
      </w:r>
      <w:r>
        <w:rPr>
          <w:rFonts w:ascii="FangSong" w:hAnsi="FangSong" w:eastAsia="FangSong" w:cs="FangSong"/>
          <w:sz w:val="24"/>
          <w:szCs w:val="24"/>
          <w:spacing w:val="-1"/>
        </w:rPr>
        <w:t>机关财务、资产管理工作,推进医疗保障信息化建设。负</w:t>
      </w:r>
      <w:r>
        <w:rPr>
          <w:rFonts w:ascii="FangSong" w:hAnsi="FangSong" w:eastAsia="FangSong" w:cs="FangSong"/>
          <w:sz w:val="24"/>
          <w:szCs w:val="24"/>
          <w:spacing w:val="-2"/>
        </w:rPr>
        <w:t>责医疗保障信息统计工作。</w:t>
      </w:r>
      <w:r>
        <w:rPr>
          <w:rFonts w:ascii="FangSong" w:hAnsi="FangSong" w:eastAsia="FangSong" w:cs="FangSong"/>
          <w:sz w:val="24"/>
          <w:szCs w:val="24"/>
        </w:rPr>
        <w:t xml:space="preserve"> </w:t>
      </w:r>
      <w:r>
        <w:rPr>
          <w:rFonts w:ascii="FangSong" w:hAnsi="FangSong" w:eastAsia="FangSong" w:cs="FangSong"/>
          <w:sz w:val="24"/>
          <w:szCs w:val="24"/>
        </w:rPr>
        <w:t>承担规范性文件的合法性审查工作。承担行</w:t>
      </w:r>
      <w:r>
        <w:rPr>
          <w:rFonts w:ascii="FangSong" w:hAnsi="FangSong" w:eastAsia="FangSong" w:cs="FangSong"/>
          <w:sz w:val="24"/>
          <w:szCs w:val="24"/>
          <w:spacing w:val="-1"/>
        </w:rPr>
        <w:t>政复议、行政应诉等工作。负责机关和</w:t>
      </w:r>
      <w:r>
        <w:rPr>
          <w:rFonts w:ascii="FangSong" w:hAnsi="FangSong" w:eastAsia="FangSong" w:cs="FangSong"/>
          <w:sz w:val="24"/>
          <w:szCs w:val="24"/>
        </w:rPr>
        <w:t xml:space="preserve"> </w:t>
      </w:r>
      <w:r>
        <w:rPr>
          <w:rFonts w:ascii="FangSong" w:hAnsi="FangSong" w:eastAsia="FangSong" w:cs="FangSong"/>
          <w:sz w:val="24"/>
          <w:szCs w:val="24"/>
          <w:spacing w:val="-4"/>
        </w:rPr>
        <w:t>所属事业单位内部审计工作。</w:t>
      </w:r>
    </w:p>
    <w:p>
      <w:pPr>
        <w:ind w:left="1515" w:right="1760" w:firstLine="514"/>
        <w:spacing w:before="120" w:line="277" w:lineRule="auto"/>
        <w:rPr>
          <w:rFonts w:ascii="FangSong" w:hAnsi="FangSong" w:eastAsia="FangSong" w:cs="FangSong"/>
          <w:sz w:val="24"/>
          <w:szCs w:val="24"/>
        </w:rPr>
      </w:pPr>
      <w:r>
        <w:rPr>
          <w:rFonts w:ascii="FangSong" w:hAnsi="FangSong" w:eastAsia="FangSong" w:cs="FangSong"/>
          <w:sz w:val="24"/>
          <w:szCs w:val="24"/>
          <w:spacing w:val="-2"/>
        </w:rPr>
        <w:t>(二)待遇保障股。贯彻执行医疗保险、生育保险及医疗救助等医疗保障筹资和</w:t>
      </w:r>
      <w:r>
        <w:rPr>
          <w:rFonts w:ascii="FangSong" w:hAnsi="FangSong" w:eastAsia="FangSong" w:cs="FangSong"/>
          <w:sz w:val="24"/>
          <w:szCs w:val="24"/>
          <w:spacing w:val="18"/>
        </w:rPr>
        <w:t xml:space="preserve"> </w:t>
      </w:r>
      <w:r>
        <w:rPr>
          <w:rFonts w:ascii="FangSong" w:hAnsi="FangSong" w:eastAsia="FangSong" w:cs="FangSong"/>
          <w:sz w:val="24"/>
          <w:szCs w:val="24"/>
        </w:rPr>
        <w:t>待遇政策。统筹推进多层次医疗保障体系建</w:t>
      </w:r>
      <w:r>
        <w:rPr>
          <w:rFonts w:ascii="FangSong" w:hAnsi="FangSong" w:eastAsia="FangSong" w:cs="FangSong"/>
          <w:sz w:val="24"/>
          <w:szCs w:val="24"/>
          <w:spacing w:val="-1"/>
        </w:rPr>
        <w:t>设。建立健全医疗保障关系转移接续制</w:t>
      </w:r>
      <w:r>
        <w:rPr>
          <w:rFonts w:ascii="FangSong" w:hAnsi="FangSong" w:eastAsia="FangSong" w:cs="FangSong"/>
          <w:sz w:val="24"/>
          <w:szCs w:val="24"/>
        </w:rPr>
        <w:t xml:space="preserve"> </w:t>
      </w:r>
      <w:r>
        <w:rPr>
          <w:rFonts w:ascii="FangSong" w:hAnsi="FangSong" w:eastAsia="FangSong" w:cs="FangSong"/>
          <w:sz w:val="24"/>
          <w:szCs w:val="24"/>
          <w:spacing w:val="-1"/>
        </w:rPr>
        <w:t>度。组织实施全县长期护理保险制度改革方案。贯彻执行市医疗保障局制定的中</w:t>
      </w:r>
    </w:p>
    <w:p>
      <w:pPr>
        <w:ind w:left="1516" w:right="1760" w:firstLine="6"/>
        <w:spacing w:before="117" w:line="267" w:lineRule="auto"/>
        <w:rPr>
          <w:rFonts w:ascii="FangSong" w:hAnsi="FangSong" w:eastAsia="FangSong" w:cs="FangSong"/>
          <w:sz w:val="24"/>
          <w:szCs w:val="24"/>
        </w:rPr>
      </w:pPr>
      <w:r>
        <w:rPr>
          <w:rFonts w:ascii="FangSong" w:hAnsi="FangSong" w:eastAsia="FangSong" w:cs="FangSong"/>
          <w:sz w:val="24"/>
          <w:szCs w:val="24"/>
          <w:spacing w:val="-1"/>
        </w:rPr>
        <w:t>央、省、市驻县直机关、事业、社会团体等单位的医疗保险、生育保险筹资和待遇</w:t>
      </w:r>
      <w:r>
        <w:rPr>
          <w:rFonts w:ascii="FangSong" w:hAnsi="FangSong" w:eastAsia="FangSong" w:cs="FangSong"/>
          <w:sz w:val="24"/>
          <w:szCs w:val="24"/>
          <w:spacing w:val="11"/>
        </w:rPr>
        <w:t xml:space="preserve"> </w:t>
      </w:r>
      <w:r>
        <w:rPr>
          <w:rFonts w:ascii="FangSong" w:hAnsi="FangSong" w:eastAsia="FangSong" w:cs="FangSong"/>
          <w:sz w:val="24"/>
          <w:szCs w:val="24"/>
          <w:spacing w:val="-11"/>
        </w:rPr>
        <w:t>政策。</w:t>
      </w:r>
    </w:p>
    <w:p>
      <w:pPr>
        <w:ind w:left="1515" w:right="1760" w:firstLine="515"/>
        <w:spacing w:before="103" w:line="295" w:lineRule="auto"/>
        <w:rPr>
          <w:rFonts w:ascii="FangSong" w:hAnsi="FangSong" w:eastAsia="FangSong" w:cs="FangSong"/>
          <w:sz w:val="24"/>
          <w:szCs w:val="24"/>
        </w:rPr>
      </w:pPr>
      <w:r>
        <w:rPr>
          <w:rFonts w:ascii="FangSong" w:hAnsi="FangSong" w:eastAsia="FangSong" w:cs="FangSong"/>
          <w:sz w:val="24"/>
          <w:szCs w:val="24"/>
          <w:spacing w:val="-2"/>
        </w:rPr>
        <w:t>(三)医药服务管理股。组织实施并监督执行城乡统一的药品、医用耗材、医疗</w:t>
      </w:r>
      <w:r>
        <w:rPr>
          <w:rFonts w:ascii="FangSong" w:hAnsi="FangSong" w:eastAsia="FangSong" w:cs="FangSong"/>
          <w:sz w:val="24"/>
          <w:szCs w:val="24"/>
          <w:spacing w:val="18"/>
        </w:rPr>
        <w:t xml:space="preserve"> </w:t>
      </w:r>
      <w:r>
        <w:rPr>
          <w:rFonts w:ascii="FangSong" w:hAnsi="FangSong" w:eastAsia="FangSong" w:cs="FangSong"/>
          <w:sz w:val="24"/>
          <w:szCs w:val="24"/>
        </w:rPr>
        <w:t>服务项目、医疗服务设施等医保目录和支付标</w:t>
      </w:r>
      <w:r>
        <w:rPr>
          <w:rFonts w:ascii="FangSong" w:hAnsi="FangSong" w:eastAsia="FangSong" w:cs="FangSong"/>
          <w:sz w:val="24"/>
          <w:szCs w:val="24"/>
          <w:spacing w:val="-1"/>
        </w:rPr>
        <w:t>准,执行动态调整机制,贯彻执行医保</w:t>
      </w:r>
      <w:r>
        <w:rPr>
          <w:rFonts w:ascii="FangSong" w:hAnsi="FangSong" w:eastAsia="FangSong" w:cs="FangSong"/>
          <w:sz w:val="24"/>
          <w:szCs w:val="24"/>
        </w:rPr>
        <w:t xml:space="preserve"> </w:t>
      </w:r>
      <w:r>
        <w:rPr>
          <w:rFonts w:ascii="FangSong" w:hAnsi="FangSong" w:eastAsia="FangSong" w:cs="FangSong"/>
          <w:sz w:val="24"/>
          <w:szCs w:val="24"/>
        </w:rPr>
        <w:t>目录准入谈判规则。贯彻实施定点医药机构</w:t>
      </w:r>
      <w:r>
        <w:rPr>
          <w:rFonts w:ascii="FangSong" w:hAnsi="FangSong" w:eastAsia="FangSong" w:cs="FangSong"/>
          <w:sz w:val="24"/>
          <w:szCs w:val="24"/>
          <w:spacing w:val="-1"/>
        </w:rPr>
        <w:t>医保协议和支付管理、异地就医管理办</w:t>
      </w:r>
      <w:r>
        <w:rPr>
          <w:rFonts w:ascii="FangSong" w:hAnsi="FangSong" w:eastAsia="FangSong" w:cs="FangSong"/>
          <w:sz w:val="24"/>
          <w:szCs w:val="24"/>
        </w:rPr>
        <w:t xml:space="preserve"> </w:t>
      </w:r>
      <w:r>
        <w:rPr>
          <w:rFonts w:ascii="FangSong" w:hAnsi="FangSong" w:eastAsia="FangSong" w:cs="FangSong"/>
          <w:sz w:val="24"/>
          <w:szCs w:val="24"/>
        </w:rPr>
        <w:t>法和结算政策。组织推进医保支付方式改革</w:t>
      </w:r>
      <w:r>
        <w:rPr>
          <w:rFonts w:ascii="FangSong" w:hAnsi="FangSong" w:eastAsia="FangSong" w:cs="FangSong"/>
          <w:sz w:val="24"/>
          <w:szCs w:val="24"/>
          <w:spacing w:val="-1"/>
        </w:rPr>
        <w:t>。组织开展药品、医用耗材、医疗技术</w:t>
      </w:r>
      <w:r>
        <w:rPr>
          <w:rFonts w:ascii="FangSong" w:hAnsi="FangSong" w:eastAsia="FangSong" w:cs="FangSong"/>
          <w:sz w:val="24"/>
          <w:szCs w:val="24"/>
        </w:rPr>
        <w:t xml:space="preserve"> </w:t>
      </w:r>
      <w:r>
        <w:rPr>
          <w:rFonts w:ascii="FangSong" w:hAnsi="FangSong" w:eastAsia="FangSong" w:cs="FangSong"/>
          <w:sz w:val="24"/>
          <w:szCs w:val="24"/>
        </w:rPr>
        <w:t>的经济性评价。贯彻实施药品、医用耗材价</w:t>
      </w:r>
      <w:r>
        <w:rPr>
          <w:rFonts w:ascii="FangSong" w:hAnsi="FangSong" w:eastAsia="FangSong" w:cs="FangSong"/>
          <w:sz w:val="24"/>
          <w:szCs w:val="24"/>
          <w:spacing w:val="-1"/>
        </w:rPr>
        <w:t>格和医疗服务项目价格、医疗服务设施</w:t>
      </w:r>
      <w:r>
        <w:rPr>
          <w:rFonts w:ascii="FangSong" w:hAnsi="FangSong" w:eastAsia="FangSong" w:cs="FangSong"/>
          <w:sz w:val="24"/>
          <w:szCs w:val="24"/>
        </w:rPr>
        <w:t xml:space="preserve"> </w:t>
      </w:r>
      <w:r>
        <w:rPr>
          <w:rFonts w:ascii="FangSong" w:hAnsi="FangSong" w:eastAsia="FangSong" w:cs="FangSong"/>
          <w:sz w:val="24"/>
          <w:szCs w:val="24"/>
        </w:rPr>
        <w:t>收费等政策,</w:t>
      </w:r>
      <w:r>
        <w:rPr>
          <w:rFonts w:ascii="FangSong" w:hAnsi="FangSong" w:eastAsia="FangSong" w:cs="FangSong"/>
          <w:sz w:val="24"/>
          <w:szCs w:val="24"/>
        </w:rPr>
        <w:t xml:space="preserve"> </w:t>
      </w:r>
      <w:r>
        <w:rPr>
          <w:rFonts w:ascii="FangSong" w:hAnsi="FangSong" w:eastAsia="FangSong" w:cs="FangSong"/>
          <w:sz w:val="24"/>
          <w:szCs w:val="24"/>
        </w:rPr>
        <w:t>建立价格信息监测和信息发布</w:t>
      </w:r>
      <w:r>
        <w:rPr>
          <w:rFonts w:ascii="FangSong" w:hAnsi="FangSong" w:eastAsia="FangSong" w:cs="FangSong"/>
          <w:sz w:val="24"/>
          <w:szCs w:val="24"/>
          <w:spacing w:val="-1"/>
        </w:rPr>
        <w:t>制度。贯彻实施药品、医用耗材的招标</w:t>
      </w:r>
      <w:r>
        <w:rPr>
          <w:rFonts w:ascii="FangSong" w:hAnsi="FangSong" w:eastAsia="FangSong" w:cs="FangSong"/>
          <w:sz w:val="24"/>
          <w:szCs w:val="24"/>
        </w:rPr>
        <w:t xml:space="preserve"> </w:t>
      </w:r>
      <w:r>
        <w:rPr>
          <w:rFonts w:ascii="FangSong" w:hAnsi="FangSong" w:eastAsia="FangSong" w:cs="FangSong"/>
          <w:sz w:val="24"/>
          <w:szCs w:val="24"/>
          <w:spacing w:val="-2"/>
        </w:rPr>
        <w:t>采购、配送及结算管理政策,</w:t>
      </w:r>
      <w:r>
        <w:rPr>
          <w:rFonts w:ascii="FangSong" w:hAnsi="FangSong" w:eastAsia="FangSong" w:cs="FangSong"/>
          <w:sz w:val="24"/>
          <w:szCs w:val="24"/>
          <w:spacing w:val="-2"/>
        </w:rPr>
        <w:t xml:space="preserve"> </w:t>
      </w:r>
      <w:r>
        <w:rPr>
          <w:rFonts w:ascii="FangSong" w:hAnsi="FangSong" w:eastAsia="FangSong" w:cs="FangSong"/>
          <w:sz w:val="24"/>
          <w:szCs w:val="24"/>
          <w:spacing w:val="-2"/>
        </w:rPr>
        <w:t>协同推进招标采购平台建设与应用。</w:t>
      </w:r>
    </w:p>
    <w:p>
      <w:pPr>
        <w:ind w:left="1550"/>
        <w:spacing w:before="118" w:line="220" w:lineRule="auto"/>
        <w:rPr>
          <w:rFonts w:ascii="FangSong" w:hAnsi="FangSong" w:eastAsia="FangSong" w:cs="FangSong"/>
          <w:sz w:val="24"/>
          <w:szCs w:val="24"/>
        </w:rPr>
      </w:pPr>
      <w:r>
        <w:rPr>
          <w:rFonts w:ascii="FangSong" w:hAnsi="FangSong" w:eastAsia="FangSong" w:cs="FangSong"/>
          <w:sz w:val="24"/>
          <w:szCs w:val="24"/>
          <w:spacing w:val="-1"/>
        </w:rPr>
        <w:t>(四)基金监管股。执行全县医疗保障基金监督管理</w:t>
      </w:r>
      <w:r>
        <w:rPr>
          <w:rFonts w:ascii="FangSong" w:hAnsi="FangSong" w:eastAsia="FangSong" w:cs="FangSong"/>
          <w:sz w:val="24"/>
          <w:szCs w:val="24"/>
          <w:spacing w:val="-2"/>
        </w:rPr>
        <w:t>办法并组织实施。建立健全医疗</w:t>
      </w:r>
    </w:p>
    <w:p>
      <w:pPr>
        <w:ind w:left="1516"/>
        <w:spacing w:before="104" w:line="221" w:lineRule="auto"/>
        <w:rPr>
          <w:rFonts w:ascii="FangSong" w:hAnsi="FangSong" w:eastAsia="FangSong" w:cs="FangSong"/>
          <w:sz w:val="24"/>
          <w:szCs w:val="24"/>
        </w:rPr>
      </w:pPr>
      <w:r>
        <w:rPr>
          <w:rFonts w:ascii="FangSong" w:hAnsi="FangSong" w:eastAsia="FangSong" w:cs="FangSong"/>
          <w:sz w:val="24"/>
          <w:szCs w:val="24"/>
        </w:rPr>
        <w:t>保障基金安全防控机制,</w:t>
      </w:r>
      <w:r>
        <w:rPr>
          <w:rFonts w:ascii="FangSong" w:hAnsi="FangSong" w:eastAsia="FangSong" w:cs="FangSong"/>
          <w:sz w:val="24"/>
          <w:szCs w:val="24"/>
        </w:rPr>
        <w:t xml:space="preserve"> </w:t>
      </w:r>
      <w:r>
        <w:rPr>
          <w:rFonts w:ascii="FangSong" w:hAnsi="FangSong" w:eastAsia="FangSong" w:cs="FangSong"/>
          <w:sz w:val="24"/>
          <w:szCs w:val="24"/>
        </w:rPr>
        <w:t>建立健全医疗保</w:t>
      </w:r>
      <w:r>
        <w:rPr>
          <w:rFonts w:ascii="FangSong" w:hAnsi="FangSong" w:eastAsia="FangSong" w:cs="FangSong"/>
          <w:sz w:val="24"/>
          <w:szCs w:val="24"/>
          <w:spacing w:val="-1"/>
        </w:rPr>
        <w:t>障信用评价体系和信息披露制度。监督管</w:t>
      </w:r>
    </w:p>
    <w:p>
      <w:pPr>
        <w:ind w:left="1516" w:right="1474"/>
        <w:spacing w:before="118" w:line="266" w:lineRule="auto"/>
        <w:rPr>
          <w:rFonts w:ascii="FangSong" w:hAnsi="FangSong" w:eastAsia="FangSong" w:cs="FangSong"/>
          <w:sz w:val="24"/>
          <w:szCs w:val="24"/>
        </w:rPr>
      </w:pPr>
      <w:r>
        <w:rPr>
          <w:rFonts w:ascii="FangSong" w:hAnsi="FangSong" w:eastAsia="FangSong" w:cs="FangSong"/>
          <w:sz w:val="24"/>
          <w:szCs w:val="24"/>
          <w:spacing w:val="1"/>
        </w:rPr>
        <w:t>理纳入医保支付范围的医疗服务行为和医疗费用,</w:t>
      </w:r>
      <w:r>
        <w:rPr>
          <w:rFonts w:ascii="FangSong" w:hAnsi="FangSong" w:eastAsia="FangSong" w:cs="FangSong"/>
          <w:sz w:val="24"/>
          <w:szCs w:val="24"/>
          <w:spacing w:val="1"/>
        </w:rPr>
        <w:t xml:space="preserve"> </w:t>
      </w:r>
      <w:r>
        <w:rPr>
          <w:rFonts w:ascii="FangSong" w:hAnsi="FangSong" w:eastAsia="FangSong" w:cs="FangSong"/>
          <w:sz w:val="24"/>
          <w:szCs w:val="24"/>
          <w:spacing w:val="1"/>
        </w:rPr>
        <w:t>规范医</w:t>
      </w:r>
      <w:r>
        <w:rPr>
          <w:rFonts w:ascii="FangSong" w:hAnsi="FangSong" w:eastAsia="FangSong" w:cs="FangSong"/>
          <w:sz w:val="24"/>
          <w:szCs w:val="24"/>
        </w:rPr>
        <w:t>保经办业务,</w:t>
      </w:r>
      <w:r>
        <w:rPr>
          <w:rFonts w:ascii="FangSong" w:hAnsi="FangSong" w:eastAsia="FangSong" w:cs="FangSong"/>
          <w:sz w:val="24"/>
          <w:szCs w:val="24"/>
        </w:rPr>
        <w:t xml:space="preserve"> </w:t>
      </w:r>
      <w:r>
        <w:rPr>
          <w:rFonts w:ascii="FangSong" w:hAnsi="FangSong" w:eastAsia="FangSong" w:cs="FangSong"/>
          <w:sz w:val="24"/>
          <w:szCs w:val="24"/>
        </w:rPr>
        <w:t>依法查处医疗</w:t>
      </w:r>
      <w:r>
        <w:rPr>
          <w:rFonts w:ascii="FangSong" w:hAnsi="FangSong" w:eastAsia="FangSong" w:cs="FangSong"/>
          <w:sz w:val="24"/>
          <w:szCs w:val="24"/>
        </w:rPr>
        <w:t xml:space="preserve"> </w:t>
      </w:r>
      <w:r>
        <w:rPr>
          <w:rFonts w:ascii="FangSong" w:hAnsi="FangSong" w:eastAsia="FangSong" w:cs="FangSong"/>
          <w:sz w:val="24"/>
          <w:szCs w:val="24"/>
          <w:spacing w:val="-5"/>
        </w:rPr>
        <w:t>保障领域违法违规行为。</w:t>
      </w:r>
    </w:p>
    <w:p>
      <w:pPr>
        <w:spacing w:line="266" w:lineRule="auto"/>
        <w:sectPr>
          <w:headerReference w:type="default" r:id="rId7"/>
          <w:footerReference w:type="default" r:id="rId8"/>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5" w:id="7"/>
      <w:bookmarkEnd w:id="7"/>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99"/>
        <w:gridCol w:w="1183"/>
        <w:gridCol w:w="2066"/>
        <w:gridCol w:w="1212"/>
        <w:gridCol w:w="1198"/>
        <w:gridCol w:w="89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248"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部门名称：兴县医疗保障局</w:t>
            </w:r>
          </w:p>
        </w:tc>
        <w:tc>
          <w:tcPr>
            <w:tcW w:w="3301" w:type="dxa"/>
            <w:vAlign w:val="top"/>
            <w:gridSpan w:val="3"/>
            <w:tcBorders>
              <w:top w:val="single" w:color="FFFFFF" w:sz="6" w:space="0"/>
              <w:left w:val="single" w:color="FFFFFF" w:sz="2" w:space="0"/>
              <w:right w:val="single" w:color="FFFFFF" w:sz="2" w:space="0"/>
            </w:tcBorders>
          </w:tcPr>
          <w:p>
            <w:pPr>
              <w:ind w:left="237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82" w:type="dxa"/>
            <w:vAlign w:val="top"/>
            <w:gridSpan w:val="2"/>
          </w:tcPr>
          <w:p>
            <w:pPr>
              <w:ind w:left="1401"/>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67" w:type="dxa"/>
            <w:vAlign w:val="top"/>
            <w:gridSpan w:val="4"/>
          </w:tcPr>
          <w:p>
            <w:pPr>
              <w:ind w:left="248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1999" w:type="dxa"/>
            <w:vAlign w:val="top"/>
          </w:tcPr>
          <w:p>
            <w:pPr>
              <w:ind w:left="79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tcPr>
          <w:p>
            <w:pPr>
              <w:ind w:left="304"/>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66" w:type="dxa"/>
            <w:vAlign w:val="top"/>
          </w:tcPr>
          <w:p>
            <w:pPr>
              <w:ind w:left="835"/>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12" w:type="dxa"/>
            <w:vAlign w:val="top"/>
          </w:tcPr>
          <w:p>
            <w:pPr>
              <w:ind w:left="142"/>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98" w:type="dxa"/>
            <w:vAlign w:val="top"/>
          </w:tcPr>
          <w:p>
            <w:pPr>
              <w:ind w:left="51"/>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91" w:type="dxa"/>
            <w:vAlign w:val="top"/>
          </w:tcPr>
          <w:p>
            <w:pPr>
              <w:ind w:left="68"/>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50"/>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1999"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83" w:type="dxa"/>
            <w:vAlign w:val="top"/>
          </w:tcPr>
          <w:p>
            <w:pPr>
              <w:ind w:right="24"/>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1924.87</w:t>
            </w:r>
          </w:p>
        </w:tc>
        <w:tc>
          <w:tcPr>
            <w:tcW w:w="2066" w:type="dxa"/>
            <w:vAlign w:val="top"/>
          </w:tcPr>
          <w:p>
            <w:pPr>
              <w:ind w:left="11"/>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83" w:type="dxa"/>
            <w:vAlign w:val="top"/>
          </w:tcPr>
          <w:p>
            <w:pPr>
              <w:pStyle w:val="TableText"/>
              <w:rPr/>
            </w:pPr>
            <w:r/>
          </w:p>
        </w:tc>
        <w:tc>
          <w:tcPr>
            <w:tcW w:w="2066" w:type="dxa"/>
            <w:vAlign w:val="top"/>
          </w:tcPr>
          <w:p>
            <w:pPr>
              <w:ind w:left="12"/>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83" w:type="dxa"/>
            <w:vAlign w:val="top"/>
          </w:tcPr>
          <w:p>
            <w:pPr>
              <w:pStyle w:val="TableText"/>
              <w:rPr/>
            </w:pPr>
            <w:r/>
          </w:p>
        </w:tc>
        <w:tc>
          <w:tcPr>
            <w:tcW w:w="2066" w:type="dxa"/>
            <w:vAlign w:val="top"/>
          </w:tcPr>
          <w:p>
            <w:pPr>
              <w:ind w:left="8"/>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83" w:type="dxa"/>
            <w:vAlign w:val="top"/>
          </w:tcPr>
          <w:p>
            <w:pPr>
              <w:pStyle w:val="TableText"/>
              <w:rPr/>
            </w:pPr>
            <w:r/>
          </w:p>
        </w:tc>
        <w:tc>
          <w:tcPr>
            <w:tcW w:w="2066" w:type="dxa"/>
            <w:vAlign w:val="top"/>
          </w:tcPr>
          <w:p>
            <w:pPr>
              <w:ind w:left="26"/>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83" w:type="dxa"/>
            <w:vAlign w:val="top"/>
          </w:tcPr>
          <w:p>
            <w:pPr>
              <w:pStyle w:val="TableText"/>
              <w:rPr/>
            </w:pPr>
            <w:r/>
          </w:p>
        </w:tc>
        <w:tc>
          <w:tcPr>
            <w:tcW w:w="2066" w:type="dxa"/>
            <w:vAlign w:val="top"/>
          </w:tcPr>
          <w:p>
            <w:pPr>
              <w:ind w:left="12"/>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right="68"/>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212" w:type="dxa"/>
            <w:vAlign w:val="top"/>
          </w:tcPr>
          <w:p>
            <w:pPr>
              <w:ind w:right="26"/>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36.42</w:t>
            </w:r>
          </w:p>
        </w:tc>
        <w:tc>
          <w:tcPr>
            <w:tcW w:w="1198" w:type="dxa"/>
            <w:vAlign w:val="top"/>
          </w:tcPr>
          <w:p>
            <w:pPr>
              <w:ind w:right="24"/>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36.42</w:t>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212"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1862.07</w:t>
            </w:r>
          </w:p>
        </w:tc>
        <w:tc>
          <w:tcPr>
            <w:tcW w:w="1198" w:type="dxa"/>
            <w:vAlign w:val="top"/>
          </w:tcPr>
          <w:p>
            <w:pPr>
              <w:ind w:right="23"/>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1858.36</w:t>
            </w:r>
          </w:p>
        </w:tc>
        <w:tc>
          <w:tcPr>
            <w:tcW w:w="891"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3.72</w:t>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right="68"/>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0" w:right="68"/>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5"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212" w:type="dxa"/>
            <w:vAlign w:val="top"/>
          </w:tcPr>
          <w:p>
            <w:pPr>
              <w:ind w:right="26"/>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30.10</w:t>
            </w:r>
          </w:p>
        </w:tc>
        <w:tc>
          <w:tcPr>
            <w:tcW w:w="1198" w:type="dxa"/>
            <w:vAlign w:val="top"/>
          </w:tcPr>
          <w:p>
            <w:pPr>
              <w:ind w:right="24"/>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30.10</w:t>
            </w:r>
          </w:p>
        </w:tc>
        <w:tc>
          <w:tcPr>
            <w:tcW w:w="891" w:type="dxa"/>
            <w:vAlign w:val="top"/>
          </w:tcPr>
          <w:p>
            <w:pPr>
              <w:pStyle w:val="TableText"/>
              <w:rPr/>
            </w:pPr>
            <w:r/>
          </w:p>
        </w:tc>
      </w:tr>
      <w:tr>
        <w:trPr>
          <w:trHeight w:val="532"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4" w:right="77"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99"/>
        <w:gridCol w:w="1183"/>
        <w:gridCol w:w="2066"/>
        <w:gridCol w:w="1212"/>
        <w:gridCol w:w="1198"/>
        <w:gridCol w:w="891"/>
      </w:tblGrid>
      <w:tr>
        <w:trPr>
          <w:trHeight w:val="531"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9" w:right="68"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3"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3"/>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12"/>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4" w:right="68"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ind w:left="23" w:right="68"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pStyle w:val="TableText"/>
              <w:rPr/>
            </w:pPr>
            <w:r/>
          </w:p>
        </w:tc>
        <w:tc>
          <w:tcPr>
            <w:tcW w:w="1183" w:type="dxa"/>
            <w:vAlign w:val="top"/>
          </w:tcPr>
          <w:p>
            <w:pPr>
              <w:pStyle w:val="TableText"/>
              <w:rPr/>
            </w:pPr>
            <w:r/>
          </w:p>
        </w:tc>
        <w:tc>
          <w:tcPr>
            <w:tcW w:w="2066" w:type="dxa"/>
            <w:vAlign w:val="top"/>
          </w:tcPr>
          <w:p>
            <w:pPr>
              <w:pStyle w:val="TableText"/>
              <w:rPr/>
            </w:pPr>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24" w:hRule="atLeast"/>
        </w:trPr>
        <w:tc>
          <w:tcPr>
            <w:tcW w:w="199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tcPr>
          <w:p>
            <w:pPr>
              <w:pStyle w:val="TableText"/>
              <w:ind w:left="531"/>
              <w:spacing w:before="186" w:line="184" w:lineRule="auto"/>
              <w:rPr>
                <w:sz w:val="15"/>
                <w:szCs w:val="15"/>
              </w:rPr>
            </w:pPr>
            <w:r>
              <w:rPr>
                <w:sz w:val="15"/>
                <w:szCs w:val="15"/>
                <w:color w:val="212529"/>
                <w:spacing w:val="2"/>
              </w:rPr>
              <w:t>1924.</w:t>
            </w:r>
            <w:r>
              <w:rPr>
                <w:sz w:val="15"/>
                <w:szCs w:val="15"/>
                <w:color w:val="212529"/>
                <w:spacing w:val="2"/>
              </w:rPr>
              <w:t xml:space="preserve"> </w:t>
            </w:r>
            <w:r>
              <w:rPr>
                <w:sz w:val="15"/>
                <w:szCs w:val="15"/>
                <w:color w:val="212529"/>
                <w:spacing w:val="2"/>
              </w:rPr>
              <w:t>87</w:t>
            </w:r>
          </w:p>
        </w:tc>
        <w:tc>
          <w:tcPr>
            <w:tcW w:w="2066" w:type="dxa"/>
            <w:vAlign w:val="top"/>
          </w:tcPr>
          <w:p>
            <w:pPr>
              <w:ind w:left="9"/>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212" w:type="dxa"/>
            <w:vAlign w:val="top"/>
          </w:tcPr>
          <w:p>
            <w:pPr>
              <w:pStyle w:val="TableText"/>
              <w:ind w:left="558"/>
              <w:spacing w:before="186" w:line="184" w:lineRule="auto"/>
              <w:rPr>
                <w:sz w:val="15"/>
                <w:szCs w:val="15"/>
              </w:rPr>
            </w:pPr>
            <w:r>
              <w:rPr>
                <w:sz w:val="15"/>
                <w:szCs w:val="15"/>
                <w:color w:val="212529"/>
                <w:spacing w:val="2"/>
              </w:rPr>
              <w:t>1928.</w:t>
            </w:r>
            <w:r>
              <w:rPr>
                <w:sz w:val="15"/>
                <w:szCs w:val="15"/>
                <w:color w:val="212529"/>
                <w:spacing w:val="2"/>
              </w:rPr>
              <w:t xml:space="preserve"> </w:t>
            </w:r>
            <w:r>
              <w:rPr>
                <w:sz w:val="15"/>
                <w:szCs w:val="15"/>
                <w:color w:val="212529"/>
                <w:spacing w:val="2"/>
              </w:rPr>
              <w:t>58</w:t>
            </w:r>
          </w:p>
        </w:tc>
        <w:tc>
          <w:tcPr>
            <w:tcW w:w="1198" w:type="dxa"/>
            <w:vAlign w:val="top"/>
          </w:tcPr>
          <w:p>
            <w:pPr>
              <w:pStyle w:val="TableText"/>
              <w:ind w:left="547"/>
              <w:spacing w:before="186" w:line="172" w:lineRule="auto"/>
              <w:rPr>
                <w:sz w:val="16"/>
                <w:szCs w:val="16"/>
              </w:rPr>
            </w:pPr>
            <w:r>
              <w:rPr>
                <w:sz w:val="16"/>
                <w:szCs w:val="16"/>
                <w:color w:val="212529"/>
                <w:spacing w:val="4"/>
              </w:rPr>
              <w:t>1924.87</w:t>
            </w:r>
          </w:p>
        </w:tc>
        <w:tc>
          <w:tcPr>
            <w:tcW w:w="891" w:type="dxa"/>
            <w:vAlign w:val="top"/>
          </w:tcPr>
          <w:p>
            <w:pPr>
              <w:pStyle w:val="TableText"/>
              <w:ind w:left="497"/>
              <w:spacing w:before="186" w:line="211" w:lineRule="auto"/>
              <w:rPr>
                <w:sz w:val="13"/>
                <w:szCs w:val="13"/>
              </w:rPr>
            </w:pPr>
            <w:r>
              <w:rPr>
                <w:sz w:val="13"/>
                <w:szCs w:val="13"/>
                <w:color w:val="212529"/>
                <w:spacing w:val="10"/>
              </w:rPr>
              <w:t>3.</w:t>
            </w:r>
            <w:r>
              <w:rPr>
                <w:sz w:val="13"/>
                <w:szCs w:val="13"/>
                <w:color w:val="212529"/>
                <w:spacing w:val="16"/>
              </w:rPr>
              <w:t xml:space="preserve"> </w:t>
            </w:r>
            <w:r>
              <w:rPr>
                <w:sz w:val="13"/>
                <w:szCs w:val="13"/>
                <w:color w:val="212529"/>
                <w:spacing w:val="10"/>
              </w:rPr>
              <w:t>72</w:t>
            </w:r>
          </w:p>
        </w:tc>
      </w:tr>
      <w:tr>
        <w:trPr>
          <w:trHeight w:val="524" w:hRule="atLeast"/>
        </w:trPr>
        <w:tc>
          <w:tcPr>
            <w:tcW w:w="199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83" w:type="dxa"/>
            <w:vAlign w:val="top"/>
          </w:tcPr>
          <w:p>
            <w:pPr>
              <w:ind w:left="833"/>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3.72</w:t>
            </w:r>
          </w:p>
        </w:tc>
        <w:tc>
          <w:tcPr>
            <w:tcW w:w="2066" w:type="dxa"/>
            <w:vAlign w:val="top"/>
          </w:tcPr>
          <w:p>
            <w:pPr>
              <w:ind w:left="198"/>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212" w:type="dxa"/>
            <w:vAlign w:val="top"/>
          </w:tcPr>
          <w:p>
            <w:pPr>
              <w:pStyle w:val="TableText"/>
              <w:rPr/>
            </w:pPr>
            <w:r/>
          </w:p>
        </w:tc>
        <w:tc>
          <w:tcPr>
            <w:tcW w:w="1198" w:type="dxa"/>
            <w:vAlign w:val="top"/>
          </w:tcPr>
          <w:p>
            <w:pPr>
              <w:pStyle w:val="TableText"/>
              <w:rPr/>
            </w:pPr>
            <w:r/>
          </w:p>
        </w:tc>
        <w:tc>
          <w:tcPr>
            <w:tcW w:w="891" w:type="dxa"/>
            <w:vAlign w:val="top"/>
          </w:tcPr>
          <w:p>
            <w:pPr>
              <w:pStyle w:val="TableText"/>
              <w:rPr/>
            </w:pPr>
            <w:r/>
          </w:p>
        </w:tc>
      </w:tr>
      <w:tr>
        <w:trPr>
          <w:trHeight w:val="531" w:hRule="atLeast"/>
        </w:trPr>
        <w:tc>
          <w:tcPr>
            <w:tcW w:w="199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83" w:type="dxa"/>
            <w:vAlign w:val="top"/>
          </w:tcPr>
          <w:p>
            <w:pPr>
              <w:pStyle w:val="TableText"/>
              <w:ind w:left="531"/>
              <w:spacing w:before="188" w:line="184" w:lineRule="auto"/>
              <w:rPr>
                <w:sz w:val="15"/>
                <w:szCs w:val="15"/>
              </w:rPr>
            </w:pPr>
            <w:r>
              <w:rPr>
                <w:sz w:val="15"/>
                <w:szCs w:val="15"/>
                <w:color w:val="212529"/>
                <w:spacing w:val="1"/>
              </w:rPr>
              <w:t>1928.</w:t>
            </w:r>
            <w:r>
              <w:rPr>
                <w:sz w:val="15"/>
                <w:szCs w:val="15"/>
                <w:color w:val="212529"/>
                <w:spacing w:val="14"/>
                <w:w w:val="101"/>
              </w:rPr>
              <w:t xml:space="preserve"> </w:t>
            </w:r>
            <w:r>
              <w:rPr>
                <w:sz w:val="15"/>
                <w:szCs w:val="15"/>
                <w:color w:val="212529"/>
                <w:spacing w:val="1"/>
              </w:rPr>
              <w:t>58</w:t>
            </w:r>
          </w:p>
        </w:tc>
        <w:tc>
          <w:tcPr>
            <w:tcW w:w="2066" w:type="dxa"/>
            <w:vAlign w:val="top"/>
          </w:tcPr>
          <w:p>
            <w:pPr>
              <w:ind w:left="8"/>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212" w:type="dxa"/>
            <w:vAlign w:val="top"/>
          </w:tcPr>
          <w:p>
            <w:pPr>
              <w:pStyle w:val="TableText"/>
              <w:ind w:left="558"/>
              <w:spacing w:before="188" w:line="184" w:lineRule="auto"/>
              <w:rPr>
                <w:sz w:val="15"/>
                <w:szCs w:val="15"/>
              </w:rPr>
            </w:pPr>
            <w:r>
              <w:rPr>
                <w:sz w:val="15"/>
                <w:szCs w:val="15"/>
                <w:color w:val="212529"/>
                <w:spacing w:val="2"/>
              </w:rPr>
              <w:t>1928.</w:t>
            </w:r>
            <w:r>
              <w:rPr>
                <w:sz w:val="15"/>
                <w:szCs w:val="15"/>
                <w:color w:val="212529"/>
                <w:spacing w:val="2"/>
              </w:rPr>
              <w:t xml:space="preserve"> </w:t>
            </w:r>
            <w:r>
              <w:rPr>
                <w:sz w:val="15"/>
                <w:szCs w:val="15"/>
                <w:color w:val="212529"/>
                <w:spacing w:val="2"/>
              </w:rPr>
              <w:t>58</w:t>
            </w:r>
          </w:p>
        </w:tc>
        <w:tc>
          <w:tcPr>
            <w:tcW w:w="1198" w:type="dxa"/>
            <w:vAlign w:val="top"/>
          </w:tcPr>
          <w:p>
            <w:pPr>
              <w:pStyle w:val="TableText"/>
              <w:ind w:left="547"/>
              <w:spacing w:before="188" w:line="172" w:lineRule="auto"/>
              <w:rPr>
                <w:sz w:val="16"/>
                <w:szCs w:val="16"/>
              </w:rPr>
            </w:pPr>
            <w:r>
              <w:rPr>
                <w:sz w:val="16"/>
                <w:szCs w:val="16"/>
                <w:color w:val="212529"/>
                <w:spacing w:val="4"/>
              </w:rPr>
              <w:t>1924.87</w:t>
            </w:r>
          </w:p>
        </w:tc>
        <w:tc>
          <w:tcPr>
            <w:tcW w:w="891" w:type="dxa"/>
            <w:vAlign w:val="top"/>
          </w:tcPr>
          <w:p>
            <w:pPr>
              <w:pStyle w:val="TableText"/>
              <w:ind w:left="497"/>
              <w:spacing w:before="188" w:line="211" w:lineRule="auto"/>
              <w:rPr>
                <w:sz w:val="13"/>
                <w:szCs w:val="13"/>
              </w:rPr>
            </w:pPr>
            <w:r>
              <w:rPr>
                <w:sz w:val="13"/>
                <w:szCs w:val="13"/>
                <w:color w:val="212529"/>
                <w:spacing w:val="10"/>
              </w:rPr>
              <w:t>3.</w:t>
            </w:r>
            <w:r>
              <w:rPr>
                <w:sz w:val="13"/>
                <w:szCs w:val="13"/>
                <w:color w:val="212529"/>
                <w:spacing w:val="16"/>
              </w:rPr>
              <w:t xml:space="preserve"> </w:t>
            </w:r>
            <w:r>
              <w:rPr>
                <w:sz w:val="13"/>
                <w:szCs w:val="13"/>
                <w:color w:val="212529"/>
                <w:spacing w:val="10"/>
              </w:rPr>
              <w:t>72</w:t>
            </w:r>
          </w:p>
        </w:tc>
      </w:tr>
    </w:tbl>
    <w:p>
      <w:pPr>
        <w:pStyle w:val="BodyText"/>
        <w:rPr/>
      </w:pPr>
      <w:r/>
    </w:p>
    <w:p>
      <w:pPr>
        <w:sectPr>
          <w:headerReference w:type="default" r:id="rId11"/>
          <w:footerReference w:type="default" r:id="rId12"/>
          <w:pgSz w:w="11900" w:h="16840"/>
          <w:pgMar w:top="642" w:right="0" w:bottom="340" w:left="0" w:header="326" w:footer="110"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6"/>
        <w:gridCol w:w="3042"/>
        <w:gridCol w:w="1618"/>
        <w:gridCol w:w="1408"/>
        <w:gridCol w:w="1049"/>
        <w:gridCol w:w="1273"/>
        <w:gridCol w:w="1273"/>
        <w:gridCol w:w="1004"/>
        <w:gridCol w:w="1236"/>
      </w:tblGrid>
      <w:tr>
        <w:trPr>
          <w:trHeight w:val="442" w:hRule="atLeast"/>
        </w:trPr>
        <w:tc>
          <w:tcPr>
            <w:tcW w:w="1566"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304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6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0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04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240" w:type="dxa"/>
            <w:vAlign w:val="top"/>
            <w:gridSpan w:val="2"/>
            <w:tcBorders>
              <w:left w:val="single" w:color="FFFFFF" w:sz="2" w:space="0"/>
              <w:right w:val="single" w:color="FFFFFF" w:sz="2" w:space="0"/>
              <w:bottom w:val="single" w:color="FFFFFF" w:sz="6" w:space="0"/>
              <w:top w:val="single" w:color="FFFFFF" w:sz="6" w:space="0"/>
            </w:tcBorders>
          </w:tcPr>
          <w:p>
            <w:pPr>
              <w:ind w:left="121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8" w:id="10"/>
            <w:bookmarkEnd w:id="10"/>
            <w:bookmarkStart w:name="bookmark7" w:id="11"/>
            <w:bookmarkEnd w:id="11"/>
            <w:r>
              <w:rPr>
                <w:rFonts w:ascii="Microsoft YaHei" w:hAnsi="Microsoft YaHei" w:eastAsia="Microsoft YaHei" w:cs="Microsoft YaHei"/>
                <w:sz w:val="23"/>
                <w:szCs w:val="23"/>
                <w:color w:val="212529"/>
                <w:position w:val="-1"/>
              </w:rPr>
              <w:t>2025年预算收入总表</w:t>
            </w:r>
          </w:p>
        </w:tc>
      </w:tr>
      <w:tr>
        <w:trPr>
          <w:trHeight w:val="434" w:hRule="atLeast"/>
        </w:trPr>
        <w:tc>
          <w:tcPr>
            <w:tcW w:w="4608"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部门名称：兴县医疗保障局</w:t>
            </w:r>
          </w:p>
        </w:tc>
        <w:tc>
          <w:tcPr>
            <w:tcW w:w="1618" w:type="dxa"/>
            <w:vAlign w:val="top"/>
            <w:tcBorders>
              <w:left w:val="single" w:color="FFFFFF" w:sz="2" w:space="0"/>
              <w:right w:val="single" w:color="FFFFFF" w:sz="2" w:space="0"/>
              <w:top w:val="single" w:color="FFFFFF" w:sz="6" w:space="0"/>
            </w:tcBorders>
          </w:tcPr>
          <w:p>
            <w:pPr>
              <w:pStyle w:val="TableText"/>
              <w:rPr/>
            </w:pPr>
            <w:r/>
          </w:p>
        </w:tc>
        <w:tc>
          <w:tcPr>
            <w:tcW w:w="1408" w:type="dxa"/>
            <w:vAlign w:val="top"/>
            <w:tcBorders>
              <w:left w:val="single" w:color="FFFFFF" w:sz="2" w:space="0"/>
              <w:right w:val="single" w:color="FFFFFF" w:sz="2" w:space="0"/>
              <w:top w:val="single" w:color="FFFFFF" w:sz="6" w:space="0"/>
            </w:tcBorders>
          </w:tcPr>
          <w:p>
            <w:pPr>
              <w:pStyle w:val="TableText"/>
              <w:rPr/>
            </w:pPr>
            <w:r/>
          </w:p>
        </w:tc>
        <w:tc>
          <w:tcPr>
            <w:tcW w:w="1049" w:type="dxa"/>
            <w:vAlign w:val="top"/>
            <w:tcBorders>
              <w:left w:val="single" w:color="FFFFFF" w:sz="2" w:space="0"/>
              <w:right w:val="single" w:color="FFFFFF" w:sz="2" w:space="0"/>
              <w:top w:val="single" w:color="FFFFFF" w:sz="6" w:space="0"/>
            </w:tcBorders>
          </w:tcPr>
          <w:p>
            <w:pPr>
              <w:pStyle w:val="TableText"/>
              <w:rPr/>
            </w:pPr>
            <w:r/>
          </w:p>
        </w:tc>
        <w:tc>
          <w:tcPr>
            <w:tcW w:w="1273" w:type="dxa"/>
            <w:vAlign w:val="top"/>
            <w:tcBorders>
              <w:left w:val="single" w:color="FFFFFF" w:sz="2" w:space="0"/>
              <w:right w:val="single" w:color="FFFFFF" w:sz="2" w:space="0"/>
              <w:top w:val="single" w:color="FFFFFF" w:sz="6" w:space="0"/>
            </w:tcBorders>
          </w:tcPr>
          <w:p>
            <w:pPr>
              <w:pStyle w:val="TableText"/>
              <w:rPr/>
            </w:pPr>
            <w:r/>
          </w:p>
        </w:tc>
        <w:tc>
          <w:tcPr>
            <w:tcW w:w="1273" w:type="dxa"/>
            <w:vAlign w:val="top"/>
            <w:tcBorders>
              <w:left w:val="single" w:color="FFFFFF" w:sz="2" w:space="0"/>
              <w:right w:val="single" w:color="FFFFFF" w:sz="2" w:space="0"/>
              <w:top w:val="single" w:color="FFFFFF" w:sz="6" w:space="0"/>
            </w:tcBorders>
          </w:tcPr>
          <w:p>
            <w:pPr>
              <w:pStyle w:val="TableText"/>
              <w:rPr/>
            </w:pPr>
            <w:r/>
          </w:p>
        </w:tc>
        <w:tc>
          <w:tcPr>
            <w:tcW w:w="2240" w:type="dxa"/>
            <w:vAlign w:val="top"/>
            <w:gridSpan w:val="2"/>
            <w:tcBorders>
              <w:left w:val="single" w:color="FFFFFF" w:sz="2" w:space="0"/>
              <w:right w:val="single" w:color="FFFFFF" w:sz="2" w:space="0"/>
              <w:top w:val="single" w:color="FFFFFF" w:sz="6" w:space="0"/>
            </w:tcBorders>
          </w:tcPr>
          <w:p>
            <w:pPr>
              <w:ind w:left="130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608" w:type="dxa"/>
            <w:vAlign w:val="top"/>
            <w:gridSpan w:val="2"/>
          </w:tcPr>
          <w:p>
            <w:pPr>
              <w:ind w:left="2101"/>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625" w:type="dxa"/>
            <w:vAlign w:val="top"/>
            <w:gridSpan w:val="6"/>
          </w:tcPr>
          <w:p>
            <w:pPr>
              <w:ind w:left="3434"/>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236" w:type="dxa"/>
            <w:vAlign w:val="top"/>
            <w:vMerge w:val="restart"/>
            <w:tcBorders>
              <w:bottom w:val="nil"/>
            </w:tcBorders>
          </w:tcPr>
          <w:p>
            <w:pPr>
              <w:pStyle w:val="TableText"/>
              <w:spacing w:line="273" w:lineRule="auto"/>
              <w:rPr/>
            </w:pPr>
            <w:r/>
          </w:p>
          <w:p>
            <w:pPr>
              <w:ind w:left="240"/>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566" w:type="dxa"/>
            <w:vAlign w:val="top"/>
          </w:tcPr>
          <w:p>
            <w:pPr>
              <w:ind w:left="403"/>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3042" w:type="dxa"/>
            <w:vAlign w:val="top"/>
          </w:tcPr>
          <w:p>
            <w:pPr>
              <w:ind w:left="113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618" w:type="dxa"/>
            <w:vAlign w:val="top"/>
          </w:tcPr>
          <w:p>
            <w:pPr>
              <w:ind w:left="605"/>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08" w:type="dxa"/>
            <w:vAlign w:val="top"/>
          </w:tcPr>
          <w:p>
            <w:pPr>
              <w:ind w:left="1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049" w:type="dxa"/>
            <w:vAlign w:val="top"/>
          </w:tcPr>
          <w:p>
            <w:pPr>
              <w:ind w:left="6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273" w:type="dxa"/>
            <w:vAlign w:val="top"/>
          </w:tcPr>
          <w:p>
            <w:pPr>
              <w:ind w:left="104"/>
              <w:spacing w:before="1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国有资本经营</w:t>
            </w:r>
          </w:p>
          <w:p>
            <w:pPr>
              <w:ind w:left="442"/>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预算</w:t>
            </w:r>
          </w:p>
        </w:tc>
        <w:tc>
          <w:tcPr>
            <w:tcW w:w="1273" w:type="dxa"/>
            <w:vAlign w:val="top"/>
          </w:tcPr>
          <w:p>
            <w:pPr>
              <w:ind w:left="85"/>
              <w:spacing w:before="1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w:t>
            </w:r>
          </w:p>
          <w:p>
            <w:pPr>
              <w:ind w:left="451"/>
              <w:spacing w:before="3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资金</w:t>
            </w:r>
          </w:p>
        </w:tc>
        <w:tc>
          <w:tcPr>
            <w:tcW w:w="1004" w:type="dxa"/>
            <w:vAlign w:val="top"/>
          </w:tcPr>
          <w:p>
            <w:pPr>
              <w:ind w:left="125"/>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236" w:type="dxa"/>
            <w:vAlign w:val="top"/>
            <w:vMerge w:val="continue"/>
            <w:tcBorders>
              <w:top w:val="nil"/>
            </w:tcBorders>
          </w:tcPr>
          <w:p>
            <w:pPr>
              <w:pStyle w:val="TableText"/>
              <w:rPr/>
            </w:pPr>
            <w:r/>
          </w:p>
        </w:tc>
      </w:tr>
      <w:tr>
        <w:trPr>
          <w:trHeight w:val="434" w:hRule="atLeast"/>
        </w:trPr>
        <w:tc>
          <w:tcPr>
            <w:tcW w:w="4608" w:type="dxa"/>
            <w:vAlign w:val="top"/>
            <w:gridSpan w:val="2"/>
          </w:tcPr>
          <w:p>
            <w:pPr>
              <w:ind w:left="2103"/>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618" w:type="dxa"/>
            <w:vAlign w:val="top"/>
          </w:tcPr>
          <w:p>
            <w:pPr>
              <w:pStyle w:val="TableText"/>
              <w:ind w:left="956"/>
              <w:spacing w:before="149" w:line="184" w:lineRule="auto"/>
              <w:rPr>
                <w:sz w:val="15"/>
                <w:szCs w:val="15"/>
              </w:rPr>
            </w:pPr>
            <w:r>
              <w:rPr>
                <w:sz w:val="15"/>
                <w:szCs w:val="15"/>
                <w:color w:val="212529"/>
                <w:spacing w:val="2"/>
              </w:rPr>
              <w:t>1924.</w:t>
            </w:r>
            <w:r>
              <w:rPr>
                <w:sz w:val="15"/>
                <w:szCs w:val="15"/>
                <w:color w:val="212529"/>
                <w:spacing w:val="2"/>
              </w:rPr>
              <w:t xml:space="preserve"> </w:t>
            </w:r>
            <w:r>
              <w:rPr>
                <w:sz w:val="15"/>
                <w:szCs w:val="15"/>
                <w:color w:val="212529"/>
                <w:spacing w:val="2"/>
              </w:rPr>
              <w:t>87</w:t>
            </w:r>
          </w:p>
        </w:tc>
        <w:tc>
          <w:tcPr>
            <w:tcW w:w="1408" w:type="dxa"/>
            <w:vAlign w:val="top"/>
          </w:tcPr>
          <w:p>
            <w:pPr>
              <w:pStyle w:val="TableText"/>
              <w:ind w:left="757"/>
              <w:spacing w:before="149" w:line="172" w:lineRule="auto"/>
              <w:rPr>
                <w:sz w:val="16"/>
                <w:szCs w:val="16"/>
              </w:rPr>
            </w:pPr>
            <w:r>
              <w:rPr>
                <w:sz w:val="16"/>
                <w:szCs w:val="16"/>
                <w:color w:val="212529"/>
                <w:spacing w:val="4"/>
              </w:rPr>
              <w:t>1924.87</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ind w:left="842"/>
              <w:spacing w:before="149" w:line="211" w:lineRule="auto"/>
              <w:rPr>
                <w:sz w:val="13"/>
                <w:szCs w:val="13"/>
              </w:rPr>
            </w:pPr>
            <w:r>
              <w:rPr>
                <w:sz w:val="13"/>
                <w:szCs w:val="13"/>
                <w:color w:val="212529"/>
                <w:spacing w:val="10"/>
              </w:rPr>
              <w:t>3.</w:t>
            </w:r>
            <w:r>
              <w:rPr>
                <w:sz w:val="13"/>
                <w:szCs w:val="13"/>
                <w:color w:val="212529"/>
                <w:spacing w:val="16"/>
              </w:rPr>
              <w:t xml:space="preserve"> </w:t>
            </w:r>
            <w:r>
              <w:rPr>
                <w:sz w:val="13"/>
                <w:szCs w:val="13"/>
                <w:color w:val="212529"/>
                <w:spacing w:val="10"/>
              </w:rPr>
              <w:t>72</w:t>
            </w:r>
          </w:p>
        </w:tc>
      </w:tr>
      <w:tr>
        <w:trPr>
          <w:trHeight w:val="434" w:hRule="atLeast"/>
        </w:trPr>
        <w:tc>
          <w:tcPr>
            <w:tcW w:w="1566"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3042" w:type="dxa"/>
            <w:vAlign w:val="top"/>
          </w:tcPr>
          <w:p>
            <w:pPr>
              <w:ind w:left="8"/>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618" w:type="dxa"/>
            <w:vAlign w:val="top"/>
          </w:tcPr>
          <w:p>
            <w:pPr>
              <w:ind w:left="1126"/>
              <w:spacing w:before="129" w:line="238" w:lineRule="auto"/>
              <w:rPr>
                <w:rFonts w:ascii="SimSun" w:hAnsi="SimSun" w:eastAsia="SimSun" w:cs="SimSun"/>
                <w:sz w:val="18"/>
                <w:szCs w:val="18"/>
              </w:rPr>
            </w:pPr>
            <w:r>
              <w:rPr>
                <w:rFonts w:ascii="SimSun" w:hAnsi="SimSun" w:eastAsia="SimSun" w:cs="SimSun"/>
                <w:sz w:val="18"/>
                <w:szCs w:val="18"/>
                <w:color w:val="212529"/>
                <w:spacing w:val="-2"/>
              </w:rPr>
              <w:t>36.42</w:t>
            </w:r>
          </w:p>
        </w:tc>
        <w:tc>
          <w:tcPr>
            <w:tcW w:w="1408"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36.42</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rPr/>
            </w:pPr>
            <w:r/>
          </w:p>
        </w:tc>
      </w:tr>
      <w:tr>
        <w:trPr>
          <w:trHeight w:val="434" w:hRule="atLeast"/>
        </w:trPr>
        <w:tc>
          <w:tcPr>
            <w:tcW w:w="1566"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3042" w:type="dxa"/>
            <w:vAlign w:val="top"/>
          </w:tcPr>
          <w:p>
            <w:pPr>
              <w:ind w:left="7"/>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618" w:type="dxa"/>
            <w:vAlign w:val="top"/>
          </w:tcPr>
          <w:p>
            <w:pPr>
              <w:ind w:left="1126"/>
              <w:spacing w:before="130" w:line="238" w:lineRule="auto"/>
              <w:rPr>
                <w:rFonts w:ascii="SimSun" w:hAnsi="SimSun" w:eastAsia="SimSun" w:cs="SimSun"/>
                <w:sz w:val="18"/>
                <w:szCs w:val="18"/>
              </w:rPr>
            </w:pPr>
            <w:r>
              <w:rPr>
                <w:rFonts w:ascii="SimSun" w:hAnsi="SimSun" w:eastAsia="SimSun" w:cs="SimSun"/>
                <w:sz w:val="18"/>
                <w:szCs w:val="18"/>
                <w:color w:val="212529"/>
                <w:spacing w:val="-2"/>
              </w:rPr>
              <w:t>36.42</w:t>
            </w:r>
          </w:p>
        </w:tc>
        <w:tc>
          <w:tcPr>
            <w:tcW w:w="1408"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36.42</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rPr/>
            </w:pPr>
            <w:r/>
          </w:p>
        </w:tc>
      </w:tr>
      <w:tr>
        <w:trPr>
          <w:trHeight w:val="434" w:hRule="atLeast"/>
        </w:trPr>
        <w:tc>
          <w:tcPr>
            <w:tcW w:w="1566"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3042" w:type="dxa"/>
            <w:vAlign w:val="top"/>
          </w:tcPr>
          <w:p>
            <w:pPr>
              <w:ind w:left="6"/>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618" w:type="dxa"/>
            <w:vAlign w:val="top"/>
          </w:tcPr>
          <w:p>
            <w:pPr>
              <w:ind w:left="1126"/>
              <w:spacing w:before="131" w:line="238" w:lineRule="auto"/>
              <w:rPr>
                <w:rFonts w:ascii="SimSun" w:hAnsi="SimSun" w:eastAsia="SimSun" w:cs="SimSun"/>
                <w:sz w:val="18"/>
                <w:szCs w:val="18"/>
              </w:rPr>
            </w:pPr>
            <w:r>
              <w:rPr>
                <w:rFonts w:ascii="SimSun" w:hAnsi="SimSun" w:eastAsia="SimSun" w:cs="SimSun"/>
                <w:sz w:val="18"/>
                <w:szCs w:val="18"/>
                <w:color w:val="212529"/>
                <w:spacing w:val="-2"/>
              </w:rPr>
              <w:t>36.42</w:t>
            </w:r>
          </w:p>
        </w:tc>
        <w:tc>
          <w:tcPr>
            <w:tcW w:w="1408"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36.42</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rPr/>
            </w:pPr>
            <w:r/>
          </w:p>
        </w:tc>
      </w:tr>
      <w:tr>
        <w:trPr>
          <w:trHeight w:val="434" w:hRule="atLeast"/>
        </w:trPr>
        <w:tc>
          <w:tcPr>
            <w:tcW w:w="1566"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3042" w:type="dxa"/>
            <w:vAlign w:val="top"/>
          </w:tcPr>
          <w:p>
            <w:pPr>
              <w:ind w:left="8"/>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618" w:type="dxa"/>
            <w:vAlign w:val="top"/>
          </w:tcPr>
          <w:p>
            <w:pPr>
              <w:ind w:right="3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1858.36</w:t>
            </w:r>
          </w:p>
        </w:tc>
        <w:tc>
          <w:tcPr>
            <w:tcW w:w="1408"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1858.36</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ind w:right="26"/>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3.72</w:t>
            </w:r>
          </w:p>
        </w:tc>
      </w:tr>
      <w:tr>
        <w:trPr>
          <w:trHeight w:val="434" w:hRule="atLeast"/>
        </w:trPr>
        <w:tc>
          <w:tcPr>
            <w:tcW w:w="1566"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3042" w:type="dxa"/>
            <w:vAlign w:val="top"/>
          </w:tcPr>
          <w:p>
            <w:pPr>
              <w:ind w:left="7"/>
              <w:spacing w:before="133"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618" w:type="dxa"/>
            <w:vAlign w:val="top"/>
          </w:tcPr>
          <w:p>
            <w:pPr>
              <w:ind w:right="3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16.34</w:t>
            </w:r>
          </w:p>
        </w:tc>
        <w:tc>
          <w:tcPr>
            <w:tcW w:w="1408" w:type="dxa"/>
            <w:vAlign w:val="top"/>
          </w:tcPr>
          <w:p>
            <w:pPr>
              <w:ind w:right="2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16.34</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rPr/>
            </w:pPr>
            <w:r/>
          </w:p>
        </w:tc>
      </w:tr>
      <w:tr>
        <w:trPr>
          <w:trHeight w:val="434" w:hRule="atLeast"/>
        </w:trPr>
        <w:tc>
          <w:tcPr>
            <w:tcW w:w="1566"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3042" w:type="dxa"/>
            <w:vAlign w:val="top"/>
          </w:tcPr>
          <w:p>
            <w:pPr>
              <w:ind w:left="7"/>
              <w:spacing w:before="134"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618" w:type="dxa"/>
            <w:vAlign w:val="top"/>
          </w:tcPr>
          <w:p>
            <w:pPr>
              <w:ind w:right="3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3.11</w:t>
            </w:r>
          </w:p>
        </w:tc>
        <w:tc>
          <w:tcPr>
            <w:tcW w:w="1408" w:type="dxa"/>
            <w:vAlign w:val="top"/>
          </w:tcPr>
          <w:p>
            <w:pPr>
              <w:ind w:right="2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3.11</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rPr/>
            </w:pPr>
            <w:r/>
          </w:p>
        </w:tc>
      </w:tr>
      <w:tr>
        <w:trPr>
          <w:trHeight w:val="434" w:hRule="atLeast"/>
        </w:trPr>
        <w:tc>
          <w:tcPr>
            <w:tcW w:w="1566"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3042" w:type="dxa"/>
            <w:vAlign w:val="top"/>
          </w:tcPr>
          <w:p>
            <w:pPr>
              <w:ind w:left="8"/>
              <w:spacing w:before="135"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618" w:type="dxa"/>
            <w:vAlign w:val="top"/>
          </w:tcPr>
          <w:p>
            <w:pPr>
              <w:ind w:right="3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11.80</w:t>
            </w:r>
          </w:p>
        </w:tc>
        <w:tc>
          <w:tcPr>
            <w:tcW w:w="1408" w:type="dxa"/>
            <w:vAlign w:val="top"/>
          </w:tcPr>
          <w:p>
            <w:pPr>
              <w:ind w:right="21"/>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11.80</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rPr/>
            </w:pPr>
            <w:r/>
          </w:p>
        </w:tc>
      </w:tr>
      <w:tr>
        <w:trPr>
          <w:trHeight w:val="434" w:hRule="atLeast"/>
        </w:trPr>
        <w:tc>
          <w:tcPr>
            <w:tcW w:w="1566"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3042" w:type="dxa"/>
            <w:vAlign w:val="top"/>
          </w:tcPr>
          <w:p>
            <w:pPr>
              <w:ind w:left="12"/>
              <w:spacing w:before="135"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618" w:type="dxa"/>
            <w:vAlign w:val="top"/>
          </w:tcPr>
          <w:p>
            <w:pPr>
              <w:ind w:right="3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1.43</w:t>
            </w:r>
          </w:p>
        </w:tc>
        <w:tc>
          <w:tcPr>
            <w:tcW w:w="1408" w:type="dxa"/>
            <w:vAlign w:val="top"/>
          </w:tcPr>
          <w:p>
            <w:pPr>
              <w:ind w:right="20"/>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1.43</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rPr/>
            </w:pPr>
            <w:r/>
          </w:p>
        </w:tc>
      </w:tr>
      <w:tr>
        <w:trPr>
          <w:trHeight w:val="434" w:hRule="atLeast"/>
        </w:trPr>
        <w:tc>
          <w:tcPr>
            <w:tcW w:w="1566"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21013</w:t>
            </w:r>
          </w:p>
        </w:tc>
        <w:tc>
          <w:tcPr>
            <w:tcW w:w="3042" w:type="dxa"/>
            <w:vAlign w:val="top"/>
          </w:tcPr>
          <w:p>
            <w:pPr>
              <w:ind w:left="15"/>
              <w:spacing w:before="136" w:line="219" w:lineRule="auto"/>
              <w:rPr>
                <w:rFonts w:ascii="SimSun" w:hAnsi="SimSun" w:eastAsia="SimSun" w:cs="SimSun"/>
                <w:sz w:val="18"/>
                <w:szCs w:val="18"/>
              </w:rPr>
            </w:pPr>
            <w:r>
              <w:rPr>
                <w:rFonts w:ascii="SimSun" w:hAnsi="SimSun" w:eastAsia="SimSun" w:cs="SimSun"/>
                <w:sz w:val="18"/>
                <w:szCs w:val="18"/>
                <w:color w:val="212529"/>
                <w:spacing w:val="-3"/>
              </w:rPr>
              <w:t>医疗救助</w:t>
            </w:r>
          </w:p>
        </w:tc>
        <w:tc>
          <w:tcPr>
            <w:tcW w:w="1618" w:type="dxa"/>
            <w:vAlign w:val="top"/>
          </w:tcPr>
          <w:p>
            <w:pPr>
              <w:ind w:right="3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3"/>
              </w:rPr>
              <w:t>1428.84</w:t>
            </w:r>
          </w:p>
        </w:tc>
        <w:tc>
          <w:tcPr>
            <w:tcW w:w="1408" w:type="dxa"/>
            <w:vAlign w:val="top"/>
          </w:tcPr>
          <w:p>
            <w:pPr>
              <w:ind w:right="2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3"/>
              </w:rPr>
              <w:t>1428.84</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rPr/>
            </w:pPr>
            <w:r/>
          </w:p>
        </w:tc>
      </w:tr>
      <w:tr>
        <w:trPr>
          <w:trHeight w:val="434" w:hRule="atLeast"/>
        </w:trPr>
        <w:tc>
          <w:tcPr>
            <w:tcW w:w="1566"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2101301</w:t>
            </w:r>
          </w:p>
        </w:tc>
        <w:tc>
          <w:tcPr>
            <w:tcW w:w="3042" w:type="dxa"/>
            <w:vAlign w:val="top"/>
          </w:tcPr>
          <w:p>
            <w:pPr>
              <w:ind w:left="7"/>
              <w:spacing w:before="137" w:line="219" w:lineRule="auto"/>
              <w:rPr>
                <w:rFonts w:ascii="SimSun" w:hAnsi="SimSun" w:eastAsia="SimSun" w:cs="SimSun"/>
                <w:sz w:val="18"/>
                <w:szCs w:val="18"/>
              </w:rPr>
            </w:pPr>
            <w:r>
              <w:rPr>
                <w:rFonts w:ascii="SimSun" w:hAnsi="SimSun" w:eastAsia="SimSun" w:cs="SimSun"/>
                <w:sz w:val="18"/>
                <w:szCs w:val="18"/>
                <w:color w:val="212529"/>
                <w:spacing w:val="-1"/>
              </w:rPr>
              <w:t>城乡医疗救助</w:t>
            </w:r>
          </w:p>
        </w:tc>
        <w:tc>
          <w:tcPr>
            <w:tcW w:w="1618" w:type="dxa"/>
            <w:vAlign w:val="top"/>
          </w:tcPr>
          <w:p>
            <w:pPr>
              <w:ind w:right="3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1428.84</w:t>
            </w:r>
          </w:p>
        </w:tc>
        <w:tc>
          <w:tcPr>
            <w:tcW w:w="1408"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3"/>
              </w:rPr>
              <w:t>1428.84</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rPr/>
            </w:pPr>
            <w:r/>
          </w:p>
        </w:tc>
      </w:tr>
      <w:tr>
        <w:trPr>
          <w:trHeight w:val="435"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21015</w:t>
            </w:r>
          </w:p>
        </w:tc>
        <w:tc>
          <w:tcPr>
            <w:tcW w:w="3042" w:type="dxa"/>
            <w:vAlign w:val="top"/>
          </w:tcPr>
          <w:p>
            <w:pPr>
              <w:ind w:left="15"/>
              <w:spacing w:before="138" w:line="219" w:lineRule="auto"/>
              <w:rPr>
                <w:rFonts w:ascii="SimSun" w:hAnsi="SimSun" w:eastAsia="SimSun" w:cs="SimSun"/>
                <w:sz w:val="18"/>
                <w:szCs w:val="18"/>
              </w:rPr>
            </w:pPr>
            <w:r>
              <w:rPr>
                <w:rFonts w:ascii="SimSun" w:hAnsi="SimSun" w:eastAsia="SimSun" w:cs="SimSun"/>
                <w:sz w:val="18"/>
                <w:szCs w:val="18"/>
                <w:color w:val="212529"/>
                <w:spacing w:val="-2"/>
              </w:rPr>
              <w:t>医疗保障管理事务</w:t>
            </w:r>
          </w:p>
        </w:tc>
        <w:tc>
          <w:tcPr>
            <w:tcW w:w="1618" w:type="dxa"/>
            <w:vAlign w:val="top"/>
          </w:tcPr>
          <w:p>
            <w:pPr>
              <w:ind w:left="1031"/>
              <w:spacing w:before="139" w:line="238" w:lineRule="auto"/>
              <w:rPr>
                <w:rFonts w:ascii="SimSun" w:hAnsi="SimSun" w:eastAsia="SimSun" w:cs="SimSun"/>
                <w:sz w:val="18"/>
                <w:szCs w:val="18"/>
              </w:rPr>
            </w:pPr>
            <w:r>
              <w:rPr>
                <w:rFonts w:ascii="SimSun" w:hAnsi="SimSun" w:eastAsia="SimSun" w:cs="SimSun"/>
                <w:sz w:val="18"/>
                <w:szCs w:val="18"/>
                <w:color w:val="212529"/>
                <w:spacing w:val="-1"/>
              </w:rPr>
              <w:t>413.18</w:t>
            </w:r>
          </w:p>
        </w:tc>
        <w:tc>
          <w:tcPr>
            <w:tcW w:w="140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1"/>
              </w:rPr>
              <w:t>413.18</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3.72</w:t>
            </w:r>
          </w:p>
        </w:tc>
      </w:tr>
      <w:tr>
        <w:trPr>
          <w:trHeight w:val="435"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2101501</w:t>
            </w:r>
          </w:p>
        </w:tc>
        <w:tc>
          <w:tcPr>
            <w:tcW w:w="3042" w:type="dxa"/>
            <w:vAlign w:val="top"/>
          </w:tcPr>
          <w:p>
            <w:pPr>
              <w:ind w:left="7"/>
              <w:spacing w:before="139"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618"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113.10</w:t>
            </w:r>
          </w:p>
        </w:tc>
        <w:tc>
          <w:tcPr>
            <w:tcW w:w="140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113.10</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rPr/>
            </w:pPr>
            <w:r/>
          </w:p>
        </w:tc>
      </w:tr>
      <w:tr>
        <w:trPr>
          <w:trHeight w:val="435"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2101506</w:t>
            </w:r>
          </w:p>
        </w:tc>
        <w:tc>
          <w:tcPr>
            <w:tcW w:w="3042" w:type="dxa"/>
            <w:vAlign w:val="top"/>
          </w:tcPr>
          <w:p>
            <w:pPr>
              <w:ind w:left="15"/>
              <w:spacing w:before="138" w:line="219" w:lineRule="auto"/>
              <w:rPr>
                <w:rFonts w:ascii="SimSun" w:hAnsi="SimSun" w:eastAsia="SimSun" w:cs="SimSun"/>
                <w:sz w:val="18"/>
                <w:szCs w:val="18"/>
              </w:rPr>
            </w:pPr>
            <w:r>
              <w:rPr>
                <w:rFonts w:ascii="SimSun" w:hAnsi="SimSun" w:eastAsia="SimSun" w:cs="SimSun"/>
                <w:sz w:val="18"/>
                <w:szCs w:val="18"/>
                <w:color w:val="212529"/>
                <w:spacing w:val="-2"/>
              </w:rPr>
              <w:t>医疗保障经办事务</w:t>
            </w:r>
          </w:p>
        </w:tc>
        <w:tc>
          <w:tcPr>
            <w:tcW w:w="1618"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105.22</w:t>
            </w:r>
          </w:p>
        </w:tc>
        <w:tc>
          <w:tcPr>
            <w:tcW w:w="140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105.22</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3.72</w:t>
            </w:r>
          </w:p>
        </w:tc>
      </w:tr>
      <w:tr>
        <w:trPr>
          <w:trHeight w:val="435"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2101550</w:t>
            </w:r>
          </w:p>
        </w:tc>
        <w:tc>
          <w:tcPr>
            <w:tcW w:w="3042" w:type="dxa"/>
            <w:vAlign w:val="top"/>
          </w:tcPr>
          <w:p>
            <w:pPr>
              <w:ind w:left="8"/>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618" w:type="dxa"/>
            <w:vAlign w:val="top"/>
          </w:tcPr>
          <w:p>
            <w:pPr>
              <w:ind w:right="3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194.86</w:t>
            </w:r>
          </w:p>
        </w:tc>
        <w:tc>
          <w:tcPr>
            <w:tcW w:w="140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194.86</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rPr/>
            </w:pPr>
            <w:r/>
          </w:p>
        </w:tc>
      </w:tr>
      <w:tr>
        <w:trPr>
          <w:trHeight w:val="435" w:hRule="atLeast"/>
        </w:trPr>
        <w:tc>
          <w:tcPr>
            <w:tcW w:w="1566"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3042" w:type="dxa"/>
            <w:vAlign w:val="top"/>
          </w:tcPr>
          <w:p>
            <w:pPr>
              <w:ind w:left="7"/>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618" w:type="dxa"/>
            <w:vAlign w:val="top"/>
          </w:tcPr>
          <w:p>
            <w:pPr>
              <w:ind w:left="1126"/>
              <w:spacing w:before="139" w:line="238" w:lineRule="auto"/>
              <w:rPr>
                <w:rFonts w:ascii="SimSun" w:hAnsi="SimSun" w:eastAsia="SimSun" w:cs="SimSun"/>
                <w:sz w:val="18"/>
                <w:szCs w:val="18"/>
              </w:rPr>
            </w:pPr>
            <w:r>
              <w:rPr>
                <w:rFonts w:ascii="SimSun" w:hAnsi="SimSun" w:eastAsia="SimSun" w:cs="SimSun"/>
                <w:sz w:val="18"/>
                <w:szCs w:val="18"/>
                <w:color w:val="212529"/>
                <w:spacing w:val="-2"/>
              </w:rPr>
              <w:t>30.10</w:t>
            </w:r>
          </w:p>
        </w:tc>
        <w:tc>
          <w:tcPr>
            <w:tcW w:w="140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30.10</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rPr/>
            </w:pPr>
            <w:r/>
          </w:p>
        </w:tc>
      </w:tr>
      <w:tr>
        <w:trPr>
          <w:trHeight w:val="442" w:hRule="atLeast"/>
        </w:trPr>
        <w:tc>
          <w:tcPr>
            <w:tcW w:w="1566"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3042" w:type="dxa"/>
            <w:vAlign w:val="top"/>
          </w:tcPr>
          <w:p>
            <w:pPr>
              <w:ind w:left="7"/>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618" w:type="dxa"/>
            <w:vAlign w:val="top"/>
          </w:tcPr>
          <w:p>
            <w:pPr>
              <w:ind w:left="1126"/>
              <w:spacing w:before="139" w:line="238" w:lineRule="auto"/>
              <w:rPr>
                <w:rFonts w:ascii="SimSun" w:hAnsi="SimSun" w:eastAsia="SimSun" w:cs="SimSun"/>
                <w:sz w:val="18"/>
                <w:szCs w:val="18"/>
              </w:rPr>
            </w:pPr>
            <w:r>
              <w:rPr>
                <w:rFonts w:ascii="SimSun" w:hAnsi="SimSun" w:eastAsia="SimSun" w:cs="SimSun"/>
                <w:sz w:val="18"/>
                <w:szCs w:val="18"/>
                <w:color w:val="212529"/>
                <w:spacing w:val="-2"/>
              </w:rPr>
              <w:t>30.10</w:t>
            </w:r>
          </w:p>
        </w:tc>
        <w:tc>
          <w:tcPr>
            <w:tcW w:w="140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30.10</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rPr/>
            </w:pPr>
            <w:r/>
          </w:p>
        </w:tc>
      </w:tr>
    </w:tbl>
    <w:p>
      <w:pPr>
        <w:pStyle w:val="BodyText"/>
        <w:rPr/>
      </w:pPr>
      <w:r/>
    </w:p>
    <w:p>
      <w:pPr>
        <w:sectPr>
          <w:headerReference w:type="default" r:id="rId13"/>
          <w:footerReference w:type="default" r:id="rId14"/>
          <w:pgSz w:w="16840" w:h="11900"/>
          <w:pgMar w:top="642" w:right="0" w:bottom="340" w:left="0" w:header="326" w:footer="11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566"/>
        <w:gridCol w:w="3042"/>
        <w:gridCol w:w="1618"/>
        <w:gridCol w:w="1408"/>
        <w:gridCol w:w="1049"/>
        <w:gridCol w:w="1273"/>
        <w:gridCol w:w="1273"/>
        <w:gridCol w:w="1004"/>
        <w:gridCol w:w="1236"/>
      </w:tblGrid>
      <w:tr>
        <w:trPr>
          <w:trHeight w:val="435" w:hRule="atLeast"/>
        </w:trPr>
        <w:tc>
          <w:tcPr>
            <w:tcW w:w="1566"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3042" w:type="dxa"/>
            <w:vAlign w:val="top"/>
          </w:tcPr>
          <w:p>
            <w:pPr>
              <w:ind w:left="7"/>
              <w:spacing w:before="116"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618" w:type="dxa"/>
            <w:vAlign w:val="top"/>
          </w:tcPr>
          <w:p>
            <w:pPr>
              <w:ind w:left="1126"/>
              <w:spacing w:before="116" w:line="238" w:lineRule="auto"/>
              <w:rPr>
                <w:rFonts w:ascii="SimSun" w:hAnsi="SimSun" w:eastAsia="SimSun" w:cs="SimSun"/>
                <w:sz w:val="18"/>
                <w:szCs w:val="18"/>
              </w:rPr>
            </w:pPr>
            <w:r>
              <w:rPr>
                <w:rFonts w:ascii="SimSun" w:hAnsi="SimSun" w:eastAsia="SimSun" w:cs="SimSun"/>
                <w:sz w:val="18"/>
                <w:szCs w:val="18"/>
                <w:color w:val="212529"/>
                <w:spacing w:val="-2"/>
              </w:rPr>
              <w:t>30.10</w:t>
            </w:r>
          </w:p>
        </w:tc>
        <w:tc>
          <w:tcPr>
            <w:tcW w:w="1408" w:type="dxa"/>
            <w:vAlign w:val="top"/>
          </w:tcPr>
          <w:p>
            <w:pPr>
              <w:ind w:right="23"/>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30.10</w:t>
            </w:r>
          </w:p>
        </w:tc>
        <w:tc>
          <w:tcPr>
            <w:tcW w:w="1049" w:type="dxa"/>
            <w:vAlign w:val="top"/>
          </w:tcPr>
          <w:p>
            <w:pPr>
              <w:pStyle w:val="TableText"/>
              <w:rPr/>
            </w:pPr>
            <w:r/>
          </w:p>
        </w:tc>
        <w:tc>
          <w:tcPr>
            <w:tcW w:w="1273" w:type="dxa"/>
            <w:vAlign w:val="top"/>
          </w:tcPr>
          <w:p>
            <w:pPr>
              <w:pStyle w:val="TableText"/>
              <w:rPr/>
            </w:pPr>
            <w:r/>
          </w:p>
        </w:tc>
        <w:tc>
          <w:tcPr>
            <w:tcW w:w="1273" w:type="dxa"/>
            <w:vAlign w:val="top"/>
          </w:tcPr>
          <w:p>
            <w:pPr>
              <w:pStyle w:val="TableText"/>
              <w:rPr/>
            </w:pPr>
            <w:r/>
          </w:p>
        </w:tc>
        <w:tc>
          <w:tcPr>
            <w:tcW w:w="1004" w:type="dxa"/>
            <w:vAlign w:val="top"/>
          </w:tcPr>
          <w:p>
            <w:pPr>
              <w:pStyle w:val="TableText"/>
              <w:rPr/>
            </w:pPr>
            <w:r/>
          </w:p>
        </w:tc>
        <w:tc>
          <w:tcPr>
            <w:tcW w:w="1236" w:type="dxa"/>
            <w:vAlign w:val="top"/>
          </w:tcPr>
          <w:p>
            <w:pPr>
              <w:pStyle w:val="TableText"/>
              <w:rPr/>
            </w:pPr>
            <w:r/>
          </w:p>
        </w:tc>
      </w:tr>
    </w:tbl>
    <w:p>
      <w:pPr>
        <w:pStyle w:val="BodyText"/>
        <w:rPr/>
      </w:pPr>
      <w:r/>
    </w:p>
    <w:p>
      <w:pPr>
        <w:sectPr>
          <w:headerReference w:type="default" r:id="rId15"/>
          <w:footerReference w:type="default" r:id="rId16"/>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089"/>
        <w:gridCol w:w="1490"/>
        <w:gridCol w:w="1361"/>
        <w:gridCol w:w="1442"/>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08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42" w:type="dxa"/>
            <w:vAlign w:val="top"/>
            <w:tcBorders>
              <w:bottom w:val="single" w:color="FFFFFF" w:sz="4" w:space="0"/>
              <w:top w:val="single" w:color="FFFFFF" w:sz="4" w:space="0"/>
              <w:left w:val="single" w:color="FFFFFF" w:sz="2" w:space="0"/>
              <w:right w:val="single" w:color="FFFFFF" w:sz="2" w:space="0"/>
            </w:tcBorders>
          </w:tcPr>
          <w:p>
            <w:pPr>
              <w:ind w:left="703"/>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355"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部门名称：兴县医疗保障局</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442" w:type="dxa"/>
            <w:vAlign w:val="top"/>
            <w:tcBorders>
              <w:top w:val="single" w:color="FFFFFF" w:sz="4" w:space="0"/>
              <w:left w:val="single" w:color="FFFFFF" w:sz="2" w:space="0"/>
              <w:right w:val="single" w:color="FFFFFF" w:sz="2" w:space="0"/>
            </w:tcBorders>
          </w:tcPr>
          <w:p>
            <w:pPr>
              <w:ind w:left="769"/>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4865" w:type="dxa"/>
            <w:vAlign w:val="top"/>
            <w:gridSpan w:val="2"/>
          </w:tcPr>
          <w:p>
            <w:pPr>
              <w:ind w:left="2258"/>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93" w:type="dxa"/>
            <w:vAlign w:val="top"/>
            <w:gridSpan w:val="3"/>
          </w:tcPr>
          <w:p>
            <w:pPr>
              <w:ind w:left="1651"/>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51"/>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089" w:type="dxa"/>
            <w:vAlign w:val="top"/>
          </w:tcPr>
          <w:p>
            <w:pPr>
              <w:ind w:left="120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90" w:type="dxa"/>
            <w:vAlign w:val="top"/>
          </w:tcPr>
          <w:p>
            <w:pPr>
              <w:ind w:left="572"/>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2"/>
              <w:spacing w:before="76" w:line="156" w:lineRule="exact"/>
              <w:outlineLvl w:val="1"/>
              <w:rPr>
                <w:rFonts w:ascii="Microsoft YaHei" w:hAnsi="Microsoft YaHei" w:eastAsia="Microsoft YaHei" w:cs="Microsoft YaHei"/>
                <w:sz w:val="15"/>
                <w:szCs w:val="15"/>
              </w:rPr>
            </w:pPr>
            <w:bookmarkStart w:name="bookmark11" w:id="13"/>
            <w:bookmarkEnd w:id="13"/>
            <w:r>
              <w:rPr>
                <w:rFonts w:ascii="Microsoft YaHei" w:hAnsi="Microsoft YaHei" w:eastAsia="Microsoft YaHei" w:cs="Microsoft YaHei"/>
                <w:sz w:val="15"/>
                <w:szCs w:val="15"/>
                <w:color w:val="212529"/>
                <w:spacing w:val="8"/>
                <w:position w:val="-1"/>
              </w:rPr>
              <w:t>基本支出</w:t>
            </w:r>
          </w:p>
        </w:tc>
        <w:tc>
          <w:tcPr>
            <w:tcW w:w="1442" w:type="dxa"/>
            <w:vAlign w:val="top"/>
          </w:tcPr>
          <w:p>
            <w:pPr>
              <w:ind w:left="385"/>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4865" w:type="dxa"/>
            <w:vAlign w:val="top"/>
            <w:gridSpan w:val="2"/>
          </w:tcPr>
          <w:p>
            <w:pPr>
              <w:ind w:left="2260"/>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90" w:type="dxa"/>
            <w:vAlign w:val="top"/>
          </w:tcPr>
          <w:p>
            <w:pPr>
              <w:pStyle w:val="TableText"/>
              <w:ind w:left="909"/>
              <w:spacing w:before="99" w:line="186" w:lineRule="auto"/>
              <w:rPr>
                <w:sz w:val="13"/>
                <w:szCs w:val="13"/>
              </w:rPr>
            </w:pPr>
            <w:r>
              <w:rPr>
                <w:sz w:val="13"/>
                <w:szCs w:val="13"/>
                <w:color w:val="212529"/>
                <w:spacing w:val="4"/>
              </w:rPr>
              <w:t>1928.</w:t>
            </w:r>
            <w:r>
              <w:rPr>
                <w:sz w:val="13"/>
                <w:szCs w:val="13"/>
                <w:color w:val="212529"/>
                <w:spacing w:val="10"/>
              </w:rPr>
              <w:t xml:space="preserve"> </w:t>
            </w:r>
            <w:r>
              <w:rPr>
                <w:sz w:val="13"/>
                <w:szCs w:val="13"/>
                <w:color w:val="212529"/>
                <w:spacing w:val="4"/>
              </w:rPr>
              <w:t>58</w:t>
            </w:r>
          </w:p>
        </w:tc>
        <w:tc>
          <w:tcPr>
            <w:tcW w:w="1361" w:type="dxa"/>
            <w:vAlign w:val="top"/>
          </w:tcPr>
          <w:p>
            <w:pPr>
              <w:pStyle w:val="TableText"/>
              <w:ind w:left="852"/>
              <w:spacing w:before="99" w:line="186" w:lineRule="auto"/>
              <w:rPr>
                <w:sz w:val="13"/>
                <w:szCs w:val="13"/>
              </w:rPr>
            </w:pPr>
            <w:r>
              <w:rPr>
                <w:sz w:val="13"/>
                <w:szCs w:val="13"/>
                <w:color w:val="212529"/>
                <w:spacing w:val="4"/>
              </w:rPr>
              <w:t>392.</w:t>
            </w:r>
            <w:r>
              <w:rPr>
                <w:sz w:val="13"/>
                <w:szCs w:val="13"/>
                <w:color w:val="212529"/>
                <w:spacing w:val="14"/>
              </w:rPr>
              <w:t xml:space="preserve"> </w:t>
            </w:r>
            <w:r>
              <w:rPr>
                <w:sz w:val="13"/>
                <w:szCs w:val="13"/>
                <w:color w:val="212529"/>
                <w:spacing w:val="4"/>
              </w:rPr>
              <w:t>53</w:t>
            </w:r>
          </w:p>
        </w:tc>
        <w:tc>
          <w:tcPr>
            <w:tcW w:w="1442" w:type="dxa"/>
            <w:vAlign w:val="top"/>
          </w:tcPr>
          <w:p>
            <w:pPr>
              <w:pStyle w:val="TableText"/>
              <w:ind w:left="860"/>
              <w:spacing w:before="99" w:line="186" w:lineRule="auto"/>
              <w:rPr>
                <w:sz w:val="13"/>
                <w:szCs w:val="13"/>
              </w:rPr>
            </w:pPr>
            <w:r>
              <w:rPr>
                <w:sz w:val="13"/>
                <w:szCs w:val="13"/>
                <w:color w:val="212529"/>
                <w:spacing w:val="3"/>
              </w:rPr>
              <w:t>1536.</w:t>
            </w:r>
            <w:r>
              <w:rPr>
                <w:sz w:val="13"/>
                <w:szCs w:val="13"/>
                <w:color w:val="212529"/>
                <w:spacing w:val="18"/>
              </w:rPr>
              <w:t xml:space="preserve"> </w:t>
            </w:r>
            <w:r>
              <w:rPr>
                <w:sz w:val="13"/>
                <w:szCs w:val="13"/>
                <w:color w:val="212529"/>
                <w:spacing w:val="3"/>
              </w:rPr>
              <w:t>06</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089" w:type="dxa"/>
            <w:vAlign w:val="top"/>
          </w:tcPr>
          <w:p>
            <w:pPr>
              <w:ind w:left="9"/>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90"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36.42</w:t>
            </w:r>
          </w:p>
        </w:tc>
        <w:tc>
          <w:tcPr>
            <w:tcW w:w="1361" w:type="dxa"/>
            <w:vAlign w:val="top"/>
          </w:tcPr>
          <w:p>
            <w:pPr>
              <w:pStyle w:val="TableText"/>
              <w:ind w:left="933"/>
              <w:spacing w:before="99" w:line="161" w:lineRule="auto"/>
              <w:rPr>
                <w:sz w:val="15"/>
                <w:szCs w:val="15"/>
              </w:rPr>
            </w:pPr>
            <w:r>
              <w:rPr>
                <w:sz w:val="15"/>
                <w:szCs w:val="15"/>
                <w:color w:val="212529"/>
                <w:spacing w:val="3"/>
              </w:rPr>
              <w:t>36.42</w:t>
            </w:r>
          </w:p>
        </w:tc>
        <w:tc>
          <w:tcPr>
            <w:tcW w:w="1442" w:type="dxa"/>
            <w:vAlign w:val="top"/>
          </w:tcPr>
          <w:p>
            <w:pPr>
              <w:pStyle w:val="TableText"/>
              <w:rPr/>
            </w:pPr>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089" w:type="dxa"/>
            <w:vAlign w:val="top"/>
          </w:tcPr>
          <w:p>
            <w:pPr>
              <w:ind w:left="7"/>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90"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36.42</w:t>
            </w:r>
          </w:p>
        </w:tc>
        <w:tc>
          <w:tcPr>
            <w:tcW w:w="1361" w:type="dxa"/>
            <w:vAlign w:val="top"/>
          </w:tcPr>
          <w:p>
            <w:pPr>
              <w:pStyle w:val="TableText"/>
              <w:ind w:left="933"/>
              <w:spacing w:before="100" w:line="161" w:lineRule="auto"/>
              <w:rPr>
                <w:sz w:val="15"/>
                <w:szCs w:val="15"/>
              </w:rPr>
            </w:pPr>
            <w:r>
              <w:rPr>
                <w:sz w:val="15"/>
                <w:szCs w:val="15"/>
                <w:color w:val="212529"/>
                <w:spacing w:val="3"/>
              </w:rPr>
              <w:t>36.42</w:t>
            </w:r>
          </w:p>
        </w:tc>
        <w:tc>
          <w:tcPr>
            <w:tcW w:w="1442" w:type="dxa"/>
            <w:vAlign w:val="top"/>
          </w:tcPr>
          <w:p>
            <w:pPr>
              <w:pStyle w:val="TableText"/>
              <w:rPr/>
            </w:pPr>
            <w:r/>
          </w:p>
        </w:tc>
      </w:tr>
      <w:tr>
        <w:trPr>
          <w:trHeight w:val="314" w:hRule="atLeast"/>
        </w:trPr>
        <w:tc>
          <w:tcPr>
            <w:tcW w:w="1776"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089" w:type="dxa"/>
            <w:vAlign w:val="top"/>
          </w:tcPr>
          <w:p>
            <w:pPr>
              <w:ind w:left="7"/>
              <w:spacing w:before="8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90"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36.42</w:t>
            </w:r>
          </w:p>
        </w:tc>
        <w:tc>
          <w:tcPr>
            <w:tcW w:w="1361"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36.42</w:t>
            </w:r>
          </w:p>
        </w:tc>
        <w:tc>
          <w:tcPr>
            <w:tcW w:w="1442" w:type="dxa"/>
            <w:vAlign w:val="top"/>
          </w:tcPr>
          <w:p>
            <w:pPr>
              <w:pStyle w:val="TableText"/>
              <w:rPr/>
            </w:pPr>
            <w:r/>
          </w:p>
        </w:tc>
      </w:tr>
      <w:tr>
        <w:trPr>
          <w:trHeight w:val="314" w:hRule="atLeast"/>
        </w:trPr>
        <w:tc>
          <w:tcPr>
            <w:tcW w:w="1776"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089" w:type="dxa"/>
            <w:vAlign w:val="top"/>
          </w:tcPr>
          <w:p>
            <w:pPr>
              <w:ind w:left="9"/>
              <w:spacing w:before="8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90"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1862.07</w:t>
            </w:r>
          </w:p>
        </w:tc>
        <w:tc>
          <w:tcPr>
            <w:tcW w:w="1361" w:type="dxa"/>
            <w:vAlign w:val="top"/>
          </w:tcPr>
          <w:p>
            <w:pPr>
              <w:pStyle w:val="TableText"/>
              <w:ind w:left="852"/>
              <w:spacing w:before="100" w:line="186" w:lineRule="auto"/>
              <w:rPr>
                <w:sz w:val="13"/>
                <w:szCs w:val="13"/>
              </w:rPr>
            </w:pPr>
            <w:r>
              <w:rPr>
                <w:sz w:val="13"/>
                <w:szCs w:val="13"/>
                <w:color w:val="212529"/>
                <w:spacing w:val="4"/>
              </w:rPr>
              <w:t>326.</w:t>
            </w:r>
            <w:r>
              <w:rPr>
                <w:sz w:val="13"/>
                <w:szCs w:val="13"/>
                <w:color w:val="212529"/>
                <w:spacing w:val="14"/>
              </w:rPr>
              <w:t xml:space="preserve"> </w:t>
            </w:r>
            <w:r>
              <w:rPr>
                <w:sz w:val="13"/>
                <w:szCs w:val="13"/>
                <w:color w:val="212529"/>
                <w:spacing w:val="4"/>
              </w:rPr>
              <w:t>02</w:t>
            </w:r>
          </w:p>
        </w:tc>
        <w:tc>
          <w:tcPr>
            <w:tcW w:w="1442" w:type="dxa"/>
            <w:vAlign w:val="top"/>
          </w:tcPr>
          <w:p>
            <w:pPr>
              <w:pStyle w:val="TableText"/>
              <w:ind w:left="860"/>
              <w:spacing w:before="100" w:line="187" w:lineRule="auto"/>
              <w:rPr>
                <w:sz w:val="13"/>
                <w:szCs w:val="13"/>
              </w:rPr>
            </w:pPr>
            <w:r>
              <w:rPr>
                <w:sz w:val="13"/>
                <w:szCs w:val="13"/>
                <w:color w:val="212529"/>
                <w:spacing w:val="3"/>
              </w:rPr>
              <w:t>1536.</w:t>
            </w:r>
            <w:r>
              <w:rPr>
                <w:sz w:val="13"/>
                <w:szCs w:val="13"/>
                <w:color w:val="212529"/>
                <w:spacing w:val="18"/>
              </w:rPr>
              <w:t xml:space="preserve"> </w:t>
            </w:r>
            <w:r>
              <w:rPr>
                <w:sz w:val="13"/>
                <w:szCs w:val="13"/>
                <w:color w:val="212529"/>
                <w:spacing w:val="3"/>
              </w:rPr>
              <w:t>06</w:t>
            </w:r>
          </w:p>
        </w:tc>
      </w:tr>
      <w:tr>
        <w:trPr>
          <w:trHeight w:val="314" w:hRule="atLeast"/>
        </w:trPr>
        <w:tc>
          <w:tcPr>
            <w:tcW w:w="1776"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089" w:type="dxa"/>
            <w:vAlign w:val="top"/>
          </w:tcPr>
          <w:p>
            <w:pPr>
              <w:ind w:left="7"/>
              <w:spacing w:before="81"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90"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16.34</w:t>
            </w:r>
          </w:p>
        </w:tc>
        <w:tc>
          <w:tcPr>
            <w:tcW w:w="1361" w:type="dxa"/>
            <w:vAlign w:val="top"/>
          </w:tcPr>
          <w:p>
            <w:pPr>
              <w:pStyle w:val="TableText"/>
              <w:ind w:left="942"/>
              <w:spacing w:before="100" w:line="187" w:lineRule="auto"/>
              <w:rPr>
                <w:sz w:val="13"/>
                <w:szCs w:val="13"/>
              </w:rPr>
            </w:pPr>
            <w:r>
              <w:rPr>
                <w:sz w:val="13"/>
                <w:szCs w:val="13"/>
                <w:color w:val="212529"/>
                <w:spacing w:val="2"/>
              </w:rPr>
              <w:t>16.</w:t>
            </w:r>
            <w:r>
              <w:rPr>
                <w:sz w:val="13"/>
                <w:szCs w:val="13"/>
                <w:color w:val="212529"/>
                <w:spacing w:val="14"/>
                <w:w w:val="101"/>
              </w:rPr>
              <w:t xml:space="preserve"> </w:t>
            </w:r>
            <w:r>
              <w:rPr>
                <w:sz w:val="13"/>
                <w:szCs w:val="13"/>
                <w:color w:val="212529"/>
                <w:spacing w:val="2"/>
              </w:rPr>
              <w:t>34</w:t>
            </w:r>
          </w:p>
        </w:tc>
        <w:tc>
          <w:tcPr>
            <w:tcW w:w="1442"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089" w:type="dxa"/>
            <w:vAlign w:val="top"/>
          </w:tcPr>
          <w:p>
            <w:pPr>
              <w:ind w:left="7"/>
              <w:spacing w:before="82"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90"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w:t>
            </w:r>
          </w:p>
        </w:tc>
        <w:tc>
          <w:tcPr>
            <w:tcW w:w="1442"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089" w:type="dxa"/>
            <w:vAlign w:val="top"/>
          </w:tcPr>
          <w:p>
            <w:pPr>
              <w:ind w:left="9"/>
              <w:spacing w:before="82"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90"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11.80</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11.80</w:t>
            </w:r>
          </w:p>
        </w:tc>
        <w:tc>
          <w:tcPr>
            <w:tcW w:w="1442" w:type="dxa"/>
            <w:vAlign w:val="top"/>
          </w:tcPr>
          <w:p>
            <w:pPr>
              <w:pStyle w:val="TableText"/>
              <w:rPr/>
            </w:pPr>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089" w:type="dxa"/>
            <w:vAlign w:val="top"/>
          </w:tcPr>
          <w:p>
            <w:pPr>
              <w:ind w:left="12"/>
              <w:spacing w:before="83"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90" w:type="dxa"/>
            <w:vAlign w:val="top"/>
          </w:tcPr>
          <w:p>
            <w:pPr>
              <w:ind w:right="22"/>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1.43</w:t>
            </w:r>
          </w:p>
        </w:tc>
        <w:tc>
          <w:tcPr>
            <w:tcW w:w="1361" w:type="dxa"/>
            <w:vAlign w:val="top"/>
          </w:tcPr>
          <w:p>
            <w:pPr>
              <w:ind w:right="22"/>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1.43</w:t>
            </w:r>
          </w:p>
        </w:tc>
        <w:tc>
          <w:tcPr>
            <w:tcW w:w="1442" w:type="dxa"/>
            <w:vAlign w:val="top"/>
          </w:tcPr>
          <w:p>
            <w:pPr>
              <w:pStyle w:val="TableText"/>
              <w:rPr/>
            </w:pPr>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21013</w:t>
            </w:r>
          </w:p>
        </w:tc>
        <w:tc>
          <w:tcPr>
            <w:tcW w:w="3089" w:type="dxa"/>
            <w:vAlign w:val="top"/>
          </w:tcPr>
          <w:p>
            <w:pPr>
              <w:ind w:left="15"/>
              <w:spacing w:before="83" w:line="229" w:lineRule="auto"/>
              <w:rPr>
                <w:rFonts w:ascii="SimSun" w:hAnsi="SimSun" w:eastAsia="SimSun" w:cs="SimSun"/>
                <w:sz w:val="15"/>
                <w:szCs w:val="15"/>
              </w:rPr>
            </w:pPr>
            <w:r>
              <w:rPr>
                <w:rFonts w:ascii="SimSun" w:hAnsi="SimSun" w:eastAsia="SimSun" w:cs="SimSun"/>
                <w:sz w:val="15"/>
                <w:szCs w:val="15"/>
                <w:color w:val="212529"/>
                <w:spacing w:val="7"/>
              </w:rPr>
              <w:t>医疗救助</w:t>
            </w:r>
          </w:p>
        </w:tc>
        <w:tc>
          <w:tcPr>
            <w:tcW w:w="1490"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1428.84</w:t>
            </w:r>
          </w:p>
        </w:tc>
        <w:tc>
          <w:tcPr>
            <w:tcW w:w="1361" w:type="dxa"/>
            <w:vAlign w:val="top"/>
          </w:tcPr>
          <w:p>
            <w:pPr>
              <w:pStyle w:val="TableText"/>
              <w:rPr/>
            </w:pPr>
            <w:r/>
          </w:p>
        </w:tc>
        <w:tc>
          <w:tcPr>
            <w:tcW w:w="1442" w:type="dxa"/>
            <w:vAlign w:val="top"/>
          </w:tcPr>
          <w:p>
            <w:pPr>
              <w:pStyle w:val="TableText"/>
              <w:ind w:left="860"/>
              <w:spacing w:before="101" w:line="162" w:lineRule="auto"/>
              <w:rPr>
                <w:sz w:val="15"/>
                <w:szCs w:val="15"/>
              </w:rPr>
            </w:pPr>
            <w:r>
              <w:rPr>
                <w:sz w:val="15"/>
                <w:szCs w:val="15"/>
                <w:color w:val="212529"/>
              </w:rPr>
              <w:t>1428.84</w:t>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2101301</w:t>
            </w:r>
          </w:p>
        </w:tc>
        <w:tc>
          <w:tcPr>
            <w:tcW w:w="3089" w:type="dxa"/>
            <w:vAlign w:val="top"/>
          </w:tcPr>
          <w:p>
            <w:pPr>
              <w:ind w:left="7"/>
              <w:spacing w:before="83" w:line="229" w:lineRule="auto"/>
              <w:rPr>
                <w:rFonts w:ascii="SimSun" w:hAnsi="SimSun" w:eastAsia="SimSun" w:cs="SimSun"/>
                <w:sz w:val="15"/>
                <w:szCs w:val="15"/>
              </w:rPr>
            </w:pPr>
            <w:r>
              <w:rPr>
                <w:rFonts w:ascii="SimSun" w:hAnsi="SimSun" w:eastAsia="SimSun" w:cs="SimSun"/>
                <w:sz w:val="15"/>
                <w:szCs w:val="15"/>
                <w:color w:val="212529"/>
                <w:spacing w:val="10"/>
              </w:rPr>
              <w:t>城乡医疗救助</w:t>
            </w:r>
          </w:p>
        </w:tc>
        <w:tc>
          <w:tcPr>
            <w:tcW w:w="1490"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1428.84</w:t>
            </w:r>
          </w:p>
        </w:tc>
        <w:tc>
          <w:tcPr>
            <w:tcW w:w="1361" w:type="dxa"/>
            <w:vAlign w:val="top"/>
          </w:tcPr>
          <w:p>
            <w:pPr>
              <w:pStyle w:val="TableText"/>
              <w:rPr/>
            </w:pPr>
            <w:r/>
          </w:p>
        </w:tc>
        <w:tc>
          <w:tcPr>
            <w:tcW w:w="1442"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1428.84</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21015</w:t>
            </w:r>
          </w:p>
        </w:tc>
        <w:tc>
          <w:tcPr>
            <w:tcW w:w="3089" w:type="dxa"/>
            <w:vAlign w:val="top"/>
          </w:tcPr>
          <w:p>
            <w:pPr>
              <w:ind w:left="15"/>
              <w:spacing w:before="84" w:line="229" w:lineRule="auto"/>
              <w:rPr>
                <w:rFonts w:ascii="SimSun" w:hAnsi="SimSun" w:eastAsia="SimSun" w:cs="SimSun"/>
                <w:sz w:val="15"/>
                <w:szCs w:val="15"/>
              </w:rPr>
            </w:pPr>
            <w:r>
              <w:rPr>
                <w:rFonts w:ascii="SimSun" w:hAnsi="SimSun" w:eastAsia="SimSun" w:cs="SimSun"/>
                <w:sz w:val="15"/>
                <w:szCs w:val="15"/>
                <w:color w:val="212529"/>
                <w:spacing w:val="10"/>
              </w:rPr>
              <w:t>医疗保障管理事务</w:t>
            </w:r>
          </w:p>
        </w:tc>
        <w:tc>
          <w:tcPr>
            <w:tcW w:w="1490" w:type="dxa"/>
            <w:vAlign w:val="top"/>
          </w:tcPr>
          <w:p>
            <w:pPr>
              <w:ind w:right="22"/>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416.89</w:t>
            </w:r>
          </w:p>
        </w:tc>
        <w:tc>
          <w:tcPr>
            <w:tcW w:w="1361" w:type="dxa"/>
            <w:vAlign w:val="top"/>
          </w:tcPr>
          <w:p>
            <w:pPr>
              <w:pStyle w:val="TableText"/>
              <w:ind w:left="852"/>
              <w:spacing w:before="103" w:line="186" w:lineRule="auto"/>
              <w:rPr>
                <w:sz w:val="13"/>
                <w:szCs w:val="13"/>
              </w:rPr>
            </w:pPr>
            <w:r>
              <w:rPr>
                <w:sz w:val="13"/>
                <w:szCs w:val="13"/>
                <w:color w:val="212529"/>
                <w:spacing w:val="4"/>
              </w:rPr>
              <w:t>309.</w:t>
            </w:r>
            <w:r>
              <w:rPr>
                <w:sz w:val="13"/>
                <w:szCs w:val="13"/>
                <w:color w:val="212529"/>
                <w:spacing w:val="14"/>
              </w:rPr>
              <w:t xml:space="preserve"> </w:t>
            </w:r>
            <w:r>
              <w:rPr>
                <w:sz w:val="13"/>
                <w:szCs w:val="13"/>
                <w:color w:val="212529"/>
                <w:spacing w:val="4"/>
              </w:rPr>
              <w:t>68</w:t>
            </w:r>
          </w:p>
        </w:tc>
        <w:tc>
          <w:tcPr>
            <w:tcW w:w="1442" w:type="dxa"/>
            <w:vAlign w:val="top"/>
          </w:tcPr>
          <w:p>
            <w:pPr>
              <w:pStyle w:val="TableText"/>
              <w:ind w:left="941"/>
              <w:spacing w:before="103" w:line="186" w:lineRule="auto"/>
              <w:rPr>
                <w:sz w:val="13"/>
                <w:szCs w:val="13"/>
              </w:rPr>
            </w:pPr>
            <w:r>
              <w:rPr>
                <w:sz w:val="13"/>
                <w:szCs w:val="13"/>
                <w:color w:val="212529"/>
                <w:spacing w:val="2"/>
              </w:rPr>
              <w:t>107.</w:t>
            </w:r>
            <w:r>
              <w:rPr>
                <w:sz w:val="13"/>
                <w:szCs w:val="13"/>
                <w:color w:val="212529"/>
                <w:spacing w:val="17"/>
              </w:rPr>
              <w:t xml:space="preserve"> </w:t>
            </w:r>
            <w:r>
              <w:rPr>
                <w:sz w:val="13"/>
                <w:szCs w:val="13"/>
                <w:color w:val="212529"/>
                <w:spacing w:val="2"/>
              </w:rPr>
              <w:t>22</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2101501</w:t>
            </w:r>
          </w:p>
        </w:tc>
        <w:tc>
          <w:tcPr>
            <w:tcW w:w="3089" w:type="dxa"/>
            <w:vAlign w:val="top"/>
          </w:tcPr>
          <w:p>
            <w:pPr>
              <w:ind w:left="7"/>
              <w:spacing w:before="84"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90"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113.10</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113.10</w:t>
            </w:r>
          </w:p>
        </w:tc>
        <w:tc>
          <w:tcPr>
            <w:tcW w:w="1442" w:type="dxa"/>
            <w:vAlign w:val="top"/>
          </w:tcPr>
          <w:p>
            <w:pPr>
              <w:pStyle w:val="TableText"/>
              <w:rPr/>
            </w:pPr>
            <w:r/>
          </w:p>
        </w:tc>
      </w:tr>
      <w:tr>
        <w:trPr>
          <w:trHeight w:val="314" w:hRule="atLeast"/>
        </w:trPr>
        <w:tc>
          <w:tcPr>
            <w:tcW w:w="177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2101506</w:t>
            </w:r>
          </w:p>
        </w:tc>
        <w:tc>
          <w:tcPr>
            <w:tcW w:w="3089" w:type="dxa"/>
            <w:vAlign w:val="top"/>
          </w:tcPr>
          <w:p>
            <w:pPr>
              <w:ind w:left="15"/>
              <w:spacing w:before="84" w:line="229" w:lineRule="auto"/>
              <w:rPr>
                <w:rFonts w:ascii="SimSun" w:hAnsi="SimSun" w:eastAsia="SimSun" w:cs="SimSun"/>
                <w:sz w:val="15"/>
                <w:szCs w:val="15"/>
              </w:rPr>
            </w:pPr>
            <w:r>
              <w:rPr>
                <w:rFonts w:ascii="SimSun" w:hAnsi="SimSun" w:eastAsia="SimSun" w:cs="SimSun"/>
                <w:sz w:val="15"/>
                <w:szCs w:val="15"/>
                <w:color w:val="212529"/>
                <w:spacing w:val="10"/>
              </w:rPr>
              <w:t>医疗保障经办事务</w:t>
            </w:r>
          </w:p>
        </w:tc>
        <w:tc>
          <w:tcPr>
            <w:tcW w:w="1490"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108.93</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1.72</w:t>
            </w:r>
          </w:p>
        </w:tc>
        <w:tc>
          <w:tcPr>
            <w:tcW w:w="1442"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107.22</w:t>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2101550</w:t>
            </w:r>
          </w:p>
        </w:tc>
        <w:tc>
          <w:tcPr>
            <w:tcW w:w="3089" w:type="dxa"/>
            <w:vAlign w:val="top"/>
          </w:tcPr>
          <w:p>
            <w:pPr>
              <w:ind w:left="9"/>
              <w:spacing w:before="84"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90" w:type="dxa"/>
            <w:vAlign w:val="top"/>
          </w:tcPr>
          <w:p>
            <w:pPr>
              <w:ind w:right="22"/>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194.86</w:t>
            </w:r>
          </w:p>
        </w:tc>
        <w:tc>
          <w:tcPr>
            <w:tcW w:w="1361" w:type="dxa"/>
            <w:vAlign w:val="top"/>
          </w:tcPr>
          <w:p>
            <w:pPr>
              <w:ind w:right="22"/>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194.86</w:t>
            </w:r>
          </w:p>
        </w:tc>
        <w:tc>
          <w:tcPr>
            <w:tcW w:w="1442" w:type="dxa"/>
            <w:vAlign w:val="top"/>
          </w:tcPr>
          <w:p>
            <w:pPr>
              <w:pStyle w:val="TableText"/>
              <w:rPr/>
            </w:pPr>
            <w:r/>
          </w:p>
        </w:tc>
      </w:tr>
      <w:tr>
        <w:trPr>
          <w:trHeight w:val="314" w:hRule="atLeast"/>
        </w:trPr>
        <w:tc>
          <w:tcPr>
            <w:tcW w:w="1776"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089" w:type="dxa"/>
            <w:vAlign w:val="top"/>
          </w:tcPr>
          <w:p>
            <w:pPr>
              <w:ind w:left="8"/>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90"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30.10</w:t>
            </w:r>
          </w:p>
        </w:tc>
        <w:tc>
          <w:tcPr>
            <w:tcW w:w="1361" w:type="dxa"/>
            <w:vAlign w:val="top"/>
          </w:tcPr>
          <w:p>
            <w:pPr>
              <w:pStyle w:val="TableText"/>
              <w:ind w:left="933"/>
              <w:spacing w:before="104" w:line="186" w:lineRule="auto"/>
              <w:rPr>
                <w:sz w:val="13"/>
                <w:szCs w:val="13"/>
              </w:rPr>
            </w:pPr>
            <w:r>
              <w:rPr>
                <w:sz w:val="13"/>
                <w:szCs w:val="13"/>
                <w:color w:val="212529"/>
                <w:spacing w:val="4"/>
              </w:rPr>
              <w:t>30.</w:t>
            </w:r>
            <w:r>
              <w:rPr>
                <w:sz w:val="13"/>
                <w:szCs w:val="13"/>
                <w:color w:val="212529"/>
                <w:spacing w:val="10"/>
                <w:w w:val="101"/>
              </w:rPr>
              <w:t xml:space="preserve"> </w:t>
            </w:r>
            <w:r>
              <w:rPr>
                <w:sz w:val="13"/>
                <w:szCs w:val="13"/>
                <w:color w:val="212529"/>
                <w:spacing w:val="4"/>
              </w:rPr>
              <w:t>10</w:t>
            </w:r>
          </w:p>
        </w:tc>
        <w:tc>
          <w:tcPr>
            <w:tcW w:w="1442" w:type="dxa"/>
            <w:vAlign w:val="top"/>
          </w:tcPr>
          <w:p>
            <w:pPr>
              <w:pStyle w:val="TableText"/>
              <w:rPr/>
            </w:pPr>
            <w:r/>
          </w:p>
        </w:tc>
      </w:tr>
      <w:tr>
        <w:trPr>
          <w:trHeight w:val="314"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089" w:type="dxa"/>
            <w:vAlign w:val="top"/>
          </w:tcPr>
          <w:p>
            <w:pPr>
              <w:ind w:left="8"/>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90"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30.10</w:t>
            </w:r>
          </w:p>
        </w:tc>
        <w:tc>
          <w:tcPr>
            <w:tcW w:w="1361" w:type="dxa"/>
            <w:vAlign w:val="top"/>
          </w:tcPr>
          <w:p>
            <w:pPr>
              <w:pStyle w:val="TableText"/>
              <w:ind w:left="933"/>
              <w:spacing w:before="104" w:line="187" w:lineRule="auto"/>
              <w:rPr>
                <w:sz w:val="13"/>
                <w:szCs w:val="13"/>
              </w:rPr>
            </w:pPr>
            <w:r>
              <w:rPr>
                <w:sz w:val="13"/>
                <w:szCs w:val="13"/>
                <w:color w:val="212529"/>
                <w:spacing w:val="4"/>
              </w:rPr>
              <w:t>30.</w:t>
            </w:r>
            <w:r>
              <w:rPr>
                <w:sz w:val="13"/>
                <w:szCs w:val="13"/>
                <w:color w:val="212529"/>
                <w:spacing w:val="10"/>
                <w:w w:val="101"/>
              </w:rPr>
              <w:t xml:space="preserve"> </w:t>
            </w:r>
            <w:r>
              <w:rPr>
                <w:sz w:val="13"/>
                <w:szCs w:val="13"/>
                <w:color w:val="212529"/>
                <w:spacing w:val="4"/>
              </w:rPr>
              <w:t>10</w:t>
            </w:r>
          </w:p>
        </w:tc>
        <w:tc>
          <w:tcPr>
            <w:tcW w:w="1442" w:type="dxa"/>
            <w:vAlign w:val="top"/>
          </w:tcPr>
          <w:p>
            <w:pPr>
              <w:pStyle w:val="TableText"/>
              <w:rPr/>
            </w:pPr>
            <w:r/>
          </w:p>
        </w:tc>
      </w:tr>
      <w:tr>
        <w:trPr>
          <w:trHeight w:val="319" w:hRule="atLeast"/>
        </w:trPr>
        <w:tc>
          <w:tcPr>
            <w:tcW w:w="1776"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089" w:type="dxa"/>
            <w:vAlign w:val="top"/>
          </w:tcPr>
          <w:p>
            <w:pPr>
              <w:ind w:left="8"/>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90" w:type="dxa"/>
            <w:vAlign w:val="top"/>
          </w:tcPr>
          <w:p>
            <w:pPr>
              <w:ind w:right="22"/>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30.10</w:t>
            </w:r>
          </w:p>
        </w:tc>
        <w:tc>
          <w:tcPr>
            <w:tcW w:w="1361" w:type="dxa"/>
            <w:vAlign w:val="top"/>
          </w:tcPr>
          <w:p>
            <w:pPr>
              <w:ind w:right="22"/>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30.10</w:t>
            </w:r>
          </w:p>
        </w:tc>
        <w:tc>
          <w:tcPr>
            <w:tcW w:w="1442" w:type="dxa"/>
            <w:vAlign w:val="top"/>
          </w:tcPr>
          <w:p>
            <w:pPr>
              <w:pStyle w:val="TableText"/>
              <w:rPr/>
            </w:pPr>
            <w:r/>
          </w:p>
        </w:tc>
      </w:tr>
    </w:tbl>
    <w:p>
      <w:pPr>
        <w:pStyle w:val="BodyText"/>
        <w:rPr/>
      </w:pPr>
      <w:r/>
    </w:p>
    <w:p>
      <w:pPr>
        <w:sectPr>
          <w:headerReference w:type="default" r:id="rId7"/>
          <w:footerReference w:type="default" r:id="rId17"/>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63"/>
        <w:gridCol w:w="1134"/>
        <w:gridCol w:w="1922"/>
        <w:gridCol w:w="1134"/>
        <w:gridCol w:w="1156"/>
        <w:gridCol w:w="864"/>
        <w:gridCol w:w="1085"/>
      </w:tblGrid>
      <w:tr>
        <w:trPr>
          <w:trHeight w:val="384" w:hRule="atLeast"/>
        </w:trPr>
        <w:tc>
          <w:tcPr>
            <w:tcW w:w="186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49"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4"/>
            <w:bookmarkEnd w:id="14"/>
            <w:bookmarkStart w:name="bookmark9" w:id="15"/>
            <w:bookmarkEnd w:id="15"/>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73"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部门名称：兴县医疗保障局</w:t>
            </w:r>
          </w:p>
        </w:tc>
        <w:tc>
          <w:tcPr>
            <w:tcW w:w="1085" w:type="dxa"/>
            <w:vAlign w:val="top"/>
            <w:tcBorders>
              <w:top w:val="single" w:color="FFFFFF" w:sz="4" w:space="0"/>
              <w:left w:val="single" w:color="FFFFFF" w:sz="2" w:space="0"/>
              <w:right w:val="single" w:color="FFFFFF" w:sz="2" w:space="0"/>
            </w:tcBorders>
          </w:tcPr>
          <w:p>
            <w:pPr>
              <w:ind w:left="412"/>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2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4"/>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63" w:type="dxa"/>
            <w:vAlign w:val="top"/>
            <w:vMerge w:val="restart"/>
            <w:tcBorders>
              <w:bottom w:val="nil"/>
            </w:tcBorders>
          </w:tcPr>
          <w:p>
            <w:pPr>
              <w:ind w:left="753"/>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34" w:type="dxa"/>
            <w:vAlign w:val="top"/>
            <w:vMerge w:val="restart"/>
            <w:tcBorders>
              <w:bottom w:val="nil"/>
            </w:tcBorders>
          </w:tcPr>
          <w:p>
            <w:pPr>
              <w:ind w:left="384"/>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22" w:type="dxa"/>
            <w:vAlign w:val="top"/>
            <w:vMerge w:val="restart"/>
            <w:tcBorders>
              <w:bottom w:val="nil"/>
            </w:tcBorders>
          </w:tcPr>
          <w:p>
            <w:pPr>
              <w:ind w:left="785"/>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39" w:type="dxa"/>
            <w:vAlign w:val="top"/>
            <w:gridSpan w:val="4"/>
          </w:tcPr>
          <w:p>
            <w:pPr>
              <w:ind w:left="194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63" w:type="dxa"/>
            <w:vAlign w:val="top"/>
            <w:vMerge w:val="continue"/>
            <w:tcBorders>
              <w:top w:val="nil"/>
            </w:tcBorders>
          </w:tcPr>
          <w:p>
            <w:pPr>
              <w:pStyle w:val="TableText"/>
              <w:rPr/>
            </w:pPr>
            <w:r/>
          </w:p>
        </w:tc>
        <w:tc>
          <w:tcPr>
            <w:tcW w:w="1134" w:type="dxa"/>
            <w:vAlign w:val="top"/>
            <w:vMerge w:val="continue"/>
            <w:tcBorders>
              <w:top w:val="nil"/>
            </w:tcBorders>
          </w:tcPr>
          <w:p>
            <w:pPr>
              <w:pStyle w:val="TableText"/>
              <w:rPr/>
            </w:pPr>
            <w:r/>
          </w:p>
        </w:tc>
        <w:tc>
          <w:tcPr>
            <w:tcW w:w="1922" w:type="dxa"/>
            <w:vAlign w:val="top"/>
            <w:vMerge w:val="continue"/>
            <w:tcBorders>
              <w:top w:val="nil"/>
            </w:tcBorders>
          </w:tcPr>
          <w:p>
            <w:pPr>
              <w:pStyle w:val="TableText"/>
              <w:rPr/>
            </w:pPr>
            <w:r/>
          </w:p>
        </w:tc>
        <w:tc>
          <w:tcPr>
            <w:tcW w:w="1134" w:type="dxa"/>
            <w:vAlign w:val="top"/>
          </w:tcPr>
          <w:p>
            <w:pPr>
              <w:ind w:left="402"/>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56" w:type="dxa"/>
            <w:vAlign w:val="top"/>
          </w:tcPr>
          <w:p>
            <w:pPr>
              <w:ind w:left="85"/>
              <w:spacing w:before="107" w:line="157" w:lineRule="exact"/>
              <w:outlineLvl w:val="1"/>
              <w:rPr>
                <w:rFonts w:ascii="Microsoft YaHei" w:hAnsi="Microsoft YaHei" w:eastAsia="Microsoft YaHei" w:cs="Microsoft YaHei"/>
                <w:sz w:val="15"/>
                <w:szCs w:val="15"/>
              </w:rPr>
            </w:pPr>
            <w:bookmarkStart w:name="bookmark11" w:id="16"/>
            <w:bookmarkEnd w:id="16"/>
            <w:bookmarkStart w:name="bookmark10" w:id="17"/>
            <w:bookmarkEnd w:id="17"/>
            <w:r>
              <w:rPr>
                <w:rFonts w:ascii="Microsoft YaHei" w:hAnsi="Microsoft YaHei" w:eastAsia="Microsoft YaHei" w:cs="Microsoft YaHei"/>
                <w:sz w:val="15"/>
                <w:szCs w:val="15"/>
                <w:color w:val="212529"/>
                <w:spacing w:val="11"/>
              </w:rPr>
              <w:t>一般公共预算</w:t>
            </w:r>
          </w:p>
        </w:tc>
        <w:tc>
          <w:tcPr>
            <w:tcW w:w="864" w:type="dxa"/>
            <w:vAlign w:val="top"/>
          </w:tcPr>
          <w:p>
            <w:pPr>
              <w:ind w:left="22"/>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62"/>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85" w:type="dxa"/>
            <w:vAlign w:val="top"/>
          </w:tcPr>
          <w:p>
            <w:pPr>
              <w:ind w:left="64"/>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863"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34" w:type="dxa"/>
            <w:vAlign w:val="top"/>
          </w:tcPr>
          <w:p>
            <w:pPr>
              <w:ind w:left="545"/>
              <w:spacing w:before="110" w:line="202" w:lineRule="exact"/>
              <w:rPr>
                <w:rFonts w:ascii="SimSun" w:hAnsi="SimSun" w:eastAsia="SimSun" w:cs="SimSun"/>
                <w:sz w:val="15"/>
                <w:szCs w:val="15"/>
              </w:rPr>
            </w:pPr>
            <w:r>
              <w:rPr>
                <w:rFonts w:ascii="SimSun" w:hAnsi="SimSun" w:eastAsia="SimSun" w:cs="SimSun"/>
                <w:sz w:val="15"/>
                <w:szCs w:val="15"/>
                <w:color w:val="212529"/>
                <w:spacing w:val="3"/>
                <w:position w:val="1"/>
              </w:rPr>
              <w:t>1924.87</w:t>
            </w:r>
          </w:p>
        </w:tc>
        <w:tc>
          <w:tcPr>
            <w:tcW w:w="1922" w:type="dxa"/>
            <w:vAlign w:val="top"/>
          </w:tcPr>
          <w:p>
            <w:pPr>
              <w:ind w:left="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34" w:type="dxa"/>
            <w:vAlign w:val="top"/>
          </w:tcPr>
          <w:p>
            <w:pPr>
              <w:pStyle w:val="TableText"/>
              <w:rPr/>
            </w:pPr>
            <w:r/>
          </w:p>
        </w:tc>
        <w:tc>
          <w:tcPr>
            <w:tcW w:w="1922" w:type="dxa"/>
            <w:vAlign w:val="top"/>
          </w:tcPr>
          <w:p>
            <w:pPr>
              <w:ind w:left="2"/>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34" w:type="dxa"/>
            <w:vAlign w:val="top"/>
          </w:tcPr>
          <w:p>
            <w:pPr>
              <w:pStyle w:val="TableText"/>
              <w:rPr/>
            </w:pPr>
            <w:r/>
          </w:p>
        </w:tc>
        <w:tc>
          <w:tcPr>
            <w:tcW w:w="1922" w:type="dxa"/>
            <w:vAlign w:val="top"/>
          </w:tcPr>
          <w:p>
            <w:pPr>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5"/>
              </w:rPr>
              <w:t>国防支出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6"/>
              </w:rPr>
              <w:t>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34" w:type="dxa"/>
            <w:vAlign w:val="top"/>
          </w:tcPr>
          <w:p>
            <w:pPr>
              <w:ind w:right="19"/>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36.42</w:t>
            </w:r>
          </w:p>
        </w:tc>
        <w:tc>
          <w:tcPr>
            <w:tcW w:w="1156" w:type="dxa"/>
            <w:vAlign w:val="top"/>
          </w:tcPr>
          <w:p>
            <w:pPr>
              <w:ind w:right="1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36.42</w:t>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34" w:type="dxa"/>
            <w:vAlign w:val="top"/>
          </w:tcPr>
          <w:p>
            <w:pPr>
              <w:ind w:right="19"/>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1862.07</w:t>
            </w:r>
          </w:p>
        </w:tc>
        <w:tc>
          <w:tcPr>
            <w:tcW w:w="1156" w:type="dxa"/>
            <w:vAlign w:val="top"/>
          </w:tcPr>
          <w:p>
            <w:pPr>
              <w:ind w:right="1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1862.07</w:t>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8"/>
              </w:rPr>
              <w:t>等支出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等支出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34"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30.10</w:t>
            </w:r>
          </w:p>
        </w:tc>
        <w:tc>
          <w:tcPr>
            <w:tcW w:w="1156"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30.10</w:t>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3" w:right="138"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right="138"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算支出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30" w:line="226"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p>
          <w:p>
            <w:pPr>
              <w:ind w:left="2"/>
              <w:spacing w:line="190" w:lineRule="auto"/>
              <w:rPr>
                <w:rFonts w:ascii="SimSun" w:hAnsi="SimSun" w:eastAsia="SimSun" w:cs="SimSun"/>
                <w:sz w:val="15"/>
                <w:szCs w:val="15"/>
              </w:rPr>
            </w:pPr>
            <w:r>
              <w:rPr>
                <w:rFonts w:ascii="SimSun" w:hAnsi="SimSun" w:eastAsia="SimSun" w:cs="SimSun"/>
                <w:sz w:val="15"/>
                <w:szCs w:val="15"/>
                <w:color w:val="212529"/>
                <w:spacing w:val="8"/>
              </w:rPr>
              <w:t>管理支出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2"/>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3" w:right="138"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 xml:space="preserve"> </w:t>
            </w:r>
            <w:r>
              <w:rPr>
                <w:rFonts w:ascii="SimSun" w:hAnsi="SimSun" w:eastAsia="SimSun" w:cs="SimSun"/>
                <w:sz w:val="15"/>
                <w:szCs w:val="15"/>
                <w:color w:val="212529"/>
              </w:rPr>
              <w:t>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ind w:left="12" w:right="138"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4"/>
              </w:rPr>
              <w:t>的支出</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9"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84" w:hRule="atLeast"/>
        </w:trPr>
        <w:tc>
          <w:tcPr>
            <w:tcW w:w="1863" w:type="dxa"/>
            <w:vAlign w:val="top"/>
          </w:tcPr>
          <w:p>
            <w:pPr>
              <w:ind w:left="431"/>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34" w:type="dxa"/>
            <w:vAlign w:val="top"/>
          </w:tcPr>
          <w:p>
            <w:pPr>
              <w:pStyle w:val="TableText"/>
              <w:ind w:left="277"/>
              <w:spacing w:before="137" w:line="162" w:lineRule="auto"/>
              <w:rPr>
                <w:sz w:val="15"/>
                <w:szCs w:val="15"/>
              </w:rPr>
            </w:pPr>
            <w:r>
              <w:rPr>
                <w:sz w:val="15"/>
                <w:szCs w:val="15"/>
                <w:color w:val="212529"/>
              </w:rPr>
              <w:t>1924.87</w:t>
            </w:r>
          </w:p>
        </w:tc>
        <w:tc>
          <w:tcPr>
            <w:tcW w:w="1922" w:type="dxa"/>
            <w:vAlign w:val="top"/>
          </w:tcPr>
          <w:p>
            <w:pPr>
              <w:ind w:left="463"/>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34" w:type="dxa"/>
            <w:vAlign w:val="top"/>
          </w:tcPr>
          <w:p>
            <w:pPr>
              <w:pStyle w:val="TableText"/>
              <w:ind w:left="289"/>
              <w:spacing w:before="137" w:line="162" w:lineRule="auto"/>
              <w:rPr>
                <w:sz w:val="15"/>
                <w:szCs w:val="15"/>
              </w:rPr>
            </w:pPr>
            <w:r>
              <w:rPr>
                <w:sz w:val="15"/>
                <w:szCs w:val="15"/>
                <w:color w:val="212529"/>
              </w:rPr>
              <w:t>1928.58</w:t>
            </w:r>
          </w:p>
        </w:tc>
        <w:tc>
          <w:tcPr>
            <w:tcW w:w="1156" w:type="dxa"/>
            <w:vAlign w:val="top"/>
          </w:tcPr>
          <w:p>
            <w:pPr>
              <w:pStyle w:val="TableText"/>
              <w:ind w:left="302"/>
              <w:spacing w:before="137" w:line="162" w:lineRule="auto"/>
              <w:rPr>
                <w:sz w:val="15"/>
                <w:szCs w:val="15"/>
              </w:rPr>
            </w:pPr>
            <w:r>
              <w:rPr>
                <w:sz w:val="15"/>
                <w:szCs w:val="15"/>
                <w:color w:val="212529"/>
              </w:rPr>
              <w:t>1928.58</w:t>
            </w:r>
          </w:p>
        </w:tc>
        <w:tc>
          <w:tcPr>
            <w:tcW w:w="864" w:type="dxa"/>
            <w:vAlign w:val="top"/>
          </w:tcPr>
          <w:p>
            <w:pPr>
              <w:pStyle w:val="TableText"/>
              <w:rPr/>
            </w:pPr>
            <w:r/>
          </w:p>
        </w:tc>
        <w:tc>
          <w:tcPr>
            <w:tcW w:w="1085" w:type="dxa"/>
            <w:vAlign w:val="top"/>
          </w:tcPr>
          <w:p>
            <w:pPr>
              <w:pStyle w:val="TableText"/>
              <w:rPr/>
            </w:pPr>
            <w:r/>
          </w:p>
        </w:tc>
      </w:tr>
    </w:tbl>
    <w:p>
      <w:pPr>
        <w:pStyle w:val="BodyText"/>
        <w:rPr/>
      </w:pPr>
      <w:r/>
    </w:p>
    <w:p>
      <w:pPr>
        <w:sectPr>
          <w:headerReference w:type="default" r:id="rId18"/>
          <w:footerReference w:type="default" r:id="rId19"/>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63"/>
        <w:gridCol w:w="1134"/>
        <w:gridCol w:w="1922"/>
        <w:gridCol w:w="1134"/>
        <w:gridCol w:w="1156"/>
        <w:gridCol w:w="864"/>
        <w:gridCol w:w="1085"/>
      </w:tblGrid>
      <w:tr>
        <w:trPr>
          <w:trHeight w:val="383" w:hRule="atLeast"/>
        </w:trPr>
        <w:tc>
          <w:tcPr>
            <w:tcW w:w="1863" w:type="dxa"/>
            <w:vAlign w:val="top"/>
          </w:tcPr>
          <w:p>
            <w:pPr>
              <w:ind w:left="7"/>
              <w:spacing w:before="113" w:line="229" w:lineRule="auto"/>
              <w:rPr>
                <w:rFonts w:ascii="SimSun" w:hAnsi="SimSun" w:eastAsia="SimSun" w:cs="SimSun"/>
                <w:sz w:val="15"/>
                <w:szCs w:val="15"/>
              </w:rPr>
            </w:pPr>
            <w:bookmarkStart w:name="bookmark40" w:id="18"/>
            <w:bookmarkEnd w:id="18"/>
            <w:r>
              <w:rPr>
                <w:rFonts w:ascii="SimSun" w:hAnsi="SimSun" w:eastAsia="SimSun" w:cs="SimSun"/>
                <w:sz w:val="15"/>
                <w:szCs w:val="15"/>
                <w:color w:val="212529"/>
                <w:spacing w:val="10"/>
              </w:rPr>
              <w:t>上年财政拨款结转</w:t>
            </w:r>
          </w:p>
        </w:tc>
        <w:tc>
          <w:tcPr>
            <w:tcW w:w="1134" w:type="dxa"/>
            <w:vAlign w:val="top"/>
          </w:tcPr>
          <w:p>
            <w:pPr>
              <w:ind w:left="779"/>
              <w:spacing w:before="113" w:line="202" w:lineRule="exact"/>
              <w:rPr>
                <w:rFonts w:ascii="SimSun" w:hAnsi="SimSun" w:eastAsia="SimSun" w:cs="SimSun"/>
                <w:sz w:val="15"/>
                <w:szCs w:val="15"/>
              </w:rPr>
            </w:pPr>
            <w:r>
              <w:rPr>
                <w:rFonts w:ascii="SimSun" w:hAnsi="SimSun" w:eastAsia="SimSun" w:cs="SimSun"/>
                <w:sz w:val="15"/>
                <w:szCs w:val="15"/>
                <w:color w:val="212529"/>
                <w:spacing w:val="3"/>
                <w:position w:val="1"/>
              </w:rPr>
              <w:t>3.72</w:t>
            </w:r>
          </w:p>
        </w:tc>
        <w:tc>
          <w:tcPr>
            <w:tcW w:w="1922" w:type="dxa"/>
            <w:vAlign w:val="top"/>
          </w:tcPr>
          <w:p>
            <w:pPr>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7" w:hRule="atLeast"/>
        </w:trPr>
        <w:tc>
          <w:tcPr>
            <w:tcW w:w="1863"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34" w:type="dxa"/>
            <w:vAlign w:val="top"/>
          </w:tcPr>
          <w:p>
            <w:pPr>
              <w:ind w:left="779"/>
              <w:spacing w:before="110" w:line="202" w:lineRule="exact"/>
              <w:rPr>
                <w:rFonts w:ascii="SimSun" w:hAnsi="SimSun" w:eastAsia="SimSun" w:cs="SimSun"/>
                <w:sz w:val="15"/>
                <w:szCs w:val="15"/>
              </w:rPr>
            </w:pPr>
            <w:r>
              <w:rPr>
                <w:rFonts w:ascii="SimSun" w:hAnsi="SimSun" w:eastAsia="SimSun" w:cs="SimSun"/>
                <w:sz w:val="15"/>
                <w:szCs w:val="15"/>
                <w:color w:val="212529"/>
                <w:spacing w:val="3"/>
                <w:position w:val="1"/>
              </w:rPr>
              <w:t>3.72</w:t>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7" w:hRule="atLeast"/>
        </w:trPr>
        <w:tc>
          <w:tcPr>
            <w:tcW w:w="1863"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78" w:hRule="atLeast"/>
        </w:trPr>
        <w:tc>
          <w:tcPr>
            <w:tcW w:w="1863" w:type="dxa"/>
            <w:vAlign w:val="top"/>
          </w:tcPr>
          <w:p>
            <w:pPr>
              <w:pStyle w:val="TableText"/>
              <w:rPr/>
            </w:pPr>
            <w:r/>
          </w:p>
        </w:tc>
        <w:tc>
          <w:tcPr>
            <w:tcW w:w="1134" w:type="dxa"/>
            <w:vAlign w:val="top"/>
          </w:tcPr>
          <w:p>
            <w:pPr>
              <w:pStyle w:val="TableText"/>
              <w:rPr/>
            </w:pPr>
            <w:r/>
          </w:p>
        </w:tc>
        <w:tc>
          <w:tcPr>
            <w:tcW w:w="1922" w:type="dxa"/>
            <w:vAlign w:val="top"/>
          </w:tcPr>
          <w:p>
            <w:pPr>
              <w:pStyle w:val="TableText"/>
              <w:rPr/>
            </w:pPr>
            <w:r/>
          </w:p>
        </w:tc>
        <w:tc>
          <w:tcPr>
            <w:tcW w:w="1134" w:type="dxa"/>
            <w:vAlign w:val="top"/>
          </w:tcPr>
          <w:p>
            <w:pPr>
              <w:pStyle w:val="TableText"/>
              <w:rPr/>
            </w:pPr>
            <w:r/>
          </w:p>
        </w:tc>
        <w:tc>
          <w:tcPr>
            <w:tcW w:w="1156" w:type="dxa"/>
            <w:vAlign w:val="top"/>
          </w:tcPr>
          <w:p>
            <w:pPr>
              <w:pStyle w:val="TableText"/>
              <w:rPr/>
            </w:pPr>
            <w:r/>
          </w:p>
        </w:tc>
        <w:tc>
          <w:tcPr>
            <w:tcW w:w="864" w:type="dxa"/>
            <w:vAlign w:val="top"/>
          </w:tcPr>
          <w:p>
            <w:pPr>
              <w:pStyle w:val="TableText"/>
              <w:rPr/>
            </w:pPr>
            <w:r/>
          </w:p>
        </w:tc>
        <w:tc>
          <w:tcPr>
            <w:tcW w:w="1085" w:type="dxa"/>
            <w:vAlign w:val="top"/>
          </w:tcPr>
          <w:p>
            <w:pPr>
              <w:pStyle w:val="TableText"/>
              <w:rPr/>
            </w:pPr>
            <w:r/>
          </w:p>
        </w:tc>
      </w:tr>
      <w:tr>
        <w:trPr>
          <w:trHeight w:val="383" w:hRule="atLeast"/>
        </w:trPr>
        <w:tc>
          <w:tcPr>
            <w:tcW w:w="1863" w:type="dxa"/>
            <w:vAlign w:val="top"/>
          </w:tcPr>
          <w:p>
            <w:pPr>
              <w:ind w:left="597"/>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34" w:type="dxa"/>
            <w:vAlign w:val="top"/>
          </w:tcPr>
          <w:p>
            <w:pPr>
              <w:pStyle w:val="TableText"/>
              <w:ind w:left="277"/>
              <w:spacing w:before="135" w:line="187" w:lineRule="auto"/>
              <w:rPr>
                <w:sz w:val="13"/>
                <w:szCs w:val="13"/>
              </w:rPr>
            </w:pPr>
            <w:r>
              <w:rPr>
                <w:sz w:val="13"/>
                <w:szCs w:val="13"/>
                <w:color w:val="212529"/>
                <w:spacing w:val="3"/>
              </w:rPr>
              <w:t>1928.</w:t>
            </w:r>
            <w:r>
              <w:rPr>
                <w:sz w:val="13"/>
                <w:szCs w:val="13"/>
                <w:color w:val="212529"/>
                <w:spacing w:val="17"/>
              </w:rPr>
              <w:t xml:space="preserve"> </w:t>
            </w:r>
            <w:r>
              <w:rPr>
                <w:sz w:val="13"/>
                <w:szCs w:val="13"/>
                <w:color w:val="212529"/>
                <w:spacing w:val="3"/>
              </w:rPr>
              <w:t>58</w:t>
            </w:r>
          </w:p>
        </w:tc>
        <w:tc>
          <w:tcPr>
            <w:tcW w:w="1922" w:type="dxa"/>
            <w:vAlign w:val="top"/>
          </w:tcPr>
          <w:p>
            <w:pPr>
              <w:ind w:left="624"/>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34" w:type="dxa"/>
            <w:vAlign w:val="top"/>
          </w:tcPr>
          <w:p>
            <w:pPr>
              <w:pStyle w:val="TableText"/>
              <w:ind w:left="289"/>
              <w:spacing w:before="135" w:line="187" w:lineRule="auto"/>
              <w:rPr>
                <w:sz w:val="13"/>
                <w:szCs w:val="13"/>
              </w:rPr>
            </w:pPr>
            <w:r>
              <w:rPr>
                <w:sz w:val="13"/>
                <w:szCs w:val="13"/>
                <w:color w:val="212529"/>
                <w:spacing w:val="4"/>
              </w:rPr>
              <w:t>1928.</w:t>
            </w:r>
            <w:r>
              <w:rPr>
                <w:sz w:val="13"/>
                <w:szCs w:val="13"/>
                <w:color w:val="212529"/>
                <w:spacing w:val="10"/>
              </w:rPr>
              <w:t xml:space="preserve"> </w:t>
            </w:r>
            <w:r>
              <w:rPr>
                <w:sz w:val="13"/>
                <w:szCs w:val="13"/>
                <w:color w:val="212529"/>
                <w:spacing w:val="4"/>
              </w:rPr>
              <w:t>58</w:t>
            </w:r>
          </w:p>
        </w:tc>
        <w:tc>
          <w:tcPr>
            <w:tcW w:w="1156" w:type="dxa"/>
            <w:vAlign w:val="top"/>
          </w:tcPr>
          <w:p>
            <w:pPr>
              <w:pStyle w:val="TableText"/>
              <w:ind w:left="302"/>
              <w:spacing w:before="135" w:line="187" w:lineRule="auto"/>
              <w:rPr>
                <w:sz w:val="13"/>
                <w:szCs w:val="13"/>
              </w:rPr>
            </w:pPr>
            <w:r>
              <w:rPr>
                <w:sz w:val="13"/>
                <w:szCs w:val="13"/>
                <w:color w:val="212529"/>
                <w:spacing w:val="4"/>
              </w:rPr>
              <w:t>1928.</w:t>
            </w:r>
            <w:r>
              <w:rPr>
                <w:sz w:val="13"/>
                <w:szCs w:val="13"/>
                <w:color w:val="212529"/>
                <w:spacing w:val="10"/>
              </w:rPr>
              <w:t xml:space="preserve"> </w:t>
            </w:r>
            <w:r>
              <w:rPr>
                <w:sz w:val="13"/>
                <w:szCs w:val="13"/>
                <w:color w:val="212529"/>
                <w:spacing w:val="4"/>
              </w:rPr>
              <w:t>58</w:t>
            </w:r>
          </w:p>
        </w:tc>
        <w:tc>
          <w:tcPr>
            <w:tcW w:w="864" w:type="dxa"/>
            <w:vAlign w:val="top"/>
          </w:tcPr>
          <w:p>
            <w:pPr>
              <w:pStyle w:val="TableText"/>
              <w:rPr/>
            </w:pPr>
            <w:r/>
          </w:p>
        </w:tc>
        <w:tc>
          <w:tcPr>
            <w:tcW w:w="1085" w:type="dxa"/>
            <w:vAlign w:val="top"/>
          </w:tcPr>
          <w:p>
            <w:pPr>
              <w:pStyle w:val="TableText"/>
              <w:rPr/>
            </w:pPr>
            <w:r/>
          </w:p>
        </w:tc>
      </w:tr>
    </w:tbl>
    <w:p>
      <w:pPr>
        <w:pStyle w:val="BodyText"/>
        <w:rPr/>
      </w:pPr>
      <w:r/>
    </w:p>
    <w:p>
      <w:pPr>
        <w:sectPr>
          <w:headerReference w:type="default" r:id="rId20"/>
          <w:footerReference w:type="default" r:id="rId21"/>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36"/>
        <w:gridCol w:w="3045"/>
        <w:gridCol w:w="1588"/>
        <w:gridCol w:w="1382"/>
        <w:gridCol w:w="150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9"/>
            <w:bookmarkEnd w:id="19"/>
            <w:bookmarkStart w:name="bookmark10" w:id="20"/>
            <w:bookmarkEnd w:id="20"/>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65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部门名称：兴县医疗保障局</w:t>
            </w:r>
          </w:p>
        </w:tc>
        <w:tc>
          <w:tcPr>
            <w:tcW w:w="1507" w:type="dxa"/>
            <w:vAlign w:val="top"/>
            <w:tcBorders>
              <w:top w:val="single" w:color="FFFFFF" w:sz="4" w:space="0"/>
              <w:left w:val="single" w:color="FFFFFF" w:sz="2" w:space="0"/>
              <w:right w:val="single" w:color="FFFFFF" w:sz="2" w:space="0"/>
            </w:tcBorders>
          </w:tcPr>
          <w:p>
            <w:pPr>
              <w:ind w:left="83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681" w:type="dxa"/>
            <w:vAlign w:val="top"/>
            <w:gridSpan w:val="2"/>
          </w:tcPr>
          <w:p>
            <w:pPr>
              <w:ind w:left="216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477" w:type="dxa"/>
            <w:vAlign w:val="top"/>
            <w:gridSpan w:val="3"/>
          </w:tcPr>
          <w:p>
            <w:pPr>
              <w:ind w:left="174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36" w:type="dxa"/>
            <w:vAlign w:val="top"/>
          </w:tcPr>
          <w:p>
            <w:pPr>
              <w:ind w:left="47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045" w:type="dxa"/>
            <w:vAlign w:val="top"/>
          </w:tcPr>
          <w:p>
            <w:pPr>
              <w:ind w:left="118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88" w:type="dxa"/>
            <w:vAlign w:val="top"/>
          </w:tcPr>
          <w:p>
            <w:pPr>
              <w:ind w:left="626"/>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82" w:type="dxa"/>
            <w:vAlign w:val="top"/>
          </w:tcPr>
          <w:p>
            <w:pPr>
              <w:ind w:left="355"/>
              <w:spacing w:before="64" w:line="157" w:lineRule="exact"/>
              <w:outlineLvl w:val="1"/>
              <w:rPr>
                <w:rFonts w:ascii="Microsoft YaHei" w:hAnsi="Microsoft YaHei" w:eastAsia="Microsoft YaHei" w:cs="Microsoft YaHei"/>
                <w:sz w:val="15"/>
                <w:szCs w:val="15"/>
              </w:rPr>
            </w:pPr>
            <w:bookmarkStart w:name="bookmark11" w:id="21"/>
            <w:bookmarkEnd w:id="21"/>
            <w:r>
              <w:rPr>
                <w:rFonts w:ascii="Microsoft YaHei" w:hAnsi="Microsoft YaHei" w:eastAsia="Microsoft YaHei" w:cs="Microsoft YaHei"/>
                <w:sz w:val="15"/>
                <w:szCs w:val="15"/>
                <w:color w:val="212529"/>
                <w:spacing w:val="8"/>
                <w:position w:val="-1"/>
              </w:rPr>
              <w:t>基本支出</w:t>
            </w:r>
          </w:p>
        </w:tc>
        <w:tc>
          <w:tcPr>
            <w:tcW w:w="1507" w:type="dxa"/>
            <w:vAlign w:val="top"/>
          </w:tcPr>
          <w:p>
            <w:pPr>
              <w:ind w:left="41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681" w:type="dxa"/>
            <w:vAlign w:val="top"/>
            <w:gridSpan w:val="2"/>
          </w:tcPr>
          <w:p>
            <w:pPr>
              <w:ind w:left="217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88" w:type="dxa"/>
            <w:vAlign w:val="top"/>
          </w:tcPr>
          <w:p>
            <w:pPr>
              <w:pStyle w:val="TableText"/>
              <w:ind w:left="1009"/>
              <w:spacing w:before="86" w:line="162" w:lineRule="auto"/>
              <w:rPr>
                <w:sz w:val="15"/>
                <w:szCs w:val="15"/>
              </w:rPr>
            </w:pPr>
            <w:r>
              <w:rPr>
                <w:sz w:val="15"/>
                <w:szCs w:val="15"/>
                <w:color w:val="212529"/>
              </w:rPr>
              <w:t>1924.87</w:t>
            </w:r>
          </w:p>
        </w:tc>
        <w:tc>
          <w:tcPr>
            <w:tcW w:w="1382" w:type="dxa"/>
            <w:vAlign w:val="top"/>
          </w:tcPr>
          <w:p>
            <w:pPr>
              <w:pStyle w:val="TableText"/>
              <w:ind w:left="876"/>
              <w:spacing w:before="87" w:line="186" w:lineRule="auto"/>
              <w:rPr>
                <w:sz w:val="13"/>
                <w:szCs w:val="13"/>
              </w:rPr>
            </w:pPr>
            <w:r>
              <w:rPr>
                <w:sz w:val="13"/>
                <w:szCs w:val="13"/>
                <w:color w:val="212529"/>
                <w:spacing w:val="4"/>
              </w:rPr>
              <w:t>392.</w:t>
            </w:r>
            <w:r>
              <w:rPr>
                <w:sz w:val="13"/>
                <w:szCs w:val="13"/>
                <w:color w:val="212529"/>
                <w:spacing w:val="13"/>
              </w:rPr>
              <w:t xml:space="preserve"> </w:t>
            </w:r>
            <w:r>
              <w:rPr>
                <w:sz w:val="13"/>
                <w:szCs w:val="13"/>
                <w:color w:val="212529"/>
                <w:spacing w:val="4"/>
              </w:rPr>
              <w:t>53</w:t>
            </w:r>
          </w:p>
        </w:tc>
        <w:tc>
          <w:tcPr>
            <w:tcW w:w="1507" w:type="dxa"/>
            <w:vAlign w:val="top"/>
          </w:tcPr>
          <w:p>
            <w:pPr>
              <w:pStyle w:val="TableText"/>
              <w:ind w:left="925"/>
              <w:spacing w:before="87" w:line="186" w:lineRule="auto"/>
              <w:rPr>
                <w:sz w:val="13"/>
                <w:szCs w:val="13"/>
              </w:rPr>
            </w:pPr>
            <w:r>
              <w:rPr>
                <w:sz w:val="13"/>
                <w:szCs w:val="13"/>
                <w:color w:val="212529"/>
                <w:spacing w:val="4"/>
              </w:rPr>
              <w:t>1532.</w:t>
            </w:r>
            <w:r>
              <w:rPr>
                <w:sz w:val="13"/>
                <w:szCs w:val="13"/>
                <w:color w:val="212529"/>
                <w:spacing w:val="14"/>
                <w:w w:val="101"/>
              </w:rPr>
              <w:t xml:space="preserve"> </w:t>
            </w:r>
            <w:r>
              <w:rPr>
                <w:sz w:val="13"/>
                <w:szCs w:val="13"/>
                <w:color w:val="212529"/>
                <w:spacing w:val="4"/>
              </w:rPr>
              <w:t>34</w:t>
            </w:r>
          </w:p>
        </w:tc>
      </w:tr>
      <w:tr>
        <w:trPr>
          <w:trHeight w:val="292" w:hRule="atLeast"/>
        </w:trPr>
        <w:tc>
          <w:tcPr>
            <w:tcW w:w="1636"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045" w:type="dxa"/>
            <w:vAlign w:val="top"/>
          </w:tcPr>
          <w:p>
            <w:pPr>
              <w:ind w:left="6"/>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88" w:type="dxa"/>
            <w:vAlign w:val="top"/>
          </w:tcPr>
          <w:p>
            <w:pPr>
              <w:ind w:right="20"/>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36.42</w:t>
            </w:r>
          </w:p>
        </w:tc>
        <w:tc>
          <w:tcPr>
            <w:tcW w:w="1382" w:type="dxa"/>
            <w:vAlign w:val="top"/>
          </w:tcPr>
          <w:p>
            <w:pPr>
              <w:ind w:right="20"/>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36.42</w:t>
            </w:r>
          </w:p>
        </w:tc>
        <w:tc>
          <w:tcPr>
            <w:tcW w:w="1507" w:type="dxa"/>
            <w:vAlign w:val="top"/>
          </w:tcPr>
          <w:p>
            <w:pPr>
              <w:pStyle w:val="TableText"/>
              <w:rPr/>
            </w:pPr>
            <w:r/>
          </w:p>
        </w:tc>
      </w:tr>
      <w:tr>
        <w:trPr>
          <w:trHeight w:val="292" w:hRule="atLeast"/>
        </w:trPr>
        <w:tc>
          <w:tcPr>
            <w:tcW w:w="1636"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045" w:type="dxa"/>
            <w:vAlign w:val="top"/>
          </w:tcPr>
          <w:p>
            <w:pPr>
              <w:ind w:left="4"/>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88"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36.42</w:t>
            </w:r>
          </w:p>
        </w:tc>
        <w:tc>
          <w:tcPr>
            <w:tcW w:w="1382"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36.42</w:t>
            </w:r>
          </w:p>
        </w:tc>
        <w:tc>
          <w:tcPr>
            <w:tcW w:w="1507" w:type="dxa"/>
            <w:vAlign w:val="top"/>
          </w:tcPr>
          <w:p>
            <w:pPr>
              <w:pStyle w:val="TableText"/>
              <w:rPr/>
            </w:pPr>
            <w:r/>
          </w:p>
        </w:tc>
      </w:tr>
      <w:tr>
        <w:trPr>
          <w:trHeight w:val="292" w:hRule="atLeast"/>
        </w:trPr>
        <w:tc>
          <w:tcPr>
            <w:tcW w:w="1636"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045" w:type="dxa"/>
            <w:vAlign w:val="top"/>
          </w:tcPr>
          <w:p>
            <w:pPr>
              <w:ind w:left="4"/>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88"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36.42</w:t>
            </w:r>
          </w:p>
        </w:tc>
        <w:tc>
          <w:tcPr>
            <w:tcW w:w="1382"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36.42</w:t>
            </w:r>
          </w:p>
        </w:tc>
        <w:tc>
          <w:tcPr>
            <w:tcW w:w="1507" w:type="dxa"/>
            <w:vAlign w:val="top"/>
          </w:tcPr>
          <w:p>
            <w:pPr>
              <w:pStyle w:val="TableText"/>
              <w:rPr/>
            </w:pPr>
            <w:r/>
          </w:p>
        </w:tc>
      </w:tr>
      <w:tr>
        <w:trPr>
          <w:trHeight w:val="292" w:hRule="atLeast"/>
        </w:trPr>
        <w:tc>
          <w:tcPr>
            <w:tcW w:w="1636"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045" w:type="dxa"/>
            <w:vAlign w:val="top"/>
          </w:tcPr>
          <w:p>
            <w:pPr>
              <w:ind w:left="6"/>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88"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1858.36</w:t>
            </w:r>
          </w:p>
        </w:tc>
        <w:tc>
          <w:tcPr>
            <w:tcW w:w="1382"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326.02</w:t>
            </w:r>
          </w:p>
        </w:tc>
        <w:tc>
          <w:tcPr>
            <w:tcW w:w="150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1532.34</w:t>
            </w:r>
          </w:p>
        </w:tc>
      </w:tr>
      <w:tr>
        <w:trPr>
          <w:trHeight w:val="292" w:hRule="atLeast"/>
        </w:trPr>
        <w:tc>
          <w:tcPr>
            <w:tcW w:w="1636"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045" w:type="dxa"/>
            <w:vAlign w:val="top"/>
          </w:tcPr>
          <w:p>
            <w:pPr>
              <w:ind w:left="4"/>
              <w:spacing w:before="71"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88"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16.34</w:t>
            </w:r>
          </w:p>
        </w:tc>
        <w:tc>
          <w:tcPr>
            <w:tcW w:w="1382"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16.34</w:t>
            </w:r>
          </w:p>
        </w:tc>
        <w:tc>
          <w:tcPr>
            <w:tcW w:w="1507" w:type="dxa"/>
            <w:vAlign w:val="top"/>
          </w:tcPr>
          <w:p>
            <w:pPr>
              <w:pStyle w:val="TableText"/>
              <w:rPr/>
            </w:pPr>
            <w:r/>
          </w:p>
        </w:tc>
      </w:tr>
      <w:tr>
        <w:trPr>
          <w:trHeight w:val="292" w:hRule="atLeast"/>
        </w:trPr>
        <w:tc>
          <w:tcPr>
            <w:tcW w:w="1636"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045" w:type="dxa"/>
            <w:vAlign w:val="top"/>
          </w:tcPr>
          <w:p>
            <w:pPr>
              <w:ind w:left="4"/>
              <w:spacing w:before="72"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88"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w:t>
            </w:r>
          </w:p>
        </w:tc>
        <w:tc>
          <w:tcPr>
            <w:tcW w:w="1382"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3.11</w:t>
            </w:r>
          </w:p>
        </w:tc>
        <w:tc>
          <w:tcPr>
            <w:tcW w:w="1507" w:type="dxa"/>
            <w:vAlign w:val="top"/>
          </w:tcPr>
          <w:p>
            <w:pPr>
              <w:pStyle w:val="TableText"/>
              <w:rPr/>
            </w:pPr>
            <w:r/>
          </w:p>
        </w:tc>
      </w:tr>
      <w:tr>
        <w:trPr>
          <w:trHeight w:val="292" w:hRule="atLeast"/>
        </w:trPr>
        <w:tc>
          <w:tcPr>
            <w:tcW w:w="1636"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045" w:type="dxa"/>
            <w:vAlign w:val="top"/>
          </w:tcPr>
          <w:p>
            <w:pPr>
              <w:ind w:left="6"/>
              <w:spacing w:before="7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88"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11.80</w:t>
            </w:r>
          </w:p>
        </w:tc>
        <w:tc>
          <w:tcPr>
            <w:tcW w:w="1382"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11.80</w:t>
            </w:r>
          </w:p>
        </w:tc>
        <w:tc>
          <w:tcPr>
            <w:tcW w:w="1507" w:type="dxa"/>
            <w:vAlign w:val="top"/>
          </w:tcPr>
          <w:p>
            <w:pPr>
              <w:pStyle w:val="TableText"/>
              <w:rPr/>
            </w:pPr>
            <w:r/>
          </w:p>
        </w:tc>
      </w:tr>
      <w:tr>
        <w:trPr>
          <w:trHeight w:val="292" w:hRule="atLeast"/>
        </w:trPr>
        <w:tc>
          <w:tcPr>
            <w:tcW w:w="1636"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045" w:type="dxa"/>
            <w:vAlign w:val="top"/>
          </w:tcPr>
          <w:p>
            <w:pPr>
              <w:ind w:left="9"/>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88" w:type="dxa"/>
            <w:vAlign w:val="top"/>
          </w:tcPr>
          <w:p>
            <w:pPr>
              <w:ind w:right="20"/>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1.43</w:t>
            </w:r>
          </w:p>
        </w:tc>
        <w:tc>
          <w:tcPr>
            <w:tcW w:w="1382" w:type="dxa"/>
            <w:vAlign w:val="top"/>
          </w:tcPr>
          <w:p>
            <w:pPr>
              <w:ind w:right="20"/>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1.43</w:t>
            </w:r>
          </w:p>
        </w:tc>
        <w:tc>
          <w:tcPr>
            <w:tcW w:w="1507" w:type="dxa"/>
            <w:vAlign w:val="top"/>
          </w:tcPr>
          <w:p>
            <w:pPr>
              <w:pStyle w:val="TableText"/>
              <w:rPr/>
            </w:pPr>
            <w:r/>
          </w:p>
        </w:tc>
      </w:tr>
      <w:tr>
        <w:trPr>
          <w:trHeight w:val="292"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21013</w:t>
            </w:r>
          </w:p>
        </w:tc>
        <w:tc>
          <w:tcPr>
            <w:tcW w:w="3045" w:type="dxa"/>
            <w:vAlign w:val="top"/>
          </w:tcPr>
          <w:p>
            <w:pPr>
              <w:ind w:left="12"/>
              <w:spacing w:before="74" w:line="229" w:lineRule="auto"/>
              <w:rPr>
                <w:rFonts w:ascii="SimSun" w:hAnsi="SimSun" w:eastAsia="SimSun" w:cs="SimSun"/>
                <w:sz w:val="15"/>
                <w:szCs w:val="15"/>
              </w:rPr>
            </w:pPr>
            <w:r>
              <w:rPr>
                <w:rFonts w:ascii="SimSun" w:hAnsi="SimSun" w:eastAsia="SimSun" w:cs="SimSun"/>
                <w:sz w:val="15"/>
                <w:szCs w:val="15"/>
                <w:color w:val="212529"/>
                <w:spacing w:val="7"/>
              </w:rPr>
              <w:t>医疗救助</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1428.84</w:t>
            </w:r>
          </w:p>
        </w:tc>
        <w:tc>
          <w:tcPr>
            <w:tcW w:w="1382" w:type="dxa"/>
            <w:vAlign w:val="top"/>
          </w:tcPr>
          <w:p>
            <w:pPr>
              <w:pStyle w:val="TableText"/>
              <w:rPr/>
            </w:pPr>
            <w:r/>
          </w:p>
        </w:tc>
        <w:tc>
          <w:tcPr>
            <w:tcW w:w="1507"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1428.84</w:t>
            </w:r>
          </w:p>
        </w:tc>
      </w:tr>
      <w:tr>
        <w:trPr>
          <w:trHeight w:val="293" w:hRule="atLeast"/>
        </w:trPr>
        <w:tc>
          <w:tcPr>
            <w:tcW w:w="1636"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2101301</w:t>
            </w:r>
          </w:p>
        </w:tc>
        <w:tc>
          <w:tcPr>
            <w:tcW w:w="3045" w:type="dxa"/>
            <w:vAlign w:val="top"/>
          </w:tcPr>
          <w:p>
            <w:pPr>
              <w:ind w:left="4"/>
              <w:spacing w:before="75" w:line="229" w:lineRule="auto"/>
              <w:rPr>
                <w:rFonts w:ascii="SimSun" w:hAnsi="SimSun" w:eastAsia="SimSun" w:cs="SimSun"/>
                <w:sz w:val="15"/>
                <w:szCs w:val="15"/>
              </w:rPr>
            </w:pPr>
            <w:r>
              <w:rPr>
                <w:rFonts w:ascii="SimSun" w:hAnsi="SimSun" w:eastAsia="SimSun" w:cs="SimSun"/>
                <w:sz w:val="15"/>
                <w:szCs w:val="15"/>
                <w:color w:val="212529"/>
                <w:spacing w:val="10"/>
              </w:rPr>
              <w:t>城乡医疗救助</w:t>
            </w:r>
          </w:p>
        </w:tc>
        <w:tc>
          <w:tcPr>
            <w:tcW w:w="1588"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1428.84</w:t>
            </w:r>
          </w:p>
        </w:tc>
        <w:tc>
          <w:tcPr>
            <w:tcW w:w="1382" w:type="dxa"/>
            <w:vAlign w:val="top"/>
          </w:tcPr>
          <w:p>
            <w:pPr>
              <w:pStyle w:val="TableText"/>
              <w:rPr/>
            </w:pPr>
            <w:r/>
          </w:p>
        </w:tc>
        <w:tc>
          <w:tcPr>
            <w:tcW w:w="1507"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1428.84</w:t>
            </w:r>
          </w:p>
        </w:tc>
      </w:tr>
      <w:tr>
        <w:trPr>
          <w:trHeight w:val="293" w:hRule="atLeast"/>
        </w:trPr>
        <w:tc>
          <w:tcPr>
            <w:tcW w:w="1636"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21015</w:t>
            </w:r>
          </w:p>
        </w:tc>
        <w:tc>
          <w:tcPr>
            <w:tcW w:w="3045" w:type="dxa"/>
            <w:vAlign w:val="top"/>
          </w:tcPr>
          <w:p>
            <w:pPr>
              <w:ind w:left="12"/>
              <w:spacing w:before="75" w:line="229" w:lineRule="auto"/>
              <w:rPr>
                <w:rFonts w:ascii="SimSun" w:hAnsi="SimSun" w:eastAsia="SimSun" w:cs="SimSun"/>
                <w:sz w:val="15"/>
                <w:szCs w:val="15"/>
              </w:rPr>
            </w:pPr>
            <w:r>
              <w:rPr>
                <w:rFonts w:ascii="SimSun" w:hAnsi="SimSun" w:eastAsia="SimSun" w:cs="SimSun"/>
                <w:sz w:val="15"/>
                <w:szCs w:val="15"/>
                <w:color w:val="212529"/>
                <w:spacing w:val="10"/>
              </w:rPr>
              <w:t>医疗保障管理事务</w:t>
            </w:r>
          </w:p>
        </w:tc>
        <w:tc>
          <w:tcPr>
            <w:tcW w:w="1588"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413.18</w:t>
            </w:r>
          </w:p>
        </w:tc>
        <w:tc>
          <w:tcPr>
            <w:tcW w:w="1382"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309.68</w:t>
            </w:r>
          </w:p>
        </w:tc>
        <w:tc>
          <w:tcPr>
            <w:tcW w:w="1507"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103.50</w:t>
            </w:r>
          </w:p>
        </w:tc>
      </w:tr>
      <w:tr>
        <w:trPr>
          <w:trHeight w:val="292"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2101501</w:t>
            </w:r>
          </w:p>
        </w:tc>
        <w:tc>
          <w:tcPr>
            <w:tcW w:w="3045" w:type="dxa"/>
            <w:vAlign w:val="top"/>
          </w:tcPr>
          <w:p>
            <w:pPr>
              <w:ind w:left="4"/>
              <w:spacing w:before="74"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88"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113.10</w:t>
            </w:r>
          </w:p>
        </w:tc>
        <w:tc>
          <w:tcPr>
            <w:tcW w:w="1382"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113.10</w:t>
            </w:r>
          </w:p>
        </w:tc>
        <w:tc>
          <w:tcPr>
            <w:tcW w:w="1507" w:type="dxa"/>
            <w:vAlign w:val="top"/>
          </w:tcPr>
          <w:p>
            <w:pPr>
              <w:pStyle w:val="TableText"/>
              <w:rPr/>
            </w:pPr>
            <w:r/>
          </w:p>
        </w:tc>
      </w:tr>
      <w:tr>
        <w:trPr>
          <w:trHeight w:val="293" w:hRule="atLeast"/>
        </w:trPr>
        <w:tc>
          <w:tcPr>
            <w:tcW w:w="1636"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2101506</w:t>
            </w:r>
          </w:p>
        </w:tc>
        <w:tc>
          <w:tcPr>
            <w:tcW w:w="3045" w:type="dxa"/>
            <w:vAlign w:val="top"/>
          </w:tcPr>
          <w:p>
            <w:pPr>
              <w:ind w:left="12"/>
              <w:spacing w:before="75" w:line="229" w:lineRule="auto"/>
              <w:rPr>
                <w:rFonts w:ascii="SimSun" w:hAnsi="SimSun" w:eastAsia="SimSun" w:cs="SimSun"/>
                <w:sz w:val="15"/>
                <w:szCs w:val="15"/>
              </w:rPr>
            </w:pPr>
            <w:r>
              <w:rPr>
                <w:rFonts w:ascii="SimSun" w:hAnsi="SimSun" w:eastAsia="SimSun" w:cs="SimSun"/>
                <w:sz w:val="15"/>
                <w:szCs w:val="15"/>
                <w:color w:val="212529"/>
                <w:spacing w:val="10"/>
              </w:rPr>
              <w:t>医疗保障经办事务</w:t>
            </w:r>
          </w:p>
        </w:tc>
        <w:tc>
          <w:tcPr>
            <w:tcW w:w="1588"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105.22</w:t>
            </w:r>
          </w:p>
        </w:tc>
        <w:tc>
          <w:tcPr>
            <w:tcW w:w="1382"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1.72</w:t>
            </w:r>
          </w:p>
        </w:tc>
        <w:tc>
          <w:tcPr>
            <w:tcW w:w="1507"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103.50</w:t>
            </w:r>
          </w:p>
        </w:tc>
      </w:tr>
      <w:tr>
        <w:trPr>
          <w:trHeight w:val="292" w:hRule="atLeast"/>
        </w:trPr>
        <w:tc>
          <w:tcPr>
            <w:tcW w:w="1636"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2101550</w:t>
            </w:r>
          </w:p>
        </w:tc>
        <w:tc>
          <w:tcPr>
            <w:tcW w:w="3045" w:type="dxa"/>
            <w:vAlign w:val="top"/>
          </w:tcPr>
          <w:p>
            <w:pPr>
              <w:ind w:left="6"/>
              <w:spacing w:before="75"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88"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194.86</w:t>
            </w:r>
          </w:p>
        </w:tc>
        <w:tc>
          <w:tcPr>
            <w:tcW w:w="1382"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194.86</w:t>
            </w:r>
          </w:p>
        </w:tc>
        <w:tc>
          <w:tcPr>
            <w:tcW w:w="1507" w:type="dxa"/>
            <w:vAlign w:val="top"/>
          </w:tcPr>
          <w:p>
            <w:pPr>
              <w:pStyle w:val="TableText"/>
              <w:rPr/>
            </w:pPr>
            <w:r/>
          </w:p>
        </w:tc>
      </w:tr>
      <w:tr>
        <w:trPr>
          <w:trHeight w:val="293" w:hRule="atLeast"/>
        </w:trPr>
        <w:tc>
          <w:tcPr>
            <w:tcW w:w="1636" w:type="dxa"/>
            <w:vAlign w:val="top"/>
          </w:tcPr>
          <w:p>
            <w:pPr>
              <w:ind w:left="8"/>
              <w:spacing w:before="76"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045" w:type="dxa"/>
            <w:vAlign w:val="top"/>
          </w:tcPr>
          <w:p>
            <w:pPr>
              <w:ind w:left="5"/>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88" w:type="dxa"/>
            <w:vAlign w:val="top"/>
          </w:tcPr>
          <w:p>
            <w:pPr>
              <w:ind w:right="20"/>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30.10</w:t>
            </w:r>
          </w:p>
        </w:tc>
        <w:tc>
          <w:tcPr>
            <w:tcW w:w="1382" w:type="dxa"/>
            <w:vAlign w:val="top"/>
          </w:tcPr>
          <w:p>
            <w:pPr>
              <w:ind w:right="20"/>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30.10</w:t>
            </w:r>
          </w:p>
        </w:tc>
        <w:tc>
          <w:tcPr>
            <w:tcW w:w="1507" w:type="dxa"/>
            <w:vAlign w:val="top"/>
          </w:tcPr>
          <w:p>
            <w:pPr>
              <w:pStyle w:val="TableText"/>
              <w:rPr/>
            </w:pPr>
            <w:r/>
          </w:p>
        </w:tc>
      </w:tr>
      <w:tr>
        <w:trPr>
          <w:trHeight w:val="293" w:hRule="atLeast"/>
        </w:trPr>
        <w:tc>
          <w:tcPr>
            <w:tcW w:w="1636"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045" w:type="dxa"/>
            <w:vAlign w:val="top"/>
          </w:tcPr>
          <w:p>
            <w:pPr>
              <w:ind w:left="5"/>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88"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30.10</w:t>
            </w:r>
          </w:p>
        </w:tc>
        <w:tc>
          <w:tcPr>
            <w:tcW w:w="1382"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30.10</w:t>
            </w:r>
          </w:p>
        </w:tc>
        <w:tc>
          <w:tcPr>
            <w:tcW w:w="1507" w:type="dxa"/>
            <w:vAlign w:val="top"/>
          </w:tcPr>
          <w:p>
            <w:pPr>
              <w:pStyle w:val="TableText"/>
              <w:rPr/>
            </w:pPr>
            <w:r/>
          </w:p>
        </w:tc>
      </w:tr>
      <w:tr>
        <w:trPr>
          <w:trHeight w:val="298" w:hRule="atLeast"/>
        </w:trPr>
        <w:tc>
          <w:tcPr>
            <w:tcW w:w="1636"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045" w:type="dxa"/>
            <w:vAlign w:val="top"/>
          </w:tcPr>
          <w:p>
            <w:pPr>
              <w:ind w:left="5"/>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88"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30.10</w:t>
            </w:r>
          </w:p>
        </w:tc>
        <w:tc>
          <w:tcPr>
            <w:tcW w:w="1382"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30.10</w:t>
            </w:r>
          </w:p>
        </w:tc>
        <w:tc>
          <w:tcPr>
            <w:tcW w:w="1507" w:type="dxa"/>
            <w:vAlign w:val="top"/>
          </w:tcPr>
          <w:p>
            <w:pPr>
              <w:pStyle w:val="TableText"/>
              <w:rPr/>
            </w:pPr>
            <w:r/>
          </w:p>
        </w:tc>
      </w:tr>
    </w:tbl>
    <w:p>
      <w:pPr>
        <w:pStyle w:val="BodyText"/>
        <w:rPr/>
      </w:pPr>
      <w:r/>
    </w:p>
    <w:p>
      <w:pPr>
        <w:sectPr>
          <w:headerReference w:type="default" r:id="rId7"/>
          <w:footerReference w:type="default" r:id="rId22"/>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22"/>
            <w:bookmarkEnd w:id="22"/>
            <w:bookmarkStart w:name="bookmark11" w:id="23"/>
            <w:bookmarkEnd w:id="23"/>
            <w:bookmarkStart w:name="bookmark12" w:id="24"/>
            <w:bookmarkEnd w:id="24"/>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部门名称：兴县医疗保障局</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2"/>
              <w:spacing w:before="87" w:line="186" w:lineRule="auto"/>
              <w:rPr>
                <w:sz w:val="13"/>
                <w:szCs w:val="13"/>
              </w:rPr>
            </w:pPr>
            <w:r>
              <w:rPr>
                <w:sz w:val="13"/>
                <w:szCs w:val="13"/>
                <w:color w:val="212529"/>
                <w:spacing w:val="4"/>
              </w:rPr>
              <w:t>392.</w:t>
            </w:r>
            <w:r>
              <w:rPr>
                <w:sz w:val="13"/>
                <w:szCs w:val="13"/>
                <w:color w:val="212529"/>
                <w:spacing w:val="13"/>
              </w:rPr>
              <w:t xml:space="preserve"> </w:t>
            </w:r>
            <w:r>
              <w:rPr>
                <w:sz w:val="13"/>
                <w:szCs w:val="13"/>
                <w:color w:val="212529"/>
                <w:spacing w:val="4"/>
              </w:rPr>
              <w:t>53</w:t>
            </w:r>
          </w:p>
        </w:tc>
        <w:tc>
          <w:tcPr>
            <w:tcW w:w="1188" w:type="dxa"/>
            <w:vAlign w:val="top"/>
          </w:tcPr>
          <w:p>
            <w:pPr>
              <w:pStyle w:val="TableText"/>
              <w:ind w:left="686"/>
              <w:spacing w:before="87" w:line="186" w:lineRule="auto"/>
              <w:rPr>
                <w:sz w:val="13"/>
                <w:szCs w:val="13"/>
              </w:rPr>
            </w:pPr>
            <w:r>
              <w:rPr>
                <w:sz w:val="13"/>
                <w:szCs w:val="13"/>
                <w:color w:val="212529"/>
                <w:spacing w:val="4"/>
              </w:rPr>
              <w:t>365.</w:t>
            </w:r>
            <w:r>
              <w:rPr>
                <w:sz w:val="13"/>
                <w:szCs w:val="13"/>
                <w:color w:val="212529"/>
                <w:spacing w:val="13"/>
              </w:rPr>
              <w:t xml:space="preserve"> </w:t>
            </w:r>
            <w:r>
              <w:rPr>
                <w:sz w:val="13"/>
                <w:szCs w:val="13"/>
                <w:color w:val="212529"/>
                <w:spacing w:val="4"/>
              </w:rPr>
              <w:t>45</w:t>
            </w:r>
          </w:p>
        </w:tc>
        <w:tc>
          <w:tcPr>
            <w:tcW w:w="1118" w:type="dxa"/>
            <w:vAlign w:val="top"/>
          </w:tcPr>
          <w:p>
            <w:pPr>
              <w:pStyle w:val="TableText"/>
              <w:ind w:left="689"/>
              <w:spacing w:before="87" w:line="186" w:lineRule="auto"/>
              <w:rPr>
                <w:sz w:val="13"/>
                <w:szCs w:val="13"/>
              </w:rPr>
            </w:pPr>
            <w:r>
              <w:rPr>
                <w:sz w:val="13"/>
                <w:szCs w:val="13"/>
                <w:color w:val="212529"/>
                <w:spacing w:val="4"/>
              </w:rPr>
              <w:t>27.</w:t>
            </w:r>
            <w:r>
              <w:rPr>
                <w:sz w:val="13"/>
                <w:szCs w:val="13"/>
                <w:color w:val="212529"/>
                <w:spacing w:val="10"/>
                <w:w w:val="101"/>
              </w:rPr>
              <w:t xml:space="preserve"> </w:t>
            </w:r>
            <w:r>
              <w:rPr>
                <w:sz w:val="13"/>
                <w:szCs w:val="13"/>
                <w:color w:val="212529"/>
                <w:spacing w:val="4"/>
              </w:rPr>
              <w:t>08</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365.45</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365.45</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133.39</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133.39</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37.52</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37.52</w:t>
            </w:r>
          </w:p>
        </w:tc>
        <w:tc>
          <w:tcPr>
            <w:tcW w:w="1118" w:type="dxa"/>
            <w:vAlign w:val="top"/>
          </w:tcPr>
          <w:p>
            <w:pPr>
              <w:pStyle w:val="TableText"/>
              <w:rPr/>
            </w:pPr>
            <w:r/>
          </w:p>
        </w:tc>
      </w:tr>
      <w:tr>
        <w:trPr>
          <w:trHeight w:val="292" w:hRule="atLeast"/>
        </w:trPr>
        <w:tc>
          <w:tcPr>
            <w:tcW w:w="3310"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5.21</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5.21</w:t>
            </w:r>
          </w:p>
        </w:tc>
        <w:tc>
          <w:tcPr>
            <w:tcW w:w="1118" w:type="dxa"/>
            <w:vAlign w:val="top"/>
          </w:tcPr>
          <w:p>
            <w:pPr>
              <w:pStyle w:val="TableText"/>
              <w:rPr/>
            </w:pPr>
            <w:r/>
          </w:p>
        </w:tc>
      </w:tr>
      <w:tr>
        <w:trPr>
          <w:trHeight w:val="292" w:hRule="atLeast"/>
        </w:trPr>
        <w:tc>
          <w:tcPr>
            <w:tcW w:w="3310" w:type="dxa"/>
            <w:vAlign w:val="top"/>
          </w:tcPr>
          <w:p>
            <w:pPr>
              <w:ind w:left="333"/>
              <w:spacing w:before="71"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69.82</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69.82</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7"/>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36.42</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36.42</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7"/>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14.79</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14.79</w:t>
            </w:r>
          </w:p>
        </w:tc>
        <w:tc>
          <w:tcPr>
            <w:tcW w:w="1118" w:type="dxa"/>
            <w:vAlign w:val="top"/>
          </w:tcPr>
          <w:p>
            <w:pPr>
              <w:pStyle w:val="TableText"/>
              <w:rPr/>
            </w:pPr>
            <w:r/>
          </w:p>
        </w:tc>
      </w:tr>
      <w:tr>
        <w:trPr>
          <w:trHeight w:val="292" w:hRule="atLeast"/>
        </w:trPr>
        <w:tc>
          <w:tcPr>
            <w:tcW w:w="3310" w:type="dxa"/>
            <w:vAlign w:val="top"/>
          </w:tcPr>
          <w:p>
            <w:pPr>
              <w:ind w:left="33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7"/>
              <w:spacing w:before="74"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1.43</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1.43</w:t>
            </w:r>
          </w:p>
        </w:tc>
        <w:tc>
          <w:tcPr>
            <w:tcW w:w="1118" w:type="dxa"/>
            <w:vAlign w:val="top"/>
          </w:tcPr>
          <w:p>
            <w:pPr>
              <w:pStyle w:val="TableText"/>
              <w:rPr/>
            </w:pPr>
            <w:r/>
          </w:p>
        </w:tc>
      </w:tr>
      <w:tr>
        <w:trPr>
          <w:trHeight w:val="292" w:hRule="atLeast"/>
        </w:trPr>
        <w:tc>
          <w:tcPr>
            <w:tcW w:w="3310" w:type="dxa"/>
            <w:vAlign w:val="top"/>
          </w:tcPr>
          <w:p>
            <w:pPr>
              <w:ind w:left="330"/>
              <w:spacing w:before="75"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7"/>
              <w:spacing w:before="75"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c>
          <w:tcPr>
            <w:tcW w:w="1188"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0.80</w:t>
            </w:r>
          </w:p>
        </w:tc>
        <w:tc>
          <w:tcPr>
            <w:tcW w:w="1118" w:type="dxa"/>
            <w:vAlign w:val="top"/>
          </w:tcPr>
          <w:p>
            <w:pPr>
              <w:pStyle w:val="TableText"/>
              <w:rPr/>
            </w:pPr>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6"/>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30.10</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30.10</w:t>
            </w:r>
          </w:p>
        </w:tc>
        <w:tc>
          <w:tcPr>
            <w:tcW w:w="1118" w:type="dxa"/>
            <w:vAlign w:val="top"/>
          </w:tcPr>
          <w:p>
            <w:pPr>
              <w:pStyle w:val="TableText"/>
              <w:rPr/>
            </w:pPr>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5"/>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35.98</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35.98</w:t>
            </w:r>
          </w:p>
        </w:tc>
        <w:tc>
          <w:tcPr>
            <w:tcW w:w="1118" w:type="dxa"/>
            <w:vAlign w:val="top"/>
          </w:tcPr>
          <w:p>
            <w:pPr>
              <w:pStyle w:val="TableText"/>
              <w:rPr/>
            </w:pPr>
            <w:r/>
          </w:p>
        </w:tc>
      </w:tr>
      <w:tr>
        <w:trPr>
          <w:trHeight w:val="292" w:hRule="atLeast"/>
        </w:trPr>
        <w:tc>
          <w:tcPr>
            <w:tcW w:w="3310" w:type="dxa"/>
            <w:vAlign w:val="top"/>
          </w:tcPr>
          <w:p>
            <w:pPr>
              <w:ind w:left="9"/>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27.08</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27.08</w:t>
            </w:r>
          </w:p>
        </w:tc>
      </w:tr>
      <w:tr>
        <w:trPr>
          <w:trHeight w:val="293" w:hRule="atLeast"/>
        </w:trPr>
        <w:tc>
          <w:tcPr>
            <w:tcW w:w="3310" w:type="dxa"/>
            <w:vAlign w:val="top"/>
          </w:tcPr>
          <w:p>
            <w:pPr>
              <w:ind w:left="334"/>
              <w:spacing w:before="75"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9"/>
              <w:spacing w:before="75"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7.63</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7.63</w:t>
            </w:r>
          </w:p>
        </w:tc>
      </w:tr>
      <w:tr>
        <w:trPr>
          <w:trHeight w:val="292"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9"/>
              <w:spacing w:before="75"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1.72</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1.72</w:t>
            </w:r>
          </w:p>
        </w:tc>
      </w:tr>
      <w:tr>
        <w:trPr>
          <w:trHeight w:val="293" w:hRule="atLeast"/>
        </w:trPr>
        <w:tc>
          <w:tcPr>
            <w:tcW w:w="3310" w:type="dxa"/>
            <w:vAlign w:val="top"/>
          </w:tcPr>
          <w:p>
            <w:pPr>
              <w:ind w:left="333"/>
              <w:spacing w:before="76"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9"/>
              <w:spacing w:before="76"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4.55</w:t>
            </w:r>
          </w:p>
        </w:tc>
        <w:tc>
          <w:tcPr>
            <w:tcW w:w="1188" w:type="dxa"/>
            <w:vAlign w:val="top"/>
          </w:tcPr>
          <w:p>
            <w:pPr>
              <w:pStyle w:val="TableText"/>
              <w:rPr/>
            </w:pPr>
            <w:r/>
          </w:p>
        </w:tc>
        <w:tc>
          <w:tcPr>
            <w:tcW w:w="1118" w:type="dxa"/>
            <w:vAlign w:val="top"/>
          </w:tcPr>
          <w:p>
            <w:pPr>
              <w:ind w:right="22"/>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4.55</w:t>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9"/>
              <w:spacing w:before="75"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7.97</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7.97</w:t>
            </w:r>
          </w:p>
        </w:tc>
      </w:tr>
      <w:tr>
        <w:trPr>
          <w:trHeight w:val="298"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9"/>
              <w:spacing w:before="75"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5.22</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5.22</w:t>
            </w:r>
          </w:p>
        </w:tc>
      </w:tr>
    </w:tbl>
    <w:p>
      <w:pPr>
        <w:pStyle w:val="BodyText"/>
        <w:rPr/>
      </w:pPr>
      <w:r/>
    </w:p>
    <w:p>
      <w:pPr>
        <w:sectPr>
          <w:footerReference w:type="default" r:id="rId23"/>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60"/>
        <w:gridCol w:w="4838"/>
        <w:gridCol w:w="1960"/>
      </w:tblGrid>
      <w:tr>
        <w:trPr>
          <w:trHeight w:val="383" w:hRule="atLeast"/>
        </w:trPr>
        <w:tc>
          <w:tcPr>
            <w:tcW w:w="23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83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tcBorders>
              <w:bottom w:val="single" w:color="FFFFFF" w:sz="4" w:space="0"/>
              <w:top w:val="single" w:color="FFFFFF" w:sz="4" w:space="0"/>
              <w:left w:val="single" w:color="FFFFFF" w:sz="2" w:space="0"/>
              <w:right w:val="single" w:color="FFFFFF" w:sz="2" w:space="0"/>
            </w:tcBorders>
          </w:tcPr>
          <w:p>
            <w:pPr>
              <w:ind w:left="1222"/>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5"/>
            <w:bookmarkEnd w:id="25"/>
            <w:bookmarkStart w:name="bookmark13" w:id="26"/>
            <w:bookmarkEnd w:id="26"/>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198"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部门名称：兴县医疗保障局</w:t>
            </w:r>
          </w:p>
        </w:tc>
        <w:tc>
          <w:tcPr>
            <w:tcW w:w="1960" w:type="dxa"/>
            <w:vAlign w:val="top"/>
            <w:tcBorders>
              <w:top w:val="single" w:color="FFFFFF" w:sz="4" w:space="0"/>
              <w:left w:val="single" w:color="FFFFFF" w:sz="2" w:space="0"/>
              <w:right w:val="single" w:color="FFFFFF" w:sz="2" w:space="0"/>
            </w:tcBorders>
          </w:tcPr>
          <w:p>
            <w:pPr>
              <w:ind w:left="1352"/>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198" w:type="dxa"/>
            <w:vAlign w:val="top"/>
            <w:gridSpan w:val="2"/>
          </w:tcPr>
          <w:p>
            <w:pPr>
              <w:ind w:left="3423"/>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960" w:type="dxa"/>
            <w:vAlign w:val="top"/>
            <w:vMerge w:val="restart"/>
            <w:tcBorders>
              <w:bottom w:val="nil"/>
            </w:tcBorders>
          </w:tcPr>
          <w:p>
            <w:pPr>
              <w:ind w:left="23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360" w:type="dxa"/>
            <w:vAlign w:val="top"/>
          </w:tcPr>
          <w:p>
            <w:pPr>
              <w:ind w:left="684"/>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838" w:type="dxa"/>
            <w:vAlign w:val="top"/>
          </w:tcPr>
          <w:p>
            <w:pPr>
              <w:ind w:left="2076"/>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960" w:type="dxa"/>
            <w:vAlign w:val="top"/>
            <w:vMerge w:val="continue"/>
            <w:tcBorders>
              <w:top w:val="nil"/>
            </w:tcBorders>
          </w:tcPr>
          <w:p>
            <w:pPr>
              <w:pStyle w:val="TableText"/>
              <w:rPr/>
            </w:pPr>
            <w:r/>
          </w:p>
        </w:tc>
      </w:tr>
      <w:tr>
        <w:trPr>
          <w:trHeight w:val="378" w:hRule="atLeast"/>
        </w:trPr>
        <w:tc>
          <w:tcPr>
            <w:tcW w:w="7198" w:type="dxa"/>
            <w:vAlign w:val="top"/>
            <w:gridSpan w:val="2"/>
          </w:tcPr>
          <w:p>
            <w:pPr>
              <w:ind w:left="342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960" w:type="dxa"/>
            <w:vAlign w:val="top"/>
          </w:tcPr>
          <w:p>
            <w:pPr>
              <w:pStyle w:val="TableText"/>
              <w:rPr/>
            </w:pPr>
            <w:r/>
          </w:p>
        </w:tc>
      </w:tr>
      <w:tr>
        <w:trPr>
          <w:trHeight w:val="378" w:hRule="atLeast"/>
        </w:trPr>
        <w:tc>
          <w:tcPr>
            <w:tcW w:w="2360" w:type="dxa"/>
            <w:vAlign w:val="top"/>
          </w:tcPr>
          <w:p>
            <w:pPr>
              <w:pStyle w:val="TableText"/>
              <w:rPr/>
            </w:pPr>
            <w:r/>
          </w:p>
        </w:tc>
        <w:tc>
          <w:tcPr>
            <w:tcW w:w="4838" w:type="dxa"/>
            <w:vAlign w:val="top"/>
          </w:tcPr>
          <w:p>
            <w:pPr>
              <w:pStyle w:val="TableText"/>
              <w:rPr/>
            </w:pPr>
            <w:r/>
          </w:p>
        </w:tc>
        <w:tc>
          <w:tcPr>
            <w:tcW w:w="1960"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0"/>
          <w:footerReference w:type="default" r:id="rId24"/>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22"/>
        <w:gridCol w:w="3553"/>
        <w:gridCol w:w="1145"/>
        <w:gridCol w:w="1156"/>
        <w:gridCol w:w="1182"/>
      </w:tblGrid>
      <w:tr>
        <w:trPr>
          <w:trHeight w:val="383" w:hRule="atLeast"/>
        </w:trPr>
        <w:tc>
          <w:tcPr>
            <w:tcW w:w="21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2" w:type="dxa"/>
            <w:vAlign w:val="top"/>
            <w:tcBorders>
              <w:bottom w:val="single" w:color="FFFFFF" w:sz="4" w:space="0"/>
              <w:top w:val="single" w:color="FFFFFF" w:sz="4" w:space="0"/>
              <w:left w:val="single" w:color="FFFFFF" w:sz="2" w:space="0"/>
              <w:right w:val="single" w:color="FFFFFF" w:sz="2" w:space="0"/>
            </w:tcBorders>
          </w:tcPr>
          <w:p>
            <w:pPr>
              <w:ind w:left="443"/>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7"/>
            <w:bookmarkEnd w:id="27"/>
            <w:bookmarkStart w:name="bookmark14" w:id="28"/>
            <w:bookmarkEnd w:id="28"/>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675"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部门名称：兴县医疗保障局</w:t>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6" w:type="dxa"/>
            <w:vAlign w:val="top"/>
            <w:tcBorders>
              <w:top w:val="single" w:color="FFFFFF" w:sz="4" w:space="0"/>
              <w:left w:val="single" w:color="FFFFFF" w:sz="2" w:space="0"/>
              <w:right w:val="single" w:color="FFFFFF" w:sz="2" w:space="0"/>
            </w:tcBorders>
          </w:tcPr>
          <w:p>
            <w:pPr>
              <w:pStyle w:val="TableText"/>
              <w:rPr/>
            </w:pPr>
            <w:r/>
          </w:p>
        </w:tc>
        <w:tc>
          <w:tcPr>
            <w:tcW w:w="1182" w:type="dxa"/>
            <w:vAlign w:val="top"/>
            <w:tcBorders>
              <w:top w:val="single" w:color="FFFFFF" w:sz="4" w:space="0"/>
              <w:left w:val="single" w:color="FFFFFF" w:sz="2" w:space="0"/>
              <w:right w:val="single" w:color="FFFFFF" w:sz="2" w:space="0"/>
            </w:tcBorders>
          </w:tcPr>
          <w:p>
            <w:pPr>
              <w:ind w:left="574"/>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122" w:type="dxa"/>
            <w:vAlign w:val="top"/>
          </w:tcPr>
          <w:p>
            <w:pPr>
              <w:ind w:left="72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53" w:type="dxa"/>
            <w:vAlign w:val="top"/>
          </w:tcPr>
          <w:p>
            <w:pPr>
              <w:ind w:left="143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45" w:type="dxa"/>
            <w:vAlign w:val="top"/>
          </w:tcPr>
          <w:p>
            <w:pPr>
              <w:ind w:left="404"/>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ind w:left="24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82" w:type="dxa"/>
            <w:vAlign w:val="top"/>
          </w:tcPr>
          <w:p>
            <w:pPr>
              <w:ind w:left="254"/>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75" w:type="dxa"/>
            <w:vAlign w:val="top"/>
            <w:gridSpan w:val="2"/>
          </w:tcPr>
          <w:p>
            <w:pPr>
              <w:ind w:left="266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78" w:hRule="atLeast"/>
        </w:trPr>
        <w:tc>
          <w:tcPr>
            <w:tcW w:w="2122" w:type="dxa"/>
            <w:vAlign w:val="top"/>
          </w:tcPr>
          <w:p>
            <w:pPr>
              <w:pStyle w:val="TableText"/>
              <w:rPr/>
            </w:pPr>
            <w:r/>
          </w:p>
        </w:tc>
        <w:tc>
          <w:tcPr>
            <w:tcW w:w="3553" w:type="dxa"/>
            <w:vAlign w:val="top"/>
          </w:tcPr>
          <w:p>
            <w:pPr>
              <w:pStyle w:val="TableText"/>
              <w:rPr/>
            </w:pPr>
            <w:r/>
          </w:p>
        </w:tc>
        <w:tc>
          <w:tcPr>
            <w:tcW w:w="1145" w:type="dxa"/>
            <w:vAlign w:val="top"/>
          </w:tcPr>
          <w:p>
            <w:pPr>
              <w:pStyle w:val="TableText"/>
              <w:rPr/>
            </w:pPr>
            <w:r/>
          </w:p>
        </w:tc>
        <w:tc>
          <w:tcPr>
            <w:tcW w:w="1156" w:type="dxa"/>
            <w:vAlign w:val="top"/>
          </w:tcPr>
          <w:p>
            <w:pPr>
              <w:pStyle w:val="TableText"/>
              <w:rPr/>
            </w:pPr>
            <w:r/>
          </w:p>
        </w:tc>
        <w:tc>
          <w:tcPr>
            <w:tcW w:w="1182"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5"/>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9"/>
        <w:gridCol w:w="1760"/>
        <w:gridCol w:w="951"/>
        <w:gridCol w:w="961"/>
        <w:gridCol w:w="1436"/>
        <w:gridCol w:w="983"/>
        <w:gridCol w:w="940"/>
        <w:gridCol w:w="988"/>
      </w:tblGrid>
      <w:tr>
        <w:trPr>
          <w:trHeight w:val="383" w:hRule="atLeast"/>
        </w:trPr>
        <w:tc>
          <w:tcPr>
            <w:tcW w:w="11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6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5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4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8" w:type="dxa"/>
            <w:vAlign w:val="top"/>
            <w:tcBorders>
              <w:bottom w:val="single" w:color="FFFFFF" w:sz="4" w:space="0"/>
              <w:top w:val="single" w:color="FFFFFF" w:sz="4" w:space="0"/>
              <w:left w:val="single" w:color="FFFFFF" w:sz="2" w:space="0"/>
              <w:right w:val="single" w:color="FFFFFF" w:sz="2" w:space="0"/>
            </w:tcBorders>
          </w:tcPr>
          <w:p>
            <w:pPr>
              <w:ind w:left="251"/>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9"/>
            <w:bookmarkEnd w:id="29"/>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170"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部门名称：兴县医疗保障局</w:t>
            </w:r>
          </w:p>
        </w:tc>
        <w:tc>
          <w:tcPr>
            <w:tcW w:w="988" w:type="dxa"/>
            <w:vAlign w:val="top"/>
            <w:tcBorders>
              <w:top w:val="single" w:color="FFFFFF" w:sz="4" w:space="0"/>
              <w:left w:val="single" w:color="FFFFFF" w:sz="2" w:space="0"/>
              <w:right w:val="single" w:color="FFFFFF" w:sz="2" w:space="0"/>
            </w:tcBorders>
          </w:tcPr>
          <w:p>
            <w:pPr>
              <w:ind w:left="315"/>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20"/>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9"/>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99" w:type="dxa"/>
            <w:vAlign w:val="top"/>
            <w:gridSpan w:val="2"/>
          </w:tcPr>
          <w:p>
            <w:pPr>
              <w:ind w:left="1273"/>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51" w:type="dxa"/>
            <w:vAlign w:val="top"/>
            <w:vMerge w:val="restart"/>
            <w:tcBorders>
              <w:bottom w:val="nil"/>
            </w:tcBorders>
          </w:tcPr>
          <w:p>
            <w:pPr>
              <w:ind w:left="73"/>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5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61" w:type="dxa"/>
            <w:vAlign w:val="top"/>
            <w:vMerge w:val="restart"/>
            <w:tcBorders>
              <w:bottom w:val="nil"/>
            </w:tcBorders>
          </w:tcPr>
          <w:p>
            <w:pPr>
              <w:pStyle w:val="TableText"/>
              <w:rPr/>
            </w:pPr>
            <w:r/>
          </w:p>
          <w:p>
            <w:pPr>
              <w:ind w:left="14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1"/>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restart"/>
            <w:tcBorders>
              <w:bottom w:val="nil"/>
            </w:tcBorders>
          </w:tcPr>
          <w:p>
            <w:pPr>
              <w:pStyle w:val="TableText"/>
              <w:spacing w:line="241" w:lineRule="auto"/>
              <w:rPr/>
            </w:pPr>
            <w:r/>
          </w:p>
          <w:p>
            <w:pPr>
              <w:ind w:left="32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40" w:type="dxa"/>
            <w:vAlign w:val="top"/>
            <w:vMerge w:val="restart"/>
            <w:tcBorders>
              <w:bottom w:val="nil"/>
            </w:tcBorders>
          </w:tcPr>
          <w:p>
            <w:pPr>
              <w:ind w:left="136"/>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88" w:type="dxa"/>
            <w:vAlign w:val="top"/>
            <w:vMerge w:val="restart"/>
            <w:tcBorders>
              <w:bottom w:val="nil"/>
            </w:tcBorders>
          </w:tcPr>
          <w:p>
            <w:pPr>
              <w:pStyle w:val="TableText"/>
              <w:rPr/>
            </w:pPr>
            <w:r/>
          </w:p>
          <w:p>
            <w:pPr>
              <w:ind w:left="159"/>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39" w:type="dxa"/>
            <w:vAlign w:val="top"/>
          </w:tcPr>
          <w:p>
            <w:pPr>
              <w:ind w:left="73"/>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60" w:type="dxa"/>
            <w:vAlign w:val="top"/>
          </w:tcPr>
          <w:p>
            <w:pPr>
              <w:ind w:left="536"/>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51"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983" w:type="dxa"/>
            <w:vAlign w:val="top"/>
            <w:vMerge w:val="continue"/>
            <w:tcBorders>
              <w:top w:val="nil"/>
            </w:tcBorders>
          </w:tcPr>
          <w:p>
            <w:pPr>
              <w:pStyle w:val="TableText"/>
              <w:rPr/>
            </w:pPr>
            <w:r/>
          </w:p>
        </w:tc>
        <w:tc>
          <w:tcPr>
            <w:tcW w:w="940" w:type="dxa"/>
            <w:vAlign w:val="top"/>
            <w:vMerge w:val="continue"/>
            <w:tcBorders>
              <w:top w:val="nil"/>
            </w:tcBorders>
          </w:tcPr>
          <w:p>
            <w:pPr>
              <w:pStyle w:val="TableText"/>
              <w:rPr/>
            </w:pPr>
            <w:r/>
          </w:p>
        </w:tc>
        <w:tc>
          <w:tcPr>
            <w:tcW w:w="988" w:type="dxa"/>
            <w:vAlign w:val="top"/>
            <w:vMerge w:val="continue"/>
            <w:tcBorders>
              <w:top w:val="nil"/>
            </w:tcBorders>
          </w:tcPr>
          <w:p>
            <w:pPr>
              <w:pStyle w:val="TableText"/>
              <w:rPr/>
            </w:pPr>
            <w:r/>
          </w:p>
        </w:tc>
      </w:tr>
      <w:tr>
        <w:trPr>
          <w:trHeight w:val="378" w:hRule="atLeast"/>
        </w:trPr>
        <w:tc>
          <w:tcPr>
            <w:tcW w:w="2899" w:type="dxa"/>
            <w:vAlign w:val="top"/>
            <w:gridSpan w:val="2"/>
          </w:tcPr>
          <w:p>
            <w:pPr>
              <w:ind w:left="1275"/>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78" w:hRule="atLeast"/>
        </w:trPr>
        <w:tc>
          <w:tcPr>
            <w:tcW w:w="1139" w:type="dxa"/>
            <w:vAlign w:val="top"/>
          </w:tcPr>
          <w:p>
            <w:pPr>
              <w:pStyle w:val="TableText"/>
              <w:rPr/>
            </w:pPr>
            <w:r/>
          </w:p>
        </w:tc>
        <w:tc>
          <w:tcPr>
            <w:tcW w:w="1760" w:type="dxa"/>
            <w:vAlign w:val="top"/>
          </w:tcPr>
          <w:p>
            <w:pPr>
              <w:pStyle w:val="TableText"/>
              <w:rPr/>
            </w:pPr>
            <w:r/>
          </w:p>
        </w:tc>
        <w:tc>
          <w:tcPr>
            <w:tcW w:w="951" w:type="dxa"/>
            <w:vAlign w:val="top"/>
          </w:tcPr>
          <w:p>
            <w:pPr>
              <w:pStyle w:val="TableText"/>
              <w:rPr/>
            </w:pPr>
            <w:r/>
          </w:p>
        </w:tc>
        <w:tc>
          <w:tcPr>
            <w:tcW w:w="961" w:type="dxa"/>
            <w:vAlign w:val="top"/>
          </w:tcPr>
          <w:p>
            <w:pPr>
              <w:pStyle w:val="TableText"/>
              <w:rPr/>
            </w:pPr>
            <w:r/>
          </w:p>
        </w:tc>
        <w:tc>
          <w:tcPr>
            <w:tcW w:w="1436" w:type="dxa"/>
            <w:vAlign w:val="top"/>
          </w:tcPr>
          <w:p>
            <w:pPr>
              <w:pStyle w:val="TableText"/>
              <w:rPr/>
            </w:pPr>
            <w:r/>
          </w:p>
        </w:tc>
        <w:tc>
          <w:tcPr>
            <w:tcW w:w="983" w:type="dxa"/>
            <w:vAlign w:val="top"/>
          </w:tcPr>
          <w:p>
            <w:pPr>
              <w:pStyle w:val="TableText"/>
              <w:rPr/>
            </w:pPr>
            <w:r/>
          </w:p>
        </w:tc>
        <w:tc>
          <w:tcPr>
            <w:tcW w:w="940" w:type="dxa"/>
            <w:vAlign w:val="top"/>
          </w:tcPr>
          <w:p>
            <w:pPr>
              <w:pStyle w:val="TableText"/>
              <w:rPr/>
            </w:pPr>
            <w:r/>
          </w:p>
        </w:tc>
        <w:tc>
          <w:tcPr>
            <w:tcW w:w="988"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77"/>
        <w:gridCol w:w="1372"/>
        <w:gridCol w:w="1296"/>
        <w:gridCol w:w="1371"/>
        <w:gridCol w:w="1442"/>
      </w:tblGrid>
      <w:tr>
        <w:trPr>
          <w:trHeight w:val="384" w:hRule="atLeast"/>
        </w:trPr>
        <w:tc>
          <w:tcPr>
            <w:tcW w:w="367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30"/>
            <w:bookmarkEnd w:id="30"/>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45"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部门名称：兴县医疗保障局</w:t>
            </w:r>
          </w:p>
        </w:tc>
        <w:tc>
          <w:tcPr>
            <w:tcW w:w="1371"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677" w:type="dxa"/>
            <w:vAlign w:val="top"/>
            <w:vMerge w:val="restart"/>
            <w:tcBorders>
              <w:bottom w:val="nil"/>
            </w:tcBorders>
          </w:tcPr>
          <w:p>
            <w:pPr>
              <w:pStyle w:val="TableText"/>
              <w:rPr/>
            </w:pPr>
            <w:r/>
          </w:p>
          <w:p>
            <w:pPr>
              <w:ind w:left="166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481" w:type="dxa"/>
            <w:vAlign w:val="top"/>
            <w:gridSpan w:val="4"/>
          </w:tcPr>
          <w:p>
            <w:pPr>
              <w:ind w:left="2246"/>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677" w:type="dxa"/>
            <w:vAlign w:val="top"/>
            <w:vMerge w:val="continue"/>
            <w:tcBorders>
              <w:top w:val="nil"/>
            </w:tcBorders>
          </w:tcPr>
          <w:p>
            <w:pPr>
              <w:pStyle w:val="TableText"/>
              <w:rPr/>
            </w:pPr>
            <w:r/>
          </w:p>
        </w:tc>
        <w:tc>
          <w:tcPr>
            <w:tcW w:w="1372" w:type="dxa"/>
            <w:vAlign w:val="top"/>
          </w:tcPr>
          <w:p>
            <w:pPr>
              <w:ind w:left="517"/>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96" w:type="dxa"/>
            <w:vAlign w:val="top"/>
          </w:tcPr>
          <w:p>
            <w:pPr>
              <w:ind w:left="150"/>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1" w:type="dxa"/>
            <w:vAlign w:val="top"/>
          </w:tcPr>
          <w:p>
            <w:pPr>
              <w:ind w:left="10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9"/>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677" w:type="dxa"/>
            <w:vAlign w:val="top"/>
          </w:tcPr>
          <w:p>
            <w:pPr>
              <w:ind w:left="1193"/>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8" w:hRule="atLeast"/>
        </w:trPr>
        <w:tc>
          <w:tcPr>
            <w:tcW w:w="3677" w:type="dxa"/>
            <w:vAlign w:val="top"/>
          </w:tcPr>
          <w:p>
            <w:pPr>
              <w:ind w:left="1428"/>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8" w:hRule="atLeast"/>
        </w:trPr>
        <w:tc>
          <w:tcPr>
            <w:tcW w:w="3677" w:type="dxa"/>
            <w:vAlign w:val="top"/>
          </w:tcPr>
          <w:p>
            <w:pPr>
              <w:ind w:left="1023"/>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9" w:hRule="atLeast"/>
        </w:trPr>
        <w:tc>
          <w:tcPr>
            <w:tcW w:w="3677" w:type="dxa"/>
            <w:vAlign w:val="top"/>
          </w:tcPr>
          <w:p>
            <w:pPr>
              <w:ind w:left="1220"/>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9" w:hRule="atLeast"/>
        </w:trPr>
        <w:tc>
          <w:tcPr>
            <w:tcW w:w="3677" w:type="dxa"/>
            <w:vAlign w:val="top"/>
          </w:tcPr>
          <w:p>
            <w:pPr>
              <w:ind w:left="1057"/>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78" w:hRule="atLeast"/>
        </w:trPr>
        <w:tc>
          <w:tcPr>
            <w:tcW w:w="3677" w:type="dxa"/>
            <w:vAlign w:val="top"/>
          </w:tcPr>
          <w:p>
            <w:pPr>
              <w:ind w:left="1667"/>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72" w:type="dxa"/>
            <w:vAlign w:val="top"/>
          </w:tcPr>
          <w:p>
            <w:pPr>
              <w:pStyle w:val="TableText"/>
              <w:rPr/>
            </w:pPr>
            <w:r/>
          </w:p>
        </w:tc>
        <w:tc>
          <w:tcPr>
            <w:tcW w:w="1296" w:type="dxa"/>
            <w:vAlign w:val="top"/>
          </w:tcPr>
          <w:p>
            <w:pPr>
              <w:pStyle w:val="TableText"/>
              <w:rPr/>
            </w:pPr>
            <w:r/>
          </w:p>
        </w:tc>
        <w:tc>
          <w:tcPr>
            <w:tcW w:w="1371" w:type="dxa"/>
            <w:vAlign w:val="top"/>
          </w:tcPr>
          <w:p>
            <w:pPr>
              <w:pStyle w:val="TableText"/>
              <w:rPr/>
            </w:pPr>
            <w:r/>
          </w:p>
        </w:tc>
        <w:tc>
          <w:tcPr>
            <w:tcW w:w="1442" w:type="dxa"/>
            <w:vAlign w:val="top"/>
          </w:tcPr>
          <w:p>
            <w:pPr>
              <w:pStyle w:val="TableText"/>
              <w:rPr/>
            </w:pPr>
            <w:r/>
          </w:p>
        </w:tc>
      </w:tr>
      <w:tr>
        <w:trPr>
          <w:trHeight w:val="384" w:hRule="atLeast"/>
        </w:trPr>
        <w:tc>
          <w:tcPr>
            <w:tcW w:w="3677"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371"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7"/>
          <w:footerReference w:type="default" r:id="rId26"/>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05"/>
        <w:gridCol w:w="1469"/>
        <w:gridCol w:w="1566"/>
        <w:gridCol w:w="1425"/>
        <w:gridCol w:w="1593"/>
      </w:tblGrid>
      <w:tr>
        <w:trPr>
          <w:trHeight w:val="383" w:hRule="atLeast"/>
        </w:trPr>
        <w:tc>
          <w:tcPr>
            <w:tcW w:w="310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9" w:type="dxa"/>
            <w:vAlign w:val="top"/>
            <w:tcBorders>
              <w:left w:val="single" w:color="FFFFFF" w:sz="2" w:space="0"/>
              <w:right w:val="single" w:color="FFFFFF" w:sz="2" w:space="0"/>
              <w:bottom w:val="single" w:color="FFFFFF" w:sz="4" w:space="0"/>
              <w:top w:val="nil"/>
            </w:tcBorders>
          </w:tcPr>
          <w:p>
            <w:pPr>
              <w:pStyle w:val="TableText"/>
              <w:rPr/>
            </w:pPr>
            <w:r/>
          </w:p>
        </w:tc>
        <w:tc>
          <w:tcPr>
            <w:tcW w:w="156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2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31"/>
            <w:bookmarkEnd w:id="31"/>
            <w:bookmarkStart w:name="bookmark16" w:id="32"/>
            <w:bookmarkEnd w:id="32"/>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05" w:type="dxa"/>
            <w:vAlign w:val="top"/>
            <w:tcBorders>
              <w:left w:val="single" w:color="FFFFFF" w:sz="2" w:space="0"/>
              <w:right w:val="single" w:color="FFFFFF" w:sz="2" w:space="0"/>
              <w:top w:val="single" w:color="FFFFFF" w:sz="4"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部门名称：兴县医疗保障局</w:t>
            </w:r>
          </w:p>
        </w:tc>
        <w:tc>
          <w:tcPr>
            <w:tcW w:w="1469" w:type="dxa"/>
            <w:vAlign w:val="top"/>
            <w:tcBorders>
              <w:left w:val="single" w:color="FFFFFF" w:sz="2" w:space="0"/>
              <w:right w:val="single" w:color="FFFFFF" w:sz="2" w:space="0"/>
              <w:top w:val="single" w:color="FFFFFF" w:sz="4" w:space="0"/>
            </w:tcBorders>
          </w:tcPr>
          <w:p>
            <w:pPr>
              <w:pStyle w:val="TableText"/>
              <w:rPr/>
            </w:pPr>
            <w:r/>
          </w:p>
        </w:tc>
        <w:tc>
          <w:tcPr>
            <w:tcW w:w="1566" w:type="dxa"/>
            <w:vAlign w:val="top"/>
            <w:tcBorders>
              <w:left w:val="single" w:color="FFFFFF" w:sz="2" w:space="0"/>
              <w:right w:val="single" w:color="FFFFFF" w:sz="2" w:space="0"/>
              <w:top w:val="single" w:color="FFFFFF" w:sz="4" w:space="0"/>
            </w:tcBorders>
          </w:tcPr>
          <w:p>
            <w:pPr>
              <w:pStyle w:val="TableText"/>
              <w:rPr/>
            </w:pPr>
            <w:r/>
          </w:p>
        </w:tc>
        <w:tc>
          <w:tcPr>
            <w:tcW w:w="1425"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05" w:type="dxa"/>
            <w:vAlign w:val="top"/>
            <w:vMerge w:val="restart"/>
            <w:tcBorders>
              <w:bottom w:val="nil"/>
            </w:tcBorders>
          </w:tcPr>
          <w:p>
            <w:pPr>
              <w:ind w:left="1214"/>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53" w:type="dxa"/>
            <w:vAlign w:val="top"/>
            <w:gridSpan w:val="4"/>
          </w:tcPr>
          <w:p>
            <w:pPr>
              <w:ind w:left="2612"/>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05" w:type="dxa"/>
            <w:vAlign w:val="top"/>
            <w:vMerge w:val="continue"/>
            <w:tcBorders>
              <w:top w:val="nil"/>
            </w:tcBorders>
          </w:tcPr>
          <w:p>
            <w:pPr>
              <w:pStyle w:val="TableText"/>
              <w:rPr/>
            </w:pPr>
            <w:r/>
          </w:p>
        </w:tc>
        <w:tc>
          <w:tcPr>
            <w:tcW w:w="1469" w:type="dxa"/>
            <w:vAlign w:val="top"/>
          </w:tcPr>
          <w:p>
            <w:pPr>
              <w:ind w:left="561"/>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66" w:type="dxa"/>
            <w:vAlign w:val="top"/>
          </w:tcPr>
          <w:p>
            <w:pPr>
              <w:ind w:left="285"/>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25" w:type="dxa"/>
            <w:vAlign w:val="top"/>
          </w:tcPr>
          <w:p>
            <w:pPr>
              <w:ind w:left="139"/>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7"/>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05" w:type="dxa"/>
            <w:vAlign w:val="top"/>
          </w:tcPr>
          <w:p>
            <w:pPr>
              <w:ind w:left="1215"/>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69" w:type="dxa"/>
            <w:vAlign w:val="top"/>
          </w:tcPr>
          <w:p>
            <w:pPr>
              <w:ind w:right="25"/>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27.08</w:t>
            </w:r>
          </w:p>
        </w:tc>
        <w:tc>
          <w:tcPr>
            <w:tcW w:w="1566" w:type="dxa"/>
            <w:vAlign w:val="top"/>
          </w:tcPr>
          <w:p>
            <w:pPr>
              <w:ind w:right="19"/>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27.08</w:t>
            </w:r>
          </w:p>
        </w:tc>
        <w:tc>
          <w:tcPr>
            <w:tcW w:w="1425" w:type="dxa"/>
            <w:vAlign w:val="top"/>
          </w:tcPr>
          <w:p>
            <w:pPr>
              <w:pStyle w:val="TableText"/>
              <w:rPr/>
            </w:pPr>
            <w:r/>
          </w:p>
        </w:tc>
        <w:tc>
          <w:tcPr>
            <w:tcW w:w="1593" w:type="dxa"/>
            <w:vAlign w:val="top"/>
          </w:tcPr>
          <w:p>
            <w:pPr>
              <w:pStyle w:val="TableText"/>
              <w:rPr/>
            </w:pPr>
            <w:r/>
          </w:p>
        </w:tc>
      </w:tr>
      <w:tr>
        <w:trPr>
          <w:trHeight w:val="383" w:hRule="atLeast"/>
        </w:trPr>
        <w:tc>
          <w:tcPr>
            <w:tcW w:w="3105" w:type="dxa"/>
            <w:vAlign w:val="top"/>
          </w:tcPr>
          <w:p>
            <w:pPr>
              <w:ind w:left="10"/>
              <w:spacing w:before="117" w:line="229" w:lineRule="auto"/>
              <w:rPr>
                <w:rFonts w:ascii="SimSun" w:hAnsi="SimSun" w:eastAsia="SimSun" w:cs="SimSun"/>
                <w:sz w:val="15"/>
                <w:szCs w:val="15"/>
              </w:rPr>
            </w:pPr>
            <w:r>
              <w:rPr>
                <w:rFonts w:ascii="SimSun" w:hAnsi="SimSun" w:eastAsia="SimSun" w:cs="SimSun"/>
                <w:sz w:val="15"/>
                <w:szCs w:val="15"/>
                <w:color w:val="212529"/>
                <w:spacing w:val="10"/>
              </w:rPr>
              <w:t>兴县医疗保障局</w:t>
            </w:r>
          </w:p>
        </w:tc>
        <w:tc>
          <w:tcPr>
            <w:tcW w:w="1469" w:type="dxa"/>
            <w:vAlign w:val="top"/>
          </w:tcPr>
          <w:p>
            <w:pPr>
              <w:ind w:right="25"/>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27.08</w:t>
            </w:r>
          </w:p>
        </w:tc>
        <w:tc>
          <w:tcPr>
            <w:tcW w:w="1566"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27.08</w:t>
            </w:r>
          </w:p>
        </w:tc>
        <w:tc>
          <w:tcPr>
            <w:tcW w:w="1425" w:type="dxa"/>
            <w:vAlign w:val="top"/>
          </w:tcPr>
          <w:p>
            <w:pPr>
              <w:pStyle w:val="TableText"/>
              <w:rPr/>
            </w:pPr>
            <w:r/>
          </w:p>
        </w:tc>
        <w:tc>
          <w:tcPr>
            <w:tcW w:w="1593" w:type="dxa"/>
            <w:vAlign w:val="top"/>
          </w:tcPr>
          <w:p>
            <w:pPr>
              <w:pStyle w:val="TableText"/>
              <w:rPr/>
            </w:pPr>
            <w:r/>
          </w:p>
        </w:tc>
      </w:tr>
    </w:tbl>
    <w:p>
      <w:pPr>
        <w:pStyle w:val="BodyText"/>
        <w:rPr/>
      </w:pPr>
      <w:r/>
    </w:p>
    <w:p>
      <w:pPr>
        <w:sectPr>
          <w:headerReference w:type="default" r:id="rId20"/>
          <w:footerReference w:type="default" r:id="rId27"/>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73"/>
        <w:gridCol w:w="1274"/>
        <w:gridCol w:w="1274"/>
        <w:gridCol w:w="626"/>
        <w:gridCol w:w="1069"/>
        <w:gridCol w:w="1037"/>
        <w:gridCol w:w="805"/>
      </w:tblGrid>
      <w:tr>
        <w:trPr>
          <w:trHeight w:val="384" w:hRule="atLeast"/>
        </w:trPr>
        <w:tc>
          <w:tcPr>
            <w:tcW w:w="307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6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42" w:type="dxa"/>
            <w:vAlign w:val="top"/>
            <w:gridSpan w:val="2"/>
            <w:tcBorders>
              <w:bottom w:val="single" w:color="FFFFFF" w:sz="4" w:space="0"/>
              <w:top w:val="single" w:color="FFFFFF" w:sz="4" w:space="0"/>
              <w:left w:val="single" w:color="FFFFFF" w:sz="2" w:space="0"/>
              <w:right w:val="single" w:color="FFFFFF" w:sz="2" w:space="0"/>
            </w:tcBorders>
          </w:tcPr>
          <w:p>
            <w:pPr>
              <w:ind w:left="1039"/>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3"/>
            <w:bookmarkEnd w:id="33"/>
            <w:bookmarkStart w:name="bookmark17" w:id="34"/>
            <w:bookmarkEnd w:id="34"/>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316"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部门名称：兴县医疗保障局</w:t>
            </w:r>
          </w:p>
        </w:tc>
        <w:tc>
          <w:tcPr>
            <w:tcW w:w="1842" w:type="dxa"/>
            <w:vAlign w:val="top"/>
            <w:gridSpan w:val="2"/>
            <w:tcBorders>
              <w:top w:val="single" w:color="FFFFFF" w:sz="4" w:space="0"/>
              <w:left w:val="single" w:color="FFFFFF" w:sz="2" w:space="0"/>
              <w:right w:val="single" w:color="FFFFFF" w:sz="2" w:space="0"/>
            </w:tcBorders>
          </w:tcPr>
          <w:p>
            <w:pPr>
              <w:ind w:left="1169"/>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3073" w:type="dxa"/>
            <w:vAlign w:val="top"/>
            <w:vMerge w:val="restart"/>
            <w:tcBorders>
              <w:bottom w:val="nil"/>
            </w:tcBorders>
          </w:tcPr>
          <w:p>
            <w:pPr>
              <w:pStyle w:val="TableText"/>
              <w:spacing w:line="324" w:lineRule="auto"/>
              <w:rPr/>
            </w:pPr>
            <w:r/>
          </w:p>
          <w:p>
            <w:pPr>
              <w:ind w:left="1197"/>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74" w:type="dxa"/>
            <w:vAlign w:val="top"/>
            <w:vMerge w:val="restart"/>
            <w:tcBorders>
              <w:bottom w:val="nil"/>
            </w:tcBorders>
          </w:tcPr>
          <w:p>
            <w:pPr>
              <w:pStyle w:val="TableText"/>
              <w:spacing w:line="324" w:lineRule="auto"/>
              <w:rPr/>
            </w:pPr>
            <w:r/>
          </w:p>
          <w:p>
            <w:pPr>
              <w:ind w:left="460"/>
              <w:spacing w:before="6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2969" w:type="dxa"/>
            <w:vAlign w:val="top"/>
            <w:gridSpan w:val="3"/>
          </w:tcPr>
          <w:p>
            <w:pPr>
              <w:ind w:left="908"/>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37" w:type="dxa"/>
            <w:vAlign w:val="top"/>
            <w:vMerge w:val="restart"/>
            <w:tcBorders>
              <w:bottom w:val="nil"/>
            </w:tcBorders>
          </w:tcPr>
          <w:p>
            <w:pPr>
              <w:ind w:left="26"/>
              <w:spacing w:before="30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56"/>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05" w:type="dxa"/>
            <w:vAlign w:val="top"/>
            <w:vMerge w:val="restart"/>
            <w:tcBorders>
              <w:bottom w:val="nil"/>
            </w:tcBorders>
          </w:tcPr>
          <w:p>
            <w:pPr>
              <w:pStyle w:val="TableText"/>
              <w:spacing w:line="323" w:lineRule="auto"/>
              <w:rPr/>
            </w:pPr>
            <w:r/>
          </w:p>
          <w:p>
            <w:pPr>
              <w:ind w:left="68"/>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551" w:hRule="atLeast"/>
        </w:trPr>
        <w:tc>
          <w:tcPr>
            <w:tcW w:w="3073"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274" w:type="dxa"/>
            <w:vAlign w:val="top"/>
          </w:tcPr>
          <w:p>
            <w:pPr>
              <w:ind w:left="136"/>
              <w:spacing w:before="19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626" w:type="dxa"/>
            <w:vAlign w:val="top"/>
          </w:tcPr>
          <w:p>
            <w:pPr>
              <w:ind w:left="58"/>
              <w:spacing w:before="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w:t>
            </w:r>
          </w:p>
          <w:p>
            <w:pPr>
              <w:ind w:left="54"/>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2"/>
              </w:rPr>
              <w:t>基金预</w:t>
            </w:r>
          </w:p>
          <w:p>
            <w:pPr>
              <w:ind w:left="217"/>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tcPr>
          <w:p>
            <w:pPr>
              <w:ind w:left="54"/>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5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37" w:type="dxa"/>
            <w:vAlign w:val="top"/>
            <w:vMerge w:val="continue"/>
            <w:tcBorders>
              <w:top w:val="nil"/>
            </w:tcBorders>
          </w:tcPr>
          <w:p>
            <w:pPr>
              <w:pStyle w:val="TableText"/>
              <w:rPr/>
            </w:pPr>
            <w:r/>
          </w:p>
        </w:tc>
        <w:tc>
          <w:tcPr>
            <w:tcW w:w="805" w:type="dxa"/>
            <w:vAlign w:val="top"/>
            <w:vMerge w:val="continue"/>
            <w:tcBorders>
              <w:top w:val="nil"/>
            </w:tcBorders>
          </w:tcPr>
          <w:p>
            <w:pPr>
              <w:pStyle w:val="TableText"/>
              <w:rPr/>
            </w:pPr>
            <w:r/>
          </w:p>
        </w:tc>
      </w:tr>
      <w:tr>
        <w:trPr>
          <w:trHeight w:val="379" w:hRule="atLeast"/>
        </w:trPr>
        <w:tc>
          <w:tcPr>
            <w:tcW w:w="3073" w:type="dxa"/>
            <w:vAlign w:val="top"/>
          </w:tcPr>
          <w:p>
            <w:pPr>
              <w:ind w:left="1495"/>
              <w:spacing w:before="113"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74" w:type="dxa"/>
            <w:vAlign w:val="top"/>
          </w:tcPr>
          <w:p>
            <w:pPr>
              <w:ind w:left="584"/>
              <w:spacing w:before="113"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274" w:type="dxa"/>
            <w:vAlign w:val="top"/>
          </w:tcPr>
          <w:p>
            <w:pPr>
              <w:ind w:left="588"/>
              <w:spacing w:before="113"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626" w:type="dxa"/>
            <w:vAlign w:val="top"/>
          </w:tcPr>
          <w:p>
            <w:pPr>
              <w:ind w:left="262"/>
              <w:spacing w:before="113"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069" w:type="dxa"/>
            <w:vAlign w:val="top"/>
          </w:tcPr>
          <w:p>
            <w:pPr>
              <w:ind w:left="488"/>
              <w:spacing w:before="113"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37" w:type="dxa"/>
            <w:vAlign w:val="top"/>
          </w:tcPr>
          <w:p>
            <w:pPr>
              <w:ind w:left="473"/>
              <w:spacing w:before="113"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05" w:type="dxa"/>
            <w:vAlign w:val="top"/>
          </w:tcPr>
          <w:p>
            <w:pPr>
              <w:ind w:left="359"/>
              <w:spacing w:before="113"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3073" w:type="dxa"/>
            <w:vAlign w:val="top"/>
          </w:tcPr>
          <w:p>
            <w:pPr>
              <w:ind w:left="10"/>
              <w:spacing w:before="113" w:line="229" w:lineRule="auto"/>
              <w:rPr>
                <w:rFonts w:ascii="SimSun" w:hAnsi="SimSun" w:eastAsia="SimSun" w:cs="SimSun"/>
                <w:sz w:val="15"/>
                <w:szCs w:val="15"/>
              </w:rPr>
            </w:pPr>
            <w:r>
              <w:rPr>
                <w:rFonts w:ascii="SimSun" w:hAnsi="SimSun" w:eastAsia="SimSun" w:cs="SimSun"/>
                <w:sz w:val="15"/>
                <w:szCs w:val="15"/>
                <w:color w:val="212529"/>
                <w:spacing w:val="10"/>
              </w:rPr>
              <w:t>兴县医疗保障局</w:t>
            </w:r>
          </w:p>
        </w:tc>
        <w:tc>
          <w:tcPr>
            <w:tcW w:w="1274"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1532.34</w:t>
            </w:r>
          </w:p>
        </w:tc>
        <w:tc>
          <w:tcPr>
            <w:tcW w:w="1274"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1532.34</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172"/>
              <w:spacing w:before="113" w:line="229" w:lineRule="auto"/>
              <w:rPr>
                <w:rFonts w:ascii="SimSun" w:hAnsi="SimSun" w:eastAsia="SimSun" w:cs="SimSun"/>
                <w:sz w:val="15"/>
                <w:szCs w:val="15"/>
              </w:rPr>
            </w:pPr>
            <w:r>
              <w:rPr>
                <w:rFonts w:ascii="SimSun" w:hAnsi="SimSun" w:eastAsia="SimSun" w:cs="SimSun"/>
                <w:sz w:val="15"/>
                <w:szCs w:val="15"/>
                <w:color w:val="212529"/>
                <w:spacing w:val="10"/>
              </w:rPr>
              <w:t>兴县医疗保障局</w:t>
            </w:r>
          </w:p>
        </w:tc>
        <w:tc>
          <w:tcPr>
            <w:tcW w:w="1274"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1532.34</w:t>
            </w:r>
          </w:p>
        </w:tc>
        <w:tc>
          <w:tcPr>
            <w:tcW w:w="1274"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1532.34</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6" w:right="146" w:firstLine="326"/>
              <w:spacing w:before="27" w:line="210" w:lineRule="auto"/>
              <w:rPr>
                <w:rFonts w:ascii="SimSun" w:hAnsi="SimSun" w:eastAsia="SimSun" w:cs="SimSun"/>
                <w:sz w:val="15"/>
                <w:szCs w:val="15"/>
              </w:rPr>
            </w:pPr>
            <w:r>
              <w:rPr>
                <w:rFonts w:ascii="SimSun" w:hAnsi="SimSun" w:eastAsia="SimSun" w:cs="SimSun"/>
                <w:sz w:val="15"/>
                <w:szCs w:val="15"/>
                <w:color w:val="212529"/>
                <w:spacing w:val="10"/>
              </w:rPr>
              <w:t>2025年中央财政医疗服务与保障能力</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7"/>
              </w:rPr>
              <w:t>提升补助资金晋财社〔2024〕</w:t>
            </w:r>
            <w:r>
              <w:rPr>
                <w:rFonts w:ascii="SimSun" w:hAnsi="SimSun" w:eastAsia="SimSun" w:cs="SimSun"/>
                <w:sz w:val="15"/>
                <w:szCs w:val="15"/>
                <w:color w:val="212529"/>
                <w:spacing w:val="-30"/>
              </w:rPr>
              <w:t xml:space="preserve"> </w:t>
            </w:r>
            <w:r>
              <w:rPr>
                <w:rFonts w:ascii="SimSun" w:hAnsi="SimSun" w:eastAsia="SimSun" w:cs="SimSun"/>
                <w:sz w:val="15"/>
                <w:szCs w:val="15"/>
                <w:color w:val="212529"/>
                <w:spacing w:val="7"/>
              </w:rPr>
              <w:t>189号</w:t>
            </w:r>
          </w:p>
        </w:tc>
        <w:tc>
          <w:tcPr>
            <w:tcW w:w="1274"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28.00</w:t>
            </w:r>
          </w:p>
        </w:tc>
        <w:tc>
          <w:tcPr>
            <w:tcW w:w="1274"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6" w:right="146" w:firstLine="326"/>
              <w:spacing w:before="27" w:line="210" w:lineRule="auto"/>
              <w:rPr>
                <w:rFonts w:ascii="SimSun" w:hAnsi="SimSun" w:eastAsia="SimSun" w:cs="SimSun"/>
                <w:sz w:val="15"/>
                <w:szCs w:val="15"/>
              </w:rPr>
            </w:pPr>
            <w:r>
              <w:rPr>
                <w:rFonts w:ascii="SimSun" w:hAnsi="SimSun" w:eastAsia="SimSun" w:cs="SimSun"/>
                <w:sz w:val="15"/>
                <w:szCs w:val="15"/>
                <w:color w:val="212529"/>
                <w:spacing w:val="10"/>
              </w:rPr>
              <w:t>2025年中央财政医疗服务与保障能力</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7"/>
              </w:rPr>
              <w:t>提升补助资金晋财社〔2024〕</w:t>
            </w:r>
            <w:r>
              <w:rPr>
                <w:rFonts w:ascii="SimSun" w:hAnsi="SimSun" w:eastAsia="SimSun" w:cs="SimSun"/>
                <w:sz w:val="15"/>
                <w:szCs w:val="15"/>
                <w:color w:val="212529"/>
                <w:spacing w:val="-30"/>
              </w:rPr>
              <w:t xml:space="preserve"> </w:t>
            </w:r>
            <w:r>
              <w:rPr>
                <w:rFonts w:ascii="SimSun" w:hAnsi="SimSun" w:eastAsia="SimSun" w:cs="SimSun"/>
                <w:sz w:val="15"/>
                <w:szCs w:val="15"/>
                <w:color w:val="212529"/>
                <w:spacing w:val="7"/>
              </w:rPr>
              <w:t>189号</w:t>
            </w:r>
          </w:p>
        </w:tc>
        <w:tc>
          <w:tcPr>
            <w:tcW w:w="1274" w:type="dxa"/>
            <w:vAlign w:val="top"/>
          </w:tcPr>
          <w:p>
            <w:pPr>
              <w:ind w:right="2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74"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22" w:right="146" w:firstLine="308"/>
              <w:spacing w:before="27" w:line="210" w:lineRule="auto"/>
              <w:rPr>
                <w:rFonts w:ascii="SimSun" w:hAnsi="SimSun" w:eastAsia="SimSun" w:cs="SimSun"/>
                <w:sz w:val="15"/>
                <w:szCs w:val="15"/>
              </w:rPr>
            </w:pPr>
            <w:r>
              <w:rPr>
                <w:rFonts w:ascii="SimSun" w:hAnsi="SimSun" w:eastAsia="SimSun" w:cs="SimSun"/>
                <w:sz w:val="15"/>
                <w:szCs w:val="15"/>
                <w:color w:val="212529"/>
                <w:spacing w:val="10"/>
              </w:rPr>
              <w:t>城乡医疗救助（2025年原建档立卡贫</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9"/>
              </w:rPr>
              <w:t>困人员补充保险县级补助）</w:t>
            </w:r>
          </w:p>
        </w:tc>
        <w:tc>
          <w:tcPr>
            <w:tcW w:w="1274" w:type="dxa"/>
            <w:vAlign w:val="top"/>
          </w:tcPr>
          <w:p>
            <w:pPr>
              <w:ind w:right="26"/>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397.03</w:t>
            </w:r>
          </w:p>
        </w:tc>
        <w:tc>
          <w:tcPr>
            <w:tcW w:w="1274" w:type="dxa"/>
            <w:vAlign w:val="top"/>
          </w:tcPr>
          <w:p>
            <w:pPr>
              <w:ind w:right="24"/>
              <w:spacing w:before="11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397.03</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22" w:right="146" w:firstLine="308"/>
              <w:spacing w:before="27" w:line="210" w:lineRule="auto"/>
              <w:rPr>
                <w:rFonts w:ascii="SimSun" w:hAnsi="SimSun" w:eastAsia="SimSun" w:cs="SimSun"/>
                <w:sz w:val="15"/>
                <w:szCs w:val="15"/>
              </w:rPr>
            </w:pPr>
            <w:r>
              <w:rPr>
                <w:rFonts w:ascii="SimSun" w:hAnsi="SimSun" w:eastAsia="SimSun" w:cs="SimSun"/>
                <w:sz w:val="15"/>
                <w:szCs w:val="15"/>
                <w:color w:val="212529"/>
                <w:spacing w:val="10"/>
              </w:rPr>
              <w:t>城乡医疗救助（2025年原建档立卡贫</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9"/>
              </w:rPr>
              <w:t>困人员个人缴费县级补助）</w:t>
            </w:r>
          </w:p>
        </w:tc>
        <w:tc>
          <w:tcPr>
            <w:tcW w:w="1274"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667.01</w:t>
            </w:r>
          </w:p>
        </w:tc>
        <w:tc>
          <w:tcPr>
            <w:tcW w:w="1274"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667.01</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4" w:line="229" w:lineRule="auto"/>
              <w:rPr>
                <w:rFonts w:ascii="SimSun" w:hAnsi="SimSun" w:eastAsia="SimSun" w:cs="SimSun"/>
                <w:sz w:val="15"/>
                <w:szCs w:val="15"/>
              </w:rPr>
            </w:pPr>
            <w:r>
              <w:rPr>
                <w:rFonts w:ascii="SimSun" w:hAnsi="SimSun" w:eastAsia="SimSun" w:cs="SimSun"/>
                <w:sz w:val="15"/>
                <w:szCs w:val="15"/>
                <w:color w:val="212529"/>
                <w:spacing w:val="10"/>
              </w:rPr>
              <w:t>2025年省级财政医疗救助补助资金</w:t>
            </w:r>
          </w:p>
        </w:tc>
        <w:tc>
          <w:tcPr>
            <w:tcW w:w="1274"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41.12</w:t>
            </w:r>
          </w:p>
        </w:tc>
        <w:tc>
          <w:tcPr>
            <w:tcW w:w="1274"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41.12</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8" w:hRule="atLeast"/>
        </w:trPr>
        <w:tc>
          <w:tcPr>
            <w:tcW w:w="3073" w:type="dxa"/>
            <w:vAlign w:val="top"/>
          </w:tcPr>
          <w:p>
            <w:pPr>
              <w:ind w:left="333"/>
              <w:spacing w:before="114" w:line="229" w:lineRule="auto"/>
              <w:rPr>
                <w:rFonts w:ascii="SimSun" w:hAnsi="SimSun" w:eastAsia="SimSun" w:cs="SimSun"/>
                <w:sz w:val="15"/>
                <w:szCs w:val="15"/>
              </w:rPr>
            </w:pPr>
            <w:r>
              <w:rPr>
                <w:rFonts w:ascii="SimSun" w:hAnsi="SimSun" w:eastAsia="SimSun" w:cs="SimSun"/>
                <w:sz w:val="15"/>
                <w:szCs w:val="15"/>
                <w:color w:val="212529"/>
                <w:spacing w:val="10"/>
              </w:rPr>
              <w:t>2025年中央财政医疗救助补助资金</w:t>
            </w:r>
          </w:p>
        </w:tc>
        <w:tc>
          <w:tcPr>
            <w:tcW w:w="1274" w:type="dxa"/>
            <w:vAlign w:val="top"/>
          </w:tcPr>
          <w:p>
            <w:pPr>
              <w:ind w:right="26"/>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323.68</w:t>
            </w:r>
          </w:p>
        </w:tc>
        <w:tc>
          <w:tcPr>
            <w:tcW w:w="1274" w:type="dxa"/>
            <w:vAlign w:val="top"/>
          </w:tcPr>
          <w:p>
            <w:pPr>
              <w:ind w:right="24"/>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323.68</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8" w:hRule="atLeast"/>
        </w:trPr>
        <w:tc>
          <w:tcPr>
            <w:tcW w:w="3073" w:type="dxa"/>
            <w:vAlign w:val="top"/>
          </w:tcPr>
          <w:p>
            <w:pPr>
              <w:ind w:left="6" w:right="146" w:firstLine="326"/>
              <w:spacing w:before="29" w:line="208" w:lineRule="auto"/>
              <w:rPr>
                <w:rFonts w:ascii="SimSun" w:hAnsi="SimSun" w:eastAsia="SimSun" w:cs="SimSun"/>
                <w:sz w:val="15"/>
                <w:szCs w:val="15"/>
              </w:rPr>
            </w:pPr>
            <w:r>
              <w:rPr>
                <w:rFonts w:ascii="SimSun" w:hAnsi="SimSun" w:eastAsia="SimSun" w:cs="SimSun"/>
                <w:sz w:val="15"/>
                <w:szCs w:val="15"/>
                <w:color w:val="212529"/>
                <w:spacing w:val="10"/>
              </w:rPr>
              <w:t>2024年度对医疗集团打包付费审计费</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2"/>
              </w:rPr>
              <w:t>用</w:t>
            </w:r>
          </w:p>
        </w:tc>
        <w:tc>
          <w:tcPr>
            <w:tcW w:w="127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7.50</w:t>
            </w:r>
          </w:p>
        </w:tc>
        <w:tc>
          <w:tcPr>
            <w:tcW w:w="1274"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7" w:line="229" w:lineRule="auto"/>
              <w:rPr>
                <w:rFonts w:ascii="SimSun" w:hAnsi="SimSun" w:eastAsia="SimSun" w:cs="SimSun"/>
                <w:sz w:val="15"/>
                <w:szCs w:val="15"/>
              </w:rPr>
            </w:pPr>
            <w:r>
              <w:rPr>
                <w:rFonts w:ascii="SimSun" w:hAnsi="SimSun" w:eastAsia="SimSun" w:cs="SimSun"/>
                <w:sz w:val="15"/>
                <w:szCs w:val="15"/>
                <w:color w:val="212529"/>
                <w:spacing w:val="9"/>
              </w:rPr>
              <w:t>2025年度医保局管理经办经费</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3"/>
              <w:spacing w:before="117" w:line="229" w:lineRule="auto"/>
              <w:rPr>
                <w:rFonts w:ascii="SimSun" w:hAnsi="SimSun" w:eastAsia="SimSun" w:cs="SimSun"/>
                <w:sz w:val="15"/>
                <w:szCs w:val="15"/>
              </w:rPr>
            </w:pPr>
            <w:r>
              <w:rPr>
                <w:rFonts w:ascii="SimSun" w:hAnsi="SimSun" w:eastAsia="SimSun" w:cs="SimSun"/>
                <w:sz w:val="15"/>
                <w:szCs w:val="15"/>
                <w:color w:val="212529"/>
                <w:spacing w:val="10"/>
              </w:rPr>
              <w:t>2025年度医疗集团打包付费审计费用</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8"/>
              <w:spacing w:before="117" w:line="229" w:lineRule="auto"/>
              <w:rPr>
                <w:rFonts w:ascii="SimSun" w:hAnsi="SimSun" w:eastAsia="SimSun" w:cs="SimSun"/>
                <w:sz w:val="15"/>
                <w:szCs w:val="15"/>
              </w:rPr>
            </w:pPr>
            <w:r>
              <w:rPr>
                <w:rFonts w:ascii="SimSun" w:hAnsi="SimSun" w:eastAsia="SimSun" w:cs="SimSun"/>
                <w:sz w:val="15"/>
                <w:szCs w:val="15"/>
                <w:color w:val="212529"/>
                <w:spacing w:val="10"/>
              </w:rPr>
              <w:t>医保中心窗口业务集中受理服务</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79" w:hRule="atLeast"/>
        </w:trPr>
        <w:tc>
          <w:tcPr>
            <w:tcW w:w="3073" w:type="dxa"/>
            <w:vAlign w:val="top"/>
          </w:tcPr>
          <w:p>
            <w:pPr>
              <w:ind w:left="338"/>
              <w:spacing w:before="117" w:line="229" w:lineRule="auto"/>
              <w:rPr>
                <w:rFonts w:ascii="SimSun" w:hAnsi="SimSun" w:eastAsia="SimSun" w:cs="SimSun"/>
                <w:sz w:val="15"/>
                <w:szCs w:val="15"/>
              </w:rPr>
            </w:pPr>
            <w:r>
              <w:rPr>
                <w:rFonts w:ascii="SimSun" w:hAnsi="SimSun" w:eastAsia="SimSun" w:cs="SimSun"/>
                <w:sz w:val="15"/>
                <w:szCs w:val="15"/>
                <w:color w:val="212529"/>
                <w:spacing w:val="11"/>
              </w:rPr>
              <w:t>医保局打击欺诈骗保专项运行经费</w:t>
            </w:r>
          </w:p>
        </w:tc>
        <w:tc>
          <w:tcPr>
            <w:tcW w:w="127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274"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r>
        <w:trPr>
          <w:trHeight w:val="384" w:hRule="atLeast"/>
        </w:trPr>
        <w:tc>
          <w:tcPr>
            <w:tcW w:w="3073" w:type="dxa"/>
            <w:vAlign w:val="top"/>
          </w:tcPr>
          <w:p>
            <w:pPr>
              <w:ind w:left="8" w:right="146" w:firstLine="324"/>
              <w:spacing w:before="31" w:line="211" w:lineRule="auto"/>
              <w:rPr>
                <w:rFonts w:ascii="SimSun" w:hAnsi="SimSun" w:eastAsia="SimSun" w:cs="SimSun"/>
                <w:sz w:val="15"/>
                <w:szCs w:val="15"/>
              </w:rPr>
            </w:pPr>
            <w:r>
              <w:rPr>
                <w:rFonts w:ascii="SimSun" w:hAnsi="SimSun" w:eastAsia="SimSun" w:cs="SimSun"/>
                <w:sz w:val="15"/>
                <w:szCs w:val="15"/>
                <w:color w:val="212529"/>
                <w:spacing w:val="10"/>
              </w:rPr>
              <w:t>工作经费（2025年城乡居民开展省级</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9"/>
              </w:rPr>
              <w:t>统筹政策管理服务）</w:t>
            </w:r>
          </w:p>
        </w:tc>
        <w:tc>
          <w:tcPr>
            <w:tcW w:w="1274" w:type="dxa"/>
            <w:vAlign w:val="top"/>
          </w:tcPr>
          <w:p>
            <w:pPr>
              <w:ind w:right="26"/>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9.00</w:t>
            </w:r>
          </w:p>
        </w:tc>
        <w:tc>
          <w:tcPr>
            <w:tcW w:w="1274" w:type="dxa"/>
            <w:vAlign w:val="top"/>
          </w:tcPr>
          <w:p>
            <w:pPr>
              <w:ind w:right="24"/>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9.00</w:t>
            </w:r>
          </w:p>
        </w:tc>
        <w:tc>
          <w:tcPr>
            <w:tcW w:w="626" w:type="dxa"/>
            <w:vAlign w:val="top"/>
          </w:tcPr>
          <w:p>
            <w:pPr>
              <w:pStyle w:val="TableText"/>
              <w:rPr/>
            </w:pPr>
            <w:r/>
          </w:p>
        </w:tc>
        <w:tc>
          <w:tcPr>
            <w:tcW w:w="1069" w:type="dxa"/>
            <w:vAlign w:val="top"/>
          </w:tcPr>
          <w:p>
            <w:pPr>
              <w:pStyle w:val="TableText"/>
              <w:rPr/>
            </w:pPr>
            <w:r/>
          </w:p>
        </w:tc>
        <w:tc>
          <w:tcPr>
            <w:tcW w:w="1037" w:type="dxa"/>
            <w:vAlign w:val="top"/>
          </w:tcPr>
          <w:p>
            <w:pPr>
              <w:pStyle w:val="TableText"/>
              <w:rPr/>
            </w:pPr>
            <w:r/>
          </w:p>
        </w:tc>
        <w:tc>
          <w:tcPr>
            <w:tcW w:w="805" w:type="dxa"/>
            <w:vAlign w:val="top"/>
          </w:tcPr>
          <w:p>
            <w:pPr>
              <w:pStyle w:val="TableText"/>
              <w:rPr/>
            </w:pPr>
            <w:r/>
          </w:p>
        </w:tc>
      </w:tr>
    </w:tbl>
    <w:p>
      <w:pPr>
        <w:pStyle w:val="BodyText"/>
        <w:rPr/>
      </w:pPr>
      <w:r/>
    </w:p>
    <w:p>
      <w:pPr>
        <w:sectPr>
          <w:headerReference w:type="default" r:id="rId7"/>
          <w:footerReference w:type="default" r:id="rId28"/>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90"/>
        <w:gridCol w:w="1274"/>
        <w:gridCol w:w="1404"/>
        <w:gridCol w:w="1199"/>
        <w:gridCol w:w="1291"/>
      </w:tblGrid>
      <w:tr>
        <w:trPr>
          <w:trHeight w:val="383" w:hRule="atLeast"/>
        </w:trPr>
        <w:tc>
          <w:tcPr>
            <w:tcW w:w="39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9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1" w:type="dxa"/>
            <w:vAlign w:val="top"/>
            <w:tcBorders>
              <w:bottom w:val="single" w:color="FFFFFF" w:sz="4" w:space="0"/>
              <w:top w:val="single" w:color="FFFFFF" w:sz="4" w:space="0"/>
              <w:left w:val="single" w:color="FFFFFF" w:sz="2" w:space="0"/>
              <w:right w:val="single" w:color="FFFFFF" w:sz="2" w:space="0"/>
            </w:tcBorders>
          </w:tcPr>
          <w:p>
            <w:pPr>
              <w:ind w:left="48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5"/>
            <w:bookmarkEnd w:id="35"/>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867" w:type="dxa"/>
            <w:vAlign w:val="top"/>
            <w:gridSpan w:val="4"/>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部门名称：兴县医疗保障局</w:t>
            </w:r>
          </w:p>
        </w:tc>
        <w:tc>
          <w:tcPr>
            <w:tcW w:w="1291" w:type="dxa"/>
            <w:vAlign w:val="top"/>
            <w:tcBorders>
              <w:top w:val="single" w:color="FFFFFF" w:sz="4" w:space="0"/>
              <w:left w:val="single" w:color="FFFFFF" w:sz="2" w:space="0"/>
              <w:right w:val="single" w:color="FFFFFF" w:sz="2" w:space="0"/>
            </w:tcBorders>
          </w:tcPr>
          <w:p>
            <w:pPr>
              <w:ind w:left="618"/>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90" w:type="dxa"/>
            <w:vAlign w:val="top"/>
            <w:vMerge w:val="restart"/>
            <w:tcBorders>
              <w:bottom w:val="nil"/>
            </w:tcBorders>
          </w:tcPr>
          <w:p>
            <w:pPr>
              <w:ind w:left="1660"/>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74" w:type="dxa"/>
            <w:vAlign w:val="top"/>
            <w:vMerge w:val="restart"/>
            <w:tcBorders>
              <w:bottom w:val="nil"/>
            </w:tcBorders>
          </w:tcPr>
          <w:p>
            <w:pPr>
              <w:ind w:left="469"/>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894" w:type="dxa"/>
            <w:vAlign w:val="top"/>
            <w:gridSpan w:val="3"/>
          </w:tcPr>
          <w:p>
            <w:pPr>
              <w:ind w:left="13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90"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404" w:type="dxa"/>
            <w:vAlign w:val="top"/>
          </w:tcPr>
          <w:p>
            <w:pPr>
              <w:ind w:left="206"/>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199" w:type="dxa"/>
            <w:vAlign w:val="top"/>
          </w:tcPr>
          <w:p>
            <w:pPr>
              <w:ind w:left="182"/>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政府性基金</w:t>
            </w:r>
          </w:p>
          <w:p>
            <w:pPr>
              <w:ind w:left="422"/>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91" w:type="dxa"/>
            <w:vAlign w:val="top"/>
          </w:tcPr>
          <w:p>
            <w:pPr>
              <w:ind w:left="326"/>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309"/>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90" w:type="dxa"/>
            <w:vAlign w:val="top"/>
          </w:tcPr>
          <w:p>
            <w:pPr>
              <w:ind w:left="1958"/>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74" w:type="dxa"/>
            <w:vAlign w:val="top"/>
          </w:tcPr>
          <w:p>
            <w:pPr>
              <w:ind w:left="593"/>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04" w:type="dxa"/>
            <w:vAlign w:val="top"/>
          </w:tcPr>
          <w:p>
            <w:pPr>
              <w:ind w:left="658"/>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199" w:type="dxa"/>
            <w:vAlign w:val="top"/>
          </w:tcPr>
          <w:p>
            <w:pPr>
              <w:ind w:left="548"/>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91" w:type="dxa"/>
            <w:vAlign w:val="top"/>
          </w:tcPr>
          <w:p>
            <w:pPr>
              <w:ind w:left="597"/>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90" w:type="dxa"/>
            <w:vAlign w:val="top"/>
          </w:tcPr>
          <w:p>
            <w:pPr>
              <w:ind w:left="10"/>
              <w:spacing w:before="116" w:line="229" w:lineRule="auto"/>
              <w:rPr>
                <w:rFonts w:ascii="SimSun" w:hAnsi="SimSun" w:eastAsia="SimSun" w:cs="SimSun"/>
                <w:sz w:val="15"/>
                <w:szCs w:val="15"/>
              </w:rPr>
            </w:pPr>
            <w:r>
              <w:rPr>
                <w:rFonts w:ascii="SimSun" w:hAnsi="SimSun" w:eastAsia="SimSun" w:cs="SimSun"/>
                <w:sz w:val="15"/>
                <w:szCs w:val="15"/>
                <w:color w:val="212529"/>
                <w:spacing w:val="10"/>
              </w:rPr>
              <w:t>兴县医疗保障局</w:t>
            </w:r>
          </w:p>
        </w:tc>
        <w:tc>
          <w:tcPr>
            <w:tcW w:w="1274" w:type="dxa"/>
            <w:vAlign w:val="top"/>
          </w:tcPr>
          <w:p>
            <w:pPr>
              <w:ind w:right="1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w:t>
            </w:r>
          </w:p>
        </w:tc>
        <w:tc>
          <w:tcPr>
            <w:tcW w:w="1404"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w:t>
            </w:r>
          </w:p>
        </w:tc>
        <w:tc>
          <w:tcPr>
            <w:tcW w:w="1199" w:type="dxa"/>
            <w:vAlign w:val="top"/>
          </w:tcPr>
          <w:p>
            <w:pPr>
              <w:pStyle w:val="TableText"/>
              <w:rPr/>
            </w:pPr>
            <w:r/>
          </w:p>
        </w:tc>
        <w:tc>
          <w:tcPr>
            <w:tcW w:w="1291" w:type="dxa"/>
            <w:vAlign w:val="top"/>
          </w:tcPr>
          <w:p>
            <w:pPr>
              <w:pStyle w:val="TableText"/>
              <w:rPr/>
            </w:pPr>
            <w:r/>
          </w:p>
        </w:tc>
      </w:tr>
      <w:tr>
        <w:trPr>
          <w:trHeight w:val="378" w:hRule="atLeast"/>
        </w:trPr>
        <w:tc>
          <w:tcPr>
            <w:tcW w:w="3990" w:type="dxa"/>
            <w:vAlign w:val="top"/>
          </w:tcPr>
          <w:p>
            <w:pPr>
              <w:ind w:left="172"/>
              <w:spacing w:before="117" w:line="229" w:lineRule="auto"/>
              <w:rPr>
                <w:rFonts w:ascii="SimSun" w:hAnsi="SimSun" w:eastAsia="SimSun" w:cs="SimSun"/>
                <w:sz w:val="15"/>
                <w:szCs w:val="15"/>
              </w:rPr>
            </w:pPr>
            <w:r>
              <w:rPr>
                <w:rFonts w:ascii="SimSun" w:hAnsi="SimSun" w:eastAsia="SimSun" w:cs="SimSun"/>
                <w:sz w:val="15"/>
                <w:szCs w:val="15"/>
                <w:color w:val="212529"/>
                <w:spacing w:val="10"/>
              </w:rPr>
              <w:t>兴县医疗保障局</w:t>
            </w:r>
          </w:p>
        </w:tc>
        <w:tc>
          <w:tcPr>
            <w:tcW w:w="1274" w:type="dxa"/>
            <w:vAlign w:val="top"/>
          </w:tcPr>
          <w:p>
            <w:pPr>
              <w:ind w:right="1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w:t>
            </w:r>
          </w:p>
        </w:tc>
        <w:tc>
          <w:tcPr>
            <w:tcW w:w="1404"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w:t>
            </w:r>
          </w:p>
        </w:tc>
        <w:tc>
          <w:tcPr>
            <w:tcW w:w="1199" w:type="dxa"/>
            <w:vAlign w:val="top"/>
          </w:tcPr>
          <w:p>
            <w:pPr>
              <w:pStyle w:val="TableText"/>
              <w:rPr/>
            </w:pPr>
            <w:r/>
          </w:p>
        </w:tc>
        <w:tc>
          <w:tcPr>
            <w:tcW w:w="1291" w:type="dxa"/>
            <w:vAlign w:val="top"/>
          </w:tcPr>
          <w:p>
            <w:pPr>
              <w:pStyle w:val="TableText"/>
              <w:rPr/>
            </w:pPr>
            <w:r/>
          </w:p>
        </w:tc>
      </w:tr>
      <w:tr>
        <w:trPr>
          <w:trHeight w:val="384" w:hRule="atLeast"/>
        </w:trPr>
        <w:tc>
          <w:tcPr>
            <w:tcW w:w="3990" w:type="dxa"/>
            <w:vAlign w:val="top"/>
          </w:tcPr>
          <w:p>
            <w:pPr>
              <w:ind w:left="333"/>
              <w:spacing w:before="118" w:line="229" w:lineRule="auto"/>
              <w:rPr>
                <w:rFonts w:ascii="SimSun" w:hAnsi="SimSun" w:eastAsia="SimSun" w:cs="SimSun"/>
                <w:sz w:val="15"/>
                <w:szCs w:val="15"/>
              </w:rPr>
            </w:pPr>
            <w:r>
              <w:rPr>
                <w:rFonts w:ascii="SimSun" w:hAnsi="SimSun" w:eastAsia="SimSun" w:cs="SimSun"/>
                <w:sz w:val="15"/>
                <w:szCs w:val="15"/>
                <w:color w:val="212529"/>
                <w:spacing w:val="10"/>
              </w:rPr>
              <w:t>2024年中央财政医疗服务与保障能力提升补助资金</w:t>
            </w:r>
          </w:p>
        </w:tc>
        <w:tc>
          <w:tcPr>
            <w:tcW w:w="1274" w:type="dxa"/>
            <w:vAlign w:val="top"/>
          </w:tcPr>
          <w:p>
            <w:pPr>
              <w:ind w:right="1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w:t>
            </w:r>
          </w:p>
        </w:tc>
        <w:tc>
          <w:tcPr>
            <w:tcW w:w="1404"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w:t>
            </w:r>
          </w:p>
        </w:tc>
        <w:tc>
          <w:tcPr>
            <w:tcW w:w="1199" w:type="dxa"/>
            <w:vAlign w:val="top"/>
          </w:tcPr>
          <w:p>
            <w:pPr>
              <w:pStyle w:val="TableText"/>
              <w:rPr/>
            </w:pPr>
            <w:r/>
          </w:p>
        </w:tc>
        <w:tc>
          <w:tcPr>
            <w:tcW w:w="1291" w:type="dxa"/>
            <w:vAlign w:val="top"/>
          </w:tcPr>
          <w:p>
            <w:pPr>
              <w:pStyle w:val="TableText"/>
              <w:rPr/>
            </w:pPr>
            <w:r/>
          </w:p>
        </w:tc>
      </w:tr>
    </w:tbl>
    <w:p>
      <w:pPr>
        <w:pStyle w:val="BodyText"/>
        <w:rPr/>
      </w:pPr>
      <w:r/>
    </w:p>
    <w:p>
      <w:pPr>
        <w:sectPr>
          <w:headerReference w:type="default" r:id="rId20"/>
          <w:footerReference w:type="default" r:id="rId29"/>
          <w:pgSz w:w="11900" w:h="16840"/>
          <w:pgMar w:top="642" w:right="0" w:bottom="340" w:left="0" w:header="326" w:footer="111"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9" w:id="36"/>
      <w:bookmarkEnd w:id="36"/>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7"/>
      <w:bookmarkEnd w:id="37"/>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58" w:right="1223" w:firstLine="462"/>
        <w:spacing w:before="195" w:line="323" w:lineRule="auto"/>
        <w:jc w:val="both"/>
        <w:rPr>
          <w:rFonts w:ascii="FangSong" w:hAnsi="FangSong" w:eastAsia="FangSong" w:cs="FangSong"/>
          <w:sz w:val="23"/>
          <w:szCs w:val="23"/>
        </w:rPr>
      </w:pPr>
      <w:r>
        <w:rPr>
          <w:rFonts w:ascii="FangSong" w:hAnsi="FangSong" w:eastAsia="FangSong" w:cs="FangSong"/>
          <w:sz w:val="23"/>
          <w:szCs w:val="23"/>
          <w:spacing w:val="5"/>
        </w:rPr>
        <w:t>2025年度兴县医疗保障局预算收入总计1,92</w:t>
      </w:r>
      <w:r>
        <w:rPr>
          <w:rFonts w:ascii="FangSong" w:hAnsi="FangSong" w:eastAsia="FangSong" w:cs="FangSong"/>
          <w:sz w:val="23"/>
          <w:szCs w:val="23"/>
          <w:spacing w:val="4"/>
        </w:rPr>
        <w:t>8.58万元，其中：本年收入1,924.87万元，</w:t>
      </w:r>
      <w:r>
        <w:rPr>
          <w:rFonts w:ascii="FangSong" w:hAnsi="FangSong" w:eastAsia="FangSong" w:cs="FangSong"/>
          <w:sz w:val="23"/>
          <w:szCs w:val="23"/>
        </w:rPr>
        <w:t xml:space="preserve"> </w:t>
      </w:r>
      <w:r>
        <w:rPr>
          <w:rFonts w:ascii="FangSong" w:hAnsi="FangSong" w:eastAsia="FangSong" w:cs="FangSong"/>
          <w:sz w:val="23"/>
          <w:szCs w:val="23"/>
          <w:spacing w:val="2"/>
        </w:rPr>
        <w:t>上年结转3.72万元，比上年减少1923.86万元，下降49.94%，主要原因是医疗救助上级补助资</w:t>
      </w:r>
      <w:r>
        <w:rPr>
          <w:rFonts w:ascii="FangSong" w:hAnsi="FangSong" w:eastAsia="FangSong" w:cs="FangSong"/>
          <w:sz w:val="23"/>
          <w:szCs w:val="23"/>
          <w:spacing w:val="4"/>
        </w:rPr>
        <w:t xml:space="preserve"> </w:t>
      </w:r>
      <w:r>
        <w:rPr>
          <w:rFonts w:ascii="FangSong" w:hAnsi="FangSong" w:eastAsia="FangSong" w:cs="FangSong"/>
          <w:sz w:val="23"/>
          <w:szCs w:val="23"/>
          <w:spacing w:val="2"/>
        </w:rPr>
        <w:t>金2025年较2024年减少1176.84万元，下降45.16%；城乡居民基本医疗保险县级补助资</w:t>
      </w:r>
      <w:r>
        <w:rPr>
          <w:rFonts w:ascii="FangSong" w:hAnsi="FangSong" w:eastAsia="FangSong" w:cs="FangSong"/>
          <w:sz w:val="23"/>
          <w:szCs w:val="23"/>
          <w:spacing w:val="1"/>
        </w:rPr>
        <w:t>金2025</w:t>
      </w:r>
      <w:r>
        <w:rPr>
          <w:rFonts w:ascii="FangSong" w:hAnsi="FangSong" w:eastAsia="FangSong" w:cs="FangSong"/>
          <w:sz w:val="23"/>
          <w:szCs w:val="23"/>
        </w:rPr>
        <w:t xml:space="preserve"> </w:t>
      </w:r>
      <w:r>
        <w:rPr>
          <w:rFonts w:ascii="FangSong" w:hAnsi="FangSong" w:eastAsia="FangSong" w:cs="FangSong"/>
          <w:sz w:val="23"/>
          <w:szCs w:val="23"/>
          <w:spacing w:val="4"/>
        </w:rPr>
        <w:t>年不在预算单位预算资金，</w:t>
      </w:r>
      <w:r>
        <w:rPr>
          <w:rFonts w:ascii="FangSong" w:hAnsi="FangSong" w:eastAsia="FangSong" w:cs="FangSong"/>
          <w:sz w:val="23"/>
          <w:szCs w:val="23"/>
          <w:spacing w:val="-64"/>
        </w:rPr>
        <w:t xml:space="preserve"> </w:t>
      </w:r>
      <w:r>
        <w:rPr>
          <w:rFonts w:ascii="FangSong" w:hAnsi="FangSong" w:eastAsia="FangSong" w:cs="FangSong"/>
          <w:sz w:val="23"/>
          <w:szCs w:val="23"/>
          <w:spacing w:val="4"/>
        </w:rPr>
        <w:t>由财政部门直接预算，因此导致较202</w:t>
      </w:r>
      <w:r>
        <w:rPr>
          <w:rFonts w:ascii="FangSong" w:hAnsi="FangSong" w:eastAsia="FangSong" w:cs="FangSong"/>
          <w:sz w:val="23"/>
          <w:szCs w:val="23"/>
          <w:spacing w:val="3"/>
        </w:rPr>
        <w:t>4年减少792.28万元，下降</w:t>
      </w:r>
      <w:r>
        <w:rPr>
          <w:rFonts w:ascii="FangSong" w:hAnsi="FangSong" w:eastAsia="FangSong" w:cs="FangSong"/>
          <w:sz w:val="23"/>
          <w:szCs w:val="23"/>
        </w:rPr>
        <w:t xml:space="preserve"> </w:t>
      </w:r>
      <w:r>
        <w:rPr>
          <w:rFonts w:ascii="FangSong" w:hAnsi="FangSong" w:eastAsia="FangSong" w:cs="FangSong"/>
          <w:sz w:val="23"/>
          <w:szCs w:val="23"/>
          <w:spacing w:val="1"/>
        </w:rPr>
        <w:t>100%；医疗保障管理事务2025年较2024年增长53.44万元，增长14.7%；</w:t>
      </w:r>
      <w:r>
        <w:rPr>
          <w:rFonts w:ascii="FangSong" w:hAnsi="FangSong" w:eastAsia="FangSong" w:cs="FangSong"/>
          <w:sz w:val="23"/>
          <w:szCs w:val="23"/>
          <w:spacing w:val="-67"/>
        </w:rPr>
        <w:t xml:space="preserve"> </w:t>
      </w:r>
      <w:r>
        <w:rPr>
          <w:rFonts w:ascii="FangSong" w:hAnsi="FangSong" w:eastAsia="FangSong" w:cs="FangSong"/>
          <w:sz w:val="23"/>
          <w:szCs w:val="23"/>
          <w:spacing w:val="1"/>
        </w:rPr>
        <w:t>由于2024年调出1人，</w:t>
      </w:r>
      <w:r>
        <w:rPr>
          <w:rFonts w:ascii="FangSong" w:hAnsi="FangSong" w:eastAsia="FangSong" w:cs="FangSong"/>
          <w:sz w:val="23"/>
          <w:szCs w:val="23"/>
        </w:rPr>
        <w:t xml:space="preserve"> </w:t>
      </w:r>
      <w:r>
        <w:rPr>
          <w:rFonts w:ascii="FangSong" w:hAnsi="FangSong" w:eastAsia="FangSong" w:cs="FangSong"/>
          <w:sz w:val="23"/>
          <w:szCs w:val="23"/>
          <w:spacing w:val="5"/>
        </w:rPr>
        <w:t>因此住房公积金2025年较2024年减少</w:t>
      </w:r>
      <w:r>
        <w:rPr>
          <w:rFonts w:ascii="FangSong" w:hAnsi="FangSong" w:eastAsia="FangSong" w:cs="FangSong"/>
          <w:sz w:val="23"/>
          <w:szCs w:val="23"/>
          <w:spacing w:val="4"/>
        </w:rPr>
        <w:t>5.42万元，下降15.26%，机关单位基本养老保险缴费支</w:t>
      </w:r>
      <w:r>
        <w:rPr>
          <w:rFonts w:ascii="FangSong" w:hAnsi="FangSong" w:eastAsia="FangSong" w:cs="FangSong"/>
          <w:sz w:val="23"/>
          <w:szCs w:val="23"/>
        </w:rPr>
        <w:t xml:space="preserve"> </w:t>
      </w:r>
      <w:r>
        <w:rPr>
          <w:rFonts w:ascii="FangSong" w:hAnsi="FangSong" w:eastAsia="FangSong" w:cs="FangSong"/>
          <w:sz w:val="23"/>
          <w:szCs w:val="23"/>
          <w:spacing w:val="4"/>
        </w:rPr>
        <w:t>出2025年较2024年减少0.72万元，下降1.93%，单位医疗保险2025年较2024年减少0.3万元，</w:t>
      </w:r>
      <w:r>
        <w:rPr>
          <w:rFonts w:ascii="FangSong" w:hAnsi="FangSong" w:eastAsia="FangSong" w:cs="FangSong"/>
          <w:sz w:val="23"/>
          <w:szCs w:val="23"/>
          <w:spacing w:val="1"/>
        </w:rPr>
        <w:t xml:space="preserve"> </w:t>
      </w:r>
      <w:r>
        <w:rPr>
          <w:rFonts w:ascii="FangSong" w:hAnsi="FangSong" w:eastAsia="FangSong" w:cs="FangSong"/>
          <w:sz w:val="23"/>
          <w:szCs w:val="23"/>
          <w:spacing w:val="3"/>
        </w:rPr>
        <w:t>下降1.8%；2024年上年结转1.74万元，较上年增加113.79%，</w:t>
      </w:r>
      <w:r>
        <w:rPr>
          <w:rFonts w:ascii="FangSong" w:hAnsi="FangSong" w:eastAsia="FangSong" w:cs="FangSong"/>
          <w:sz w:val="23"/>
          <w:szCs w:val="23"/>
          <w:spacing w:val="-64"/>
        </w:rPr>
        <w:t xml:space="preserve"> </w:t>
      </w:r>
      <w:r>
        <w:rPr>
          <w:rFonts w:ascii="FangSong" w:hAnsi="FangSong" w:eastAsia="FangSong" w:cs="FangSong"/>
          <w:sz w:val="23"/>
          <w:szCs w:val="23"/>
          <w:spacing w:val="3"/>
        </w:rPr>
        <w:t>因此2025年较上年减少1923.86</w:t>
      </w:r>
      <w:r>
        <w:rPr>
          <w:rFonts w:ascii="FangSong" w:hAnsi="FangSong" w:eastAsia="FangSong" w:cs="FangSong"/>
          <w:sz w:val="23"/>
          <w:szCs w:val="23"/>
        </w:rPr>
        <w:t xml:space="preserve"> </w:t>
      </w:r>
      <w:r>
        <w:rPr>
          <w:rFonts w:ascii="FangSong" w:hAnsi="FangSong" w:eastAsia="FangSong" w:cs="FangSong"/>
          <w:sz w:val="23"/>
          <w:szCs w:val="23"/>
          <w:spacing w:val="4"/>
        </w:rPr>
        <w:t>万元，下降49.94%。；本年部门预算支出总计1,928.58万元，其中：本年预算安排1,924.87</w:t>
      </w:r>
      <w:r>
        <w:rPr>
          <w:rFonts w:ascii="FangSong" w:hAnsi="FangSong" w:eastAsia="FangSong" w:cs="FangSong"/>
          <w:sz w:val="23"/>
          <w:szCs w:val="23"/>
          <w:spacing w:val="12"/>
        </w:rPr>
        <w:t xml:space="preserve"> </w:t>
      </w:r>
      <w:r>
        <w:rPr>
          <w:rFonts w:ascii="FangSong" w:hAnsi="FangSong" w:eastAsia="FangSong" w:cs="FangSong"/>
          <w:sz w:val="23"/>
          <w:szCs w:val="23"/>
          <w:spacing w:val="2"/>
        </w:rPr>
        <w:t>万元，上年结转3.72万元，比上年减少1923.86万元，下降49.94%，主要原因是医疗救助上级</w:t>
      </w:r>
      <w:r>
        <w:rPr>
          <w:rFonts w:ascii="FangSong" w:hAnsi="FangSong" w:eastAsia="FangSong" w:cs="FangSong"/>
          <w:sz w:val="23"/>
          <w:szCs w:val="23"/>
          <w:spacing w:val="4"/>
        </w:rPr>
        <w:t xml:space="preserve"> </w:t>
      </w:r>
      <w:r>
        <w:rPr>
          <w:rFonts w:ascii="FangSong" w:hAnsi="FangSong" w:eastAsia="FangSong" w:cs="FangSong"/>
          <w:sz w:val="23"/>
          <w:szCs w:val="23"/>
          <w:spacing w:val="2"/>
        </w:rPr>
        <w:t>补助资金2025年较2024年减少1176.84万元，下降45.16%；城乡居民基本医疗保险县级补助资</w:t>
      </w:r>
      <w:r>
        <w:rPr>
          <w:rFonts w:ascii="FangSong" w:hAnsi="FangSong" w:eastAsia="FangSong" w:cs="FangSong"/>
          <w:sz w:val="23"/>
          <w:szCs w:val="23"/>
        </w:rPr>
        <w:t xml:space="preserve"> </w:t>
      </w:r>
      <w:r>
        <w:rPr>
          <w:rFonts w:ascii="FangSong" w:hAnsi="FangSong" w:eastAsia="FangSong" w:cs="FangSong"/>
          <w:sz w:val="23"/>
          <w:szCs w:val="23"/>
          <w:spacing w:val="7"/>
        </w:rPr>
        <w:t>金2025年不在预算单位预算资金，</w:t>
      </w:r>
      <w:r>
        <w:rPr>
          <w:rFonts w:ascii="FangSong" w:hAnsi="FangSong" w:eastAsia="FangSong" w:cs="FangSong"/>
          <w:sz w:val="23"/>
          <w:szCs w:val="23"/>
          <w:spacing w:val="-43"/>
        </w:rPr>
        <w:t xml:space="preserve"> </w:t>
      </w:r>
      <w:r>
        <w:rPr>
          <w:rFonts w:ascii="FangSong" w:hAnsi="FangSong" w:eastAsia="FangSong" w:cs="FangSong"/>
          <w:sz w:val="23"/>
          <w:szCs w:val="23"/>
          <w:spacing w:val="7"/>
        </w:rPr>
        <w:t>由财政部门直接预算，</w:t>
      </w:r>
      <w:r>
        <w:rPr>
          <w:rFonts w:ascii="FangSong" w:hAnsi="FangSong" w:eastAsia="FangSong" w:cs="FangSong"/>
          <w:sz w:val="23"/>
          <w:szCs w:val="23"/>
          <w:spacing w:val="-63"/>
        </w:rPr>
        <w:t xml:space="preserve"> </w:t>
      </w:r>
      <w:r>
        <w:rPr>
          <w:rFonts w:ascii="FangSong" w:hAnsi="FangSong" w:eastAsia="FangSong" w:cs="FangSong"/>
          <w:sz w:val="23"/>
          <w:szCs w:val="23"/>
          <w:spacing w:val="7"/>
        </w:rPr>
        <w:t>因此导致较2024年减少792.28万</w:t>
      </w:r>
      <w:r>
        <w:rPr>
          <w:rFonts w:ascii="FangSong" w:hAnsi="FangSong" w:eastAsia="FangSong" w:cs="FangSong"/>
          <w:sz w:val="23"/>
          <w:szCs w:val="23"/>
        </w:rPr>
        <w:t xml:space="preserve"> </w:t>
      </w:r>
      <w:r>
        <w:rPr>
          <w:rFonts w:ascii="FangSong" w:hAnsi="FangSong" w:eastAsia="FangSong" w:cs="FangSong"/>
          <w:sz w:val="23"/>
          <w:szCs w:val="23"/>
          <w:spacing w:val="3"/>
        </w:rPr>
        <w:t>元，下降100%；医疗保障管理事务2025年较2024年增长53.44万元，增长14.7%；</w:t>
      </w:r>
      <w:r>
        <w:rPr>
          <w:rFonts w:ascii="FangSong" w:hAnsi="FangSong" w:eastAsia="FangSong" w:cs="FangSong"/>
          <w:sz w:val="23"/>
          <w:szCs w:val="23"/>
          <w:spacing w:val="-58"/>
        </w:rPr>
        <w:t xml:space="preserve"> </w:t>
      </w:r>
      <w:r>
        <w:rPr>
          <w:rFonts w:ascii="FangSong" w:hAnsi="FangSong" w:eastAsia="FangSong" w:cs="FangSong"/>
          <w:sz w:val="23"/>
          <w:szCs w:val="23"/>
          <w:spacing w:val="3"/>
        </w:rPr>
        <w:t>由于2024年</w:t>
      </w:r>
      <w:r>
        <w:rPr>
          <w:rFonts w:ascii="FangSong" w:hAnsi="FangSong" w:eastAsia="FangSong" w:cs="FangSong"/>
          <w:sz w:val="23"/>
          <w:szCs w:val="23"/>
        </w:rPr>
        <w:t xml:space="preserve"> </w:t>
      </w:r>
      <w:r>
        <w:rPr>
          <w:rFonts w:ascii="FangSong" w:hAnsi="FangSong" w:eastAsia="FangSong" w:cs="FangSong"/>
          <w:sz w:val="23"/>
          <w:szCs w:val="23"/>
          <w:spacing w:val="2"/>
        </w:rPr>
        <w:t>调出1人，因此住房公积金2025年较2024年减少5.42万元，下降15.26%，机关单位基本养老保</w:t>
      </w:r>
      <w:r>
        <w:rPr>
          <w:rFonts w:ascii="FangSong" w:hAnsi="FangSong" w:eastAsia="FangSong" w:cs="FangSong"/>
          <w:sz w:val="23"/>
          <w:szCs w:val="23"/>
          <w:spacing w:val="1"/>
        </w:rPr>
        <w:t xml:space="preserve"> </w:t>
      </w:r>
      <w:r>
        <w:rPr>
          <w:rFonts w:ascii="FangSong" w:hAnsi="FangSong" w:eastAsia="FangSong" w:cs="FangSong"/>
          <w:sz w:val="23"/>
          <w:szCs w:val="23"/>
          <w:spacing w:val="7"/>
        </w:rPr>
        <w:t>险缴费支出2025年较2024年减少0</w:t>
      </w:r>
      <w:r>
        <w:rPr>
          <w:rFonts w:ascii="FangSong" w:hAnsi="FangSong" w:eastAsia="FangSong" w:cs="FangSong"/>
          <w:sz w:val="23"/>
          <w:szCs w:val="23"/>
          <w:spacing w:val="6"/>
        </w:rPr>
        <w:t>.72万元，下降1.93%，单位医疗保险2025年较2024年减少</w:t>
      </w:r>
      <w:r>
        <w:rPr>
          <w:rFonts w:ascii="FangSong" w:hAnsi="FangSong" w:eastAsia="FangSong" w:cs="FangSong"/>
          <w:sz w:val="23"/>
          <w:szCs w:val="23"/>
        </w:rPr>
        <w:t xml:space="preserve"> </w:t>
      </w:r>
      <w:r>
        <w:rPr>
          <w:rFonts w:ascii="FangSong" w:hAnsi="FangSong" w:eastAsia="FangSong" w:cs="FangSong"/>
          <w:sz w:val="23"/>
          <w:szCs w:val="23"/>
          <w:spacing w:val="4"/>
        </w:rPr>
        <w:t>0.3万元，下降1.8%；2024年上年结转1.74万元，较上年增加113.79%，因此2025年较上年减</w:t>
      </w:r>
      <w:r>
        <w:rPr>
          <w:rFonts w:ascii="FangSong" w:hAnsi="FangSong" w:eastAsia="FangSong" w:cs="FangSong"/>
          <w:sz w:val="23"/>
          <w:szCs w:val="23"/>
          <w:spacing w:val="4"/>
        </w:rPr>
        <w:t xml:space="preserve"> </w:t>
      </w:r>
      <w:r>
        <w:rPr>
          <w:rFonts w:ascii="FangSong" w:hAnsi="FangSong" w:eastAsia="FangSong" w:cs="FangSong"/>
          <w:sz w:val="23"/>
          <w:szCs w:val="23"/>
          <w:spacing w:val="-1"/>
        </w:rPr>
        <w:t>少1923.86万元，下降49.94%。</w:t>
      </w:r>
    </w:p>
    <w:p>
      <w:pPr>
        <w:ind w:left="1261"/>
        <w:spacing w:line="229" w:lineRule="exact"/>
        <w:outlineLvl w:val="1"/>
        <w:rPr>
          <w:rFonts w:ascii="Microsoft YaHei" w:hAnsi="Microsoft YaHei" w:eastAsia="Microsoft YaHei" w:cs="Microsoft YaHei"/>
          <w:sz w:val="22"/>
          <w:szCs w:val="22"/>
        </w:rPr>
      </w:pPr>
      <w:bookmarkStart w:name="bookmark21" w:id="38"/>
      <w:bookmarkEnd w:id="38"/>
      <w:r>
        <w:rPr>
          <w:rFonts w:ascii="Microsoft YaHei" w:hAnsi="Microsoft YaHei" w:eastAsia="Microsoft YaHei" w:cs="Microsoft YaHei"/>
          <w:sz w:val="22"/>
          <w:szCs w:val="22"/>
          <w:spacing w:val="8"/>
          <w:position w:val="-1"/>
        </w:rPr>
        <w:t>二、收入预算情况说明</w:t>
      </w:r>
    </w:p>
    <w:p>
      <w:pPr>
        <w:ind w:left="1263" w:right="1223" w:firstLine="456"/>
        <w:spacing w:before="187" w:line="325" w:lineRule="auto"/>
        <w:jc w:val="both"/>
        <w:rPr>
          <w:rFonts w:ascii="FangSong" w:hAnsi="FangSong" w:eastAsia="FangSong" w:cs="FangSong"/>
          <w:sz w:val="23"/>
          <w:szCs w:val="23"/>
        </w:rPr>
      </w:pPr>
      <w:r>
        <w:rPr>
          <w:rFonts w:ascii="FangSong" w:hAnsi="FangSong" w:eastAsia="FangSong" w:cs="FangSong"/>
          <w:sz w:val="23"/>
          <w:szCs w:val="23"/>
          <w:spacing w:val="15"/>
        </w:rPr>
        <w:t>2025年度兴县医疗保障局预算收入1,928.58万元</w:t>
      </w:r>
      <w:r>
        <w:rPr>
          <w:rFonts w:ascii="FangSong" w:hAnsi="FangSong" w:eastAsia="FangSong" w:cs="FangSong"/>
          <w:sz w:val="23"/>
          <w:szCs w:val="23"/>
          <w:spacing w:val="-62"/>
        </w:rPr>
        <w:t xml:space="preserve"> </w:t>
      </w:r>
      <w:r>
        <w:rPr>
          <w:rFonts w:ascii="FangSong" w:hAnsi="FangSong" w:eastAsia="FangSong" w:cs="FangSong"/>
          <w:sz w:val="23"/>
          <w:szCs w:val="23"/>
          <w:spacing w:val="15"/>
        </w:rPr>
        <w:t>，主要包括一</w:t>
      </w:r>
      <w:r>
        <w:rPr>
          <w:rFonts w:ascii="FangSong" w:hAnsi="FangSong" w:eastAsia="FangSong" w:cs="FangSong"/>
          <w:sz w:val="23"/>
          <w:szCs w:val="23"/>
          <w:spacing w:val="14"/>
        </w:rPr>
        <w:t>般公共预算拨款收入</w:t>
      </w:r>
      <w:r>
        <w:rPr>
          <w:rFonts w:ascii="FangSong" w:hAnsi="FangSong" w:eastAsia="FangSong" w:cs="FangSong"/>
          <w:sz w:val="23"/>
          <w:szCs w:val="23"/>
        </w:rPr>
        <w:t xml:space="preserve"> </w:t>
      </w:r>
      <w:r>
        <w:rPr>
          <w:rFonts w:ascii="FangSong" w:hAnsi="FangSong" w:eastAsia="FangSong" w:cs="FangSong"/>
          <w:sz w:val="23"/>
          <w:szCs w:val="23"/>
        </w:rPr>
        <w:t>1,924.87万元，</w:t>
      </w:r>
      <w:r>
        <w:rPr>
          <w:rFonts w:ascii="FangSong" w:hAnsi="FangSong" w:eastAsia="FangSong" w:cs="FangSong"/>
          <w:sz w:val="23"/>
          <w:szCs w:val="23"/>
          <w:spacing w:val="-57"/>
        </w:rPr>
        <w:t xml:space="preserve"> </w:t>
      </w:r>
      <w:r>
        <w:rPr>
          <w:rFonts w:ascii="FangSong" w:hAnsi="FangSong" w:eastAsia="FangSong" w:cs="FangSong"/>
          <w:sz w:val="23"/>
          <w:szCs w:val="23"/>
        </w:rPr>
        <w:t>占99.81%；政府性基金预算拨款收</w:t>
      </w:r>
      <w:r>
        <w:rPr>
          <w:rFonts w:ascii="FangSong" w:hAnsi="FangSong" w:eastAsia="FangSong" w:cs="FangSong"/>
          <w:sz w:val="23"/>
          <w:szCs w:val="23"/>
          <w:spacing w:val="-1"/>
        </w:rPr>
        <w:t>入0万元，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占0%；国有资本经营预算拨款收</w:t>
      </w:r>
      <w:r>
        <w:rPr>
          <w:rFonts w:ascii="FangSong" w:hAnsi="FangSong" w:eastAsia="FangSong" w:cs="FangSong"/>
          <w:sz w:val="23"/>
          <w:szCs w:val="23"/>
        </w:rPr>
        <w:t xml:space="preserve"> </w:t>
      </w:r>
      <w:r>
        <w:rPr>
          <w:rFonts w:ascii="FangSong" w:hAnsi="FangSong" w:eastAsia="FangSong" w:cs="FangSong"/>
          <w:sz w:val="23"/>
          <w:szCs w:val="23"/>
          <w:spacing w:val="-2"/>
        </w:rPr>
        <w:t>入0万元，</w:t>
      </w:r>
      <w:r>
        <w:rPr>
          <w:rFonts w:ascii="FangSong" w:hAnsi="FangSong" w:eastAsia="FangSong" w:cs="FangSong"/>
          <w:sz w:val="23"/>
          <w:szCs w:val="23"/>
          <w:spacing w:val="-40"/>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占0%；上年结转3.72</w:t>
      </w:r>
      <w:r>
        <w:rPr>
          <w:rFonts w:ascii="FangSong" w:hAnsi="FangSong" w:eastAsia="FangSong" w:cs="FangSong"/>
          <w:sz w:val="23"/>
          <w:szCs w:val="23"/>
        </w:rPr>
        <w:t xml:space="preserve"> </w:t>
      </w:r>
      <w:r>
        <w:rPr>
          <w:rFonts w:ascii="FangSong" w:hAnsi="FangSong" w:eastAsia="FangSong" w:cs="FangSong"/>
          <w:sz w:val="23"/>
          <w:szCs w:val="23"/>
          <w:spacing w:val="-7"/>
        </w:rPr>
        <w:t>万元，</w:t>
      </w:r>
      <w:r>
        <w:rPr>
          <w:rFonts w:ascii="FangSong" w:hAnsi="FangSong" w:eastAsia="FangSong" w:cs="FangSong"/>
          <w:sz w:val="23"/>
          <w:szCs w:val="23"/>
          <w:spacing w:val="-58"/>
        </w:rPr>
        <w:t xml:space="preserve"> </w:t>
      </w:r>
      <w:r>
        <w:rPr>
          <w:rFonts w:ascii="FangSong" w:hAnsi="FangSong" w:eastAsia="FangSong" w:cs="FangSong"/>
          <w:sz w:val="23"/>
          <w:szCs w:val="23"/>
          <w:spacing w:val="-7"/>
        </w:rPr>
        <w:t>占0.19%。</w:t>
      </w:r>
    </w:p>
    <w:p>
      <w:pPr>
        <w:pStyle w:val="BodyText"/>
        <w:spacing w:line="344" w:lineRule="auto"/>
        <w:rPr/>
      </w:pPr>
      <w:r/>
    </w:p>
    <w:p>
      <w:pPr>
        <w:ind w:firstLine="3485"/>
        <w:spacing w:before="1" w:line="2872" w:lineRule="exact"/>
        <w:rPr/>
      </w:pPr>
      <w:r>
        <w:rPr>
          <w:position w:val="-57"/>
        </w:rPr>
        <w:drawing>
          <wp:inline distT="0" distB="0" distL="0" distR="0">
            <wp:extent cx="2473252" cy="1823536"/>
            <wp:effectExtent l="0" t="0" r="0" b="0"/>
            <wp:docPr id="4" name="IM 4"/>
            <wp:cNvGraphicFramePr/>
            <a:graphic>
              <a:graphicData uri="http://schemas.openxmlformats.org/drawingml/2006/picture">
                <pic:pic>
                  <pic:nvPicPr>
                    <pic:cNvPr id="4" name="IM 4"/>
                    <pic:cNvPicPr/>
                  </pic:nvPicPr>
                  <pic:blipFill>
                    <a:blip r:embed="rId31"/>
                    <a:stretch>
                      <a:fillRect/>
                    </a:stretch>
                  </pic:blipFill>
                  <pic:spPr>
                    <a:xfrm rot="0">
                      <a:off x="0" y="0"/>
                      <a:ext cx="2473252" cy="1823536"/>
                    </a:xfrm>
                    <a:prstGeom prst="rect">
                      <a:avLst/>
                    </a:prstGeom>
                  </pic:spPr>
                </pic:pic>
              </a:graphicData>
            </a:graphic>
          </wp:inline>
        </w:drawing>
      </w:r>
    </w:p>
    <w:p>
      <w:pPr>
        <w:pStyle w:val="BodyText"/>
        <w:spacing w:line="280" w:lineRule="auto"/>
        <w:rPr/>
      </w:pPr>
      <w:r/>
    </w:p>
    <w:p>
      <w:pPr>
        <w:pStyle w:val="BodyText"/>
        <w:spacing w:line="28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9"/>
      <w:bookmarkEnd w:id="39"/>
      <w:r>
        <w:rPr>
          <w:rFonts w:ascii="Microsoft YaHei" w:hAnsi="Microsoft YaHei" w:eastAsia="Microsoft YaHei" w:cs="Microsoft YaHei"/>
          <w:sz w:val="22"/>
          <w:szCs w:val="22"/>
          <w:spacing w:val="7"/>
          <w:position w:val="-1"/>
        </w:rPr>
        <w:t>三、支出预算情况说明</w:t>
      </w:r>
    </w:p>
    <w:p>
      <w:pPr>
        <w:ind w:left="1259" w:right="1223" w:firstLine="461"/>
        <w:spacing w:before="174" w:line="331" w:lineRule="auto"/>
        <w:rPr>
          <w:rFonts w:ascii="FangSong" w:hAnsi="FangSong" w:eastAsia="FangSong" w:cs="FangSong"/>
          <w:sz w:val="23"/>
          <w:szCs w:val="23"/>
        </w:rPr>
      </w:pPr>
      <w:r>
        <w:rPr>
          <w:rFonts w:ascii="FangSong" w:hAnsi="FangSong" w:eastAsia="FangSong" w:cs="FangSong"/>
          <w:sz w:val="23"/>
          <w:szCs w:val="23"/>
          <w:spacing w:val="3"/>
        </w:rPr>
        <w:t>2025</w:t>
      </w:r>
      <w:r>
        <w:rPr>
          <w:rFonts w:ascii="FangSong" w:hAnsi="FangSong" w:eastAsia="FangSong" w:cs="FangSong"/>
          <w:sz w:val="23"/>
          <w:szCs w:val="23"/>
          <w:spacing w:val="-68"/>
        </w:rPr>
        <w:t xml:space="preserve"> </w:t>
      </w:r>
      <w:r>
        <w:rPr>
          <w:rFonts w:ascii="FangSong" w:hAnsi="FangSong" w:eastAsia="FangSong" w:cs="FangSong"/>
          <w:sz w:val="23"/>
          <w:szCs w:val="23"/>
          <w:spacing w:val="3"/>
        </w:rPr>
        <w:t>年度</w:t>
      </w:r>
      <w:r>
        <w:rPr>
          <w:rFonts w:ascii="FangSong" w:hAnsi="FangSong" w:eastAsia="FangSong" w:cs="FangSong"/>
          <w:sz w:val="23"/>
          <w:szCs w:val="23"/>
          <w:spacing w:val="-67"/>
        </w:rPr>
        <w:t xml:space="preserve"> </w:t>
      </w:r>
      <w:r>
        <w:rPr>
          <w:rFonts w:ascii="FangSong" w:hAnsi="FangSong" w:eastAsia="FangSong" w:cs="FangSong"/>
          <w:sz w:val="23"/>
          <w:szCs w:val="23"/>
          <w:spacing w:val="3"/>
        </w:rPr>
        <w:t>兴县</w:t>
      </w:r>
      <w:r>
        <w:rPr>
          <w:rFonts w:ascii="FangSong" w:hAnsi="FangSong" w:eastAsia="FangSong" w:cs="FangSong"/>
          <w:sz w:val="23"/>
          <w:szCs w:val="23"/>
          <w:spacing w:val="-53"/>
        </w:rPr>
        <w:t xml:space="preserve"> </w:t>
      </w:r>
      <w:r>
        <w:rPr>
          <w:rFonts w:ascii="FangSong" w:hAnsi="FangSong" w:eastAsia="FangSong" w:cs="FangSong"/>
          <w:sz w:val="23"/>
          <w:szCs w:val="23"/>
          <w:spacing w:val="3"/>
        </w:rPr>
        <w:t>医疗保</w:t>
      </w:r>
      <w:r>
        <w:rPr>
          <w:rFonts w:ascii="FangSong" w:hAnsi="FangSong" w:eastAsia="FangSong" w:cs="FangSong"/>
          <w:sz w:val="23"/>
          <w:szCs w:val="23"/>
          <w:spacing w:val="-61"/>
        </w:rPr>
        <w:t xml:space="preserve"> </w:t>
      </w:r>
      <w:r>
        <w:rPr>
          <w:rFonts w:ascii="FangSong" w:hAnsi="FangSong" w:eastAsia="FangSong" w:cs="FangSong"/>
          <w:sz w:val="23"/>
          <w:szCs w:val="23"/>
          <w:spacing w:val="3"/>
        </w:rPr>
        <w:t>障局支</w:t>
      </w:r>
      <w:r>
        <w:rPr>
          <w:rFonts w:ascii="FangSong" w:hAnsi="FangSong" w:eastAsia="FangSong" w:cs="FangSong"/>
          <w:sz w:val="23"/>
          <w:szCs w:val="23"/>
          <w:spacing w:val="-49"/>
        </w:rPr>
        <w:t xml:space="preserve"> </w:t>
      </w:r>
      <w:r>
        <w:rPr>
          <w:rFonts w:ascii="FangSong" w:hAnsi="FangSong" w:eastAsia="FangSong" w:cs="FangSong"/>
          <w:sz w:val="23"/>
          <w:szCs w:val="23"/>
          <w:spacing w:val="3"/>
        </w:rPr>
        <w:t>出预算1928.58万元</w:t>
      </w:r>
      <w:r>
        <w:rPr>
          <w:rFonts w:ascii="FangSong" w:hAnsi="FangSong" w:eastAsia="FangSong" w:cs="FangSong"/>
          <w:sz w:val="23"/>
          <w:szCs w:val="23"/>
          <w:spacing w:val="-56"/>
        </w:rPr>
        <w:t xml:space="preserve"> </w:t>
      </w:r>
      <w:r>
        <w:rPr>
          <w:rFonts w:ascii="FangSong" w:hAnsi="FangSong" w:eastAsia="FangSong" w:cs="FangSong"/>
          <w:sz w:val="23"/>
          <w:szCs w:val="23"/>
          <w:spacing w:val="3"/>
        </w:rPr>
        <w:t>，其</w:t>
      </w:r>
      <w:r>
        <w:rPr>
          <w:rFonts w:ascii="FangSong" w:hAnsi="FangSong" w:eastAsia="FangSong" w:cs="FangSong"/>
          <w:sz w:val="23"/>
          <w:szCs w:val="23"/>
          <w:spacing w:val="-44"/>
        </w:rPr>
        <w:t xml:space="preserve"> </w:t>
      </w:r>
      <w:r>
        <w:rPr>
          <w:rFonts w:ascii="FangSong" w:hAnsi="FangSong" w:eastAsia="FangSong" w:cs="FangSong"/>
          <w:sz w:val="23"/>
          <w:szCs w:val="23"/>
          <w:spacing w:val="2"/>
        </w:rPr>
        <w:t>中</w:t>
      </w:r>
      <w:r>
        <w:rPr>
          <w:rFonts w:ascii="FangSong" w:hAnsi="FangSong" w:eastAsia="FangSong" w:cs="FangSong"/>
          <w:sz w:val="23"/>
          <w:szCs w:val="23"/>
          <w:spacing w:val="-55"/>
        </w:rPr>
        <w:t xml:space="preserve"> </w:t>
      </w:r>
      <w:r>
        <w:rPr>
          <w:rFonts w:ascii="FangSong" w:hAnsi="FangSong" w:eastAsia="FangSong" w:cs="FangSong"/>
          <w:sz w:val="23"/>
          <w:szCs w:val="23"/>
          <w:spacing w:val="2"/>
        </w:rPr>
        <w:t>：基本支</w:t>
      </w:r>
      <w:r>
        <w:rPr>
          <w:rFonts w:ascii="FangSong" w:hAnsi="FangSong" w:eastAsia="FangSong" w:cs="FangSong"/>
          <w:sz w:val="23"/>
          <w:szCs w:val="23"/>
          <w:spacing w:val="-49"/>
        </w:rPr>
        <w:t xml:space="preserve"> </w:t>
      </w:r>
      <w:r>
        <w:rPr>
          <w:rFonts w:ascii="FangSong" w:hAnsi="FangSong" w:eastAsia="FangSong" w:cs="FangSong"/>
          <w:sz w:val="23"/>
          <w:szCs w:val="23"/>
          <w:spacing w:val="2"/>
        </w:rPr>
        <w:t>出392.53万元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w:t>
      </w:r>
      <w:r>
        <w:rPr>
          <w:rFonts w:ascii="FangSong" w:hAnsi="FangSong" w:eastAsia="FangSong" w:cs="FangSong"/>
          <w:sz w:val="23"/>
          <w:szCs w:val="23"/>
          <w:spacing w:val="-33"/>
        </w:rPr>
        <w:t xml:space="preserve"> </w:t>
      </w:r>
      <w:r>
        <w:rPr>
          <w:rFonts w:ascii="FangSong" w:hAnsi="FangSong" w:eastAsia="FangSong" w:cs="FangSong"/>
          <w:sz w:val="23"/>
          <w:szCs w:val="23"/>
          <w:spacing w:val="2"/>
        </w:rPr>
        <w:t>占</w:t>
      </w:r>
      <w:r>
        <w:rPr>
          <w:rFonts w:ascii="FangSong" w:hAnsi="FangSong" w:eastAsia="FangSong" w:cs="FangSong"/>
          <w:sz w:val="23"/>
          <w:szCs w:val="23"/>
        </w:rPr>
        <w:t xml:space="preserve"> </w:t>
      </w:r>
      <w:r>
        <w:rPr>
          <w:rFonts w:ascii="FangSong" w:hAnsi="FangSong" w:eastAsia="FangSong" w:cs="FangSong"/>
          <w:sz w:val="23"/>
          <w:szCs w:val="23"/>
          <w:spacing w:val="-2"/>
        </w:rPr>
        <w:t>20.35%；项目支出1536.06万元，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占79.65%。</w:t>
      </w:r>
    </w:p>
    <w:p>
      <w:pPr>
        <w:spacing w:line="331" w:lineRule="auto"/>
        <w:sectPr>
          <w:headerReference w:type="default" r:id="rId5"/>
          <w:footerReference w:type="default" r:id="rId30"/>
          <w:pgSz w:w="11900" w:h="16840"/>
          <w:pgMar w:top="642" w:right="0" w:bottom="340" w:left="0" w:header="326" w:footer="111" w:gutter="0"/>
        </w:sectPr>
        <w:rPr>
          <w:rFonts w:ascii="FangSong" w:hAnsi="FangSong" w:eastAsia="FangSong" w:cs="FangSong"/>
          <w:sz w:val="23"/>
          <w:szCs w:val="23"/>
        </w:rPr>
      </w:pPr>
    </w:p>
    <w:p>
      <w:pPr>
        <w:pStyle w:val="BodyText"/>
        <w:spacing w:line="270" w:lineRule="auto"/>
        <w:rPr/>
      </w:pPr>
      <w:r/>
    </w:p>
    <w:p>
      <w:pPr>
        <w:pStyle w:val="BodyText"/>
        <w:spacing w:line="270" w:lineRule="auto"/>
        <w:rPr/>
      </w:pPr>
      <w:r/>
    </w:p>
    <w:p>
      <w:pPr>
        <w:ind w:left="1271"/>
        <w:spacing w:before="94" w:line="230" w:lineRule="exact"/>
        <w:outlineLvl w:val="1"/>
        <w:rPr>
          <w:rFonts w:ascii="Microsoft YaHei" w:hAnsi="Microsoft YaHei" w:eastAsia="Microsoft YaHei" w:cs="Microsoft YaHei"/>
          <w:sz w:val="22"/>
          <w:szCs w:val="22"/>
        </w:rPr>
      </w:pPr>
      <w:bookmarkStart w:name="bookmark23" w:id="40"/>
      <w:bookmarkEnd w:id="40"/>
      <w:r>
        <w:rPr>
          <w:rFonts w:ascii="Microsoft YaHei" w:hAnsi="Microsoft YaHei" w:eastAsia="Microsoft YaHei" w:cs="Microsoft YaHei"/>
          <w:sz w:val="22"/>
          <w:szCs w:val="22"/>
          <w:spacing w:val="8"/>
          <w:position w:val="-1"/>
        </w:rPr>
        <w:t>四、财政拨款收支预算总体情况说明</w:t>
      </w:r>
    </w:p>
    <w:p>
      <w:pPr>
        <w:ind w:left="1273" w:right="1223" w:firstLine="446"/>
        <w:spacing w:before="174"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2025年度兴县医疗保障局财政拨款收支总预算1,928.58万元。其中：一般</w:t>
      </w:r>
      <w:r>
        <w:rPr>
          <w:rFonts w:ascii="FangSong" w:hAnsi="FangSong" w:eastAsia="FangSong" w:cs="FangSong"/>
          <w:sz w:val="23"/>
          <w:szCs w:val="23"/>
          <w:spacing w:val="4"/>
        </w:rPr>
        <w:t>公共预算拨款</w:t>
      </w:r>
      <w:r>
        <w:rPr>
          <w:rFonts w:ascii="FangSong" w:hAnsi="FangSong" w:eastAsia="FangSong" w:cs="FangSong"/>
          <w:sz w:val="23"/>
          <w:szCs w:val="23"/>
        </w:rPr>
        <w:t xml:space="preserve"> </w:t>
      </w:r>
      <w:r>
        <w:rPr>
          <w:rFonts w:ascii="FangSong" w:hAnsi="FangSong" w:eastAsia="FangSong" w:cs="FangSong"/>
          <w:sz w:val="23"/>
          <w:szCs w:val="23"/>
          <w:spacing w:val="2"/>
        </w:rPr>
        <w:t>1,928.58万元，政府性基金预算拨款0万元，</w:t>
      </w:r>
      <w:r>
        <w:rPr>
          <w:rFonts w:ascii="FangSong" w:hAnsi="FangSong" w:eastAsia="FangSong" w:cs="FangSong"/>
          <w:sz w:val="23"/>
          <w:szCs w:val="23"/>
          <w:spacing w:val="-55"/>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w:t>
      </w:r>
      <w:r>
        <w:rPr>
          <w:rFonts w:ascii="FangSong" w:hAnsi="FangSong" w:eastAsia="FangSong" w:cs="FangSong"/>
          <w:sz w:val="23"/>
          <w:szCs w:val="23"/>
        </w:rPr>
        <w:t xml:space="preserve"> </w:t>
      </w:r>
      <w:r>
        <w:rPr>
          <w:rFonts w:ascii="FangSong" w:hAnsi="FangSong" w:eastAsia="FangSong" w:cs="FangSong"/>
          <w:sz w:val="23"/>
          <w:szCs w:val="23"/>
          <w:spacing w:val="2"/>
        </w:rPr>
        <w:t>收入1,924.87万元，上年结转收入3.72万元。支出包括：社会保障和就</w:t>
      </w:r>
      <w:r>
        <w:rPr>
          <w:rFonts w:ascii="FangSong" w:hAnsi="FangSong" w:eastAsia="FangSong" w:cs="FangSong"/>
          <w:sz w:val="23"/>
          <w:szCs w:val="23"/>
          <w:spacing w:val="1"/>
        </w:rPr>
        <w:t>业支出36.42万元、卫</w:t>
      </w:r>
      <w:r>
        <w:rPr>
          <w:rFonts w:ascii="FangSong" w:hAnsi="FangSong" w:eastAsia="FangSong" w:cs="FangSong"/>
          <w:sz w:val="23"/>
          <w:szCs w:val="23"/>
        </w:rPr>
        <w:t xml:space="preserve"> </w:t>
      </w:r>
      <w:r>
        <w:rPr>
          <w:rFonts w:ascii="FangSong" w:hAnsi="FangSong" w:eastAsia="FangSong" w:cs="FangSong"/>
          <w:sz w:val="23"/>
          <w:szCs w:val="23"/>
          <w:spacing w:val="-1"/>
        </w:rPr>
        <w:t>生健康支出1,862.07万元、住房保障支出30.10万元等。</w:t>
      </w:r>
    </w:p>
    <w:p>
      <w:pPr>
        <w:ind w:left="1264"/>
        <w:spacing w:before="2" w:line="230" w:lineRule="exact"/>
        <w:outlineLvl w:val="1"/>
        <w:rPr>
          <w:rFonts w:ascii="Microsoft YaHei" w:hAnsi="Microsoft YaHei" w:eastAsia="Microsoft YaHei" w:cs="Microsoft YaHei"/>
          <w:sz w:val="22"/>
          <w:szCs w:val="22"/>
        </w:rPr>
      </w:pPr>
      <w:bookmarkStart w:name="bookmark24" w:id="41"/>
      <w:bookmarkEnd w:id="41"/>
      <w:r>
        <w:rPr>
          <w:rFonts w:ascii="Microsoft YaHei" w:hAnsi="Microsoft YaHei" w:eastAsia="Microsoft YaHei" w:cs="Microsoft YaHei"/>
          <w:sz w:val="22"/>
          <w:szCs w:val="22"/>
          <w:spacing w:val="8"/>
          <w:position w:val="-1"/>
        </w:rPr>
        <w:t>五、一般公共预算支出情况说明</w:t>
      </w:r>
    </w:p>
    <w:p>
      <w:pPr>
        <w:ind w:left="17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7" w:right="1223" w:firstLine="453"/>
        <w:spacing w:before="124" w:line="325" w:lineRule="auto"/>
        <w:rPr>
          <w:rFonts w:ascii="FangSong" w:hAnsi="FangSong" w:eastAsia="FangSong" w:cs="FangSong"/>
          <w:sz w:val="23"/>
          <w:szCs w:val="23"/>
        </w:rPr>
      </w:pPr>
      <w:r>
        <w:rPr>
          <w:rFonts w:ascii="FangSong" w:hAnsi="FangSong" w:eastAsia="FangSong" w:cs="FangSong"/>
          <w:sz w:val="23"/>
          <w:szCs w:val="23"/>
          <w:spacing w:val="7"/>
        </w:rPr>
        <w:t>2025年度兴县医疗保障局一般公共预算当年支出1,924.87万元</w:t>
      </w:r>
      <w:r>
        <w:rPr>
          <w:rFonts w:ascii="FangSong" w:hAnsi="FangSong" w:eastAsia="FangSong" w:cs="FangSong"/>
          <w:sz w:val="23"/>
          <w:szCs w:val="23"/>
          <w:spacing w:val="-56"/>
        </w:rPr>
        <w:t xml:space="preserve"> </w:t>
      </w:r>
      <w:r>
        <w:rPr>
          <w:rFonts w:ascii="FangSong" w:hAnsi="FangSong" w:eastAsia="FangSong" w:cs="FangSong"/>
          <w:sz w:val="23"/>
          <w:szCs w:val="23"/>
          <w:spacing w:val="7"/>
        </w:rPr>
        <w:t>,</w:t>
      </w:r>
      <w:r>
        <w:rPr>
          <w:rFonts w:ascii="FangSong" w:hAnsi="FangSong" w:eastAsia="FangSong" w:cs="FangSong"/>
          <w:sz w:val="23"/>
          <w:szCs w:val="23"/>
          <w:spacing w:val="-59"/>
        </w:rPr>
        <w:t xml:space="preserve"> </w:t>
      </w:r>
      <w:r>
        <w:rPr>
          <w:rFonts w:ascii="FangSong" w:hAnsi="FangSong" w:eastAsia="FangSong" w:cs="FangSong"/>
          <w:sz w:val="23"/>
          <w:szCs w:val="23"/>
          <w:spacing w:val="7"/>
        </w:rPr>
        <w:t>比上年减少1925.83万</w:t>
      </w:r>
      <w:r>
        <w:rPr>
          <w:rFonts w:ascii="FangSong" w:hAnsi="FangSong" w:eastAsia="FangSong" w:cs="FangSong"/>
          <w:sz w:val="23"/>
          <w:szCs w:val="23"/>
        </w:rPr>
        <w:t xml:space="preserve"> </w:t>
      </w:r>
      <w:r>
        <w:rPr>
          <w:rFonts w:ascii="FangSong" w:hAnsi="FangSong" w:eastAsia="FangSong" w:cs="FangSong"/>
          <w:sz w:val="23"/>
          <w:szCs w:val="23"/>
          <w:spacing w:val="-2"/>
        </w:rPr>
        <w:t>元，下降50.01%。</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1264" w:right="1223" w:firstLine="455"/>
        <w:spacing w:before="122" w:line="327" w:lineRule="auto"/>
        <w:jc w:val="both"/>
        <w:rPr>
          <w:rFonts w:ascii="FangSong" w:hAnsi="FangSong" w:eastAsia="FangSong" w:cs="FangSong"/>
          <w:sz w:val="23"/>
          <w:szCs w:val="23"/>
        </w:rPr>
      </w:pPr>
      <w:r>
        <w:rPr>
          <w:rFonts w:ascii="FangSong" w:hAnsi="FangSong" w:eastAsia="FangSong" w:cs="FangSong"/>
          <w:sz w:val="23"/>
          <w:szCs w:val="23"/>
          <w:spacing w:val="2"/>
        </w:rPr>
        <w:t>2025年度兴县医疗保障局一般公共预算当年支出1,924.87万元,主要用于以下方面：社会</w:t>
      </w:r>
      <w:r>
        <w:rPr>
          <w:rFonts w:ascii="FangSong" w:hAnsi="FangSong" w:eastAsia="FangSong" w:cs="FangSong"/>
          <w:sz w:val="23"/>
          <w:szCs w:val="23"/>
          <w:spacing w:val="9"/>
        </w:rPr>
        <w:t xml:space="preserve"> </w:t>
      </w:r>
      <w:r>
        <w:rPr>
          <w:rFonts w:ascii="FangSong" w:hAnsi="FangSong" w:eastAsia="FangSong" w:cs="FangSong"/>
          <w:sz w:val="23"/>
          <w:szCs w:val="23"/>
          <w:spacing w:val="2"/>
        </w:rPr>
        <w:t>保障和就业支出36.42万元，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占1.89%；卫生健康支出1,858.</w:t>
      </w:r>
      <w:r>
        <w:rPr>
          <w:rFonts w:ascii="FangSong" w:hAnsi="FangSong" w:eastAsia="FangSong" w:cs="FangSong"/>
          <w:sz w:val="23"/>
          <w:szCs w:val="23"/>
          <w:spacing w:val="1"/>
        </w:rPr>
        <w:t>36万元，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占96.54%；住房保障支</w:t>
      </w:r>
      <w:r>
        <w:rPr>
          <w:rFonts w:ascii="FangSong" w:hAnsi="FangSong" w:eastAsia="FangSong" w:cs="FangSong"/>
          <w:sz w:val="23"/>
          <w:szCs w:val="23"/>
        </w:rPr>
        <w:t xml:space="preserve"> </w:t>
      </w:r>
      <w:r>
        <w:rPr>
          <w:rFonts w:ascii="FangSong" w:hAnsi="FangSong" w:eastAsia="FangSong" w:cs="FangSong"/>
          <w:sz w:val="23"/>
          <w:szCs w:val="23"/>
          <w:spacing w:val="-4"/>
        </w:rPr>
        <w:t>出30.10万元，</w:t>
      </w:r>
      <w:r>
        <w:rPr>
          <w:rFonts w:ascii="FangSong" w:hAnsi="FangSong" w:eastAsia="FangSong" w:cs="FangSong"/>
          <w:sz w:val="23"/>
          <w:szCs w:val="23"/>
          <w:spacing w:val="-58"/>
        </w:rPr>
        <w:t xml:space="preserve"> </w:t>
      </w:r>
      <w:r>
        <w:rPr>
          <w:rFonts w:ascii="FangSong" w:hAnsi="FangSong" w:eastAsia="FangSong" w:cs="FangSong"/>
          <w:sz w:val="23"/>
          <w:szCs w:val="23"/>
          <w:spacing w:val="-4"/>
        </w:rPr>
        <w:t>占1.56%等。</w:t>
      </w:r>
    </w:p>
    <w:p>
      <w:pPr>
        <w:ind w:firstLine="4764"/>
        <w:spacing w:before="128" w:line="2484" w:lineRule="exact"/>
        <w:rPr/>
      </w:pPr>
      <w:r>
        <w:rPr>
          <w:position w:val="-49"/>
        </w:rPr>
        <w:drawing>
          <wp:inline distT="0" distB="0" distL="0" distR="0">
            <wp:extent cx="1737618" cy="1577739"/>
            <wp:effectExtent l="0" t="0" r="0" b="0"/>
            <wp:docPr id="6" name="IM 6"/>
            <wp:cNvGraphicFramePr/>
            <a:graphic>
              <a:graphicData uri="http://schemas.openxmlformats.org/drawingml/2006/picture">
                <pic:pic>
                  <pic:nvPicPr>
                    <pic:cNvPr id="6" name="IM 6"/>
                    <pic:cNvPicPr/>
                  </pic:nvPicPr>
                  <pic:blipFill>
                    <a:blip r:embed="rId34"/>
                    <a:stretch>
                      <a:fillRect/>
                    </a:stretch>
                  </pic:blipFill>
                  <pic:spPr>
                    <a:xfrm rot="0">
                      <a:off x="0" y="0"/>
                      <a:ext cx="1737618" cy="1577739"/>
                    </a:xfrm>
                    <a:prstGeom prst="rect">
                      <a:avLst/>
                    </a:prstGeom>
                  </pic:spPr>
                </pic:pic>
              </a:graphicData>
            </a:graphic>
          </wp:inline>
        </w:drawing>
      </w:r>
    </w:p>
    <w:p>
      <w:pPr>
        <w:pStyle w:val="BodyText"/>
        <w:spacing w:line="259" w:lineRule="auto"/>
        <w:rPr/>
      </w:pPr>
      <w:r/>
    </w:p>
    <w:p>
      <w:pPr>
        <w:pStyle w:val="BodyText"/>
        <w:spacing w:line="26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5" w:id="42"/>
      <w:bookmarkEnd w:id="42"/>
      <w:r>
        <w:rPr>
          <w:rFonts w:ascii="Microsoft YaHei" w:hAnsi="Microsoft YaHei" w:eastAsia="Microsoft YaHei" w:cs="Microsoft YaHei"/>
          <w:sz w:val="22"/>
          <w:szCs w:val="22"/>
          <w:spacing w:val="8"/>
          <w:position w:val="-1"/>
        </w:rPr>
        <w:t>六、一般公共预算基本支出情况说明</w:t>
      </w:r>
    </w:p>
    <w:p>
      <w:pPr>
        <w:ind w:left="1720"/>
        <w:spacing w:before="186" w:line="221" w:lineRule="auto"/>
        <w:rPr>
          <w:rFonts w:ascii="FangSong" w:hAnsi="FangSong" w:eastAsia="FangSong" w:cs="FangSong"/>
          <w:sz w:val="23"/>
          <w:szCs w:val="23"/>
        </w:rPr>
      </w:pPr>
      <w:r>
        <w:rPr>
          <w:rFonts w:ascii="FangSong" w:hAnsi="FangSong" w:eastAsia="FangSong" w:cs="FangSong"/>
          <w:sz w:val="23"/>
          <w:szCs w:val="23"/>
        </w:rPr>
        <w:t>2025年度兴县医疗保障局一般公共预算安排基本支出392.53万元，其中：</w:t>
      </w:r>
    </w:p>
    <w:p>
      <w:pPr>
        <w:ind w:left="1264" w:right="1223" w:firstLine="463"/>
        <w:spacing w:before="124" w:line="324" w:lineRule="auto"/>
        <w:jc w:val="both"/>
        <w:rPr>
          <w:rFonts w:ascii="FangSong" w:hAnsi="FangSong" w:eastAsia="FangSong" w:cs="FangSong"/>
          <w:sz w:val="23"/>
          <w:szCs w:val="23"/>
        </w:rPr>
      </w:pPr>
      <w:r>
        <w:rPr>
          <w:rFonts w:ascii="FangSong" w:hAnsi="FangSong" w:eastAsia="FangSong" w:cs="FangSong"/>
          <w:sz w:val="23"/>
          <w:szCs w:val="23"/>
          <w:spacing w:val="5"/>
        </w:rPr>
        <w:t>人员经费365.45万元，主要包括：其他工资福利支出、公务员医疗补助缴费、其他社会</w:t>
      </w:r>
      <w:r>
        <w:rPr>
          <w:rFonts w:ascii="FangSong" w:hAnsi="FangSong" w:eastAsia="FangSong" w:cs="FangSong"/>
          <w:sz w:val="23"/>
          <w:szCs w:val="23"/>
          <w:spacing w:val="1"/>
        </w:rPr>
        <w:t xml:space="preserve"> </w:t>
      </w:r>
      <w:r>
        <w:rPr>
          <w:rFonts w:ascii="FangSong" w:hAnsi="FangSong" w:eastAsia="FangSong" w:cs="FangSong"/>
          <w:sz w:val="23"/>
          <w:szCs w:val="23"/>
          <w:spacing w:val="5"/>
        </w:rPr>
        <w:t>保障缴费、绩效工资、基本工资、奖金、住房公积金、机关事业单位基本养老保险缴费、职</w:t>
      </w:r>
      <w:r>
        <w:rPr>
          <w:rFonts w:ascii="FangSong" w:hAnsi="FangSong" w:eastAsia="FangSong" w:cs="FangSong"/>
          <w:sz w:val="23"/>
          <w:szCs w:val="23"/>
          <w:spacing w:val="10"/>
        </w:rPr>
        <w:t xml:space="preserve"> </w:t>
      </w:r>
      <w:r>
        <w:rPr>
          <w:rFonts w:ascii="FangSong" w:hAnsi="FangSong" w:eastAsia="FangSong" w:cs="FangSong"/>
          <w:sz w:val="23"/>
          <w:szCs w:val="23"/>
          <w:spacing w:val="-1"/>
        </w:rPr>
        <w:t>工基本医疗保险缴费、津贴补贴等；</w:t>
      </w:r>
    </w:p>
    <w:p>
      <w:pPr>
        <w:ind w:left="1272" w:right="1223" w:firstLine="457"/>
        <w:spacing w:before="2" w:line="322" w:lineRule="auto"/>
        <w:rPr>
          <w:rFonts w:ascii="FangSong" w:hAnsi="FangSong" w:eastAsia="FangSong" w:cs="FangSong"/>
          <w:sz w:val="23"/>
          <w:szCs w:val="23"/>
        </w:rPr>
      </w:pPr>
      <w:r>
        <w:rPr>
          <w:rFonts w:ascii="FangSong" w:hAnsi="FangSong" w:eastAsia="FangSong" w:cs="FangSong"/>
          <w:sz w:val="23"/>
          <w:szCs w:val="23"/>
          <w:spacing w:val="8"/>
        </w:rPr>
        <w:t>公用经费27.08万元，主要包括：办公费、福利费、其他交通费用、工会经费、取暖费</w:t>
      </w:r>
      <w:r>
        <w:rPr>
          <w:rFonts w:ascii="FangSong" w:hAnsi="FangSong" w:eastAsia="FangSong" w:cs="FangSong"/>
          <w:sz w:val="23"/>
          <w:szCs w:val="23"/>
        </w:rPr>
        <w:t xml:space="preserve"> </w:t>
      </w:r>
      <w:r>
        <w:rPr>
          <w:rFonts w:ascii="FangSong" w:hAnsi="FangSong" w:eastAsia="FangSong" w:cs="FangSong"/>
          <w:sz w:val="23"/>
          <w:szCs w:val="23"/>
          <w:spacing w:val="-12"/>
        </w:rPr>
        <w:t>等。</w:t>
      </w:r>
    </w:p>
    <w:p>
      <w:pPr>
        <w:ind w:left="1255"/>
        <w:spacing w:before="3" w:line="229" w:lineRule="exact"/>
        <w:outlineLvl w:val="1"/>
        <w:rPr>
          <w:rFonts w:ascii="Microsoft YaHei" w:hAnsi="Microsoft YaHei" w:eastAsia="Microsoft YaHei" w:cs="Microsoft YaHei"/>
          <w:sz w:val="22"/>
          <w:szCs w:val="22"/>
        </w:rPr>
      </w:pPr>
      <w:bookmarkStart w:name="bookmark26" w:id="43"/>
      <w:bookmarkEnd w:id="43"/>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5" w:line="222" w:lineRule="auto"/>
        <w:rPr>
          <w:rFonts w:ascii="FangSong" w:hAnsi="FangSong" w:eastAsia="FangSong" w:cs="FangSong"/>
          <w:sz w:val="23"/>
          <w:szCs w:val="23"/>
        </w:rPr>
      </w:pPr>
      <w:r>
        <w:rPr>
          <w:rFonts w:ascii="FangSong" w:hAnsi="FangSong" w:eastAsia="FangSong" w:cs="FangSong"/>
          <w:sz w:val="23"/>
          <w:szCs w:val="23"/>
          <w:spacing w:val="-4"/>
        </w:rPr>
        <w:t>本部门无“三公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18" w:line="231" w:lineRule="exact"/>
        <w:outlineLvl w:val="1"/>
        <w:rPr>
          <w:rFonts w:ascii="Microsoft YaHei" w:hAnsi="Microsoft YaHei" w:eastAsia="Microsoft YaHei" w:cs="Microsoft YaHei"/>
          <w:sz w:val="23"/>
          <w:szCs w:val="23"/>
        </w:rPr>
      </w:pPr>
      <w:bookmarkStart w:name="bookmark27" w:id="44"/>
      <w:bookmarkEnd w:id="44"/>
      <w:r>
        <w:rPr>
          <w:rFonts w:ascii="Microsoft YaHei" w:hAnsi="Microsoft YaHei" w:eastAsia="Microsoft YaHei" w:cs="Microsoft YaHei"/>
          <w:sz w:val="23"/>
          <w:szCs w:val="23"/>
          <w:spacing w:val="-1"/>
          <w:position w:val="-1"/>
        </w:rPr>
        <w:t>八、机关运行经费增减变动原因说明</w:t>
      </w:r>
    </w:p>
    <w:p>
      <w:pPr>
        <w:ind w:left="1273" w:right="1223" w:firstLine="452"/>
        <w:spacing w:before="185" w:line="320" w:lineRule="auto"/>
        <w:rPr>
          <w:rFonts w:ascii="FangSong" w:hAnsi="FangSong" w:eastAsia="FangSong" w:cs="FangSong"/>
          <w:sz w:val="23"/>
          <w:szCs w:val="23"/>
        </w:rPr>
      </w:pPr>
      <w:r>
        <w:rPr>
          <w:rFonts w:ascii="FangSong" w:hAnsi="FangSong" w:eastAsia="FangSong" w:cs="FangSong"/>
          <w:sz w:val="23"/>
          <w:szCs w:val="23"/>
          <w:spacing w:val="11"/>
        </w:rPr>
        <w:t>本单位机</w:t>
      </w:r>
      <w:r>
        <w:rPr>
          <w:rFonts w:ascii="FangSong" w:hAnsi="FangSong" w:eastAsia="FangSong" w:cs="FangSong"/>
          <w:sz w:val="23"/>
          <w:szCs w:val="23"/>
          <w:spacing w:val="-68"/>
        </w:rPr>
        <w:t xml:space="preserve"> </w:t>
      </w:r>
      <w:r>
        <w:rPr>
          <w:rFonts w:ascii="FangSong" w:hAnsi="FangSong" w:eastAsia="FangSong" w:cs="FangSong"/>
          <w:sz w:val="23"/>
          <w:szCs w:val="23"/>
          <w:spacing w:val="11"/>
        </w:rPr>
        <w:t>关运行经</w:t>
      </w:r>
      <w:r>
        <w:rPr>
          <w:rFonts w:ascii="FangSong" w:hAnsi="FangSong" w:eastAsia="FangSong" w:cs="FangSong"/>
          <w:sz w:val="23"/>
          <w:szCs w:val="23"/>
          <w:spacing w:val="-67"/>
        </w:rPr>
        <w:t xml:space="preserve"> </w:t>
      </w:r>
      <w:r>
        <w:rPr>
          <w:rFonts w:ascii="FangSong" w:hAnsi="FangSong" w:eastAsia="FangSong" w:cs="FangSong"/>
          <w:sz w:val="23"/>
          <w:szCs w:val="23"/>
          <w:spacing w:val="11"/>
        </w:rPr>
        <w:t>费财政拨款预算27.08万元</w:t>
      </w:r>
      <w:r>
        <w:rPr>
          <w:rFonts w:ascii="FangSong" w:hAnsi="FangSong" w:eastAsia="FangSong" w:cs="FangSong"/>
          <w:sz w:val="23"/>
          <w:szCs w:val="23"/>
          <w:spacing w:val="-58"/>
        </w:rPr>
        <w:t xml:space="preserve"> </w:t>
      </w:r>
      <w:r>
        <w:rPr>
          <w:rFonts w:ascii="FangSong" w:hAnsi="FangSong" w:eastAsia="FangSong" w:cs="FangSong"/>
          <w:sz w:val="23"/>
          <w:szCs w:val="23"/>
          <w:spacing w:val="11"/>
        </w:rPr>
        <w:t>，</w:t>
      </w:r>
      <w:r>
        <w:rPr>
          <w:rFonts w:ascii="FangSong" w:hAnsi="FangSong" w:eastAsia="FangSong" w:cs="FangSong"/>
          <w:sz w:val="23"/>
          <w:szCs w:val="23"/>
          <w:spacing w:val="-48"/>
        </w:rPr>
        <w:t xml:space="preserve"> </w:t>
      </w:r>
      <w:r>
        <w:rPr>
          <w:rFonts w:ascii="FangSong" w:hAnsi="FangSong" w:eastAsia="FangSong" w:cs="FangSong"/>
          <w:sz w:val="23"/>
          <w:szCs w:val="23"/>
          <w:spacing w:val="11"/>
        </w:rPr>
        <w:t>比2024年预算减少0.5</w:t>
      </w:r>
      <w:r>
        <w:rPr>
          <w:rFonts w:ascii="FangSong" w:hAnsi="FangSong" w:eastAsia="FangSong" w:cs="FangSong"/>
          <w:sz w:val="23"/>
          <w:szCs w:val="23"/>
          <w:spacing w:val="10"/>
        </w:rPr>
        <w:t>4万元</w:t>
      </w:r>
      <w:r>
        <w:rPr>
          <w:rFonts w:ascii="FangSong" w:hAnsi="FangSong" w:eastAsia="FangSong" w:cs="FangSong"/>
          <w:sz w:val="23"/>
          <w:szCs w:val="23"/>
          <w:spacing w:val="-58"/>
        </w:rPr>
        <w:t xml:space="preserve"> </w:t>
      </w:r>
      <w:r>
        <w:rPr>
          <w:rFonts w:ascii="FangSong" w:hAnsi="FangSong" w:eastAsia="FangSong" w:cs="FangSong"/>
          <w:sz w:val="23"/>
          <w:szCs w:val="23"/>
          <w:spacing w:val="10"/>
        </w:rPr>
        <w:t>，下</w:t>
      </w:r>
      <w:r>
        <w:rPr>
          <w:rFonts w:ascii="FangSong" w:hAnsi="FangSong" w:eastAsia="FangSong" w:cs="FangSong"/>
          <w:sz w:val="23"/>
          <w:szCs w:val="23"/>
          <w:spacing w:val="-63"/>
        </w:rPr>
        <w:t xml:space="preserve"> </w:t>
      </w:r>
      <w:r>
        <w:rPr>
          <w:rFonts w:ascii="FangSong" w:hAnsi="FangSong" w:eastAsia="FangSong" w:cs="FangSong"/>
          <w:sz w:val="23"/>
          <w:szCs w:val="23"/>
          <w:spacing w:val="10"/>
        </w:rPr>
        <w:t>降</w:t>
      </w:r>
      <w:r>
        <w:rPr>
          <w:rFonts w:ascii="FangSong" w:hAnsi="FangSong" w:eastAsia="FangSong" w:cs="FangSong"/>
          <w:sz w:val="23"/>
          <w:szCs w:val="23"/>
        </w:rPr>
        <w:t xml:space="preserve"> </w:t>
      </w:r>
      <w:r>
        <w:rPr>
          <w:rFonts w:ascii="FangSong" w:hAnsi="FangSong" w:eastAsia="FangSong" w:cs="FangSong"/>
          <w:sz w:val="23"/>
          <w:szCs w:val="23"/>
          <w:spacing w:val="-1"/>
        </w:rPr>
        <w:t>1.95%，原因是2024年单位调出一人。</w:t>
      </w:r>
    </w:p>
    <w:p>
      <w:pPr>
        <w:ind w:left="1258"/>
        <w:spacing w:line="226" w:lineRule="exact"/>
        <w:outlineLvl w:val="1"/>
        <w:rPr>
          <w:rFonts w:ascii="Microsoft YaHei" w:hAnsi="Microsoft YaHei" w:eastAsia="Microsoft YaHei" w:cs="Microsoft YaHei"/>
          <w:sz w:val="22"/>
          <w:szCs w:val="22"/>
        </w:rPr>
      </w:pPr>
      <w:bookmarkStart w:name="bookmark29" w:id="45"/>
      <w:bookmarkEnd w:id="45"/>
      <w:r>
        <w:rPr>
          <w:rFonts w:ascii="Microsoft YaHei" w:hAnsi="Microsoft YaHei" w:eastAsia="Microsoft YaHei" w:cs="Microsoft YaHei"/>
          <w:sz w:val="22"/>
          <w:szCs w:val="22"/>
          <w:spacing w:val="9"/>
          <w:position w:val="-1"/>
        </w:rPr>
        <w:t>九、政府采购情况</w:t>
      </w:r>
    </w:p>
    <w:p>
      <w:pPr>
        <w:ind w:left="1267" w:right="1223" w:firstLine="453"/>
        <w:spacing w:before="188" w:line="319" w:lineRule="auto"/>
        <w:rPr>
          <w:rFonts w:ascii="FangSong" w:hAnsi="FangSong" w:eastAsia="FangSong" w:cs="FangSong"/>
          <w:sz w:val="23"/>
          <w:szCs w:val="23"/>
        </w:rPr>
      </w:pPr>
      <w:r>
        <w:rPr>
          <w:rFonts w:ascii="FangSong" w:hAnsi="FangSong" w:eastAsia="FangSong" w:cs="FangSong"/>
          <w:sz w:val="23"/>
          <w:szCs w:val="23"/>
          <w:spacing w:val="8"/>
        </w:rPr>
        <w:t>2025年兴县医疗保障局政府采购预算总额1</w:t>
      </w:r>
      <w:r>
        <w:rPr>
          <w:rFonts w:ascii="FangSong" w:hAnsi="FangSong" w:eastAsia="FangSong" w:cs="FangSong"/>
          <w:sz w:val="23"/>
          <w:szCs w:val="23"/>
          <w:spacing w:val="7"/>
        </w:rPr>
        <w:t>0.00万元。其中：政府采购货物预算3.23万</w:t>
      </w:r>
      <w:r>
        <w:rPr>
          <w:rFonts w:ascii="FangSong" w:hAnsi="FangSong" w:eastAsia="FangSong" w:cs="FangSong"/>
          <w:sz w:val="23"/>
          <w:szCs w:val="23"/>
        </w:rPr>
        <w:t xml:space="preserve"> </w:t>
      </w:r>
      <w:r>
        <w:rPr>
          <w:rFonts w:ascii="FangSong" w:hAnsi="FangSong" w:eastAsia="FangSong" w:cs="FangSong"/>
          <w:sz w:val="23"/>
          <w:szCs w:val="23"/>
        </w:rPr>
        <w:t>元、政府采购工程预算0万元、政府采购服务预算6.</w:t>
      </w:r>
      <w:r>
        <w:rPr>
          <w:rFonts w:ascii="FangSong" w:hAnsi="FangSong" w:eastAsia="FangSong" w:cs="FangSong"/>
          <w:sz w:val="23"/>
          <w:szCs w:val="23"/>
          <w:spacing w:val="-1"/>
        </w:rPr>
        <w:t>77万元。</w:t>
      </w:r>
    </w:p>
    <w:p>
      <w:pPr>
        <w:ind w:left="1260"/>
        <w:spacing w:line="230" w:lineRule="exact"/>
        <w:outlineLvl w:val="1"/>
        <w:rPr>
          <w:rFonts w:ascii="Microsoft YaHei" w:hAnsi="Microsoft YaHei" w:eastAsia="Microsoft YaHei" w:cs="Microsoft YaHei"/>
          <w:sz w:val="22"/>
          <w:szCs w:val="22"/>
        </w:rPr>
      </w:pPr>
      <w:bookmarkStart w:name="bookmark30" w:id="46"/>
      <w:bookmarkEnd w:id="46"/>
      <w:r>
        <w:rPr>
          <w:rFonts w:ascii="Microsoft YaHei" w:hAnsi="Microsoft YaHei" w:eastAsia="Microsoft YaHei" w:cs="Microsoft YaHei"/>
          <w:sz w:val="22"/>
          <w:szCs w:val="22"/>
          <w:spacing w:val="9"/>
          <w:position w:val="-1"/>
        </w:rPr>
        <w:t>十、绩效管理情况</w:t>
      </w:r>
    </w:p>
    <w:p>
      <w:pPr>
        <w:spacing w:line="230" w:lineRule="exact"/>
        <w:sectPr>
          <w:headerReference w:type="default" r:id="rId32"/>
          <w:footerReference w:type="default" r:id="rId33"/>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81" w:lineRule="auto"/>
        <w:rPr/>
      </w:pPr>
      <w:r/>
    </w:p>
    <w:p>
      <w:pPr>
        <w:pStyle w:val="BodyText"/>
        <w:spacing w:line="282" w:lineRule="auto"/>
        <w:rPr/>
      </w:pPr>
      <w:r/>
    </w:p>
    <w:p>
      <w:pPr>
        <w:ind w:left="1735"/>
        <w:spacing w:before="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65" w:right="1223" w:hanging="6"/>
        <w:spacing w:before="123" w:line="325" w:lineRule="auto"/>
        <w:rPr>
          <w:rFonts w:ascii="FangSong" w:hAnsi="FangSong" w:eastAsia="FangSong" w:cs="FangSong"/>
          <w:sz w:val="23"/>
          <w:szCs w:val="23"/>
        </w:rPr>
      </w:pPr>
      <w:r>
        <w:rPr>
          <w:rFonts w:ascii="FangSong" w:hAnsi="FangSong" w:eastAsia="FangSong" w:cs="FangSong"/>
          <w:sz w:val="23"/>
          <w:szCs w:val="23"/>
          <w:spacing w:val="5"/>
        </w:rPr>
        <w:t>2025年兴县医疗保障局整体绩效目标，涉及资金1532.34</w:t>
      </w:r>
      <w:r>
        <w:rPr>
          <w:rFonts w:ascii="FangSong" w:hAnsi="FangSong" w:eastAsia="FangSong" w:cs="FangSong"/>
          <w:sz w:val="23"/>
          <w:szCs w:val="23"/>
          <w:spacing w:val="5"/>
        </w:rPr>
        <w:t xml:space="preserve"> </w:t>
      </w:r>
      <w:r>
        <w:rPr>
          <w:rFonts w:ascii="FangSong" w:hAnsi="FangSong" w:eastAsia="FangSong" w:cs="FangSong"/>
          <w:sz w:val="23"/>
          <w:szCs w:val="23"/>
          <w:spacing w:val="4"/>
        </w:rPr>
        <w:t>万元。（单位整体目标表公开情况</w:t>
      </w:r>
      <w:r>
        <w:rPr>
          <w:rFonts w:ascii="FangSong" w:hAnsi="FangSong" w:eastAsia="FangSong" w:cs="FangSong"/>
          <w:sz w:val="23"/>
          <w:szCs w:val="23"/>
        </w:rPr>
        <w:t xml:space="preserve"> </w:t>
      </w:r>
      <w:r>
        <w:rPr>
          <w:rFonts w:ascii="FangSong" w:hAnsi="FangSong" w:eastAsia="FangSong" w:cs="FangSong"/>
          <w:sz w:val="23"/>
          <w:szCs w:val="23"/>
          <w:spacing w:val="-4"/>
        </w:rPr>
        <w:t>见附件）</w:t>
      </w:r>
    </w:p>
    <w:p>
      <w:pPr>
        <w:ind w:left="1720"/>
        <w:spacing w:before="1" w:line="222"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3" w:right="1223" w:firstLine="456"/>
        <w:spacing w:before="119" w:line="325" w:lineRule="auto"/>
        <w:rPr>
          <w:rFonts w:ascii="FangSong" w:hAnsi="FangSong" w:eastAsia="FangSong" w:cs="FangSong"/>
          <w:sz w:val="23"/>
          <w:szCs w:val="23"/>
        </w:rPr>
      </w:pPr>
      <w:r>
        <w:rPr>
          <w:rFonts w:ascii="FangSong" w:hAnsi="FangSong" w:eastAsia="FangSong" w:cs="FangSong"/>
          <w:sz w:val="23"/>
          <w:szCs w:val="23"/>
          <w:spacing w:val="5"/>
        </w:rPr>
        <w:t>2025年兴县医疗保障局纳入绩效目标管理的二级项目12个，共计金额1</w:t>
      </w:r>
      <w:r>
        <w:rPr>
          <w:rFonts w:ascii="FangSong" w:hAnsi="FangSong" w:eastAsia="FangSong" w:cs="FangSong"/>
          <w:sz w:val="23"/>
          <w:szCs w:val="23"/>
          <w:spacing w:val="4"/>
        </w:rPr>
        <w:t>,532.34万元。其</w:t>
      </w:r>
      <w:r>
        <w:rPr>
          <w:rFonts w:ascii="FangSong" w:hAnsi="FangSong" w:eastAsia="FangSong" w:cs="FangSong"/>
          <w:sz w:val="23"/>
          <w:szCs w:val="23"/>
        </w:rPr>
        <w:t xml:space="preserve"> </w:t>
      </w:r>
      <w:r>
        <w:rPr>
          <w:rFonts w:ascii="FangSong" w:hAnsi="FangSong" w:eastAsia="FangSong" w:cs="FangSong"/>
          <w:sz w:val="23"/>
          <w:szCs w:val="23"/>
          <w:spacing w:val="7"/>
        </w:rPr>
        <w:t>中：其他运转类项目6个，涉及金额65.60万元；特定目标类项目6个，涉及金额1,466.</w:t>
      </w:r>
      <w:r>
        <w:rPr>
          <w:rFonts w:ascii="FangSong" w:hAnsi="FangSong" w:eastAsia="FangSong" w:cs="FangSong"/>
          <w:sz w:val="23"/>
          <w:szCs w:val="23"/>
          <w:spacing w:val="6"/>
        </w:rPr>
        <w:t>84万</w:t>
      </w:r>
      <w:r>
        <w:rPr>
          <w:rFonts w:ascii="FangSong" w:hAnsi="FangSong" w:eastAsia="FangSong" w:cs="FangSong"/>
          <w:sz w:val="23"/>
          <w:szCs w:val="23"/>
        </w:rPr>
        <w:t xml:space="preserve"> </w:t>
      </w:r>
      <w:r>
        <w:rPr>
          <w:rFonts w:ascii="FangSong" w:hAnsi="FangSong" w:eastAsia="FangSong" w:cs="FangSong"/>
          <w:sz w:val="23"/>
          <w:szCs w:val="23"/>
          <w:spacing w:val="3"/>
        </w:rPr>
        <w:t>元。公开项目绩效目标12个，涉及项目金额1,532.34万元，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占部门（单位）项目支出总额的</w:t>
      </w:r>
      <w:r>
        <w:rPr>
          <w:rFonts w:ascii="FangSong" w:hAnsi="FangSong" w:eastAsia="FangSong" w:cs="FangSong"/>
          <w:sz w:val="23"/>
          <w:szCs w:val="23"/>
        </w:rPr>
        <w:t xml:space="preserve"> </w:t>
      </w:r>
      <w:r>
        <w:rPr>
          <w:rFonts w:ascii="FangSong" w:hAnsi="FangSong" w:eastAsia="FangSong" w:cs="FangSong"/>
          <w:sz w:val="23"/>
          <w:szCs w:val="23"/>
          <w:spacing w:val="2"/>
        </w:rPr>
        <w:t>100%。其中：其他运转类项目6个，涉及项目金额65.60万元；特定目标类项目6个，涉及项目</w:t>
      </w:r>
      <w:r>
        <w:rPr>
          <w:rFonts w:ascii="FangSong" w:hAnsi="FangSong" w:eastAsia="FangSong" w:cs="FangSong"/>
          <w:sz w:val="23"/>
          <w:szCs w:val="23"/>
          <w:spacing w:val="4"/>
        </w:rPr>
        <w:t xml:space="preserve"> </w:t>
      </w:r>
      <w:r>
        <w:rPr>
          <w:rFonts w:ascii="FangSong" w:hAnsi="FangSong" w:eastAsia="FangSong" w:cs="FangSong"/>
          <w:sz w:val="23"/>
          <w:szCs w:val="23"/>
          <w:spacing w:val="-1"/>
        </w:rPr>
        <w:t>金额1,466.84万元。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20"/>
          <w:footerReference w:type="default" r:id="rId35"/>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216" style="position:absolute;margin-left:491.92pt;margin-top:44.1055pt;mso-position-vertical-relative:page;mso-position-horizontal-relative:page;width:119.4pt;height:18.85pt;z-index:2516592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767"/>
        <w:spacing w:line="13461" w:lineRule="exact"/>
        <w:rPr/>
      </w:pPr>
      <w:r>
        <w:pict>
          <v:shape id="_x0000_s218" style="position:absolute;margin-left:-13.08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20"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222" style="position:absolute;margin-left:491.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224"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327470" cy="8547295"/>
            <wp:effectExtent l="0" t="0" r="0" b="0"/>
            <wp:docPr id="8" name="IM 8"/>
            <wp:cNvGraphicFramePr/>
            <a:graphic>
              <a:graphicData uri="http://schemas.openxmlformats.org/drawingml/2006/picture">
                <pic:pic>
                  <pic:nvPicPr>
                    <pic:cNvPr id="8" name="IM 8"/>
                    <pic:cNvPicPr/>
                  </pic:nvPicPr>
                  <pic:blipFill>
                    <a:blip r:embed="rId38"/>
                    <a:stretch>
                      <a:fillRect/>
                    </a:stretch>
                  </pic:blipFill>
                  <pic:spPr>
                    <a:xfrm rot="0">
                      <a:off x="0" y="0"/>
                      <a:ext cx="5327470" cy="8547295"/>
                    </a:xfrm>
                    <a:prstGeom prst="rect">
                      <a:avLst/>
                    </a:prstGeom>
                  </pic:spPr>
                </pic:pic>
              </a:graphicData>
            </a:graphic>
          </wp:inline>
        </w:drawing>
      </w:r>
    </w:p>
    <w:p>
      <w:pPr>
        <w:spacing w:line="13461" w:lineRule="exact"/>
        <w:sectPr>
          <w:headerReference w:type="default" r:id="rId36"/>
          <w:footerReference w:type="default" r:id="rId37"/>
          <w:pgSz w:w="11900" w:h="16840"/>
          <w:pgMar w:top="642" w:right="0" w:bottom="340" w:left="0" w:header="326" w:footer="110" w:gutter="0"/>
        </w:sectPr>
        <w:rPr/>
      </w:pPr>
    </w:p>
    <w:p>
      <w:pPr>
        <w:pStyle w:val="BodyText"/>
        <w:spacing w:line="277" w:lineRule="auto"/>
        <w:rPr/>
      </w:pPr>
      <w:r>
        <w:pict>
          <v:shape id="_x0000_s226" style="position:absolute;margin-left:491.92pt;margin-top:44.1055pt;mso-position-vertical-relative:page;mso-position-horizontal-relative:page;width:119.4pt;height:18.85pt;z-index:2516633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16"/>
        <w:spacing w:line="13461" w:lineRule="exact"/>
        <w:rPr/>
      </w:pPr>
      <w:r>
        <w:pict>
          <v:shape id="_x0000_s228"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30" style="position:absolute;margin-left:-13.08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232"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34" style="position:absolute;margin-left:491.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519698" cy="8547295"/>
            <wp:effectExtent l="0" t="0" r="0" b="0"/>
            <wp:docPr id="10" name="IM 10"/>
            <wp:cNvGraphicFramePr/>
            <a:graphic>
              <a:graphicData uri="http://schemas.openxmlformats.org/drawingml/2006/picture">
                <pic:pic>
                  <pic:nvPicPr>
                    <pic:cNvPr id="10" name="IM 10"/>
                    <pic:cNvPicPr/>
                  </pic:nvPicPr>
                  <pic:blipFill>
                    <a:blip r:embed="rId40"/>
                    <a:stretch>
                      <a:fillRect/>
                    </a:stretch>
                  </pic:blipFill>
                  <pic:spPr>
                    <a:xfrm rot="0">
                      <a:off x="0" y="0"/>
                      <a:ext cx="5519698" cy="8547295"/>
                    </a:xfrm>
                    <a:prstGeom prst="rect">
                      <a:avLst/>
                    </a:prstGeom>
                  </pic:spPr>
                </pic:pic>
              </a:graphicData>
            </a:graphic>
          </wp:inline>
        </w:drawing>
      </w:r>
    </w:p>
    <w:p>
      <w:pPr>
        <w:spacing w:line="13461" w:lineRule="exact"/>
        <w:sectPr>
          <w:footerReference w:type="default" r:id="rId39"/>
          <w:pgSz w:w="11900" w:h="16840"/>
          <w:pgMar w:top="642" w:right="0" w:bottom="340" w:left="0" w:header="326" w:footer="110" w:gutter="0"/>
        </w:sectPr>
        <w:rPr/>
      </w:pPr>
    </w:p>
    <w:p>
      <w:pPr>
        <w:pStyle w:val="BodyText"/>
        <w:spacing w:line="277" w:lineRule="auto"/>
        <w:rPr/>
      </w:pPr>
      <w:r>
        <w:pict>
          <v:shape id="_x0000_s236" style="position:absolute;margin-left:491.92pt;margin-top:44.1055pt;mso-position-vertical-relative:page;mso-position-horizontal-relative:page;width:119.4pt;height:18.85pt;z-index:25166848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627"/>
        <w:spacing w:line="13461" w:lineRule="exact"/>
        <w:rPr/>
      </w:pPr>
      <w:r>
        <w:pict>
          <v:shape id="_x0000_s238" style="position:absolute;margin-left:-13.08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240" style="position:absolute;margin-left:391.92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42" style="position:absolute;margin-left:491.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244" style="position:absolute;margin-left:86.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505968" cy="8547295"/>
            <wp:effectExtent l="0" t="0" r="0" b="0"/>
            <wp:docPr id="12" name="IM 12"/>
            <wp:cNvGraphicFramePr/>
            <a:graphic>
              <a:graphicData uri="http://schemas.openxmlformats.org/drawingml/2006/picture">
                <pic:pic>
                  <pic:nvPicPr>
                    <pic:cNvPr id="12" name="IM 12"/>
                    <pic:cNvPicPr/>
                  </pic:nvPicPr>
                  <pic:blipFill>
                    <a:blip r:embed="rId42"/>
                    <a:stretch>
                      <a:fillRect/>
                    </a:stretch>
                  </pic:blipFill>
                  <pic:spPr>
                    <a:xfrm rot="0">
                      <a:off x="0" y="0"/>
                      <a:ext cx="5505968" cy="8547295"/>
                    </a:xfrm>
                    <a:prstGeom prst="rect">
                      <a:avLst/>
                    </a:prstGeom>
                  </pic:spPr>
                </pic:pic>
              </a:graphicData>
            </a:graphic>
          </wp:inline>
        </w:drawing>
      </w:r>
    </w:p>
    <w:p>
      <w:pPr>
        <w:spacing w:line="13461" w:lineRule="exact"/>
        <w:sectPr>
          <w:footerReference w:type="default" r:id="rId41"/>
          <w:pgSz w:w="11900" w:h="16840"/>
          <w:pgMar w:top="642" w:right="0" w:bottom="340" w:left="0" w:header="326" w:footer="111" w:gutter="0"/>
        </w:sectPr>
        <w:rPr/>
      </w:pPr>
    </w:p>
    <w:p>
      <w:pPr>
        <w:pStyle w:val="BodyText"/>
        <w:spacing w:line="277" w:lineRule="auto"/>
        <w:rPr/>
      </w:pPr>
      <w:r>
        <w:pict>
          <v:shape id="_x0000_s246" style="position:absolute;margin-left:491.92pt;margin-top:44.1055pt;mso-position-vertical-relative:page;mso-position-horizontal-relative:page;width:119.4pt;height:18.85pt;z-index:2516736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248" style="position:absolute;margin-left:-13.08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50" style="position:absolute;margin-left:391.92pt;margin-top:228.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252" style="position:absolute;margin-left:491.92pt;margin-top:472.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54" style="position:absolute;margin-left:86.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14" name="IM 14"/>
            <wp:cNvGraphicFramePr/>
            <a:graphic>
              <a:graphicData uri="http://schemas.openxmlformats.org/drawingml/2006/picture">
                <pic:pic>
                  <pic:nvPicPr>
                    <pic:cNvPr id="14" name="IM 14"/>
                    <pic:cNvPicPr/>
                  </pic:nvPicPr>
                  <pic:blipFill>
                    <a:blip r:embed="rId44"/>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43"/>
          <w:pgSz w:w="11900" w:h="16840"/>
          <w:pgMar w:top="642" w:right="0" w:bottom="340" w:left="0" w:header="326" w:footer="110" w:gutter="0"/>
        </w:sectPr>
        <w:rPr/>
      </w:pPr>
    </w:p>
    <w:p>
      <w:pPr>
        <w:pStyle w:val="BodyText"/>
        <w:spacing w:line="277" w:lineRule="auto"/>
        <w:rPr/>
      </w:pPr>
      <w:r>
        <w:pict>
          <v:shape id="_x0000_s256" style="position:absolute;margin-left:491.92pt;margin-top:44.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258"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260" style="position:absolute;margin-left:-13.08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262" style="position:absolute;margin-left:491.92pt;margin-top:472.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264" style="position:absolute;margin-left:86.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16" name="IM 16"/>
            <wp:cNvGraphicFramePr/>
            <a:graphic>
              <a:graphicData uri="http://schemas.openxmlformats.org/drawingml/2006/picture">
                <pic:pic>
                  <pic:nvPicPr>
                    <pic:cNvPr id="16" name="IM 16"/>
                    <pic:cNvPicPr/>
                  </pic:nvPicPr>
                  <pic:blipFill>
                    <a:blip r:embed="rId46"/>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45"/>
          <w:pgSz w:w="11900" w:h="16840"/>
          <w:pgMar w:top="642" w:right="0" w:bottom="340" w:left="0" w:header="326" w:footer="111" w:gutter="0"/>
        </w:sectPr>
        <w:rPr/>
      </w:pPr>
    </w:p>
    <w:p>
      <w:pPr>
        <w:pStyle w:val="BodyText"/>
        <w:spacing w:line="277" w:lineRule="auto"/>
        <w:rPr/>
      </w:pPr>
      <w:r>
        <w:pict>
          <v:shape id="_x0000_s266" style="position:absolute;margin-left:491.92pt;margin-top:44.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268" style="position:absolute;margin-left:-13.08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270" style="position:absolute;margin-left:391.92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272" style="position:absolute;margin-left:491.92pt;margin-top:472.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274" style="position:absolute;margin-left:86.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18" name="IM 18"/>
            <wp:cNvGraphicFramePr/>
            <a:graphic>
              <a:graphicData uri="http://schemas.openxmlformats.org/drawingml/2006/picture">
                <pic:pic>
                  <pic:nvPicPr>
                    <pic:cNvPr id="18" name="IM 18"/>
                    <pic:cNvPicPr/>
                  </pic:nvPicPr>
                  <pic:blipFill>
                    <a:blip r:embed="rId48"/>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47"/>
          <w:pgSz w:w="11900" w:h="16840"/>
          <w:pgMar w:top="642" w:right="0" w:bottom="340" w:left="0" w:header="326" w:footer="111" w:gutter="0"/>
        </w:sectPr>
        <w:rPr/>
      </w:pPr>
    </w:p>
    <w:p>
      <w:pPr>
        <w:pStyle w:val="BodyText"/>
        <w:spacing w:line="277" w:lineRule="auto"/>
        <w:rPr/>
      </w:pPr>
      <w:r>
        <w:pict>
          <v:shape id="_x0000_s276" style="position:absolute;margin-left:491.92pt;margin-top:44.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278" style="position:absolute;margin-left:391.92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280" style="position:absolute;margin-left:-13.08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282" style="position:absolute;margin-left:86.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284" style="position:absolute;margin-left:491.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20" name="IM 20"/>
            <wp:cNvGraphicFramePr/>
            <a:graphic>
              <a:graphicData uri="http://schemas.openxmlformats.org/drawingml/2006/picture">
                <pic:pic>
                  <pic:nvPicPr>
                    <pic:cNvPr id="20" name="IM 20"/>
                    <pic:cNvPicPr/>
                  </pic:nvPicPr>
                  <pic:blipFill>
                    <a:blip r:embed="rId50"/>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49"/>
          <w:pgSz w:w="11900" w:h="16840"/>
          <w:pgMar w:top="642" w:right="0" w:bottom="340" w:left="0" w:header="326" w:footer="111" w:gutter="0"/>
        </w:sectPr>
        <w:rPr/>
      </w:pPr>
    </w:p>
    <w:p>
      <w:pPr>
        <w:pStyle w:val="BodyText"/>
        <w:spacing w:line="277" w:lineRule="auto"/>
        <w:rPr/>
      </w:pPr>
      <w:r>
        <w:pict>
          <v:shape id="_x0000_s286" style="position:absolute;margin-left:491.92pt;margin-top:44.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288" style="position:absolute;margin-left:-13.08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290" style="position:absolute;margin-left:391.92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292" style="position:absolute;margin-left:86.92pt;margin-top:472.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294" style="position:absolute;margin-left:491.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22" name="IM 22"/>
            <wp:cNvGraphicFramePr/>
            <a:graphic>
              <a:graphicData uri="http://schemas.openxmlformats.org/drawingml/2006/picture">
                <pic:pic>
                  <pic:nvPicPr>
                    <pic:cNvPr id="22" name="IM 22"/>
                    <pic:cNvPicPr/>
                  </pic:nvPicPr>
                  <pic:blipFill>
                    <a:blip r:embed="rId52"/>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51"/>
          <w:pgSz w:w="11900" w:h="16840"/>
          <w:pgMar w:top="642" w:right="0" w:bottom="340" w:left="0" w:header="326" w:footer="111" w:gutter="0"/>
        </w:sectPr>
        <w:rPr/>
      </w:pPr>
    </w:p>
    <w:p>
      <w:pPr>
        <w:pStyle w:val="BodyText"/>
        <w:spacing w:line="277" w:lineRule="auto"/>
        <w:rPr/>
      </w:pPr>
      <w:r>
        <w:pict>
          <v:shape id="_x0000_s296" style="position:absolute;margin-left:491.92pt;margin-top:44.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02"/>
        <w:spacing w:line="13461" w:lineRule="exact"/>
        <w:rPr/>
      </w:pPr>
      <w:r>
        <w:pict>
          <v:shape id="_x0000_s298" style="position:absolute;margin-left:391.92pt;margin-top:228.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00" style="position:absolute;margin-left:-13.08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02" style="position:absolute;margin-left:86.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04" style="position:absolute;margin-left:491.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17887" cy="8547295"/>
            <wp:effectExtent l="0" t="0" r="0" b="0"/>
            <wp:docPr id="24" name="IM 24"/>
            <wp:cNvGraphicFramePr/>
            <a:graphic>
              <a:graphicData uri="http://schemas.openxmlformats.org/drawingml/2006/picture">
                <pic:pic>
                  <pic:nvPicPr>
                    <pic:cNvPr id="24" name="IM 24"/>
                    <pic:cNvPicPr/>
                  </pic:nvPicPr>
                  <pic:blipFill>
                    <a:blip r:embed="rId54"/>
                    <a:stretch>
                      <a:fillRect/>
                    </a:stretch>
                  </pic:blipFill>
                  <pic:spPr>
                    <a:xfrm rot="0">
                      <a:off x="0" y="0"/>
                      <a:ext cx="5917887" cy="8547295"/>
                    </a:xfrm>
                    <a:prstGeom prst="rect">
                      <a:avLst/>
                    </a:prstGeom>
                  </pic:spPr>
                </pic:pic>
              </a:graphicData>
            </a:graphic>
          </wp:inline>
        </w:drawing>
      </w:r>
    </w:p>
    <w:p>
      <w:pPr>
        <w:spacing w:line="13461" w:lineRule="exact"/>
        <w:sectPr>
          <w:footerReference w:type="default" r:id="rId53"/>
          <w:pgSz w:w="11900" w:h="16840"/>
          <w:pgMar w:top="642" w:right="0" w:bottom="340" w:left="0" w:header="326" w:footer="111" w:gutter="0"/>
        </w:sectPr>
        <w:rPr/>
      </w:pPr>
    </w:p>
    <w:p>
      <w:pPr>
        <w:pStyle w:val="BodyText"/>
        <w:spacing w:line="277" w:lineRule="auto"/>
        <w:rPr/>
      </w:pPr>
      <w:r>
        <w:pict>
          <v:shape id="_x0000_s306" style="position:absolute;margin-left:491.92pt;margin-top:44.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91"/>
        <w:spacing w:line="13461" w:lineRule="exact"/>
        <w:rPr/>
      </w:pPr>
      <w:r>
        <w:pict>
          <v:shape id="_x0000_s308" style="position:absolute;margin-left:391.92pt;margin-top:228.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10" style="position:absolute;margin-left:-13.08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12" style="position:absolute;margin-left:491.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14" style="position:absolute;margin-left:86.92pt;margin-top:472.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31618" cy="8547295"/>
            <wp:effectExtent l="0" t="0" r="0" b="0"/>
            <wp:docPr id="26" name="IM 26"/>
            <wp:cNvGraphicFramePr/>
            <a:graphic>
              <a:graphicData uri="http://schemas.openxmlformats.org/drawingml/2006/picture">
                <pic:pic>
                  <pic:nvPicPr>
                    <pic:cNvPr id="26" name="IM 26"/>
                    <pic:cNvPicPr/>
                  </pic:nvPicPr>
                  <pic:blipFill>
                    <a:blip r:embed="rId56"/>
                    <a:stretch>
                      <a:fillRect/>
                    </a:stretch>
                  </pic:blipFill>
                  <pic:spPr>
                    <a:xfrm rot="0">
                      <a:off x="0" y="0"/>
                      <a:ext cx="5931618" cy="8547295"/>
                    </a:xfrm>
                    <a:prstGeom prst="rect">
                      <a:avLst/>
                    </a:prstGeom>
                  </pic:spPr>
                </pic:pic>
              </a:graphicData>
            </a:graphic>
          </wp:inline>
        </w:drawing>
      </w:r>
    </w:p>
    <w:p>
      <w:pPr>
        <w:spacing w:line="13461" w:lineRule="exact"/>
        <w:sectPr>
          <w:footerReference w:type="default" r:id="rId55"/>
          <w:pgSz w:w="11900" w:h="16840"/>
          <w:pgMar w:top="642" w:right="0" w:bottom="340" w:left="0" w:header="326" w:footer="111" w:gutter="0"/>
        </w:sectPr>
        <w:rPr/>
      </w:pPr>
    </w:p>
    <w:p>
      <w:pPr>
        <w:pStyle w:val="BodyText"/>
        <w:spacing w:line="277" w:lineRule="auto"/>
        <w:rPr/>
      </w:pPr>
      <w:r>
        <w:pict>
          <v:shape id="_x0000_s316" style="position:absolute;margin-left:491.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318" style="position:absolute;margin-left:-13.08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20" style="position:absolute;margin-left:86.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22" style="position:absolute;margin-left:391.92pt;margin-top:228.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24" style="position:absolute;margin-left:491.92pt;margin-top:472.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8" name="IM 28"/>
            <wp:cNvGraphicFramePr/>
            <a:graphic>
              <a:graphicData uri="http://schemas.openxmlformats.org/drawingml/2006/picture">
                <pic:pic>
                  <pic:nvPicPr>
                    <pic:cNvPr id="28" name="IM 28"/>
                    <pic:cNvPicPr/>
                  </pic:nvPicPr>
                  <pic:blipFill>
                    <a:blip r:embed="rId58"/>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7"/>
          <w:pgSz w:w="11900" w:h="16840"/>
          <w:pgMar w:top="642" w:right="0" w:bottom="340" w:left="0" w:header="326" w:footer="111" w:gutter="0"/>
        </w:sectPr>
        <w:rPr/>
      </w:pPr>
    </w:p>
    <w:p>
      <w:pPr>
        <w:pStyle w:val="BodyText"/>
        <w:spacing w:line="277" w:lineRule="auto"/>
        <w:rPr/>
      </w:pPr>
      <w:r>
        <w:pict>
          <v:shape id="_x0000_s326" style="position:absolute;margin-left:491.92pt;margin-top:44.1055pt;mso-position-vertical-relative:page;mso-position-horizontal-relative:page;width:119.4pt;height:18.85pt;z-index:2517145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70"/>
        <w:spacing w:line="13461" w:lineRule="exact"/>
        <w:rPr/>
      </w:pPr>
      <w:r>
        <w:pict>
          <v:shape id="_x0000_s328" style="position:absolute;margin-left:-13.08pt;margin-top:228.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30" style="position:absolute;margin-left:391.92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32" style="position:absolute;margin-left:86.92pt;margin-top:472.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334" style="position:absolute;margin-left:491.92pt;margin-top:472.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59078" cy="8547295"/>
            <wp:effectExtent l="0" t="0" r="0" b="0"/>
            <wp:docPr id="30" name="IM 30"/>
            <wp:cNvGraphicFramePr/>
            <a:graphic>
              <a:graphicData uri="http://schemas.openxmlformats.org/drawingml/2006/picture">
                <pic:pic>
                  <pic:nvPicPr>
                    <pic:cNvPr id="30" name="IM 30"/>
                    <pic:cNvPicPr/>
                  </pic:nvPicPr>
                  <pic:blipFill>
                    <a:blip r:embed="rId60"/>
                    <a:stretch>
                      <a:fillRect/>
                    </a:stretch>
                  </pic:blipFill>
                  <pic:spPr>
                    <a:xfrm rot="0">
                      <a:off x="0" y="0"/>
                      <a:ext cx="5959078" cy="8547295"/>
                    </a:xfrm>
                    <a:prstGeom prst="rect">
                      <a:avLst/>
                    </a:prstGeom>
                  </pic:spPr>
                </pic:pic>
              </a:graphicData>
            </a:graphic>
          </wp:inline>
        </w:drawing>
      </w:r>
    </w:p>
    <w:p>
      <w:pPr>
        <w:spacing w:line="13461" w:lineRule="exact"/>
        <w:sectPr>
          <w:footerReference w:type="default" r:id="rId59"/>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1" w:id="48"/>
      <w:bookmarkEnd w:id="48"/>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58" w:right="1223" w:firstLine="466"/>
        <w:spacing w:before="135" w:line="321" w:lineRule="auto"/>
        <w:jc w:val="both"/>
        <w:rPr>
          <w:rFonts w:ascii="FangSong" w:hAnsi="FangSong" w:eastAsia="FangSong" w:cs="FangSong"/>
          <w:sz w:val="23"/>
          <w:szCs w:val="23"/>
        </w:rPr>
      </w:pPr>
      <w:r>
        <w:rPr>
          <w:rFonts w:ascii="FangSong" w:hAnsi="FangSong" w:eastAsia="FangSong" w:cs="FangSong"/>
          <w:sz w:val="23"/>
          <w:szCs w:val="23"/>
          <w:spacing w:val="2"/>
        </w:rPr>
        <w:t>截至2025年4月30日，兴县医疗保障局共有公务用车编制0辆，实有0辆，其中：领导用车</w:t>
      </w:r>
      <w:r>
        <w:rPr>
          <w:rFonts w:ascii="FangSong" w:hAnsi="FangSong" w:eastAsia="FangSong" w:cs="FangSong"/>
          <w:sz w:val="23"/>
          <w:szCs w:val="23"/>
          <w:spacing w:val="9"/>
        </w:rPr>
        <w:t xml:space="preserve"> </w:t>
      </w:r>
      <w:r>
        <w:rPr>
          <w:rFonts w:ascii="FangSong" w:hAnsi="FangSong" w:eastAsia="FangSong" w:cs="FangSong"/>
          <w:sz w:val="23"/>
          <w:szCs w:val="23"/>
          <w:spacing w:val="2"/>
        </w:rPr>
        <w:t>0辆，机要通信用车0辆，应急保障用车0辆，执法执勤用车0辆，特种专业技术用车0辆，事业</w:t>
      </w:r>
      <w:r>
        <w:rPr>
          <w:rFonts w:ascii="FangSong" w:hAnsi="FangSong" w:eastAsia="FangSong" w:cs="FangSong"/>
          <w:sz w:val="23"/>
          <w:szCs w:val="23"/>
          <w:spacing w:val="16"/>
        </w:rPr>
        <w:t xml:space="preserve"> </w:t>
      </w:r>
      <w:r>
        <w:rPr>
          <w:rFonts w:ascii="FangSong" w:hAnsi="FangSong" w:eastAsia="FangSong" w:cs="FangSong"/>
          <w:sz w:val="23"/>
          <w:szCs w:val="23"/>
          <w:spacing w:val="-1"/>
        </w:rPr>
        <w:t>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rPr>
        <w:t>截至2025年4月30日，兴县医疗保障局使用的办公用房建筑总面积571.81平方米。</w:t>
      </w:r>
    </w:p>
    <w:p>
      <w:pPr>
        <w:ind w:left="1722"/>
        <w:spacing w:before="124"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35" w:line="320" w:lineRule="auto"/>
        <w:rPr>
          <w:rFonts w:ascii="FangSong" w:hAnsi="FangSong" w:eastAsia="FangSong" w:cs="FangSong"/>
          <w:sz w:val="23"/>
          <w:szCs w:val="23"/>
        </w:rPr>
      </w:pPr>
      <w:r>
        <w:rPr>
          <w:rFonts w:ascii="FangSong" w:hAnsi="FangSong" w:eastAsia="FangSong" w:cs="FangSong"/>
          <w:sz w:val="23"/>
          <w:szCs w:val="23"/>
          <w:spacing w:val="2"/>
        </w:rPr>
        <w:t>截至2025年4月30</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日，兴县医疗保障局占有使用价值50万元（原值）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以上的通用设备0台</w:t>
      </w:r>
      <w:r>
        <w:rPr>
          <w:rFonts w:ascii="FangSong" w:hAnsi="FangSong" w:eastAsia="FangSong" w:cs="FangSong"/>
          <w:sz w:val="23"/>
          <w:szCs w:val="23"/>
        </w:rPr>
        <w:t xml:space="preserve"> </w:t>
      </w:r>
      <w:r>
        <w:rPr>
          <w:rFonts w:ascii="FangSong" w:hAnsi="FangSong" w:eastAsia="FangSong" w:cs="FangSong"/>
          <w:sz w:val="23"/>
          <w:szCs w:val="23"/>
        </w:rPr>
        <w:t>（套</w:t>
      </w:r>
      <w:r>
        <w:rPr>
          <w:rFonts w:ascii="FangSong" w:hAnsi="FangSong" w:eastAsia="FangSong" w:cs="FangSong"/>
          <w:sz w:val="23"/>
          <w:szCs w:val="23"/>
          <w:spacing w:val="11"/>
        </w:rPr>
        <w:t>）；</w:t>
      </w:r>
      <w:r>
        <w:rPr>
          <w:rFonts w:ascii="FangSong" w:hAnsi="FangSong" w:eastAsia="FangSong" w:cs="FangSong"/>
          <w:sz w:val="23"/>
          <w:szCs w:val="23"/>
        </w:rPr>
        <w:t>兴县医疗保障局占有使用价值100万</w:t>
      </w:r>
      <w:r>
        <w:rPr>
          <w:rFonts w:ascii="FangSong" w:hAnsi="FangSong" w:eastAsia="FangSong" w:cs="FangSong"/>
          <w:sz w:val="23"/>
          <w:szCs w:val="23"/>
          <w:spacing w:val="-1"/>
        </w:rPr>
        <w:t>元（原值）以上的通用设备0台（套）。</w:t>
      </w:r>
    </w:p>
    <w:p>
      <w:pPr>
        <w:ind w:left="1260"/>
        <w:spacing w:line="228" w:lineRule="exact"/>
        <w:outlineLvl w:val="1"/>
        <w:rPr>
          <w:rFonts w:ascii="Microsoft YaHei" w:hAnsi="Microsoft YaHei" w:eastAsia="Microsoft YaHei" w:cs="Microsoft YaHei"/>
          <w:sz w:val="22"/>
          <w:szCs w:val="22"/>
        </w:rPr>
      </w:pPr>
      <w:bookmarkStart w:name="bookmark32" w:id="49"/>
      <w:bookmarkEnd w:id="49"/>
      <w:r>
        <w:rPr>
          <w:rFonts w:ascii="Microsoft YaHei" w:hAnsi="Microsoft YaHei" w:eastAsia="Microsoft YaHei" w:cs="Microsoft YaHei"/>
          <w:sz w:val="22"/>
          <w:szCs w:val="22"/>
          <w:spacing w:val="7"/>
          <w:position w:val="-1"/>
        </w:rPr>
        <w:t>十二、其他说明</w:t>
      </w:r>
    </w:p>
    <w:p>
      <w:pPr>
        <w:ind w:left="1725"/>
        <w:spacing w:before="185" w:line="221" w:lineRule="auto"/>
        <w:outlineLvl w:val="2"/>
        <w:rPr>
          <w:rFonts w:ascii="FangSong" w:hAnsi="FangSong" w:eastAsia="FangSong" w:cs="FangSong"/>
          <w:sz w:val="23"/>
          <w:szCs w:val="23"/>
        </w:rPr>
      </w:pPr>
      <w:bookmarkStart w:name="bookmark33" w:id="50"/>
      <w:bookmarkEnd w:id="50"/>
      <w:r>
        <w:rPr>
          <w:rFonts w:ascii="FangSong" w:hAnsi="FangSong" w:eastAsia="FangSong" w:cs="FangSong"/>
          <w:sz w:val="23"/>
          <w:szCs w:val="23"/>
          <w:spacing w:val="-1"/>
        </w:rPr>
        <w:t>（一）政府购买服务指导性目录</w:t>
      </w:r>
    </w:p>
    <w:p>
      <w:pPr>
        <w:ind w:left="1266" w:right="1223" w:firstLine="462"/>
        <w:spacing w:before="255" w:line="322" w:lineRule="auto"/>
        <w:rPr>
          <w:rFonts w:ascii="FangSong" w:hAnsi="FangSong" w:eastAsia="FangSong" w:cs="FangSong"/>
          <w:sz w:val="23"/>
          <w:szCs w:val="23"/>
        </w:rPr>
      </w:pPr>
      <w:r>
        <w:rPr>
          <w:rFonts w:ascii="FangSong" w:hAnsi="FangSong" w:eastAsia="FangSong" w:cs="FangSong"/>
          <w:sz w:val="23"/>
          <w:szCs w:val="23"/>
          <w:spacing w:val="2"/>
        </w:rPr>
        <w:t>晋财购（2023）14号（山西省财政厅关于调整《2022-2023年集中采购目录及采购限额标</w:t>
      </w:r>
      <w:r>
        <w:rPr>
          <w:rFonts w:ascii="FangSong" w:hAnsi="FangSong" w:eastAsia="FangSong" w:cs="FangSong"/>
          <w:sz w:val="23"/>
          <w:szCs w:val="23"/>
        </w:rPr>
        <w:t xml:space="preserve"> </w:t>
      </w:r>
      <w:r>
        <w:rPr>
          <w:rFonts w:ascii="FangSong" w:hAnsi="FangSong" w:eastAsia="FangSong" w:cs="FangSong"/>
          <w:sz w:val="23"/>
          <w:szCs w:val="23"/>
          <w:spacing w:val="-2"/>
        </w:rPr>
        <w:t>准》的通知）见附件</w:t>
      </w:r>
    </w:p>
    <w:p>
      <w:pPr>
        <w:ind w:left="1725"/>
        <w:spacing w:before="138" w:line="222" w:lineRule="auto"/>
        <w:outlineLvl w:val="2"/>
        <w:rPr>
          <w:rFonts w:ascii="FangSong" w:hAnsi="FangSong" w:eastAsia="FangSong" w:cs="FangSong"/>
          <w:sz w:val="23"/>
          <w:szCs w:val="23"/>
        </w:rPr>
      </w:pPr>
      <w:bookmarkStart w:name="bookmark34" w:id="51"/>
      <w:bookmarkEnd w:id="51"/>
      <w:r>
        <w:rPr>
          <w:rFonts w:ascii="FangSong" w:hAnsi="FangSong" w:eastAsia="FangSong" w:cs="FangSong"/>
          <w:sz w:val="23"/>
          <w:szCs w:val="23"/>
          <w:spacing w:val="-3"/>
        </w:rPr>
        <w:t>（二）其他</w:t>
      </w:r>
    </w:p>
    <w:p>
      <w:pPr>
        <w:ind w:left="1263" w:right="1223" w:firstLine="498"/>
        <w:spacing w:before="252" w:line="322" w:lineRule="auto"/>
        <w:rPr>
          <w:rFonts w:ascii="FangSong" w:hAnsi="FangSong" w:eastAsia="FangSong" w:cs="FangSong"/>
          <w:sz w:val="23"/>
          <w:szCs w:val="23"/>
        </w:rPr>
      </w:pPr>
      <w:r>
        <w:rPr>
          <w:rFonts w:ascii="FangSong" w:hAnsi="FangSong" w:eastAsia="FangSong" w:cs="FangSong"/>
          <w:sz w:val="23"/>
          <w:szCs w:val="23"/>
          <w:spacing w:val="-1"/>
        </w:rPr>
        <w:t>吕政办发[2022]61号（</w:t>
      </w:r>
      <w:r>
        <w:rPr>
          <w:rFonts w:ascii="FangSong" w:hAnsi="FangSong" w:eastAsia="FangSong" w:cs="FangSong"/>
          <w:sz w:val="23"/>
          <w:szCs w:val="23"/>
          <w:spacing w:val="100"/>
        </w:rPr>
        <w:t xml:space="preserve"> </w:t>
      </w:r>
      <w:r>
        <w:rPr>
          <w:rFonts w:ascii="FangSong" w:hAnsi="FangSong" w:eastAsia="FangSong" w:cs="FangSong"/>
          <w:sz w:val="23"/>
          <w:szCs w:val="23"/>
          <w:spacing w:val="-1"/>
        </w:rPr>
        <w:t>吕梁市人民政府办公室关于印发吕梁市健全重特大疾病医疗保险</w:t>
      </w:r>
      <w:r>
        <w:rPr>
          <w:rFonts w:ascii="FangSong" w:hAnsi="FangSong" w:eastAsia="FangSong" w:cs="FangSong"/>
          <w:sz w:val="23"/>
          <w:szCs w:val="23"/>
        </w:rPr>
        <w:t xml:space="preserve"> </w:t>
      </w:r>
      <w:r>
        <w:rPr>
          <w:rFonts w:ascii="FangSong" w:hAnsi="FangSong" w:eastAsia="FangSong" w:cs="FangSong"/>
          <w:sz w:val="23"/>
          <w:szCs w:val="23"/>
          <w:spacing w:val="-1"/>
        </w:rPr>
        <w:t>和救助制度实施细则的通知）见附件</w:t>
      </w:r>
    </w:p>
    <w:p>
      <w:pPr>
        <w:spacing w:line="322" w:lineRule="auto"/>
        <w:sectPr>
          <w:headerReference w:type="default" r:id="rId7"/>
          <w:footerReference w:type="default" r:id="rId61"/>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210"/>
        <w:spacing w:line="13461" w:lineRule="exact"/>
        <w:rPr/>
      </w:pPr>
      <w:r>
        <w:pict>
          <v:shape id="_x0000_s350" style="position:absolute;margin-left:86.92pt;margin-top:472.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352" style="position:absolute;margin-left:391.92pt;margin-top:228.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4764516" cy="8547295"/>
            <wp:effectExtent l="0" t="0" r="0" b="0"/>
            <wp:docPr id="32" name="IM 32"/>
            <wp:cNvGraphicFramePr/>
            <a:graphic>
              <a:graphicData uri="http://schemas.openxmlformats.org/drawingml/2006/picture">
                <pic:pic>
                  <pic:nvPicPr>
                    <pic:cNvPr id="32" name="IM 32"/>
                    <pic:cNvPicPr/>
                  </pic:nvPicPr>
                  <pic:blipFill>
                    <a:blip r:embed="rId64"/>
                    <a:stretch>
                      <a:fillRect/>
                    </a:stretch>
                  </pic:blipFill>
                  <pic:spPr>
                    <a:xfrm rot="0">
                      <a:off x="0" y="0"/>
                      <a:ext cx="4764516" cy="8547295"/>
                    </a:xfrm>
                    <a:prstGeom prst="rect">
                      <a:avLst/>
                    </a:prstGeom>
                  </pic:spPr>
                </pic:pic>
              </a:graphicData>
            </a:graphic>
          </wp:inline>
        </w:drawing>
      </w:r>
    </w:p>
    <w:p>
      <w:pPr>
        <w:spacing w:line="13461" w:lineRule="exact"/>
        <w:sectPr>
          <w:headerReference w:type="default" r:id="rId62"/>
          <w:footerReference w:type="default" r:id="rId6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05"/>
        <w:spacing w:line="13461" w:lineRule="exact"/>
        <w:rPr/>
      </w:pPr>
      <w:r>
        <w:pict>
          <v:shape id="_x0000_s366" style="position:absolute;margin-left:391.92pt;margin-top:228.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368" style="position:absolute;margin-left:-13.08pt;margin-top:228.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370" style="position:absolute;margin-left:86.92pt;margin-top:472.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025397" cy="8547295"/>
            <wp:effectExtent l="0" t="0" r="0" b="0"/>
            <wp:docPr id="34" name="IM 34"/>
            <wp:cNvGraphicFramePr/>
            <a:graphic>
              <a:graphicData uri="http://schemas.openxmlformats.org/drawingml/2006/picture">
                <pic:pic>
                  <pic:nvPicPr>
                    <pic:cNvPr id="34" name="IM 34"/>
                    <pic:cNvPicPr/>
                  </pic:nvPicPr>
                  <pic:blipFill>
                    <a:blip r:embed="rId67"/>
                    <a:stretch>
                      <a:fillRect/>
                    </a:stretch>
                  </pic:blipFill>
                  <pic:spPr>
                    <a:xfrm rot="0">
                      <a:off x="0" y="0"/>
                      <a:ext cx="5025397" cy="8547295"/>
                    </a:xfrm>
                    <a:prstGeom prst="rect">
                      <a:avLst/>
                    </a:prstGeom>
                  </pic:spPr>
                </pic:pic>
              </a:graphicData>
            </a:graphic>
          </wp:inline>
        </w:drawing>
      </w:r>
    </w:p>
    <w:p>
      <w:pPr>
        <w:spacing w:line="13461" w:lineRule="exact"/>
        <w:sectPr>
          <w:headerReference w:type="default" r:id="rId65"/>
          <w:footerReference w:type="default" r:id="rId6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91"/>
        <w:spacing w:line="13461" w:lineRule="exact"/>
        <w:rPr/>
      </w:pPr>
      <w:r>
        <w:pict>
          <v:shape id="_x0000_s372" style="position:absolute;margin-left:86.92pt;margin-top:472.067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374" style="position:absolute;margin-left:391.92pt;margin-top:228.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4915553" cy="8547295"/>
            <wp:effectExtent l="0" t="0" r="0" b="0"/>
            <wp:docPr id="36" name="IM 36"/>
            <wp:cNvGraphicFramePr/>
            <a:graphic>
              <a:graphicData uri="http://schemas.openxmlformats.org/drawingml/2006/picture">
                <pic:pic>
                  <pic:nvPicPr>
                    <pic:cNvPr id="36" name="IM 36"/>
                    <pic:cNvPicPr/>
                  </pic:nvPicPr>
                  <pic:blipFill>
                    <a:blip r:embed="rId69"/>
                    <a:stretch>
                      <a:fillRect/>
                    </a:stretch>
                  </pic:blipFill>
                  <pic:spPr>
                    <a:xfrm rot="0">
                      <a:off x="0" y="0"/>
                      <a:ext cx="4915553" cy="8547295"/>
                    </a:xfrm>
                    <a:prstGeom prst="rect">
                      <a:avLst/>
                    </a:prstGeom>
                  </pic:spPr>
                </pic:pic>
              </a:graphicData>
            </a:graphic>
          </wp:inline>
        </w:drawing>
      </w:r>
    </w:p>
    <w:p>
      <w:pPr>
        <w:spacing w:line="13461" w:lineRule="exact"/>
        <w:sectPr>
          <w:headerReference w:type="default" r:id="rId62"/>
          <w:footerReference w:type="default" r:id="rId68"/>
          <w:pgSz w:w="11900" w:h="16840"/>
          <w:pgMar w:top="642" w:right="0" w:bottom="340" w:left="0" w:header="326" w:footer="111" w:gutter="0"/>
        </w:sectPr>
        <w:rPr/>
      </w:pPr>
    </w:p>
    <w:p>
      <w:pPr>
        <w:pStyle w:val="BodyText"/>
        <w:spacing w:line="277" w:lineRule="auto"/>
        <w:rPr/>
      </w:pPr>
      <w:r>
        <w:pict>
          <v:shape id="_x0000_s376" style="position:absolute;margin-left:491.92pt;margin-top:44.1055pt;mso-position-vertical-relative:page;mso-position-horizontal-relative:page;width:119.4pt;height:18.85pt;z-index:2517442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583"/>
        <w:spacing w:line="13461" w:lineRule="exact"/>
        <w:rPr/>
      </w:pPr>
      <w:r>
        <w:pict>
          <v:shape id="_x0000_s378" style="position:absolute;margin-left:491.92pt;margin-top:472.067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_x0000_s380" style="position:absolute;margin-left:-13.08pt;margin-top:228.067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382" style="position:absolute;margin-left:391.92pt;margin-top:228.067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384" style="position:absolute;margin-left:86.92pt;margin-top:472.067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560891" cy="8547295"/>
            <wp:effectExtent l="0" t="0" r="0" b="0"/>
            <wp:docPr id="38" name="IM 38"/>
            <wp:cNvGraphicFramePr/>
            <a:graphic>
              <a:graphicData uri="http://schemas.openxmlformats.org/drawingml/2006/picture">
                <pic:pic>
                  <pic:nvPicPr>
                    <pic:cNvPr id="38" name="IM 38"/>
                    <pic:cNvPicPr/>
                  </pic:nvPicPr>
                  <pic:blipFill>
                    <a:blip r:embed="rId71"/>
                    <a:stretch>
                      <a:fillRect/>
                    </a:stretch>
                  </pic:blipFill>
                  <pic:spPr>
                    <a:xfrm rot="0">
                      <a:off x="0" y="0"/>
                      <a:ext cx="5560891" cy="8547295"/>
                    </a:xfrm>
                    <a:prstGeom prst="rect">
                      <a:avLst/>
                    </a:prstGeom>
                  </pic:spPr>
                </pic:pic>
              </a:graphicData>
            </a:graphic>
          </wp:inline>
        </w:drawing>
      </w:r>
    </w:p>
    <w:p>
      <w:pPr>
        <w:spacing w:line="13461" w:lineRule="exact"/>
        <w:sectPr>
          <w:headerReference w:type="default" r:id="rId36"/>
          <w:footerReference w:type="default" r:id="rId70"/>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32"/>
        <w:spacing w:line="12790" w:lineRule="exact"/>
        <w:rPr/>
      </w:pPr>
      <w:r>
        <w:pict>
          <v:shape id="_x0000_s386" style="position:absolute;margin-left:391.92pt;margin-top:228.067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pict>
          <v:shape id="_x0000_s388" style="position:absolute;margin-left:86.92pt;margin-top:472.067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rPr>
          <w:position w:val="-255"/>
        </w:rPr>
        <w:drawing>
          <wp:inline distT="0" distB="0" distL="0" distR="0">
            <wp:extent cx="4743920" cy="8121646"/>
            <wp:effectExtent l="0" t="0" r="0" b="0"/>
            <wp:docPr id="40" name="IM 40"/>
            <wp:cNvGraphicFramePr/>
            <a:graphic>
              <a:graphicData uri="http://schemas.openxmlformats.org/drawingml/2006/picture">
                <pic:pic>
                  <pic:nvPicPr>
                    <pic:cNvPr id="40" name="IM 40"/>
                    <pic:cNvPicPr/>
                  </pic:nvPicPr>
                  <pic:blipFill>
                    <a:blip r:embed="rId73"/>
                    <a:stretch>
                      <a:fillRect/>
                    </a:stretch>
                  </pic:blipFill>
                  <pic:spPr>
                    <a:xfrm rot="0">
                      <a:off x="0" y="0"/>
                      <a:ext cx="4743920" cy="8121646"/>
                    </a:xfrm>
                    <a:prstGeom prst="rect">
                      <a:avLst/>
                    </a:prstGeom>
                  </pic:spPr>
                </pic:pic>
              </a:graphicData>
            </a:graphic>
          </wp:inline>
        </w:drawing>
      </w:r>
    </w:p>
    <w:p>
      <w:pPr>
        <w:spacing w:line="12790" w:lineRule="exact"/>
        <w:sectPr>
          <w:headerReference w:type="default" r:id="rId62"/>
          <w:footerReference w:type="default" r:id="rId72"/>
          <w:pgSz w:w="11900" w:h="16840"/>
          <w:pgMar w:top="642" w:right="0" w:bottom="340" w:left="0" w:header="326" w:footer="111" w:gutter="0"/>
        </w:sectPr>
        <w:rPr/>
      </w:pPr>
    </w:p>
    <w:p>
      <w:pPr>
        <w:pStyle w:val="BodyText"/>
        <w:rPr/>
      </w:pPr>
      <w:r/>
    </w:p>
    <w:p>
      <w:pPr>
        <w:sectPr>
          <w:headerReference w:type="default" r:id="rId20"/>
          <w:footerReference w:type="default" r:id="rId74"/>
          <w:pgSz w:w="11900" w:h="16840"/>
          <w:pgMar w:top="642" w:right="0" w:bottom="340" w:left="0" w:header="326" w:footer="111" w:gutter="0"/>
        </w:sectPr>
        <w:rPr/>
      </w:pPr>
    </w:p>
    <w:p>
      <w:pPr>
        <w:pStyle w:val="BodyText"/>
        <w:rPr/>
      </w:pPr>
      <w:r/>
    </w:p>
    <w:p>
      <w:pPr>
        <w:sectPr>
          <w:footerReference w:type="default" r:id="rId75"/>
          <w:pgSz w:w="11900" w:h="16840"/>
          <w:pgMar w:top="642" w:right="0" w:bottom="340" w:left="0" w:header="326" w:footer="111" w:gutter="0"/>
        </w:sectPr>
        <w:rPr/>
      </w:pPr>
    </w:p>
    <w:p>
      <w:pPr>
        <w:pStyle w:val="BodyText"/>
        <w:rPr/>
      </w:pPr>
      <w:r/>
    </w:p>
    <w:p>
      <w:pPr>
        <w:sectPr>
          <w:footerReference w:type="default" r:id="rId76"/>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675"/>
        <w:spacing w:line="12790" w:lineRule="exact"/>
        <w:rPr/>
      </w:pPr>
      <w:r>
        <w:pict>
          <v:shape id="_x0000_s390" style="position:absolute;margin-left:391.92pt;margin-top:228.067pt;mso-position-vertical-relative:text;mso-position-horizontal-relative:text;width:119.4pt;height:18.85pt;z-index:251765760;rotation:330;" fillcolor="#404040" filled="true" stroked="false" type="#_x0000_t136">
            <v:fill opacity="0.400000"/>
            <v:textpath style="font-family:&quot;SimSun&quot;;font-size:20;v-text-kern:t;mso-text-shadow:auto" string="仅供内部审核"/>
          </v:shape>
        </w:pict>
      </w:r>
      <w:r>
        <w:pict>
          <v:shape id="_x0000_s392" style="position:absolute;margin-left:86.92pt;margin-top:472.067pt;mso-position-vertical-relative:text;mso-position-horizontal-relative:text;width:119.4pt;height:18.85pt;z-index:251766784;rotation:330;" fillcolor="#404040" filled="true" stroked="false" type="#_x0000_t136">
            <v:fill opacity="0.400000"/>
            <v:textpath style="font-family:&quot;SimSun&quot;;font-size:20;v-text-kern:t;mso-text-shadow:auto" string="仅供内部审核"/>
          </v:shape>
        </w:pict>
      </w:r>
      <w:r>
        <w:rPr>
          <w:position w:val="-255"/>
        </w:rPr>
        <w:drawing>
          <wp:inline distT="0" distB="0" distL="0" distR="0">
            <wp:extent cx="4174101" cy="8121646"/>
            <wp:effectExtent l="0" t="0" r="0" b="0"/>
            <wp:docPr id="42" name="IM 42"/>
            <wp:cNvGraphicFramePr/>
            <a:graphic>
              <a:graphicData uri="http://schemas.openxmlformats.org/drawingml/2006/picture">
                <pic:pic>
                  <pic:nvPicPr>
                    <pic:cNvPr id="42" name="IM 42"/>
                    <pic:cNvPicPr/>
                  </pic:nvPicPr>
                  <pic:blipFill>
                    <a:blip r:embed="rId78"/>
                    <a:stretch>
                      <a:fillRect/>
                    </a:stretch>
                  </pic:blipFill>
                  <pic:spPr>
                    <a:xfrm rot="0">
                      <a:off x="0" y="0"/>
                      <a:ext cx="4174101" cy="8121646"/>
                    </a:xfrm>
                    <a:prstGeom prst="rect">
                      <a:avLst/>
                    </a:prstGeom>
                  </pic:spPr>
                </pic:pic>
              </a:graphicData>
            </a:graphic>
          </wp:inline>
        </w:drawing>
      </w:r>
    </w:p>
    <w:p>
      <w:pPr>
        <w:spacing w:line="12790" w:lineRule="exact"/>
        <w:sectPr>
          <w:headerReference w:type="default" r:id="rId62"/>
          <w:footerReference w:type="default" r:id="rId77"/>
          <w:pgSz w:w="11900" w:h="16840"/>
          <w:pgMar w:top="642" w:right="0" w:bottom="340" w:left="0" w:header="326" w:footer="110" w:gutter="0"/>
        </w:sectPr>
        <w:rPr/>
      </w:pPr>
    </w:p>
    <w:p>
      <w:pPr>
        <w:pStyle w:val="BodyText"/>
        <w:rPr/>
      </w:pPr>
      <w:r/>
    </w:p>
    <w:p>
      <w:pPr>
        <w:sectPr>
          <w:headerReference w:type="default" r:id="rId20"/>
          <w:footerReference w:type="default" r:id="rId79"/>
          <w:pgSz w:w="11900" w:h="16840"/>
          <w:pgMar w:top="642" w:right="0" w:bottom="340" w:left="0" w:header="326" w:footer="111" w:gutter="0"/>
        </w:sectPr>
        <w:rPr/>
      </w:pPr>
    </w:p>
    <w:p>
      <w:pPr>
        <w:pStyle w:val="BodyText"/>
        <w:rPr/>
      </w:pPr>
      <w:r/>
    </w:p>
    <w:p>
      <w:pPr>
        <w:sectPr>
          <w:footerReference w:type="default" r:id="rId80"/>
          <w:pgSz w:w="11900" w:h="16840"/>
          <w:pgMar w:top="642" w:right="0" w:bottom="340" w:left="0" w:header="326" w:footer="110" w:gutter="0"/>
        </w:sectPr>
        <w:rPr/>
      </w:pPr>
    </w:p>
    <w:p>
      <w:pPr>
        <w:pStyle w:val="BodyText"/>
        <w:rPr/>
      </w:pPr>
      <w:r/>
    </w:p>
    <w:p>
      <w:pPr>
        <w:sectPr>
          <w:footerReference w:type="default" r:id="rId81"/>
          <w:pgSz w:w="11900" w:h="16840"/>
          <w:pgMar w:top="642" w:right="0" w:bottom="340" w:left="0" w:header="326" w:footer="111" w:gutter="0"/>
        </w:sectPr>
        <w:rPr/>
      </w:pPr>
    </w:p>
    <w:p>
      <w:pPr>
        <w:pStyle w:val="BodyText"/>
        <w:rPr/>
      </w:pPr>
      <w:r/>
    </w:p>
    <w:p>
      <w:pPr>
        <w:sectPr>
          <w:footerReference w:type="default" r:id="rId82"/>
          <w:pgSz w:w="11900" w:h="16840"/>
          <w:pgMar w:top="642" w:right="0" w:bottom="340" w:left="0" w:header="326" w:footer="111" w:gutter="0"/>
        </w:sectPr>
        <w:rPr/>
      </w:pPr>
    </w:p>
    <w:p>
      <w:pPr>
        <w:pStyle w:val="BodyText"/>
        <w:rPr/>
      </w:pPr>
      <w:r/>
    </w:p>
    <w:p>
      <w:pPr>
        <w:sectPr>
          <w:footerReference w:type="default" r:id="rId83"/>
          <w:pgSz w:w="11900" w:h="16840"/>
          <w:pgMar w:top="642" w:right="0" w:bottom="340" w:left="0" w:header="326" w:footer="111" w:gutter="0"/>
        </w:sectPr>
        <w:rPr/>
      </w:pPr>
    </w:p>
    <w:p>
      <w:pPr>
        <w:pStyle w:val="BodyText"/>
        <w:rPr/>
      </w:pPr>
      <w:r/>
    </w:p>
    <w:p>
      <w:pPr>
        <w:sectPr>
          <w:footerReference w:type="default" r:id="rId84"/>
          <w:pgSz w:w="11900" w:h="16840"/>
          <w:pgMar w:top="642" w:right="0" w:bottom="340" w:left="0" w:header="326" w:footer="111" w:gutter="0"/>
        </w:sectPr>
        <w:rPr/>
      </w:pPr>
    </w:p>
    <w:p>
      <w:pPr>
        <w:pStyle w:val="BodyText"/>
        <w:rPr/>
      </w:pPr>
      <w:r/>
    </w:p>
    <w:p>
      <w:pPr>
        <w:sectPr>
          <w:footerReference w:type="default" r:id="rId85"/>
          <w:pgSz w:w="11900" w:h="16840"/>
          <w:pgMar w:top="642" w:right="0" w:bottom="340" w:left="0" w:header="326" w:footer="111" w:gutter="0"/>
        </w:sectPr>
        <w:rPr/>
      </w:pPr>
    </w:p>
    <w:p>
      <w:pPr>
        <w:pStyle w:val="BodyText"/>
        <w:rPr/>
      </w:pPr>
      <w:r/>
    </w:p>
    <w:p>
      <w:pPr>
        <w:sectPr>
          <w:footerReference w:type="default" r:id="rId86"/>
          <w:pgSz w:w="11900" w:h="16840"/>
          <w:pgMar w:top="642" w:right="0" w:bottom="340" w:left="0" w:header="326" w:footer="111" w:gutter="0"/>
        </w:sectPr>
        <w:rPr/>
      </w:pPr>
    </w:p>
    <w:p>
      <w:pPr>
        <w:pStyle w:val="BodyText"/>
        <w:rPr/>
      </w:pPr>
      <w:r/>
    </w:p>
    <w:p>
      <w:pPr>
        <w:sectPr>
          <w:footerReference w:type="default" r:id="rId87"/>
          <w:pgSz w:w="11900" w:h="16840"/>
          <w:pgMar w:top="642" w:right="0" w:bottom="340" w:left="0" w:header="326" w:footer="111" w:gutter="0"/>
        </w:sectPr>
        <w:rPr/>
      </w:pPr>
    </w:p>
    <w:p>
      <w:pPr>
        <w:pStyle w:val="BodyText"/>
        <w:rPr/>
      </w:pPr>
      <w:r/>
    </w:p>
    <w:p>
      <w:pPr>
        <w:sectPr>
          <w:footerReference w:type="default" r:id="rId8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19"/>
        <w:spacing w:line="11893" w:lineRule="exact"/>
        <w:rPr/>
      </w:pPr>
      <w:r>
        <w:pict>
          <v:shape id="_x0000_s394" style="position:absolute;margin-left:391.92pt;margin-top:228.067pt;mso-position-vertical-relative:text;mso-position-horizontal-relative:text;width:119.4pt;height:18.85pt;z-index:251822080;rotation:330;" fillcolor="#404040" filled="true" stroked="false" type="#_x0000_t136">
            <v:fill opacity="0.400000"/>
            <v:textpath style="font-family:&quot;SimSun&quot;;font-size:20;v-text-kern:t;mso-text-shadow:auto" string="仅供内部审核"/>
          </v:shape>
        </w:pict>
      </w:r>
      <w:r>
        <w:pict>
          <v:shape id="_x0000_s396" style="position:absolute;margin-left:86.92pt;margin-top:472.067pt;mso-position-vertical-relative:text;mso-position-horizontal-relative:text;width:119.4pt;height:18.85pt;z-index:251823104;rotation:330;" fillcolor="#404040" filled="true" stroked="false" type="#_x0000_t136">
            <v:fill opacity="0.400000"/>
            <v:textpath style="font-family:&quot;SimSun&quot;;font-size:20;v-text-kern:t;mso-text-shadow:auto" string="仅供内部审核"/>
          </v:shape>
        </w:pict>
      </w:r>
      <w:r>
        <w:rPr>
          <w:position w:val="-237"/>
        </w:rPr>
        <w:drawing>
          <wp:inline distT="0" distB="0" distL="0" distR="0">
            <wp:extent cx="4627211" cy="7551826"/>
            <wp:effectExtent l="0" t="0" r="0" b="0"/>
            <wp:docPr id="44" name="IM 44"/>
            <wp:cNvGraphicFramePr/>
            <a:graphic>
              <a:graphicData uri="http://schemas.openxmlformats.org/drawingml/2006/picture">
                <pic:pic>
                  <pic:nvPicPr>
                    <pic:cNvPr id="44" name="IM 44"/>
                    <pic:cNvPicPr/>
                  </pic:nvPicPr>
                  <pic:blipFill>
                    <a:blip r:embed="rId90"/>
                    <a:stretch>
                      <a:fillRect/>
                    </a:stretch>
                  </pic:blipFill>
                  <pic:spPr>
                    <a:xfrm rot="0">
                      <a:off x="0" y="0"/>
                      <a:ext cx="4627211" cy="7551826"/>
                    </a:xfrm>
                    <a:prstGeom prst="rect">
                      <a:avLst/>
                    </a:prstGeom>
                  </pic:spPr>
                </pic:pic>
              </a:graphicData>
            </a:graphic>
          </wp:inline>
        </w:drawing>
      </w:r>
    </w:p>
    <w:p>
      <w:pPr>
        <w:spacing w:line="11893" w:lineRule="exact"/>
        <w:sectPr>
          <w:headerReference w:type="default" r:id="rId62"/>
          <w:footerReference w:type="default" r:id="rId89"/>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5" w:id="53"/>
      <w:bookmarkEnd w:id="53"/>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91"/>
      <w:footerReference w:type="default" r:id="rId92"/>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8" w:id="47"/>
    <w:bookmarkEnd w:id="47"/>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52"/>
    <w:bookmarkEnd w:id="52"/>
    <w:r>
      <w:rPr>
        <w:rFonts w:ascii="SimSun" w:hAnsi="SimSun" w:eastAsia="SimSun" w:cs="SimSun"/>
        <w:sz w:val="16"/>
        <w:szCs w:val="16"/>
        <w:spacing w:val="-10"/>
        <w:position w:val="1"/>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-54-</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4" style="position:absolute;margin-left:86.92pt;margin-top:27.7633pt;mso-position-vertical-relative:text;mso-position-horizontal-relative:text;width:119.4pt;height:18.85pt;z-index:-251572224;rotation:330;" fillcolor="#404040" filled="true" stroked="false" type="#_x0000_t136">
          <v:fill opacity="0.400000"/>
          <v:textpath style="font-family:&quot;SimSun&quot;;font-size:20;v-text-kern:t;mso-text-shadow:auto" string="仅供内部审核"/>
        </v:shape>
      </w:pict>
    </w:r>
    <w:r>
      <w:pict>
        <v:shape id="PowerPlusWaterMarkObject156" style="position:absolute;margin-left:-13.08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491.92pt;margin-top:44.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391.92pt;margin-top:288.10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86.92pt;margin-top:532.106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776.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0" style="position:absolute;margin-left:30pt;margin-top:29.5pt;mso-position-vertical-relative:page;mso-position-horizontal-relative:page;width:535pt;height:1pt;z-index:-2515742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2" style="position:absolute;margin-left:86.92pt;margin-top:27.7633pt;mso-position-vertical-relative:text;mso-position-horizontal-relative:text;width:119.4pt;height:18.85pt;z-index:-251563008;rotation:330;" fillcolor="#404040" filled="true" stroked="false" type="#_x0000_t136">
          <v:fill opacity="0.400000"/>
          <v:textpath style="font-family:&quot;SimSun&quot;;font-size:20;v-text-kern:t;mso-text-shadow:auto" string="仅供内部审核"/>
        </v:shape>
      </w:pict>
    </w:r>
    <w:r>
      <w:pict>
        <v:shape id="PowerPlusWaterMarkObject174" style="position:absolute;margin-left:-13.08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491.92pt;margin-top:44.105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391.92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86.92pt;margin-top:532.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13.08pt;margin-top:776.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491.92pt;margin-top:532.106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391.92pt;margin-top:776.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_x0000_s188" style="position:absolute;margin-left:30pt;margin-top:29.5pt;mso-position-vertical-relative:page;mso-position-horizontal-relative:page;width:535pt;height:1pt;z-index:-2515650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0" style="position:absolute;margin-left:86.92pt;margin-top:27.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pict>
        <v:shape id="PowerPlusWaterMarkObject192" style="position:absolute;margin-left:-13.08pt;margin-top:288.10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391.92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06"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08" style="position:absolute;margin-left:86.92pt;margin-top:27.7633pt;mso-position-vertical-relative:text;mso-position-horizontal-relative:text;width:119.4pt;height:18.85pt;z-index:-251549696;rotation:330;" fillcolor="#404040" filled="true" stroked="false" type="#_x0000_t136">
          <v:fill opacity="0.400000"/>
          <v:textpath style="font-family:&quot;SimSun&quot;;font-size:20;v-text-kern:t;mso-text-shadow:auto" string="仅供内部审核"/>
        </v:shape>
      </w:pict>
    </w:r>
    <w:r>
      <w:pict>
        <v:shape id="PowerPlusWaterMarkObject210" style="position:absolute;margin-left:-13.08pt;margin-top:776.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391.92pt;margin-top:776.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_x0000_s214" style="position:absolute;margin-left:30pt;margin-top:29.5pt;mso-position-vertical-relative:page;mso-position-horizontal-relative:page;width:535pt;height:1pt;z-index:-2515507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36" style="position:absolute;margin-left:86.92pt;margin-top:27.7633pt;mso-position-vertical-relative:text;mso-position-horizontal-relative:text;width:119.4pt;height:18.85pt;z-index:-251542528;rotation:330;" fillcolor="#404040" filled="true" stroked="false" type="#_x0000_t136">
          <v:fill opacity="0.400000"/>
          <v:textpath style="font-family:&quot;SimSun&quot;;font-size:20;v-text-kern:t;mso-text-shadow:auto" string="仅供内部审核"/>
        </v:shape>
      </w:pict>
    </w:r>
    <w:r>
      <w:pict>
        <v:shape id="PowerPlusWaterMarkObject338" style="position:absolute;margin-left:-13.08pt;margin-top:288.10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491.92pt;margin-top:44.105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13.08pt;margin-top:776.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491.92pt;margin-top:532.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346" style="position:absolute;margin-left:391.92pt;margin-top:776.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_x0000_s348" style="position:absolute;margin-left:30pt;margin-top:29.5pt;mso-position-vertical-relative:page;mso-position-horizontal-relative:page;width:535pt;height:1pt;z-index:-2515445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兴县医疗保障局2025年部门预算公开报告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54" style="position:absolute;margin-left:86.92pt;margin-top:27.7633pt;mso-position-vertical-relative:text;mso-position-horizontal-relative:text;width:119.4pt;height:18.85pt;z-index:-251536384;rotation:330;" fillcolor="#404040" filled="true" stroked="false" type="#_x0000_t136">
          <v:fill opacity="0.400000"/>
          <v:textpath style="font-family:&quot;SimSun&quot;;font-size:20;v-text-kern:t;mso-text-shadow:auto" string="仅供内部审核"/>
        </v:shape>
      </w:pict>
    </w:r>
    <w:r>
      <w:pict>
        <v:shape id="PowerPlusWaterMarkObject356" style="position:absolute;margin-left:491.92pt;margin-top:44.1055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358" style="position:absolute;margin-left:-13.08pt;margin-top:776.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491.92pt;margin-top:532.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391.92pt;margin-top:776.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_x0000_s364" style="position:absolute;margin-left:30pt;margin-top:29.5pt;mso-position-vertical-relative:page;mso-position-horizontal-relative:page;width:535pt;height:1pt;z-index:-2515384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兴县医疗保障局2025年部门预算公开报告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98" style="position:absolute;margin-left:86.92pt;margin-top:27.7633pt;mso-position-vertical-relative:text;mso-position-horizontal-relative:text;width:119.4pt;height:18.85pt;z-index:-251527168;rotation:330;" fillcolor="#404040" filled="true" stroked="false" type="#_x0000_t136">
          <v:fill opacity="0.400000"/>
          <v:textpath style="font-family:&quot;SimSun&quot;;font-size:20;v-text-kern:t;mso-text-shadow:auto" string="仅供内部审核"/>
        </v:shape>
      </w:pict>
    </w:r>
    <w:r>
      <w:pict>
        <v:shape id="PowerPlusWaterMarkObject400" style="position:absolute;margin-left:-13.08pt;margin-top:288.105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402" style="position:absolute;margin-left:491.92pt;margin-top:44.1055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404" style="position:absolute;margin-left:391.92pt;margin-top:288.105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406" style="position:absolute;margin-left:86.92pt;margin-top:532.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408" style="position:absolute;margin-left:-13.08pt;margin-top:776.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410" style="position:absolute;margin-left:491.92pt;margin-top:532.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412" style="position:absolute;margin-left:391.92pt;margin-top:776.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_x0000_s414" style="position:absolute;margin-left:30pt;margin-top:29.5pt;mso-position-vertical-relative:page;mso-position-horizontal-relative:page;width:535pt;height:1pt;z-index:-2515292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86.92pt;margin-top:27.7633pt;mso-position-vertical-relative:text;mso-position-horizontal-relative:text;width:119.4pt;height:18.85pt;z-index:-251597824;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491.92pt;margin-top:44.1055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391.92pt;margin-top:288.105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13.08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491.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391.92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_x0000_s120" style="position:absolute;margin-left:30pt;margin-top:29.5pt;mso-position-vertical-relative:page;mso-position-horizontal-relative:page;width:535pt;height:1pt;z-index:-2515998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兴县医疗保障局2025年部门预算公开报告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2" style="position:absolute;margin-left:-13.08pt;margin-top:28.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4" style="position:absolute;margin-left:312.92pt;margin-top:45.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86.92pt;margin-top:287.106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638.92pt;margin-top:45.105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2" style="position:absolute;margin-left:280.957pt;margin-top:406.395pt;mso-position-vertical-relative:page;mso-position-horizontal-relative:page;width:609.35pt;height:22.25pt;z-index:-2515937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4" style="position:absolute;margin-left:638.92pt;margin-top:529.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782pt;height:1pt;z-index:-251592704;"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兴县医疗保障局2025年部门预算公开报告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8" style="position:absolute;margin-left:-13.08pt;margin-top:28.7633pt;mso-position-vertical-relative:text;mso-position-horizontal-relative:text;width:119.4pt;height:18.85pt;z-index:-251581440;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312.92pt;margin-top:45.1055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86.92pt;margin-top:287.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638.92pt;margin-top:45.105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5.0434pt;margin-top:406.395pt;mso-position-vertical-relative:page;mso-position-horizontal-relative:page;width:609.35pt;height:22.25pt;z-index:-25158553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48" style="position:absolute;margin-left:280.957pt;margin-top:406.395pt;mso-position-vertical-relative:page;mso-position-horizontal-relative:page;width:609.35pt;height:22.25pt;z-index:-2515865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0" style="position:absolute;margin-left:638.92pt;margin-top:529.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_x0000_s152" style="position:absolute;margin-left:30pt;margin-top:29.5pt;mso-position-vertical-relative:page;mso-position-horizontal-relative:page;width:782pt;height:1pt;z-index:-251584512;"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兴县医疗保障局2025年部门预算公开报告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styles" Target="styles.xml"/><Relationship Id="rId93" Type="http://schemas.openxmlformats.org/officeDocument/2006/relationships/settings" Target="settings.xml"/><Relationship Id="rId92" Type="http://schemas.openxmlformats.org/officeDocument/2006/relationships/footer" Target="footer54.xml"/><Relationship Id="rId91" Type="http://schemas.openxmlformats.org/officeDocument/2006/relationships/header" Target="header16.xml"/><Relationship Id="rId90" Type="http://schemas.openxmlformats.org/officeDocument/2006/relationships/image" Target="media/image22.png"/><Relationship Id="rId9" Type="http://schemas.openxmlformats.org/officeDocument/2006/relationships/header" Target="header6.xml"/><Relationship Id="rId89" Type="http://schemas.openxmlformats.org/officeDocument/2006/relationships/footer" Target="footer53.xml"/><Relationship Id="rId88" Type="http://schemas.openxmlformats.org/officeDocument/2006/relationships/footer" Target="footer52.xml"/><Relationship Id="rId87" Type="http://schemas.openxmlformats.org/officeDocument/2006/relationships/footer" Target="footer51.xml"/><Relationship Id="rId86" Type="http://schemas.openxmlformats.org/officeDocument/2006/relationships/footer" Target="footer50.xml"/><Relationship Id="rId85" Type="http://schemas.openxmlformats.org/officeDocument/2006/relationships/footer" Target="footer49.xml"/><Relationship Id="rId84" Type="http://schemas.openxmlformats.org/officeDocument/2006/relationships/footer" Target="footer48.xml"/><Relationship Id="rId83" Type="http://schemas.openxmlformats.org/officeDocument/2006/relationships/footer" Target="footer47.xml"/><Relationship Id="rId82" Type="http://schemas.openxmlformats.org/officeDocument/2006/relationships/footer" Target="footer46.xml"/><Relationship Id="rId81" Type="http://schemas.openxmlformats.org/officeDocument/2006/relationships/footer" Target="footer45.xml"/><Relationship Id="rId80" Type="http://schemas.openxmlformats.org/officeDocument/2006/relationships/footer" Target="footer44.xml"/><Relationship Id="rId8" Type="http://schemas.openxmlformats.org/officeDocument/2006/relationships/footer" Target="footer2.xml"/><Relationship Id="rId79" Type="http://schemas.openxmlformats.org/officeDocument/2006/relationships/footer" Target="footer43.xml"/><Relationship Id="rId78" Type="http://schemas.openxmlformats.org/officeDocument/2006/relationships/image" Target="media/image21.png"/><Relationship Id="rId77" Type="http://schemas.openxmlformats.org/officeDocument/2006/relationships/footer" Target="footer42.xml"/><Relationship Id="rId76" Type="http://schemas.openxmlformats.org/officeDocument/2006/relationships/footer" Target="footer41.xml"/><Relationship Id="rId75" Type="http://schemas.openxmlformats.org/officeDocument/2006/relationships/footer" Target="footer40.xml"/><Relationship Id="rId74" Type="http://schemas.openxmlformats.org/officeDocument/2006/relationships/footer" Target="footer39.xml"/><Relationship Id="rId73" Type="http://schemas.openxmlformats.org/officeDocument/2006/relationships/image" Target="media/image20.png"/><Relationship Id="rId72" Type="http://schemas.openxmlformats.org/officeDocument/2006/relationships/footer" Target="footer38.xml"/><Relationship Id="rId71" Type="http://schemas.openxmlformats.org/officeDocument/2006/relationships/image" Target="media/image19.png"/><Relationship Id="rId70" Type="http://schemas.openxmlformats.org/officeDocument/2006/relationships/footer" Target="footer37.xml"/><Relationship Id="rId7" Type="http://schemas.openxmlformats.org/officeDocument/2006/relationships/header" Target="header5.xml"/><Relationship Id="rId69" Type="http://schemas.openxmlformats.org/officeDocument/2006/relationships/image" Target="media/image18.png"/><Relationship Id="rId68" Type="http://schemas.openxmlformats.org/officeDocument/2006/relationships/footer" Target="footer36.xml"/><Relationship Id="rId67" Type="http://schemas.openxmlformats.org/officeDocument/2006/relationships/image" Target="media/image17.png"/><Relationship Id="rId66" Type="http://schemas.openxmlformats.org/officeDocument/2006/relationships/footer" Target="footer35.xml"/><Relationship Id="rId65" Type="http://schemas.openxmlformats.org/officeDocument/2006/relationships/header" Target="header15.xml"/><Relationship Id="rId64" Type="http://schemas.openxmlformats.org/officeDocument/2006/relationships/image" Target="media/image16.png"/><Relationship Id="rId63" Type="http://schemas.openxmlformats.org/officeDocument/2006/relationships/footer" Target="footer34.xml"/><Relationship Id="rId62" Type="http://schemas.openxmlformats.org/officeDocument/2006/relationships/header" Target="header14.xml"/><Relationship Id="rId61" Type="http://schemas.openxmlformats.org/officeDocument/2006/relationships/footer" Target="footer33.xml"/><Relationship Id="rId60" Type="http://schemas.openxmlformats.org/officeDocument/2006/relationships/image" Target="media/image15.png"/><Relationship Id="rId6" Type="http://schemas.openxmlformats.org/officeDocument/2006/relationships/footer" Target="footer1.xml"/><Relationship Id="rId59" Type="http://schemas.openxmlformats.org/officeDocument/2006/relationships/footer" Target="footer32.xml"/><Relationship Id="rId58" Type="http://schemas.openxmlformats.org/officeDocument/2006/relationships/image" Target="media/image14.png"/><Relationship Id="rId57" Type="http://schemas.openxmlformats.org/officeDocument/2006/relationships/footer" Target="footer31.xml"/><Relationship Id="rId56" Type="http://schemas.openxmlformats.org/officeDocument/2006/relationships/image" Target="media/image13.png"/><Relationship Id="rId55" Type="http://schemas.openxmlformats.org/officeDocument/2006/relationships/footer" Target="footer30.xml"/><Relationship Id="rId54" Type="http://schemas.openxmlformats.org/officeDocument/2006/relationships/image" Target="media/image12.png"/><Relationship Id="rId53" Type="http://schemas.openxmlformats.org/officeDocument/2006/relationships/footer" Target="footer29.xml"/><Relationship Id="rId52" Type="http://schemas.openxmlformats.org/officeDocument/2006/relationships/image" Target="media/image11.jpeg"/><Relationship Id="rId51" Type="http://schemas.openxmlformats.org/officeDocument/2006/relationships/footer" Target="footer28.xml"/><Relationship Id="rId50" Type="http://schemas.openxmlformats.org/officeDocument/2006/relationships/image" Target="media/image10.jpeg"/><Relationship Id="rId5" Type="http://schemas.openxmlformats.org/officeDocument/2006/relationships/header" Target="header4.xml"/><Relationship Id="rId49" Type="http://schemas.openxmlformats.org/officeDocument/2006/relationships/footer" Target="footer27.xml"/><Relationship Id="rId48" Type="http://schemas.openxmlformats.org/officeDocument/2006/relationships/image" Target="media/image9.jpeg"/><Relationship Id="rId47" Type="http://schemas.openxmlformats.org/officeDocument/2006/relationships/footer" Target="footer26.xml"/><Relationship Id="rId46" Type="http://schemas.openxmlformats.org/officeDocument/2006/relationships/image" Target="media/image8.jpeg"/><Relationship Id="rId45" Type="http://schemas.openxmlformats.org/officeDocument/2006/relationships/footer" Target="footer25.xml"/><Relationship Id="rId44" Type="http://schemas.openxmlformats.org/officeDocument/2006/relationships/image" Target="media/image7.jpeg"/><Relationship Id="rId43" Type="http://schemas.openxmlformats.org/officeDocument/2006/relationships/footer" Target="footer24.xml"/><Relationship Id="rId42" Type="http://schemas.openxmlformats.org/officeDocument/2006/relationships/image" Target="media/image6.png"/><Relationship Id="rId41" Type="http://schemas.openxmlformats.org/officeDocument/2006/relationships/footer" Target="footer23.xml"/><Relationship Id="rId40" Type="http://schemas.openxmlformats.org/officeDocument/2006/relationships/image" Target="media/image5.png"/><Relationship Id="rId4" Type="http://schemas.openxmlformats.org/officeDocument/2006/relationships/header" Target="header3.xml"/><Relationship Id="rId39" Type="http://schemas.openxmlformats.org/officeDocument/2006/relationships/footer" Target="footer22.xml"/><Relationship Id="rId38" Type="http://schemas.openxmlformats.org/officeDocument/2006/relationships/image" Target="media/image4.png"/><Relationship Id="rId37" Type="http://schemas.openxmlformats.org/officeDocument/2006/relationships/footer" Target="footer21.xml"/><Relationship Id="rId36" Type="http://schemas.openxmlformats.org/officeDocument/2006/relationships/header" Target="header13.xml"/><Relationship Id="rId35" Type="http://schemas.openxmlformats.org/officeDocument/2006/relationships/footer" Target="footer20.xml"/><Relationship Id="rId34" Type="http://schemas.openxmlformats.org/officeDocument/2006/relationships/image" Target="media/image3.png"/><Relationship Id="rId33" Type="http://schemas.openxmlformats.org/officeDocument/2006/relationships/footer" Target="footer19.xml"/><Relationship Id="rId32" Type="http://schemas.openxmlformats.org/officeDocument/2006/relationships/header" Target="header12.xml"/><Relationship Id="rId31" Type="http://schemas.openxmlformats.org/officeDocument/2006/relationships/image" Target="media/image2.png"/><Relationship Id="rId30" Type="http://schemas.openxmlformats.org/officeDocument/2006/relationships/footer" Target="footer18.xml"/><Relationship Id="rId3" Type="http://schemas.openxmlformats.org/officeDocument/2006/relationships/image" Target="media/image1.png"/><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0.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2025-09-25T19:03:56Z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2025-09-28T09:13:54</vt:filetime>
  </property>
</Properties>
</file>