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352"/>
        <w:spacing w:before="140" w:line="215" w:lineRule="auto"/>
        <w:rPr>
          <w:rFonts w:ascii="SimSun" w:hAnsi="SimSun" w:eastAsia="SimSun" w:cs="SimSun"/>
          <w:sz w:val="43"/>
          <w:szCs w:val="43"/>
        </w:rPr>
      </w:pPr>
      <w:r>
        <w:rPr>
          <w:rFonts w:ascii="SimSun" w:hAnsi="SimSun" w:eastAsia="SimSun" w:cs="SimSun"/>
          <w:sz w:val="43"/>
          <w:szCs w:val="43"/>
          <w:spacing w:val="98"/>
        </w:rPr>
        <w:t>兴县医疗集团</w:t>
      </w:r>
    </w:p>
    <w:p>
      <w:pPr>
        <w:pStyle w:val="BodyText"/>
        <w:spacing w:line="386"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b/>
                <w:bCs/>
                <w:spacing w:val="-6"/>
              </w:rPr>
              <w:t>45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spacing w:before="282" w:line="222" w:lineRule="auto"/>
        <w:rPr>
          <w:rFonts w:ascii="FangSong" w:hAnsi="FangSong" w:eastAsia="FangSong" w:cs="FangSong"/>
          <w:sz w:val="24"/>
          <w:szCs w:val="24"/>
        </w:rPr>
      </w:pPr>
      <w:r>
        <w:rPr>
          <w:rFonts w:ascii="FangSong" w:hAnsi="FangSong" w:eastAsia="FangSong" w:cs="FangSong"/>
          <w:sz w:val="24"/>
          <w:szCs w:val="24"/>
          <w:spacing w:val="-5"/>
        </w:rPr>
        <w:t>一、部门主要职责</w:t>
      </w:r>
    </w:p>
    <w:p>
      <w:pPr>
        <w:ind w:left="1526"/>
        <w:spacing w:before="116" w:line="222" w:lineRule="auto"/>
        <w:rPr>
          <w:rFonts w:ascii="FangSong" w:hAnsi="FangSong" w:eastAsia="FangSong" w:cs="FangSong"/>
          <w:sz w:val="24"/>
          <w:szCs w:val="24"/>
        </w:rPr>
      </w:pPr>
      <w:r>
        <w:rPr>
          <w:rFonts w:ascii="FangSong" w:hAnsi="FangSong" w:eastAsia="FangSong" w:cs="FangSong"/>
          <w:sz w:val="24"/>
          <w:szCs w:val="24"/>
          <w:spacing w:val="-3"/>
        </w:rPr>
        <w:t>1、依法监督管理消毒产品、生活饮用水及涉及饮用水卫生安全产品；</w:t>
      </w:r>
    </w:p>
    <w:p>
      <w:pPr>
        <w:ind w:left="1511"/>
        <w:spacing w:before="117" w:line="220" w:lineRule="auto"/>
        <w:rPr>
          <w:rFonts w:ascii="FangSong" w:hAnsi="FangSong" w:eastAsia="FangSong" w:cs="FangSong"/>
          <w:sz w:val="24"/>
          <w:szCs w:val="24"/>
        </w:rPr>
      </w:pPr>
      <w:r>
        <w:rPr>
          <w:rFonts w:ascii="FangSong" w:hAnsi="FangSong" w:eastAsia="FangSong" w:cs="FangSong"/>
          <w:sz w:val="24"/>
          <w:szCs w:val="24"/>
          <w:spacing w:val="-3"/>
        </w:rPr>
        <w:t>2、依法监督管理公共场所、职业、放射、学校卫生等工作；</w:t>
      </w:r>
    </w:p>
    <w:p>
      <w:pPr>
        <w:ind w:left="1513"/>
        <w:spacing w:before="104" w:line="220" w:lineRule="auto"/>
        <w:rPr>
          <w:rFonts w:ascii="FangSong" w:hAnsi="FangSong" w:eastAsia="FangSong" w:cs="FangSong"/>
          <w:sz w:val="24"/>
          <w:szCs w:val="24"/>
        </w:rPr>
      </w:pPr>
      <w:r>
        <w:rPr>
          <w:rFonts w:ascii="FangSong" w:hAnsi="FangSong" w:eastAsia="FangSong" w:cs="FangSong"/>
          <w:sz w:val="24"/>
          <w:szCs w:val="24"/>
          <w:spacing w:val="-5"/>
        </w:rPr>
        <w:t>3、依法监督传染病防治工作；</w:t>
      </w:r>
    </w:p>
    <w:p>
      <w:pPr>
        <w:ind w:left="1522" w:right="1640" w:hanging="15"/>
        <w:spacing w:before="119" w:line="266" w:lineRule="auto"/>
        <w:rPr>
          <w:rFonts w:ascii="FangSong" w:hAnsi="FangSong" w:eastAsia="FangSong" w:cs="FangSong"/>
          <w:sz w:val="24"/>
          <w:szCs w:val="24"/>
        </w:rPr>
      </w:pPr>
      <w:r>
        <w:rPr>
          <w:rFonts w:ascii="FangSong" w:hAnsi="FangSong" w:eastAsia="FangSong" w:cs="FangSong"/>
          <w:sz w:val="24"/>
          <w:szCs w:val="24"/>
        </w:rPr>
        <w:t>4、依法监督医疗机构和采供血机构及其执业人员的执业活动，</w:t>
      </w:r>
      <w:r>
        <w:rPr>
          <w:rFonts w:ascii="FangSong" w:hAnsi="FangSong" w:eastAsia="FangSong" w:cs="FangSong"/>
          <w:sz w:val="24"/>
          <w:szCs w:val="24"/>
          <w:spacing w:val="-1"/>
        </w:rPr>
        <w:t>整顿和规范医疗服务</w:t>
      </w:r>
      <w:r>
        <w:rPr>
          <w:rFonts w:ascii="FangSong" w:hAnsi="FangSong" w:eastAsia="FangSong" w:cs="FangSong"/>
          <w:sz w:val="24"/>
          <w:szCs w:val="24"/>
        </w:rPr>
        <w:t xml:space="preserve"> </w:t>
      </w:r>
      <w:r>
        <w:rPr>
          <w:rFonts w:ascii="FangSong" w:hAnsi="FangSong" w:eastAsia="FangSong" w:cs="FangSong"/>
          <w:sz w:val="24"/>
          <w:szCs w:val="24"/>
          <w:spacing w:val="-4"/>
        </w:rPr>
        <w:t>市场，打击非法行医和非法采供血行为；</w:t>
      </w:r>
    </w:p>
    <w:p>
      <w:pPr>
        <w:ind w:left="1513"/>
        <w:spacing w:before="102" w:line="222" w:lineRule="auto"/>
        <w:rPr>
          <w:rFonts w:ascii="FangSong" w:hAnsi="FangSong" w:eastAsia="FangSong" w:cs="FangSong"/>
          <w:sz w:val="24"/>
          <w:szCs w:val="24"/>
        </w:rPr>
      </w:pPr>
      <w:r>
        <w:rPr>
          <w:rFonts w:ascii="FangSong" w:hAnsi="FangSong" w:eastAsia="FangSong" w:cs="FangSong"/>
          <w:sz w:val="24"/>
          <w:szCs w:val="24"/>
          <w:spacing w:val="-3"/>
        </w:rPr>
        <w:t>5、承担法律法规规定的其他职责。</w:t>
      </w:r>
    </w:p>
    <w:p>
      <w:pPr>
        <w:ind w:left="1513"/>
        <w:spacing w:before="296"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6"/>
        <w:spacing w:before="118" w:line="222" w:lineRule="auto"/>
        <w:rPr>
          <w:rFonts w:ascii="FangSong" w:hAnsi="FangSong" w:eastAsia="FangSong" w:cs="FangSong"/>
          <w:sz w:val="24"/>
          <w:szCs w:val="24"/>
        </w:rPr>
      </w:pPr>
      <w:r>
        <w:rPr>
          <w:rFonts w:ascii="FangSong" w:hAnsi="FangSong" w:eastAsia="FangSong" w:cs="FangSong"/>
          <w:sz w:val="24"/>
          <w:szCs w:val="24"/>
          <w:spacing w:val="-3"/>
        </w:rPr>
        <w:t>1、机构设置情况</w:t>
      </w:r>
    </w:p>
    <w:p>
      <w:pPr>
        <w:ind w:left="1516"/>
        <w:spacing w:before="101" w:line="221" w:lineRule="auto"/>
        <w:rPr>
          <w:rFonts w:ascii="FangSong" w:hAnsi="FangSong" w:eastAsia="FangSong" w:cs="FangSong"/>
          <w:sz w:val="24"/>
          <w:szCs w:val="24"/>
        </w:rPr>
      </w:pPr>
      <w:r>
        <w:rPr>
          <w:rFonts w:ascii="FangSong" w:hAnsi="FangSong" w:eastAsia="FangSong" w:cs="FangSong"/>
          <w:sz w:val="24"/>
          <w:szCs w:val="24"/>
          <w:spacing w:val="-2"/>
        </w:rPr>
        <w:t>本单位内设股室有3个,分别为有办公室、监督股、稽查股。</w:t>
      </w:r>
    </w:p>
    <w:p>
      <w:pPr>
        <w:spacing w:line="22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093"/>
        <w:gridCol w:w="107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188"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单位名称：兴县医疗集团</w:t>
            </w:r>
          </w:p>
        </w:tc>
        <w:tc>
          <w:tcPr>
            <w:tcW w:w="3362" w:type="dxa"/>
            <w:vAlign w:val="top"/>
            <w:gridSpan w:val="3"/>
            <w:tcBorders>
              <w:top w:val="single" w:color="FFFFFF" w:sz="6" w:space="0"/>
              <w:left w:val="single" w:color="FFFFFF" w:sz="2" w:space="0"/>
              <w:right w:val="single" w:color="FFFFFF" w:sz="2" w:space="0"/>
            </w:tcBorders>
          </w:tcPr>
          <w:p>
            <w:pPr>
              <w:ind w:left="243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52" w:type="dxa"/>
            <w:vAlign w:val="top"/>
            <w:gridSpan w:val="2"/>
          </w:tcPr>
          <w:p>
            <w:pPr>
              <w:ind w:left="13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98" w:type="dxa"/>
            <w:vAlign w:val="top"/>
            <w:gridSpan w:val="4"/>
          </w:tcPr>
          <w:p>
            <w:pPr>
              <w:ind w:left="250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69" w:type="dxa"/>
            <w:vAlign w:val="top"/>
          </w:tcPr>
          <w:p>
            <w:pPr>
              <w:ind w:left="78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3"/>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36" w:type="dxa"/>
            <w:vAlign w:val="top"/>
          </w:tcPr>
          <w:p>
            <w:pPr>
              <w:ind w:left="81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3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093" w:type="dxa"/>
            <w:vAlign w:val="top"/>
          </w:tcPr>
          <w:p>
            <w:pPr>
              <w:ind w:left="94"/>
              <w:spacing w:before="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当年预算安</w:t>
            </w:r>
          </w:p>
          <w:p>
            <w:pPr>
              <w:ind w:left="444"/>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c>
          <w:tcPr>
            <w:tcW w:w="1071" w:type="dxa"/>
            <w:vAlign w:val="top"/>
          </w:tcPr>
          <w:p>
            <w:pPr>
              <w:ind w:left="71"/>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431"/>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6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923.82</w:t>
            </w:r>
          </w:p>
        </w:tc>
        <w:tc>
          <w:tcPr>
            <w:tcW w:w="2036" w:type="dxa"/>
            <w:vAlign w:val="top"/>
          </w:tcPr>
          <w:p>
            <w:pPr>
              <w:ind w:left="6"/>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36" w:type="dxa"/>
            <w:vAlign w:val="top"/>
          </w:tcPr>
          <w:p>
            <w:pPr>
              <w:ind w:left="7"/>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36"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36" w:type="dxa"/>
            <w:vAlign w:val="top"/>
          </w:tcPr>
          <w:p>
            <w:pPr>
              <w:ind w:left="21"/>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36" w:type="dxa"/>
            <w:vAlign w:val="top"/>
          </w:tcPr>
          <w:p>
            <w:pPr>
              <w:ind w:left="7"/>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8" w:type="dxa"/>
            <w:vAlign w:val="top"/>
          </w:tcPr>
          <w:p>
            <w:pPr>
              <w:ind w:right="23"/>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093" w:type="dxa"/>
            <w:vAlign w:val="top"/>
          </w:tcPr>
          <w:p>
            <w:pPr>
              <w:ind w:right="1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4"/>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1059.97</w:t>
            </w:r>
          </w:p>
        </w:tc>
        <w:tc>
          <w:tcPr>
            <w:tcW w:w="1093" w:type="dxa"/>
            <w:vAlign w:val="top"/>
          </w:tcPr>
          <w:p>
            <w:pPr>
              <w:ind w:right="1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820.14</w:t>
            </w:r>
          </w:p>
        </w:tc>
        <w:tc>
          <w:tcPr>
            <w:tcW w:w="1071"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239.83</w:t>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32"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5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093"/>
        <w:gridCol w:w="1071"/>
      </w:tblGrid>
      <w:tr>
        <w:trPr>
          <w:trHeight w:val="531"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3"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7"/>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4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8" w:right="4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pStyle w:val="TableText"/>
              <w:rPr/>
            </w:pPr>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24" w:hRule="atLeast"/>
        </w:trPr>
        <w:tc>
          <w:tcPr>
            <w:tcW w:w="196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603"/>
              <w:spacing w:before="186" w:line="183" w:lineRule="auto"/>
              <w:rPr>
                <w:sz w:val="15"/>
                <w:szCs w:val="15"/>
              </w:rPr>
            </w:pPr>
            <w:r>
              <w:rPr>
                <w:sz w:val="15"/>
                <w:szCs w:val="15"/>
                <w:color w:val="212529"/>
                <w:spacing w:val="3"/>
              </w:rPr>
              <w:t>923.</w:t>
            </w:r>
            <w:r>
              <w:rPr>
                <w:sz w:val="15"/>
                <w:szCs w:val="15"/>
                <w:color w:val="212529"/>
                <w:spacing w:val="9"/>
              </w:rPr>
              <w:t xml:space="preserve"> </w:t>
            </w:r>
            <w:r>
              <w:rPr>
                <w:sz w:val="15"/>
                <w:szCs w:val="15"/>
                <w:color w:val="212529"/>
                <w:spacing w:val="3"/>
              </w:rPr>
              <w:t>82</w:t>
            </w:r>
          </w:p>
        </w:tc>
        <w:tc>
          <w:tcPr>
            <w:tcW w:w="2036" w:type="dxa"/>
            <w:vAlign w:val="top"/>
          </w:tcPr>
          <w:p>
            <w:pPr>
              <w:ind w:left="4"/>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46"/>
              <w:spacing w:before="186" w:line="172" w:lineRule="auto"/>
              <w:rPr>
                <w:sz w:val="16"/>
                <w:szCs w:val="16"/>
              </w:rPr>
            </w:pPr>
            <w:r>
              <w:rPr>
                <w:sz w:val="16"/>
                <w:szCs w:val="16"/>
                <w:color w:val="212529"/>
                <w:spacing w:val="3"/>
              </w:rPr>
              <w:t>1163.65</w:t>
            </w:r>
          </w:p>
        </w:tc>
        <w:tc>
          <w:tcPr>
            <w:tcW w:w="1093" w:type="dxa"/>
            <w:vAlign w:val="top"/>
          </w:tcPr>
          <w:p>
            <w:pPr>
              <w:pStyle w:val="TableText"/>
              <w:ind w:left="528"/>
              <w:spacing w:before="186" w:line="183" w:lineRule="auto"/>
              <w:rPr>
                <w:sz w:val="15"/>
                <w:szCs w:val="15"/>
              </w:rPr>
            </w:pPr>
            <w:r>
              <w:rPr>
                <w:sz w:val="15"/>
                <w:szCs w:val="15"/>
                <w:color w:val="212529"/>
                <w:spacing w:val="4"/>
              </w:rPr>
              <w:t>923.</w:t>
            </w:r>
            <w:r>
              <w:rPr>
                <w:sz w:val="15"/>
                <w:szCs w:val="15"/>
                <w:color w:val="212529"/>
                <w:spacing w:val="4"/>
              </w:rPr>
              <w:t xml:space="preserve"> </w:t>
            </w:r>
            <w:r>
              <w:rPr>
                <w:sz w:val="15"/>
                <w:szCs w:val="15"/>
                <w:color w:val="212529"/>
                <w:spacing w:val="4"/>
              </w:rPr>
              <w:t>82</w:t>
            </w:r>
          </w:p>
        </w:tc>
        <w:tc>
          <w:tcPr>
            <w:tcW w:w="1071" w:type="dxa"/>
            <w:vAlign w:val="top"/>
          </w:tcPr>
          <w:p>
            <w:pPr>
              <w:pStyle w:val="TableText"/>
              <w:ind w:left="495"/>
              <w:spacing w:before="186" w:line="183" w:lineRule="auto"/>
              <w:rPr>
                <w:sz w:val="15"/>
                <w:szCs w:val="15"/>
              </w:rPr>
            </w:pPr>
            <w:r>
              <w:rPr>
                <w:sz w:val="15"/>
                <w:szCs w:val="15"/>
                <w:color w:val="212529"/>
                <w:spacing w:val="2"/>
              </w:rPr>
              <w:t>239.</w:t>
            </w:r>
            <w:r>
              <w:rPr>
                <w:sz w:val="15"/>
                <w:szCs w:val="15"/>
                <w:color w:val="212529"/>
                <w:spacing w:val="13"/>
                <w:w w:val="101"/>
              </w:rPr>
              <w:t xml:space="preserve"> </w:t>
            </w:r>
            <w:r>
              <w:rPr>
                <w:sz w:val="15"/>
                <w:szCs w:val="15"/>
                <w:color w:val="212529"/>
                <w:spacing w:val="2"/>
              </w:rPr>
              <w:t>83</w:t>
            </w:r>
          </w:p>
        </w:tc>
      </w:tr>
      <w:tr>
        <w:trPr>
          <w:trHeight w:val="524" w:hRule="atLeast"/>
        </w:trPr>
        <w:tc>
          <w:tcPr>
            <w:tcW w:w="196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644"/>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239.83</w:t>
            </w:r>
          </w:p>
        </w:tc>
        <w:tc>
          <w:tcPr>
            <w:tcW w:w="203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093" w:type="dxa"/>
            <w:vAlign w:val="top"/>
          </w:tcPr>
          <w:p>
            <w:pPr>
              <w:pStyle w:val="TableText"/>
              <w:rPr/>
            </w:pPr>
            <w:r/>
          </w:p>
        </w:tc>
        <w:tc>
          <w:tcPr>
            <w:tcW w:w="1071" w:type="dxa"/>
            <w:vAlign w:val="top"/>
          </w:tcPr>
          <w:p>
            <w:pPr>
              <w:pStyle w:val="TableText"/>
              <w:rPr/>
            </w:pPr>
            <w:r/>
          </w:p>
        </w:tc>
      </w:tr>
      <w:tr>
        <w:trPr>
          <w:trHeight w:val="531" w:hRule="atLeast"/>
        </w:trPr>
        <w:tc>
          <w:tcPr>
            <w:tcW w:w="196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25"/>
              <w:spacing w:before="188" w:line="184" w:lineRule="auto"/>
              <w:rPr>
                <w:sz w:val="15"/>
                <w:szCs w:val="15"/>
              </w:rPr>
            </w:pPr>
            <w:r>
              <w:rPr>
                <w:sz w:val="15"/>
                <w:szCs w:val="15"/>
                <w:color w:val="212529"/>
                <w:spacing w:val="2"/>
              </w:rPr>
              <w:t>1163.</w:t>
            </w:r>
            <w:r>
              <w:rPr>
                <w:sz w:val="15"/>
                <w:szCs w:val="15"/>
                <w:color w:val="212529"/>
                <w:spacing w:val="2"/>
              </w:rPr>
              <w:t xml:space="preserve"> </w:t>
            </w:r>
            <w:r>
              <w:rPr>
                <w:sz w:val="15"/>
                <w:szCs w:val="15"/>
                <w:color w:val="212529"/>
                <w:spacing w:val="2"/>
              </w:rPr>
              <w:t>65</w:t>
            </w:r>
          </w:p>
        </w:tc>
        <w:tc>
          <w:tcPr>
            <w:tcW w:w="2036" w:type="dxa"/>
            <w:vAlign w:val="top"/>
          </w:tcPr>
          <w:p>
            <w:pPr>
              <w:ind w:left="3"/>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46"/>
              <w:spacing w:before="188" w:line="172" w:lineRule="auto"/>
              <w:rPr>
                <w:sz w:val="16"/>
                <w:szCs w:val="16"/>
              </w:rPr>
            </w:pPr>
            <w:r>
              <w:rPr>
                <w:sz w:val="16"/>
                <w:szCs w:val="16"/>
                <w:color w:val="212529"/>
                <w:spacing w:val="3"/>
              </w:rPr>
              <w:t>1163.65</w:t>
            </w:r>
          </w:p>
        </w:tc>
        <w:tc>
          <w:tcPr>
            <w:tcW w:w="1093" w:type="dxa"/>
            <w:vAlign w:val="top"/>
          </w:tcPr>
          <w:p>
            <w:pPr>
              <w:pStyle w:val="TableText"/>
              <w:ind w:left="528"/>
              <w:spacing w:before="188" w:line="183" w:lineRule="auto"/>
              <w:rPr>
                <w:sz w:val="15"/>
                <w:szCs w:val="15"/>
              </w:rPr>
            </w:pPr>
            <w:r>
              <w:rPr>
                <w:sz w:val="15"/>
                <w:szCs w:val="15"/>
                <w:color w:val="212529"/>
                <w:spacing w:val="4"/>
              </w:rPr>
              <w:t>923.</w:t>
            </w:r>
            <w:r>
              <w:rPr>
                <w:sz w:val="15"/>
                <w:szCs w:val="15"/>
                <w:color w:val="212529"/>
                <w:spacing w:val="4"/>
              </w:rPr>
              <w:t xml:space="preserve"> </w:t>
            </w:r>
            <w:r>
              <w:rPr>
                <w:sz w:val="15"/>
                <w:szCs w:val="15"/>
                <w:color w:val="212529"/>
                <w:spacing w:val="4"/>
              </w:rPr>
              <w:t>82</w:t>
            </w:r>
          </w:p>
        </w:tc>
        <w:tc>
          <w:tcPr>
            <w:tcW w:w="1071" w:type="dxa"/>
            <w:vAlign w:val="top"/>
          </w:tcPr>
          <w:p>
            <w:pPr>
              <w:pStyle w:val="TableText"/>
              <w:ind w:left="495"/>
              <w:spacing w:before="188" w:line="183" w:lineRule="auto"/>
              <w:rPr>
                <w:sz w:val="15"/>
                <w:szCs w:val="15"/>
              </w:rPr>
            </w:pPr>
            <w:r>
              <w:rPr>
                <w:sz w:val="15"/>
                <w:szCs w:val="15"/>
                <w:color w:val="212529"/>
                <w:spacing w:val="2"/>
              </w:rPr>
              <w:t>239.</w:t>
            </w:r>
            <w:r>
              <w:rPr>
                <w:sz w:val="15"/>
                <w:szCs w:val="15"/>
                <w:color w:val="212529"/>
                <w:spacing w:val="13"/>
                <w:w w:val="101"/>
              </w:rPr>
              <w:t xml:space="preserve"> </w:t>
            </w:r>
            <w:r>
              <w:rPr>
                <w:sz w:val="15"/>
                <w:szCs w:val="15"/>
                <w:color w:val="212529"/>
                <w:spacing w:val="2"/>
              </w:rPr>
              <w:t>83</w:t>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07"/>
        <w:gridCol w:w="1423"/>
        <w:gridCol w:w="1259"/>
        <w:gridCol w:w="1288"/>
        <w:gridCol w:w="1483"/>
        <w:gridCol w:w="1468"/>
        <w:gridCol w:w="959"/>
        <w:gridCol w:w="1266"/>
      </w:tblGrid>
      <w:tr>
        <w:trPr>
          <w:trHeight w:val="441"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0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225" w:type="dxa"/>
            <w:vAlign w:val="top"/>
            <w:gridSpan w:val="2"/>
            <w:tcBorders>
              <w:left w:val="single" w:color="FFFFFF" w:sz="2" w:space="0"/>
              <w:right w:val="single" w:color="FFFFFF" w:sz="2" w:space="0"/>
              <w:bottom w:val="single" w:color="FFFFFF" w:sz="6" w:space="0"/>
              <w:top w:val="single" w:color="FFFFFF" w:sz="6" w:space="0"/>
            </w:tcBorders>
          </w:tcPr>
          <w:p>
            <w:pPr>
              <w:ind w:left="120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8"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23" w:type="dxa"/>
            <w:vAlign w:val="top"/>
            <w:gridSpan w:val="2"/>
            <w:tcBorders>
              <w:left w:val="single" w:color="FFFFFF" w:sz="2" w:space="0"/>
              <w:right w:val="single" w:color="FFFFFF" w:sz="2" w:space="0"/>
              <w:top w:val="single" w:color="FFFFFF" w:sz="6" w:space="0"/>
            </w:tcBorders>
          </w:tcPr>
          <w:p>
            <w:pPr>
              <w:ind w:left="13"/>
              <w:spacing w:before="125" w:line="219" w:lineRule="auto"/>
              <w:rPr>
                <w:rFonts w:ascii="SimSun" w:hAnsi="SimSun" w:eastAsia="SimSun" w:cs="SimSun"/>
                <w:sz w:val="18"/>
                <w:szCs w:val="18"/>
              </w:rPr>
            </w:pPr>
            <w:r>
              <w:rPr>
                <w:rFonts w:ascii="SimSun" w:hAnsi="SimSun" w:eastAsia="SimSun" w:cs="SimSun"/>
                <w:sz w:val="18"/>
                <w:szCs w:val="18"/>
                <w:color w:val="212529"/>
                <w:spacing w:val="-1"/>
              </w:rPr>
              <w:t>单位名称：兴县医疗集团</w:t>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2225" w:type="dxa"/>
            <w:vAlign w:val="top"/>
            <w:gridSpan w:val="2"/>
            <w:tcBorders>
              <w:left w:val="single" w:color="FFFFFF" w:sz="2" w:space="0"/>
              <w:right w:val="single" w:color="FFFFFF" w:sz="2" w:space="0"/>
              <w:top w:val="single" w:color="FFFFFF" w:sz="6" w:space="0"/>
            </w:tcBorders>
          </w:tcPr>
          <w:p>
            <w:pPr>
              <w:ind w:left="1294"/>
              <w:spacing w:before="126"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23" w:type="dxa"/>
            <w:vAlign w:val="top"/>
            <w:gridSpan w:val="2"/>
          </w:tcPr>
          <w:p>
            <w:pPr>
              <w:ind w:left="196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880" w:type="dxa"/>
            <w:vAlign w:val="top"/>
            <w:gridSpan w:val="6"/>
          </w:tcPr>
          <w:p>
            <w:pPr>
              <w:ind w:left="3569"/>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66" w:type="dxa"/>
            <w:vAlign w:val="top"/>
            <w:vMerge w:val="restart"/>
            <w:tcBorders>
              <w:bottom w:val="nil"/>
            </w:tcBorders>
          </w:tcPr>
          <w:p>
            <w:pPr>
              <w:pStyle w:val="TableText"/>
              <w:spacing w:line="274" w:lineRule="auto"/>
              <w:rPr/>
            </w:pPr>
            <w:r/>
          </w:p>
          <w:p>
            <w:pPr>
              <w:ind w:left="25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2"/>
              <w:spacing w:before="12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07" w:type="dxa"/>
            <w:vAlign w:val="top"/>
          </w:tcPr>
          <w:p>
            <w:pPr>
              <w:ind w:left="1069"/>
              <w:spacing w:before="12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23" w:type="dxa"/>
            <w:vAlign w:val="top"/>
          </w:tcPr>
          <w:p>
            <w:pPr>
              <w:ind w:left="51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6"/>
              <w:spacing w:before="124"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288" w:type="dxa"/>
            <w:vAlign w:val="top"/>
          </w:tcPr>
          <w:p>
            <w:pPr>
              <w:ind w:left="176"/>
              <w:spacing w:before="12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117"/>
              <w:spacing w:before="19"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w:t>
            </w:r>
          </w:p>
          <w:p>
            <w:pPr>
              <w:ind w:left="634"/>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2"/>
                <w:position w:val="-1"/>
              </w:rPr>
              <w:t>算</w:t>
            </w:r>
          </w:p>
        </w:tc>
        <w:tc>
          <w:tcPr>
            <w:tcW w:w="1468" w:type="dxa"/>
            <w:vAlign w:val="top"/>
          </w:tcPr>
          <w:p>
            <w:pPr>
              <w:ind w:left="96"/>
              <w:spacing w:before="1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32"/>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59" w:type="dxa"/>
            <w:vAlign w:val="top"/>
          </w:tcPr>
          <w:p>
            <w:pPr>
              <w:ind w:left="109"/>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66" w:type="dxa"/>
            <w:vAlign w:val="top"/>
            <w:vMerge w:val="continue"/>
            <w:tcBorders>
              <w:top w:val="nil"/>
            </w:tcBorders>
          </w:tcPr>
          <w:p>
            <w:pPr>
              <w:pStyle w:val="TableText"/>
              <w:rPr/>
            </w:pPr>
            <w:r/>
          </w:p>
        </w:tc>
      </w:tr>
      <w:tr>
        <w:trPr>
          <w:trHeight w:val="434" w:hRule="atLeast"/>
        </w:trPr>
        <w:tc>
          <w:tcPr>
            <w:tcW w:w="4323" w:type="dxa"/>
            <w:vAlign w:val="top"/>
            <w:gridSpan w:val="2"/>
          </w:tcPr>
          <w:p>
            <w:pPr>
              <w:ind w:left="1967"/>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23" w:type="dxa"/>
            <w:vAlign w:val="top"/>
          </w:tcPr>
          <w:p>
            <w:pPr>
              <w:pStyle w:val="TableText"/>
              <w:ind w:left="843"/>
              <w:spacing w:before="150" w:line="183" w:lineRule="auto"/>
              <w:rPr>
                <w:sz w:val="15"/>
                <w:szCs w:val="15"/>
              </w:rPr>
            </w:pPr>
            <w:r>
              <w:rPr>
                <w:sz w:val="15"/>
                <w:szCs w:val="15"/>
                <w:color w:val="212529"/>
                <w:spacing w:val="3"/>
              </w:rPr>
              <w:t>923.</w:t>
            </w:r>
            <w:r>
              <w:rPr>
                <w:sz w:val="15"/>
                <w:szCs w:val="15"/>
                <w:color w:val="212529"/>
                <w:spacing w:val="9"/>
              </w:rPr>
              <w:t xml:space="preserve"> </w:t>
            </w:r>
            <w:r>
              <w:rPr>
                <w:sz w:val="15"/>
                <w:szCs w:val="15"/>
                <w:color w:val="212529"/>
                <w:spacing w:val="3"/>
              </w:rPr>
              <w:t>82</w:t>
            </w:r>
          </w:p>
        </w:tc>
        <w:tc>
          <w:tcPr>
            <w:tcW w:w="1259" w:type="dxa"/>
            <w:vAlign w:val="top"/>
          </w:tcPr>
          <w:p>
            <w:pPr>
              <w:pStyle w:val="TableText"/>
              <w:ind w:left="675"/>
              <w:spacing w:before="150" w:line="183" w:lineRule="auto"/>
              <w:rPr>
                <w:sz w:val="15"/>
                <w:szCs w:val="15"/>
              </w:rPr>
            </w:pPr>
            <w:r>
              <w:rPr>
                <w:sz w:val="15"/>
                <w:szCs w:val="15"/>
                <w:color w:val="212529"/>
                <w:spacing w:val="3"/>
              </w:rPr>
              <w:t>923.</w:t>
            </w:r>
            <w:r>
              <w:rPr>
                <w:sz w:val="15"/>
                <w:szCs w:val="15"/>
                <w:color w:val="212529"/>
                <w:spacing w:val="9"/>
              </w:rPr>
              <w:t xml:space="preserve"> </w:t>
            </w:r>
            <w:r>
              <w:rPr>
                <w:sz w:val="15"/>
                <w:szCs w:val="15"/>
                <w:color w:val="212529"/>
                <w:spacing w:val="3"/>
              </w:rPr>
              <w:t>82</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pStyle w:val="TableText"/>
              <w:ind w:left="691"/>
              <w:spacing w:before="151" w:line="161" w:lineRule="auto"/>
              <w:rPr>
                <w:sz w:val="17"/>
                <w:szCs w:val="17"/>
              </w:rPr>
            </w:pPr>
            <w:r>
              <w:rPr>
                <w:sz w:val="17"/>
                <w:szCs w:val="17"/>
                <w:color w:val="212529"/>
                <w:spacing w:val="1"/>
              </w:rPr>
              <w:t>239.83</w:t>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07" w:type="dxa"/>
            <w:vAlign w:val="top"/>
          </w:tcPr>
          <w:p>
            <w:pPr>
              <w:spacing w:before="129"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23" w:type="dxa"/>
            <w:vAlign w:val="top"/>
          </w:tcPr>
          <w:p>
            <w:pPr>
              <w:ind w:right="28"/>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259" w:type="dxa"/>
            <w:vAlign w:val="top"/>
          </w:tcPr>
          <w:p>
            <w:pPr>
              <w:ind w:right="3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07" w:type="dxa"/>
            <w:vAlign w:val="top"/>
          </w:tcPr>
          <w:p>
            <w:pPr>
              <w:spacing w:before="130"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23" w:type="dxa"/>
            <w:vAlign w:val="top"/>
          </w:tcPr>
          <w:p>
            <w:pPr>
              <w:ind w:right="28"/>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259" w:type="dxa"/>
            <w:vAlign w:val="top"/>
          </w:tcPr>
          <w:p>
            <w:pPr>
              <w:ind w:right="3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0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23" w:type="dxa"/>
            <w:vAlign w:val="top"/>
          </w:tcPr>
          <w:p>
            <w:pPr>
              <w:ind w:right="28"/>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259" w:type="dxa"/>
            <w:vAlign w:val="top"/>
          </w:tcPr>
          <w:p>
            <w:pPr>
              <w:ind w:right="3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103.69</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07"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23" w:type="dxa"/>
            <w:vAlign w:val="top"/>
          </w:tcPr>
          <w:p>
            <w:pPr>
              <w:ind w:right="30"/>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820.14</w:t>
            </w:r>
          </w:p>
        </w:tc>
        <w:tc>
          <w:tcPr>
            <w:tcW w:w="1259" w:type="dxa"/>
            <w:vAlign w:val="top"/>
          </w:tcPr>
          <w:p>
            <w:pPr>
              <w:ind w:right="3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820.14</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ind w:right="27"/>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239.83</w:t>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07"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23" w:type="dxa"/>
            <w:vAlign w:val="top"/>
          </w:tcPr>
          <w:p>
            <w:pPr>
              <w:ind w:right="30"/>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820.14</w:t>
            </w:r>
          </w:p>
        </w:tc>
        <w:tc>
          <w:tcPr>
            <w:tcW w:w="1259" w:type="dxa"/>
            <w:vAlign w:val="top"/>
          </w:tcPr>
          <w:p>
            <w:pPr>
              <w:ind w:right="3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820.14</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14.64</w:t>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07" w:type="dxa"/>
            <w:vAlign w:val="top"/>
          </w:tcPr>
          <w:p>
            <w:pPr>
              <w:ind w:left="3"/>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23" w:type="dxa"/>
            <w:vAlign w:val="top"/>
          </w:tcPr>
          <w:p>
            <w:pPr>
              <w:ind w:right="3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303.00</w:t>
            </w:r>
          </w:p>
        </w:tc>
        <w:tc>
          <w:tcPr>
            <w:tcW w:w="1259" w:type="dxa"/>
            <w:vAlign w:val="top"/>
          </w:tcPr>
          <w:p>
            <w:pPr>
              <w:ind w:right="3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303.00</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07"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23" w:type="dxa"/>
            <w:vAlign w:val="top"/>
          </w:tcPr>
          <w:p>
            <w:pPr>
              <w:ind w:right="3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517.14</w:t>
            </w:r>
          </w:p>
        </w:tc>
        <w:tc>
          <w:tcPr>
            <w:tcW w:w="1259" w:type="dxa"/>
            <w:vAlign w:val="top"/>
          </w:tcPr>
          <w:p>
            <w:pPr>
              <w:ind w:right="3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517.14</w:t>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14.64</w:t>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21004</w:t>
            </w:r>
          </w:p>
        </w:tc>
        <w:tc>
          <w:tcPr>
            <w:tcW w:w="2907"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3"/>
              </w:rPr>
              <w:t>公共卫生</w:t>
            </w:r>
          </w:p>
        </w:tc>
        <w:tc>
          <w:tcPr>
            <w:tcW w:w="1423" w:type="dxa"/>
            <w:vAlign w:val="top"/>
          </w:tcPr>
          <w:p>
            <w:pPr>
              <w:pStyle w:val="TableText"/>
              <w:rPr/>
            </w:pPr>
            <w:r/>
          </w:p>
        </w:tc>
        <w:tc>
          <w:tcPr>
            <w:tcW w:w="1259" w:type="dxa"/>
            <w:vAlign w:val="top"/>
          </w:tcPr>
          <w:p>
            <w:pPr>
              <w:pStyle w:val="TableText"/>
              <w:rPr/>
            </w:pPr>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ind w:right="27"/>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225.19</w:t>
            </w:r>
          </w:p>
        </w:tc>
      </w:tr>
      <w:tr>
        <w:trPr>
          <w:trHeight w:val="442"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2100408</w:t>
            </w:r>
          </w:p>
        </w:tc>
        <w:tc>
          <w:tcPr>
            <w:tcW w:w="2907" w:type="dxa"/>
            <w:vAlign w:val="top"/>
          </w:tcPr>
          <w:p>
            <w:pPr>
              <w:spacing w:before="137" w:line="218" w:lineRule="auto"/>
              <w:rPr>
                <w:rFonts w:ascii="SimSun" w:hAnsi="SimSun" w:eastAsia="SimSun" w:cs="SimSun"/>
                <w:sz w:val="18"/>
                <w:szCs w:val="18"/>
              </w:rPr>
            </w:pPr>
            <w:r>
              <w:rPr>
                <w:rFonts w:ascii="SimSun" w:hAnsi="SimSun" w:eastAsia="SimSun" w:cs="SimSun"/>
                <w:sz w:val="18"/>
                <w:szCs w:val="18"/>
                <w:color w:val="212529"/>
                <w:spacing w:val="-2"/>
              </w:rPr>
              <w:t>基本公共卫生服务</w:t>
            </w:r>
          </w:p>
        </w:tc>
        <w:tc>
          <w:tcPr>
            <w:tcW w:w="1423" w:type="dxa"/>
            <w:vAlign w:val="top"/>
          </w:tcPr>
          <w:p>
            <w:pPr>
              <w:pStyle w:val="TableText"/>
              <w:rPr/>
            </w:pPr>
            <w:r/>
          </w:p>
        </w:tc>
        <w:tc>
          <w:tcPr>
            <w:tcW w:w="1259" w:type="dxa"/>
            <w:vAlign w:val="top"/>
          </w:tcPr>
          <w:p>
            <w:pPr>
              <w:pStyle w:val="TableText"/>
              <w:rPr/>
            </w:pPr>
            <w:r/>
          </w:p>
        </w:tc>
        <w:tc>
          <w:tcPr>
            <w:tcW w:w="1288"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1266" w:type="dxa"/>
            <w:vAlign w:val="top"/>
          </w:tcPr>
          <w:p>
            <w:pPr>
              <w:ind w:right="27"/>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225.19</w:t>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3"/>
        <w:gridCol w:w="3229"/>
        <w:gridCol w:w="1458"/>
        <w:gridCol w:w="1329"/>
        <w:gridCol w:w="1409"/>
      </w:tblGrid>
      <w:tr>
        <w:trPr>
          <w:trHeight w:val="319" w:hRule="atLeast"/>
        </w:trPr>
        <w:tc>
          <w:tcPr>
            <w:tcW w:w="173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9" w:type="dxa"/>
            <w:vAlign w:val="top"/>
            <w:tcBorders>
              <w:bottom w:val="single" w:color="FFFFFF" w:sz="4" w:space="0"/>
              <w:top w:val="single" w:color="FFFFFF" w:sz="4" w:space="0"/>
              <w:left w:val="single" w:color="FFFFFF" w:sz="2" w:space="0"/>
              <w:right w:val="single" w:color="FFFFFF" w:sz="2" w:space="0"/>
            </w:tcBorders>
          </w:tcPr>
          <w:p>
            <w:pPr>
              <w:ind w:left="67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20"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329" w:type="dxa"/>
            <w:vAlign w:val="top"/>
            <w:tcBorders>
              <w:top w:val="single" w:color="FFFFFF" w:sz="4" w:space="0"/>
              <w:left w:val="single" w:color="FFFFFF" w:sz="2" w:space="0"/>
              <w:right w:val="single" w:color="FFFFFF" w:sz="2" w:space="0"/>
            </w:tcBorders>
          </w:tcPr>
          <w:p>
            <w:pPr>
              <w:pStyle w:val="TableText"/>
              <w:rPr/>
            </w:pPr>
            <w:r/>
          </w:p>
        </w:tc>
        <w:tc>
          <w:tcPr>
            <w:tcW w:w="1409" w:type="dxa"/>
            <w:vAlign w:val="top"/>
            <w:tcBorders>
              <w:top w:val="single" w:color="FFFFFF" w:sz="4" w:space="0"/>
              <w:left w:val="single" w:color="FFFFFF" w:sz="2" w:space="0"/>
              <w:right w:val="single" w:color="FFFFFF" w:sz="2" w:space="0"/>
            </w:tcBorders>
          </w:tcPr>
          <w:p>
            <w:pPr>
              <w:ind w:left="736"/>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62" w:type="dxa"/>
            <w:vAlign w:val="top"/>
            <w:gridSpan w:val="2"/>
          </w:tcPr>
          <w:p>
            <w:pPr>
              <w:ind w:left="2309"/>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33" w:type="dxa"/>
            <w:vAlign w:val="top"/>
          </w:tcPr>
          <w:p>
            <w:pPr>
              <w:ind w:left="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58" w:type="dxa"/>
            <w:vAlign w:val="top"/>
          </w:tcPr>
          <w:p>
            <w:pPr>
              <w:ind w:left="56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9" w:type="dxa"/>
            <w:vAlign w:val="top"/>
          </w:tcPr>
          <w:p>
            <w:pPr>
              <w:ind w:left="327"/>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68"/>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62" w:type="dxa"/>
            <w:vAlign w:val="top"/>
            <w:gridSpan w:val="2"/>
          </w:tcPr>
          <w:p>
            <w:pPr>
              <w:ind w:left="2311"/>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pStyle w:val="TableText"/>
              <w:ind w:left="879"/>
              <w:spacing w:before="98" w:line="162" w:lineRule="auto"/>
              <w:rPr>
                <w:sz w:val="15"/>
                <w:szCs w:val="15"/>
              </w:rPr>
            </w:pPr>
            <w:r>
              <w:rPr>
                <w:sz w:val="15"/>
                <w:szCs w:val="15"/>
                <w:color w:val="212529"/>
              </w:rPr>
              <w:t>1163.65</w:t>
            </w:r>
          </w:p>
        </w:tc>
        <w:tc>
          <w:tcPr>
            <w:tcW w:w="1329" w:type="dxa"/>
            <w:vAlign w:val="top"/>
          </w:tcPr>
          <w:p>
            <w:pPr>
              <w:pStyle w:val="TableText"/>
              <w:ind w:left="829"/>
              <w:spacing w:before="98" w:line="162" w:lineRule="auto"/>
              <w:rPr>
                <w:sz w:val="15"/>
                <w:szCs w:val="15"/>
              </w:rPr>
            </w:pPr>
            <w:r>
              <w:rPr>
                <w:sz w:val="15"/>
                <w:szCs w:val="15"/>
                <w:color w:val="212529"/>
              </w:rPr>
              <w:t>103.69</w:t>
            </w:r>
          </w:p>
        </w:tc>
        <w:tc>
          <w:tcPr>
            <w:tcW w:w="1409" w:type="dxa"/>
            <w:vAlign w:val="top"/>
          </w:tcPr>
          <w:p>
            <w:pPr>
              <w:pStyle w:val="TableText"/>
              <w:ind w:left="827"/>
              <w:spacing w:before="99" w:line="186" w:lineRule="auto"/>
              <w:rPr>
                <w:sz w:val="13"/>
                <w:szCs w:val="13"/>
              </w:rPr>
            </w:pPr>
            <w:r>
              <w:rPr>
                <w:sz w:val="13"/>
                <w:szCs w:val="13"/>
                <w:color w:val="212529"/>
                <w:spacing w:val="3"/>
              </w:rPr>
              <w:t>1059.</w:t>
            </w:r>
            <w:r>
              <w:rPr>
                <w:sz w:val="13"/>
                <w:szCs w:val="13"/>
                <w:color w:val="212529"/>
                <w:spacing w:val="17"/>
              </w:rPr>
              <w:t xml:space="preserve"> </w:t>
            </w:r>
            <w:r>
              <w:rPr>
                <w:sz w:val="13"/>
                <w:szCs w:val="13"/>
                <w:color w:val="212529"/>
                <w:spacing w:val="3"/>
              </w:rPr>
              <w:t>97</w:t>
            </w:r>
          </w:p>
        </w:tc>
      </w:tr>
      <w:tr>
        <w:trPr>
          <w:trHeight w:val="314" w:hRule="atLeast"/>
        </w:trPr>
        <w:tc>
          <w:tcPr>
            <w:tcW w:w="173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29" w:type="dxa"/>
            <w:vAlign w:val="top"/>
          </w:tcPr>
          <w:p>
            <w:pPr>
              <w:ind w:left="5"/>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58"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329" w:type="dxa"/>
            <w:vAlign w:val="top"/>
          </w:tcPr>
          <w:p>
            <w:pPr>
              <w:pStyle w:val="TableText"/>
              <w:ind w:left="829"/>
              <w:spacing w:before="99" w:line="187" w:lineRule="auto"/>
              <w:rPr>
                <w:sz w:val="13"/>
                <w:szCs w:val="13"/>
              </w:rPr>
            </w:pPr>
            <w:r>
              <w:rPr>
                <w:sz w:val="13"/>
                <w:szCs w:val="13"/>
                <w:color w:val="212529"/>
                <w:spacing w:val="3"/>
              </w:rPr>
              <w:t>103.</w:t>
            </w:r>
            <w:r>
              <w:rPr>
                <w:sz w:val="13"/>
                <w:szCs w:val="13"/>
                <w:color w:val="212529"/>
                <w:spacing w:val="11"/>
                <w:w w:val="102"/>
              </w:rPr>
              <w:t xml:space="preserve"> </w:t>
            </w:r>
            <w:r>
              <w:rPr>
                <w:sz w:val="13"/>
                <w:szCs w:val="13"/>
                <w:color w:val="212529"/>
                <w:spacing w:val="3"/>
              </w:rPr>
              <w:t>69</w:t>
            </w:r>
          </w:p>
        </w:tc>
        <w:tc>
          <w:tcPr>
            <w:tcW w:w="1409" w:type="dxa"/>
            <w:vAlign w:val="top"/>
          </w:tcPr>
          <w:p>
            <w:pPr>
              <w:pStyle w:val="TableText"/>
              <w:rPr/>
            </w:pPr>
            <w:r/>
          </w:p>
        </w:tc>
      </w:tr>
      <w:tr>
        <w:trPr>
          <w:trHeight w:val="313" w:hRule="atLeast"/>
        </w:trPr>
        <w:tc>
          <w:tcPr>
            <w:tcW w:w="173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29" w:type="dxa"/>
            <w:vAlign w:val="top"/>
          </w:tcPr>
          <w:p>
            <w:pPr>
              <w:ind w:left="4"/>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58"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329" w:type="dxa"/>
            <w:vAlign w:val="top"/>
          </w:tcPr>
          <w:p>
            <w:pPr>
              <w:pStyle w:val="TableText"/>
              <w:ind w:left="829"/>
              <w:spacing w:before="99" w:line="186" w:lineRule="auto"/>
              <w:rPr>
                <w:sz w:val="13"/>
                <w:szCs w:val="13"/>
              </w:rPr>
            </w:pPr>
            <w:r>
              <w:rPr>
                <w:sz w:val="13"/>
                <w:szCs w:val="13"/>
                <w:color w:val="212529"/>
                <w:spacing w:val="4"/>
              </w:rPr>
              <w:t>103.</w:t>
            </w:r>
            <w:r>
              <w:rPr>
                <w:sz w:val="13"/>
                <w:szCs w:val="13"/>
                <w:color w:val="212529"/>
                <w:spacing w:val="4"/>
              </w:rPr>
              <w:t xml:space="preserve"> </w:t>
            </w:r>
            <w:r>
              <w:rPr>
                <w:sz w:val="13"/>
                <w:szCs w:val="13"/>
                <w:color w:val="212529"/>
                <w:spacing w:val="4"/>
              </w:rPr>
              <w:t>69</w:t>
            </w:r>
          </w:p>
        </w:tc>
        <w:tc>
          <w:tcPr>
            <w:tcW w:w="1409" w:type="dxa"/>
            <w:vAlign w:val="top"/>
          </w:tcPr>
          <w:p>
            <w:pPr>
              <w:pStyle w:val="TableText"/>
              <w:rPr/>
            </w:pPr>
            <w:r/>
          </w:p>
        </w:tc>
      </w:tr>
      <w:tr>
        <w:trPr>
          <w:trHeight w:val="314" w:hRule="atLeast"/>
        </w:trPr>
        <w:tc>
          <w:tcPr>
            <w:tcW w:w="173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29"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58"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329"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409" w:type="dxa"/>
            <w:vAlign w:val="top"/>
          </w:tcPr>
          <w:p>
            <w:pPr>
              <w:pStyle w:val="TableText"/>
              <w:rPr/>
            </w:pPr>
            <w:r/>
          </w:p>
        </w:tc>
      </w:tr>
      <w:tr>
        <w:trPr>
          <w:trHeight w:val="313" w:hRule="atLeast"/>
        </w:trPr>
        <w:tc>
          <w:tcPr>
            <w:tcW w:w="173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29"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58"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1059.97</w:t>
            </w:r>
          </w:p>
        </w:tc>
        <w:tc>
          <w:tcPr>
            <w:tcW w:w="1329" w:type="dxa"/>
            <w:vAlign w:val="top"/>
          </w:tcPr>
          <w:p>
            <w:pPr>
              <w:pStyle w:val="TableText"/>
              <w:rPr/>
            </w:pPr>
            <w:r/>
          </w:p>
        </w:tc>
        <w:tc>
          <w:tcPr>
            <w:tcW w:w="1409" w:type="dxa"/>
            <w:vAlign w:val="top"/>
          </w:tcPr>
          <w:p>
            <w:pPr>
              <w:pStyle w:val="TableText"/>
              <w:ind w:left="827"/>
              <w:spacing w:before="101" w:line="162" w:lineRule="auto"/>
              <w:rPr>
                <w:sz w:val="15"/>
                <w:szCs w:val="15"/>
              </w:rPr>
            </w:pPr>
            <w:r>
              <w:rPr>
                <w:sz w:val="15"/>
                <w:szCs w:val="15"/>
                <w:color w:val="212529"/>
              </w:rPr>
              <w:t>1059.97</w:t>
            </w:r>
          </w:p>
        </w:tc>
      </w:tr>
      <w:tr>
        <w:trPr>
          <w:trHeight w:val="314" w:hRule="atLeast"/>
        </w:trPr>
        <w:tc>
          <w:tcPr>
            <w:tcW w:w="173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229" w:type="dxa"/>
            <w:vAlign w:val="top"/>
          </w:tcPr>
          <w:p>
            <w:pPr>
              <w:ind w:left="3"/>
              <w:spacing w:before="84"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58"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834.78</w:t>
            </w:r>
          </w:p>
        </w:tc>
        <w:tc>
          <w:tcPr>
            <w:tcW w:w="1329" w:type="dxa"/>
            <w:vAlign w:val="top"/>
          </w:tcPr>
          <w:p>
            <w:pPr>
              <w:pStyle w:val="TableText"/>
              <w:rPr/>
            </w:pPr>
            <w:r/>
          </w:p>
        </w:tc>
        <w:tc>
          <w:tcPr>
            <w:tcW w:w="1409" w:type="dxa"/>
            <w:vAlign w:val="top"/>
          </w:tcPr>
          <w:p>
            <w:pPr>
              <w:pStyle w:val="TableText"/>
              <w:ind w:left="897"/>
              <w:spacing w:before="103" w:line="172" w:lineRule="auto"/>
              <w:rPr>
                <w:sz w:val="14"/>
                <w:szCs w:val="14"/>
              </w:rPr>
            </w:pPr>
            <w:r>
              <w:rPr>
                <w:sz w:val="14"/>
                <w:szCs w:val="14"/>
                <w:color w:val="212529"/>
              </w:rPr>
              <w:t>834.</w:t>
            </w:r>
            <w:r>
              <w:rPr>
                <w:sz w:val="14"/>
                <w:szCs w:val="14"/>
                <w:color w:val="212529"/>
                <w:spacing w:val="7"/>
              </w:rPr>
              <w:t xml:space="preserve"> </w:t>
            </w:r>
            <w:r>
              <w:rPr>
                <w:sz w:val="14"/>
                <w:szCs w:val="14"/>
                <w:color w:val="212529"/>
              </w:rPr>
              <w:t>78</w:t>
            </w:r>
          </w:p>
        </w:tc>
      </w:tr>
      <w:tr>
        <w:trPr>
          <w:trHeight w:val="314" w:hRule="atLeast"/>
        </w:trPr>
        <w:tc>
          <w:tcPr>
            <w:tcW w:w="173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229" w:type="dxa"/>
            <w:vAlign w:val="top"/>
          </w:tcPr>
          <w:p>
            <w:pPr>
              <w:ind w:left="10"/>
              <w:spacing w:before="84"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58"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303.00</w:t>
            </w:r>
          </w:p>
        </w:tc>
        <w:tc>
          <w:tcPr>
            <w:tcW w:w="1329" w:type="dxa"/>
            <w:vAlign w:val="top"/>
          </w:tcPr>
          <w:p>
            <w:pPr>
              <w:pStyle w:val="TableText"/>
              <w:rPr/>
            </w:pPr>
            <w:r/>
          </w:p>
        </w:tc>
        <w:tc>
          <w:tcPr>
            <w:tcW w:w="1409"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303.00</w:t>
            </w:r>
          </w:p>
        </w:tc>
      </w:tr>
      <w:tr>
        <w:trPr>
          <w:trHeight w:val="313" w:hRule="atLeast"/>
        </w:trPr>
        <w:tc>
          <w:tcPr>
            <w:tcW w:w="173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229" w:type="dxa"/>
            <w:vAlign w:val="top"/>
          </w:tcPr>
          <w:p>
            <w:pPr>
              <w:ind w:left="3"/>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58"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531.78</w:t>
            </w:r>
          </w:p>
        </w:tc>
        <w:tc>
          <w:tcPr>
            <w:tcW w:w="1329" w:type="dxa"/>
            <w:vAlign w:val="top"/>
          </w:tcPr>
          <w:p>
            <w:pPr>
              <w:pStyle w:val="TableText"/>
              <w:rPr/>
            </w:pPr>
            <w:r/>
          </w:p>
        </w:tc>
        <w:tc>
          <w:tcPr>
            <w:tcW w:w="1409"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531.78</w:t>
            </w:r>
          </w:p>
        </w:tc>
      </w:tr>
      <w:tr>
        <w:trPr>
          <w:trHeight w:val="314" w:hRule="atLeast"/>
        </w:trPr>
        <w:tc>
          <w:tcPr>
            <w:tcW w:w="1733"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21004</w:t>
            </w:r>
          </w:p>
        </w:tc>
        <w:tc>
          <w:tcPr>
            <w:tcW w:w="3229" w:type="dxa"/>
            <w:vAlign w:val="top"/>
          </w:tcPr>
          <w:p>
            <w:pPr>
              <w:ind w:left="8"/>
              <w:spacing w:before="86" w:line="229" w:lineRule="auto"/>
              <w:rPr>
                <w:rFonts w:ascii="SimSun" w:hAnsi="SimSun" w:eastAsia="SimSun" w:cs="SimSun"/>
                <w:sz w:val="15"/>
                <w:szCs w:val="15"/>
              </w:rPr>
            </w:pPr>
            <w:r>
              <w:rPr>
                <w:rFonts w:ascii="SimSun" w:hAnsi="SimSun" w:eastAsia="SimSun" w:cs="SimSun"/>
                <w:sz w:val="15"/>
                <w:szCs w:val="15"/>
                <w:color w:val="212529"/>
                <w:spacing w:val="8"/>
              </w:rPr>
              <w:t>公共卫生</w:t>
            </w:r>
          </w:p>
        </w:tc>
        <w:tc>
          <w:tcPr>
            <w:tcW w:w="1458" w:type="dxa"/>
            <w:vAlign w:val="top"/>
          </w:tcPr>
          <w:p>
            <w:pPr>
              <w:ind w:right="20"/>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225.19</w:t>
            </w:r>
          </w:p>
        </w:tc>
        <w:tc>
          <w:tcPr>
            <w:tcW w:w="1329" w:type="dxa"/>
            <w:vAlign w:val="top"/>
          </w:tcPr>
          <w:p>
            <w:pPr>
              <w:pStyle w:val="TableText"/>
              <w:rPr/>
            </w:pPr>
            <w:r/>
          </w:p>
        </w:tc>
        <w:tc>
          <w:tcPr>
            <w:tcW w:w="1409" w:type="dxa"/>
            <w:vAlign w:val="top"/>
          </w:tcPr>
          <w:p>
            <w:pPr>
              <w:pStyle w:val="TableText"/>
              <w:ind w:left="898"/>
              <w:spacing w:before="104" w:line="187" w:lineRule="auto"/>
              <w:rPr>
                <w:sz w:val="13"/>
                <w:szCs w:val="13"/>
              </w:rPr>
            </w:pPr>
            <w:r>
              <w:rPr>
                <w:sz w:val="13"/>
                <w:szCs w:val="13"/>
                <w:color w:val="212529"/>
                <w:spacing w:val="2"/>
              </w:rPr>
              <w:t>225.</w:t>
            </w:r>
            <w:r>
              <w:rPr>
                <w:sz w:val="13"/>
                <w:szCs w:val="13"/>
                <w:color w:val="212529"/>
                <w:spacing w:val="27"/>
                <w:w w:val="102"/>
              </w:rPr>
              <w:t xml:space="preserve"> </w:t>
            </w:r>
            <w:r>
              <w:rPr>
                <w:sz w:val="13"/>
                <w:szCs w:val="13"/>
                <w:color w:val="212529"/>
                <w:spacing w:val="2"/>
              </w:rPr>
              <w:t>19</w:t>
            </w:r>
          </w:p>
        </w:tc>
      </w:tr>
      <w:tr>
        <w:trPr>
          <w:trHeight w:val="319" w:hRule="atLeast"/>
        </w:trPr>
        <w:tc>
          <w:tcPr>
            <w:tcW w:w="1733"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2100408</w:t>
            </w:r>
          </w:p>
        </w:tc>
        <w:tc>
          <w:tcPr>
            <w:tcW w:w="3229" w:type="dxa"/>
            <w:vAlign w:val="top"/>
          </w:tcPr>
          <w:p>
            <w:pPr>
              <w:ind w:left="3"/>
              <w:spacing w:before="86" w:line="228" w:lineRule="auto"/>
              <w:rPr>
                <w:rFonts w:ascii="SimSun" w:hAnsi="SimSun" w:eastAsia="SimSun" w:cs="SimSun"/>
                <w:sz w:val="15"/>
                <w:szCs w:val="15"/>
              </w:rPr>
            </w:pPr>
            <w:r>
              <w:rPr>
                <w:rFonts w:ascii="SimSun" w:hAnsi="SimSun" w:eastAsia="SimSun" w:cs="SimSun"/>
                <w:sz w:val="15"/>
                <w:szCs w:val="15"/>
                <w:color w:val="212529"/>
                <w:spacing w:val="11"/>
              </w:rPr>
              <w:t>基本公共卫生服务</w:t>
            </w:r>
          </w:p>
        </w:tc>
        <w:tc>
          <w:tcPr>
            <w:tcW w:w="1458" w:type="dxa"/>
            <w:vAlign w:val="top"/>
          </w:tcPr>
          <w:p>
            <w:pPr>
              <w:ind w:right="20"/>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225.19</w:t>
            </w:r>
          </w:p>
        </w:tc>
        <w:tc>
          <w:tcPr>
            <w:tcW w:w="1329" w:type="dxa"/>
            <w:vAlign w:val="top"/>
          </w:tcPr>
          <w:p>
            <w:pPr>
              <w:pStyle w:val="TableText"/>
              <w:rPr/>
            </w:pPr>
            <w:r/>
          </w:p>
        </w:tc>
        <w:tc>
          <w:tcPr>
            <w:tcW w:w="1409"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225.19</w:t>
            </w:r>
          </w:p>
        </w:tc>
      </w:tr>
    </w:tbl>
    <w:p>
      <w:pPr>
        <w:pStyle w:val="BodyText"/>
        <w:rPr/>
      </w:pPr>
      <w:r/>
    </w:p>
    <w:p>
      <w:pPr>
        <w:sectPr>
          <w:headerReference w:type="default" r:id="rId9"/>
          <w:footerReference w:type="default" r:id="rId1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46"/>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42" w:type="dxa"/>
            <w:vAlign w:val="top"/>
          </w:tcPr>
          <w:p>
            <w:pPr>
              <w:ind w:left="4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4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923.82</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1059.97</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1059.97</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1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97"/>
              <w:spacing w:before="138" w:line="172" w:lineRule="auto"/>
              <w:rPr>
                <w:sz w:val="14"/>
                <w:szCs w:val="14"/>
              </w:rPr>
            </w:pPr>
            <w:r>
              <w:rPr>
                <w:sz w:val="14"/>
                <w:szCs w:val="14"/>
                <w:color w:val="212529"/>
                <w:spacing w:val="1"/>
              </w:rPr>
              <w:t>923.</w:t>
            </w:r>
            <w:r>
              <w:rPr>
                <w:sz w:val="14"/>
                <w:szCs w:val="14"/>
                <w:color w:val="212529"/>
                <w:spacing w:val="1"/>
              </w:rPr>
              <w:t xml:space="preserve"> </w:t>
            </w:r>
            <w:r>
              <w:rPr>
                <w:sz w:val="14"/>
                <w:szCs w:val="14"/>
                <w:color w:val="212529"/>
                <w:spacing w:val="1"/>
              </w:rPr>
              <w:t>82</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74"/>
              <w:spacing w:before="137" w:line="162" w:lineRule="auto"/>
              <w:rPr>
                <w:sz w:val="15"/>
                <w:szCs w:val="15"/>
              </w:rPr>
            </w:pPr>
            <w:r>
              <w:rPr>
                <w:sz w:val="15"/>
                <w:szCs w:val="15"/>
                <w:color w:val="212529"/>
              </w:rPr>
              <w:t>1163.65</w:t>
            </w:r>
          </w:p>
        </w:tc>
        <w:tc>
          <w:tcPr>
            <w:tcW w:w="1123" w:type="dxa"/>
            <w:vAlign w:val="top"/>
          </w:tcPr>
          <w:p>
            <w:pPr>
              <w:pStyle w:val="TableText"/>
              <w:ind w:left="282"/>
              <w:spacing w:before="137" w:line="162" w:lineRule="auto"/>
              <w:rPr>
                <w:sz w:val="15"/>
                <w:szCs w:val="15"/>
              </w:rPr>
            </w:pPr>
            <w:r>
              <w:rPr>
                <w:sz w:val="15"/>
                <w:szCs w:val="15"/>
                <w:color w:val="212529"/>
              </w:rPr>
              <w:t>1163.65</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10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239.83</w:t>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239.83</w:t>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68"/>
              <w:spacing w:before="135" w:line="187" w:lineRule="auto"/>
              <w:rPr>
                <w:sz w:val="13"/>
                <w:szCs w:val="13"/>
              </w:rPr>
            </w:pPr>
            <w:r>
              <w:rPr>
                <w:sz w:val="13"/>
                <w:szCs w:val="13"/>
                <w:color w:val="212529"/>
                <w:spacing w:val="4"/>
              </w:rPr>
              <w:t>1163.</w:t>
            </w:r>
            <w:r>
              <w:rPr>
                <w:sz w:val="13"/>
                <w:szCs w:val="13"/>
                <w:color w:val="212529"/>
                <w:spacing w:val="9"/>
                <w:w w:val="101"/>
              </w:rPr>
              <w:t xml:space="preserve"> </w:t>
            </w:r>
            <w:r>
              <w:rPr>
                <w:sz w:val="13"/>
                <w:szCs w:val="13"/>
                <w:color w:val="212529"/>
                <w:spacing w:val="4"/>
              </w:rPr>
              <w:t>65</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74"/>
              <w:spacing w:before="135" w:line="162" w:lineRule="auto"/>
              <w:rPr>
                <w:sz w:val="15"/>
                <w:szCs w:val="15"/>
              </w:rPr>
            </w:pPr>
            <w:r>
              <w:rPr>
                <w:sz w:val="15"/>
                <w:szCs w:val="15"/>
                <w:color w:val="212529"/>
              </w:rPr>
              <w:t>1163.65</w:t>
            </w:r>
          </w:p>
        </w:tc>
        <w:tc>
          <w:tcPr>
            <w:tcW w:w="1123" w:type="dxa"/>
            <w:vAlign w:val="top"/>
          </w:tcPr>
          <w:p>
            <w:pPr>
              <w:pStyle w:val="TableText"/>
              <w:ind w:left="282"/>
              <w:spacing w:before="135" w:line="162" w:lineRule="auto"/>
              <w:rPr>
                <w:sz w:val="15"/>
                <w:szCs w:val="15"/>
              </w:rPr>
            </w:pPr>
            <w:r>
              <w:rPr>
                <w:sz w:val="15"/>
                <w:szCs w:val="15"/>
                <w:color w:val="212529"/>
              </w:rPr>
              <w:t>1163.65</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7"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5"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80"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453" w:type="dxa"/>
            <w:vAlign w:val="top"/>
            <w:tcBorders>
              <w:top w:val="single" w:color="FFFFFF" w:sz="4" w:space="0"/>
              <w:left w:val="single" w:color="FFFFFF" w:sz="2" w:space="0"/>
              <w:right w:val="single" w:color="FFFFFF" w:sz="2" w:space="0"/>
            </w:tcBorders>
          </w:tcPr>
          <w:p>
            <w:pPr>
              <w:ind w:left="780"/>
              <w:spacing w:before="80"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8"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5"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8"/>
              <w:spacing w:before="88" w:line="172" w:lineRule="auto"/>
              <w:rPr>
                <w:sz w:val="14"/>
                <w:szCs w:val="14"/>
              </w:rPr>
            </w:pPr>
            <w:r>
              <w:rPr>
                <w:sz w:val="14"/>
                <w:szCs w:val="14"/>
                <w:color w:val="212529"/>
              </w:rPr>
              <w:t>923.</w:t>
            </w:r>
            <w:r>
              <w:rPr>
                <w:sz w:val="14"/>
                <w:szCs w:val="14"/>
                <w:color w:val="212529"/>
                <w:spacing w:val="6"/>
              </w:rPr>
              <w:t xml:space="preserve"> </w:t>
            </w:r>
            <w:r>
              <w:rPr>
                <w:sz w:val="14"/>
                <w:szCs w:val="14"/>
                <w:color w:val="212529"/>
              </w:rPr>
              <w:t>82</w:t>
            </w:r>
          </w:p>
        </w:tc>
        <w:tc>
          <w:tcPr>
            <w:tcW w:w="1393" w:type="dxa"/>
            <w:vAlign w:val="top"/>
          </w:tcPr>
          <w:p>
            <w:pPr>
              <w:pStyle w:val="TableText"/>
              <w:ind w:left="899"/>
              <w:spacing w:before="87" w:line="162" w:lineRule="auto"/>
              <w:rPr>
                <w:sz w:val="15"/>
                <w:szCs w:val="15"/>
              </w:rPr>
            </w:pPr>
            <w:r>
              <w:rPr>
                <w:sz w:val="15"/>
                <w:szCs w:val="15"/>
                <w:color w:val="212529"/>
              </w:rPr>
              <w:t>103.69</w:t>
            </w:r>
          </w:p>
        </w:tc>
        <w:tc>
          <w:tcPr>
            <w:tcW w:w="1453" w:type="dxa"/>
            <w:vAlign w:val="top"/>
          </w:tcPr>
          <w:p>
            <w:pPr>
              <w:pStyle w:val="TableText"/>
              <w:ind w:left="941"/>
              <w:spacing w:before="88" w:line="186" w:lineRule="auto"/>
              <w:rPr>
                <w:sz w:val="13"/>
                <w:szCs w:val="13"/>
              </w:rPr>
            </w:pPr>
            <w:r>
              <w:rPr>
                <w:sz w:val="13"/>
                <w:szCs w:val="13"/>
                <w:color w:val="212529"/>
                <w:spacing w:val="3"/>
              </w:rPr>
              <w:t>820.</w:t>
            </w:r>
            <w:r>
              <w:rPr>
                <w:sz w:val="13"/>
                <w:szCs w:val="13"/>
                <w:color w:val="212529"/>
                <w:spacing w:val="26"/>
              </w:rPr>
              <w:t xml:space="preserve"> </w:t>
            </w:r>
            <w:r>
              <w:rPr>
                <w:sz w:val="13"/>
                <w:szCs w:val="13"/>
                <w:color w:val="212529"/>
                <w:spacing w:val="3"/>
              </w:rPr>
              <w:t>14</w:t>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393" w:type="dxa"/>
            <w:vAlign w:val="top"/>
          </w:tcPr>
          <w:p>
            <w:pPr>
              <w:ind w:right="16"/>
              <w:spacing w:before="70"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453" w:type="dxa"/>
            <w:vAlign w:val="top"/>
          </w:tcPr>
          <w:p>
            <w:pPr>
              <w:pStyle w:val="TableText"/>
              <w:rPr/>
            </w:pPr>
            <w:r/>
          </w:p>
        </w:tc>
      </w:tr>
      <w:tr>
        <w:trPr>
          <w:trHeight w:val="292"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21" w:type="dxa"/>
            <w:vAlign w:val="top"/>
          </w:tcPr>
          <w:p>
            <w:pPr>
              <w:ind w:left="8"/>
              <w:spacing w:before="7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103.69</w:t>
            </w:r>
          </w:p>
        </w:tc>
        <w:tc>
          <w:tcPr>
            <w:tcW w:w="1453" w:type="dxa"/>
            <w:vAlign w:val="top"/>
          </w:tcPr>
          <w:p>
            <w:pPr>
              <w:pStyle w:val="TableText"/>
              <w:rPr/>
            </w:pPr>
            <w:r/>
          </w:p>
        </w:tc>
      </w:tr>
      <w:tr>
        <w:trPr>
          <w:trHeight w:val="292" w:hRule="atLeast"/>
        </w:trPr>
        <w:tc>
          <w:tcPr>
            <w:tcW w:w="1658"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820.14</w:t>
            </w:r>
          </w:p>
        </w:tc>
        <w:tc>
          <w:tcPr>
            <w:tcW w:w="1393" w:type="dxa"/>
            <w:vAlign w:val="top"/>
          </w:tcPr>
          <w:p>
            <w:pPr>
              <w:pStyle w:val="TableText"/>
              <w:rPr/>
            </w:pPr>
            <w:r/>
          </w:p>
        </w:tc>
        <w:tc>
          <w:tcPr>
            <w:tcW w:w="145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820.14</w:t>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21" w:type="dxa"/>
            <w:vAlign w:val="top"/>
          </w:tcPr>
          <w:p>
            <w:pPr>
              <w:ind w:left="6"/>
              <w:spacing w:before="7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820.14</w:t>
            </w:r>
          </w:p>
        </w:tc>
        <w:tc>
          <w:tcPr>
            <w:tcW w:w="1393" w:type="dxa"/>
            <w:vAlign w:val="top"/>
          </w:tcPr>
          <w:p>
            <w:pPr>
              <w:pStyle w:val="TableText"/>
              <w:rPr/>
            </w:pPr>
            <w:r/>
          </w:p>
        </w:tc>
        <w:tc>
          <w:tcPr>
            <w:tcW w:w="145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820.14</w:t>
            </w:r>
          </w:p>
        </w:tc>
      </w:tr>
      <w:tr>
        <w:trPr>
          <w:trHeight w:val="292" w:hRule="atLeast"/>
        </w:trPr>
        <w:tc>
          <w:tcPr>
            <w:tcW w:w="1658"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21" w:type="dxa"/>
            <w:vAlign w:val="top"/>
          </w:tcPr>
          <w:p>
            <w:pPr>
              <w:ind w:left="14"/>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303.00</w:t>
            </w:r>
          </w:p>
        </w:tc>
        <w:tc>
          <w:tcPr>
            <w:tcW w:w="1393" w:type="dxa"/>
            <w:vAlign w:val="top"/>
          </w:tcPr>
          <w:p>
            <w:pPr>
              <w:pStyle w:val="TableText"/>
              <w:rPr/>
            </w:pPr>
            <w:r/>
          </w:p>
        </w:tc>
        <w:tc>
          <w:tcPr>
            <w:tcW w:w="145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303.00</w:t>
            </w:r>
          </w:p>
        </w:tc>
      </w:tr>
      <w:tr>
        <w:trPr>
          <w:trHeight w:val="297"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21" w:type="dxa"/>
            <w:vAlign w:val="top"/>
          </w:tcPr>
          <w:p>
            <w:pPr>
              <w:ind w:left="6"/>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517.14</w:t>
            </w:r>
          </w:p>
        </w:tc>
        <w:tc>
          <w:tcPr>
            <w:tcW w:w="1393"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517.14</w:t>
            </w:r>
          </w:p>
        </w:tc>
      </w:tr>
    </w:tbl>
    <w:p>
      <w:pPr>
        <w:pStyle w:val="BodyText"/>
        <w:rPr/>
      </w:pPr>
      <w:r/>
    </w:p>
    <w:p>
      <w:pPr>
        <w:sectPr>
          <w:headerReference w:type="default" r:id="rId9"/>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64"/>
        <w:gridCol w:w="2322"/>
        <w:gridCol w:w="1209"/>
        <w:gridCol w:w="1199"/>
        <w:gridCol w:w="988"/>
      </w:tblGrid>
      <w:tr>
        <w:trPr>
          <w:trHeight w:val="297"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6"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95" w:type="dxa"/>
            <w:vAlign w:val="top"/>
            <w:gridSpan w:val="3"/>
            <w:tcBorders>
              <w:top w:val="single" w:color="FFFFFF" w:sz="4" w:space="0"/>
              <w:left w:val="single" w:color="FFFFFF" w:sz="2" w:space="0"/>
              <w:right w:val="single" w:color="FFFFFF" w:sz="2" w:space="0"/>
            </w:tcBorders>
          </w:tcPr>
          <w:p>
            <w:pPr>
              <w:ind w:left="9"/>
              <w:spacing w:before="80"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988" w:type="dxa"/>
            <w:vAlign w:val="top"/>
            <w:tcBorders>
              <w:top w:val="single" w:color="FFFFFF" w:sz="4" w:space="0"/>
              <w:left w:val="single" w:color="FFFFFF" w:sz="2" w:space="0"/>
              <w:right w:val="single" w:color="FFFFFF" w:sz="2" w:space="0"/>
            </w:tcBorders>
          </w:tcPr>
          <w:p>
            <w:pPr>
              <w:ind w:left="317"/>
              <w:spacing w:before="8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64" w:type="dxa"/>
            <w:vAlign w:val="top"/>
            <w:vMerge w:val="restart"/>
            <w:tcBorders>
              <w:bottom w:val="nil"/>
            </w:tcBorders>
          </w:tcPr>
          <w:p>
            <w:pPr>
              <w:ind w:left="697"/>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22" w:type="dxa"/>
            <w:vAlign w:val="top"/>
            <w:vMerge w:val="restart"/>
            <w:tcBorders>
              <w:bottom w:val="nil"/>
            </w:tcBorders>
          </w:tcPr>
          <w:p>
            <w:pPr>
              <w:ind w:left="178"/>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96" w:type="dxa"/>
            <w:vAlign w:val="top"/>
            <w:gridSpan w:val="3"/>
          </w:tcPr>
          <w:p>
            <w:pPr>
              <w:ind w:left="1205"/>
              <w:spacing w:before="6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1" w:hRule="atLeast"/>
        </w:trPr>
        <w:tc>
          <w:tcPr>
            <w:tcW w:w="3364" w:type="dxa"/>
            <w:vAlign w:val="top"/>
            <w:vMerge w:val="continue"/>
            <w:tcBorders>
              <w:top w:val="nil"/>
            </w:tcBorders>
          </w:tcPr>
          <w:p>
            <w:pPr>
              <w:pStyle w:val="TableText"/>
              <w:rPr/>
            </w:pPr>
            <w:r/>
          </w:p>
        </w:tc>
        <w:tc>
          <w:tcPr>
            <w:tcW w:w="2322" w:type="dxa"/>
            <w:vAlign w:val="top"/>
            <w:vMerge w:val="continue"/>
            <w:tcBorders>
              <w:top w:val="nil"/>
            </w:tcBorders>
          </w:tcPr>
          <w:p>
            <w:pPr>
              <w:pStyle w:val="TableText"/>
              <w:rPr/>
            </w:pPr>
            <w:r/>
          </w:p>
        </w:tc>
        <w:tc>
          <w:tcPr>
            <w:tcW w:w="1209" w:type="dxa"/>
            <w:vAlign w:val="top"/>
          </w:tcPr>
          <w:p>
            <w:pPr>
              <w:ind w:left="432"/>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988" w:type="dxa"/>
            <w:vAlign w:val="top"/>
          </w:tcPr>
          <w:p>
            <w:pPr>
              <w:ind w:left="1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1" w:hRule="atLeast"/>
        </w:trPr>
        <w:tc>
          <w:tcPr>
            <w:tcW w:w="5686" w:type="dxa"/>
            <w:vAlign w:val="top"/>
            <w:gridSpan w:val="2"/>
          </w:tcPr>
          <w:p>
            <w:pPr>
              <w:ind w:left="268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09" w:type="dxa"/>
            <w:vAlign w:val="top"/>
          </w:tcPr>
          <w:p>
            <w:pPr>
              <w:pStyle w:val="TableText"/>
              <w:ind w:left="706"/>
              <w:spacing w:before="88" w:line="162" w:lineRule="auto"/>
              <w:rPr>
                <w:sz w:val="15"/>
                <w:szCs w:val="15"/>
              </w:rPr>
            </w:pPr>
            <w:r>
              <w:rPr>
                <w:sz w:val="15"/>
                <w:szCs w:val="15"/>
                <w:color w:val="212529"/>
              </w:rPr>
              <w:t>103.69</w:t>
            </w:r>
          </w:p>
        </w:tc>
        <w:tc>
          <w:tcPr>
            <w:tcW w:w="1199" w:type="dxa"/>
            <w:vAlign w:val="top"/>
          </w:tcPr>
          <w:p>
            <w:pPr>
              <w:pStyle w:val="TableText"/>
              <w:ind w:left="703"/>
              <w:spacing w:before="88" w:line="162" w:lineRule="auto"/>
              <w:rPr>
                <w:sz w:val="15"/>
                <w:szCs w:val="15"/>
              </w:rPr>
            </w:pPr>
            <w:r>
              <w:rPr>
                <w:sz w:val="15"/>
                <w:szCs w:val="15"/>
                <w:color w:val="212529"/>
              </w:rPr>
              <w:t>103.69</w:t>
            </w:r>
          </w:p>
        </w:tc>
        <w:tc>
          <w:tcPr>
            <w:tcW w:w="988" w:type="dxa"/>
            <w:vAlign w:val="top"/>
          </w:tcPr>
          <w:p>
            <w:pPr>
              <w:pStyle w:val="TableText"/>
              <w:rPr/>
            </w:pPr>
            <w:r/>
          </w:p>
        </w:tc>
      </w:tr>
      <w:tr>
        <w:trPr>
          <w:trHeight w:val="292" w:hRule="atLeast"/>
        </w:trPr>
        <w:tc>
          <w:tcPr>
            <w:tcW w:w="3364" w:type="dxa"/>
            <w:vAlign w:val="top"/>
          </w:tcPr>
          <w:p>
            <w:pPr>
              <w:ind w:left="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22" w:type="dxa"/>
            <w:vAlign w:val="top"/>
          </w:tcPr>
          <w:p>
            <w:pPr>
              <w:pStyle w:val="TableText"/>
              <w:rPr/>
            </w:pPr>
            <w:r/>
          </w:p>
        </w:tc>
        <w:tc>
          <w:tcPr>
            <w:tcW w:w="1209" w:type="dxa"/>
            <w:vAlign w:val="top"/>
          </w:tcPr>
          <w:p>
            <w:pPr>
              <w:ind w:right="25"/>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0.48</w:t>
            </w:r>
          </w:p>
        </w:tc>
        <w:tc>
          <w:tcPr>
            <w:tcW w:w="1199" w:type="dxa"/>
            <w:vAlign w:val="top"/>
          </w:tcPr>
          <w:p>
            <w:pPr>
              <w:ind w:right="18"/>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0.48</w:t>
            </w:r>
          </w:p>
        </w:tc>
        <w:tc>
          <w:tcPr>
            <w:tcW w:w="988" w:type="dxa"/>
            <w:vAlign w:val="top"/>
          </w:tcPr>
          <w:p>
            <w:pPr>
              <w:pStyle w:val="TableText"/>
              <w:rPr/>
            </w:pPr>
            <w:r/>
          </w:p>
        </w:tc>
      </w:tr>
      <w:tr>
        <w:trPr>
          <w:trHeight w:val="292" w:hRule="atLeast"/>
        </w:trPr>
        <w:tc>
          <w:tcPr>
            <w:tcW w:w="3364"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22" w:type="dxa"/>
            <w:vAlign w:val="top"/>
          </w:tcPr>
          <w:p>
            <w:pPr>
              <w:ind w:left="334"/>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09"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0.48</w:t>
            </w:r>
          </w:p>
        </w:tc>
        <w:tc>
          <w:tcPr>
            <w:tcW w:w="1199"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0.48</w:t>
            </w:r>
          </w:p>
        </w:tc>
        <w:tc>
          <w:tcPr>
            <w:tcW w:w="988" w:type="dxa"/>
            <w:vAlign w:val="top"/>
          </w:tcPr>
          <w:p>
            <w:pPr>
              <w:pStyle w:val="TableText"/>
              <w:rPr/>
            </w:pPr>
            <w:r/>
          </w:p>
        </w:tc>
      </w:tr>
      <w:tr>
        <w:trPr>
          <w:trHeight w:val="292" w:hRule="atLeast"/>
        </w:trPr>
        <w:tc>
          <w:tcPr>
            <w:tcW w:w="3364"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22" w:type="dxa"/>
            <w:vAlign w:val="top"/>
          </w:tcPr>
          <w:p>
            <w:pPr>
              <w:pStyle w:val="TableText"/>
              <w:rPr/>
            </w:pPr>
            <w:r/>
          </w:p>
        </w:tc>
        <w:tc>
          <w:tcPr>
            <w:tcW w:w="1209"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103.21</w:t>
            </w:r>
          </w:p>
        </w:tc>
        <w:tc>
          <w:tcPr>
            <w:tcW w:w="1199"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103.21</w:t>
            </w:r>
          </w:p>
        </w:tc>
        <w:tc>
          <w:tcPr>
            <w:tcW w:w="988" w:type="dxa"/>
            <w:vAlign w:val="top"/>
          </w:tcPr>
          <w:p>
            <w:pPr>
              <w:pStyle w:val="TableText"/>
              <w:rPr/>
            </w:pPr>
            <w:r/>
          </w:p>
        </w:tc>
      </w:tr>
      <w:tr>
        <w:trPr>
          <w:trHeight w:val="297" w:hRule="atLeast"/>
        </w:trPr>
        <w:tc>
          <w:tcPr>
            <w:tcW w:w="3364"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22" w:type="dxa"/>
            <w:vAlign w:val="top"/>
          </w:tcPr>
          <w:p>
            <w:pPr>
              <w:ind w:left="335"/>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09" w:type="dxa"/>
            <w:vAlign w:val="top"/>
          </w:tcPr>
          <w:p>
            <w:pPr>
              <w:ind w:right="2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103.21</w:t>
            </w:r>
          </w:p>
        </w:tc>
        <w:tc>
          <w:tcPr>
            <w:tcW w:w="1199"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103.21</w:t>
            </w:r>
          </w:p>
        </w:tc>
        <w:tc>
          <w:tcPr>
            <w:tcW w:w="988" w:type="dxa"/>
            <w:vAlign w:val="top"/>
          </w:tcPr>
          <w:p>
            <w:pPr>
              <w:pStyle w:val="TableText"/>
              <w:rPr/>
            </w:pPr>
            <w:r/>
          </w:p>
        </w:tc>
      </w:tr>
    </w:tbl>
    <w:p>
      <w:pPr>
        <w:pStyle w:val="BodyText"/>
        <w:rPr/>
      </w:pPr>
      <w:r/>
    </w:p>
    <w:p>
      <w:pPr>
        <w:sectPr>
          <w:headerReference w:type="default" r:id="rId16"/>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9"/>
          <w:footerReference w:type="default" r:id="rId2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6"/>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4"/>
        <w:gridCol w:w="1145"/>
        <w:gridCol w:w="1134"/>
        <w:gridCol w:w="821"/>
        <w:gridCol w:w="1220"/>
        <w:gridCol w:w="1047"/>
        <w:gridCol w:w="837"/>
      </w:tblGrid>
      <w:tr>
        <w:trPr>
          <w:trHeight w:val="384" w:hRule="atLeast"/>
        </w:trPr>
        <w:tc>
          <w:tcPr>
            <w:tcW w:w="295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4" w:type="dxa"/>
            <w:vAlign w:val="top"/>
            <w:gridSpan w:val="2"/>
            <w:tcBorders>
              <w:bottom w:val="single" w:color="FFFFFF" w:sz="4" w:space="0"/>
              <w:top w:val="single" w:color="FFFFFF" w:sz="4" w:space="0"/>
              <w:left w:val="single" w:color="FFFFFF" w:sz="2" w:space="0"/>
              <w:right w:val="single" w:color="FFFFFF" w:sz="2" w:space="0"/>
            </w:tcBorders>
          </w:tcPr>
          <w:p>
            <w:pPr>
              <w:ind w:left="108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74"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884" w:type="dxa"/>
            <w:vAlign w:val="top"/>
            <w:gridSpan w:val="2"/>
            <w:tcBorders>
              <w:top w:val="single" w:color="FFFFFF" w:sz="4" w:space="0"/>
              <w:left w:val="single" w:color="FFFFFF" w:sz="2" w:space="0"/>
              <w:right w:val="single" w:color="FFFFFF" w:sz="2" w:space="0"/>
            </w:tcBorders>
          </w:tcPr>
          <w:p>
            <w:pPr>
              <w:ind w:left="121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54" w:type="dxa"/>
            <w:vAlign w:val="top"/>
            <w:vMerge w:val="restart"/>
            <w:tcBorders>
              <w:bottom w:val="nil"/>
            </w:tcBorders>
          </w:tcPr>
          <w:p>
            <w:pPr>
              <w:ind w:left="1141"/>
              <w:spacing w:before="30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45" w:type="dxa"/>
            <w:vAlign w:val="top"/>
            <w:vMerge w:val="restart"/>
            <w:tcBorders>
              <w:bottom w:val="nil"/>
            </w:tcBorders>
          </w:tcPr>
          <w:p>
            <w:pPr>
              <w:ind w:left="399"/>
              <w:spacing w:before="30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75" w:type="dxa"/>
            <w:vAlign w:val="top"/>
            <w:gridSpan w:val="3"/>
          </w:tcPr>
          <w:p>
            <w:pPr>
              <w:ind w:left="101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47" w:type="dxa"/>
            <w:vAlign w:val="top"/>
            <w:vMerge w:val="restart"/>
            <w:tcBorders>
              <w:bottom w:val="nil"/>
            </w:tcBorders>
          </w:tcPr>
          <w:p>
            <w:pPr>
              <w:ind w:left="32"/>
              <w:spacing w:before="21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61"/>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37" w:type="dxa"/>
            <w:vAlign w:val="top"/>
            <w:vMerge w:val="restart"/>
            <w:tcBorders>
              <w:bottom w:val="nil"/>
            </w:tcBorders>
          </w:tcPr>
          <w:p>
            <w:pPr>
              <w:ind w:left="84"/>
              <w:spacing w:before="30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954"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134" w:type="dxa"/>
            <w:vAlign w:val="top"/>
          </w:tcPr>
          <w:p>
            <w:pPr>
              <w:ind w:left="69"/>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21" w:type="dxa"/>
            <w:vAlign w:val="top"/>
          </w:tcPr>
          <w:p>
            <w:pPr>
              <w:ind w:left="156" w:right="90" w:hanging="79"/>
              <w:spacing w:before="2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20" w:type="dxa"/>
            <w:vAlign w:val="top"/>
          </w:tcPr>
          <w:p>
            <w:pPr>
              <w:ind w:left="48"/>
              <w:spacing w:before="2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14"/>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47"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9" w:hRule="atLeast"/>
        </w:trPr>
        <w:tc>
          <w:tcPr>
            <w:tcW w:w="2954" w:type="dxa"/>
            <w:vAlign w:val="top"/>
          </w:tcPr>
          <w:p>
            <w:pPr>
              <w:ind w:left="1438"/>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45" w:type="dxa"/>
            <w:vAlign w:val="top"/>
          </w:tcPr>
          <w:p>
            <w:pPr>
              <w:ind w:left="522"/>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34" w:type="dxa"/>
            <w:vAlign w:val="top"/>
          </w:tcPr>
          <w:p>
            <w:pPr>
              <w:ind w:left="521"/>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21" w:type="dxa"/>
            <w:vAlign w:val="top"/>
          </w:tcPr>
          <w:p>
            <w:pPr>
              <w:ind w:left="361"/>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0" w:type="dxa"/>
            <w:vAlign w:val="top"/>
          </w:tcPr>
          <w:p>
            <w:pPr>
              <w:ind w:left="563"/>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47" w:type="dxa"/>
            <w:vAlign w:val="top"/>
          </w:tcPr>
          <w:p>
            <w:pPr>
              <w:ind w:left="479"/>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5"/>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954" w:type="dxa"/>
            <w:vAlign w:val="top"/>
          </w:tcPr>
          <w:p>
            <w:pPr>
              <w:ind w:left="91"/>
              <w:spacing w:before="111"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145"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820.14</w:t>
            </w:r>
          </w:p>
        </w:tc>
        <w:tc>
          <w:tcPr>
            <w:tcW w:w="1134"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820.14</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7"/>
              <w:spacing w:before="111" w:line="228" w:lineRule="auto"/>
              <w:rPr>
                <w:rFonts w:ascii="SimSun" w:hAnsi="SimSun" w:eastAsia="SimSun" w:cs="SimSun"/>
                <w:sz w:val="15"/>
                <w:szCs w:val="15"/>
              </w:rPr>
            </w:pPr>
            <w:r>
              <w:rPr>
                <w:rFonts w:ascii="SimSun" w:hAnsi="SimSun" w:eastAsia="SimSun" w:cs="SimSun"/>
                <w:sz w:val="15"/>
                <w:szCs w:val="15"/>
                <w:color w:val="212529"/>
                <w:spacing w:val="10"/>
              </w:rPr>
              <w:t>G老年村医退养补助(县配套)</w:t>
            </w:r>
          </w:p>
        </w:tc>
        <w:tc>
          <w:tcPr>
            <w:tcW w:w="1145"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71.82</w:t>
            </w:r>
          </w:p>
        </w:tc>
        <w:tc>
          <w:tcPr>
            <w:tcW w:w="1134"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71.82</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9"/>
              <w:spacing w:before="111" w:line="228" w:lineRule="auto"/>
              <w:rPr>
                <w:rFonts w:ascii="SimSun" w:hAnsi="SimSun" w:eastAsia="SimSun" w:cs="SimSun"/>
                <w:sz w:val="15"/>
                <w:szCs w:val="15"/>
              </w:rPr>
            </w:pPr>
            <w:r>
              <w:rPr>
                <w:rFonts w:ascii="SimSun" w:hAnsi="SimSun" w:eastAsia="SimSun" w:cs="SimSun"/>
                <w:sz w:val="15"/>
                <w:szCs w:val="15"/>
                <w:color w:val="212529"/>
                <w:spacing w:val="10"/>
              </w:rPr>
              <w:t>老年村医退养补助</w:t>
            </w:r>
          </w:p>
        </w:tc>
        <w:tc>
          <w:tcPr>
            <w:tcW w:w="1145"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16.89</w:t>
            </w:r>
          </w:p>
        </w:tc>
        <w:tc>
          <w:tcPr>
            <w:tcW w:w="1134"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16.89</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7" w:right="27" w:firstLine="159"/>
              <w:spacing w:before="26" w:line="211" w:lineRule="auto"/>
              <w:rPr>
                <w:rFonts w:ascii="SimSun" w:hAnsi="SimSun" w:eastAsia="SimSun" w:cs="SimSun"/>
                <w:sz w:val="15"/>
                <w:szCs w:val="15"/>
              </w:rPr>
            </w:pPr>
            <w:r>
              <w:rPr>
                <w:rFonts w:ascii="SimSun" w:hAnsi="SimSun" w:eastAsia="SimSun" w:cs="SimSun"/>
                <w:sz w:val="15"/>
                <w:szCs w:val="15"/>
                <w:color w:val="212529"/>
                <w:spacing w:val="11"/>
              </w:rPr>
              <w:t>G老年村医退养补助县级配套(退养村医</w:t>
            </w:r>
            <w:r>
              <w:rPr>
                <w:rFonts w:ascii="SimSun" w:hAnsi="SimSun" w:eastAsia="SimSun" w:cs="SimSun"/>
                <w:sz w:val="15"/>
                <w:szCs w:val="15"/>
                <w:color w:val="212529"/>
              </w:rPr>
              <w:t xml:space="preserve"> </w:t>
            </w:r>
            <w:r>
              <w:rPr>
                <w:rFonts w:ascii="SimSun" w:hAnsi="SimSun" w:eastAsia="SimSun" w:cs="SimSun"/>
                <w:sz w:val="15"/>
                <w:szCs w:val="15"/>
                <w:color w:val="212529"/>
                <w:spacing w:val="9"/>
              </w:rPr>
              <w:t>增加补贴)</w:t>
            </w:r>
          </w:p>
        </w:tc>
        <w:tc>
          <w:tcPr>
            <w:tcW w:w="1145"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45.79</w:t>
            </w:r>
          </w:p>
        </w:tc>
        <w:tc>
          <w:tcPr>
            <w:tcW w:w="1134"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45.79</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4" w:right="27" w:firstLine="156"/>
              <w:spacing w:before="26" w:line="211" w:lineRule="auto"/>
              <w:rPr>
                <w:rFonts w:ascii="SimSun" w:hAnsi="SimSun" w:eastAsia="SimSun" w:cs="SimSun"/>
                <w:sz w:val="15"/>
                <w:szCs w:val="15"/>
              </w:rPr>
            </w:pPr>
            <w:r>
              <w:rPr>
                <w:rFonts w:ascii="SimSun" w:hAnsi="SimSun" w:eastAsia="SimSun" w:cs="SimSun"/>
                <w:sz w:val="15"/>
                <w:szCs w:val="15"/>
                <w:color w:val="212529"/>
                <w:spacing w:val="10"/>
              </w:rPr>
              <w:t>2025年卫生健康人才培养省级（老年村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医退养）晋财社[2024]218号</w:t>
            </w:r>
          </w:p>
        </w:tc>
        <w:tc>
          <w:tcPr>
            <w:tcW w:w="1145" w:type="dxa"/>
            <w:vAlign w:val="top"/>
          </w:tcPr>
          <w:p>
            <w:pPr>
              <w:ind w:right="26"/>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43.35</w:t>
            </w:r>
          </w:p>
        </w:tc>
        <w:tc>
          <w:tcPr>
            <w:tcW w:w="1134" w:type="dxa"/>
            <w:vAlign w:val="top"/>
          </w:tcPr>
          <w:p>
            <w:pPr>
              <w:ind w:right="18"/>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43.35</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551" w:hRule="atLeast"/>
        </w:trPr>
        <w:tc>
          <w:tcPr>
            <w:tcW w:w="2954" w:type="dxa"/>
            <w:vAlign w:val="top"/>
          </w:tcPr>
          <w:p>
            <w:pPr>
              <w:ind w:left="14" w:right="27" w:firstLine="156"/>
              <w:spacing w:before="15" w:line="226" w:lineRule="auto"/>
              <w:rPr>
                <w:rFonts w:ascii="SimSun" w:hAnsi="SimSun" w:eastAsia="SimSun" w:cs="SimSun"/>
                <w:sz w:val="15"/>
                <w:szCs w:val="15"/>
              </w:rPr>
            </w:pPr>
            <w:r>
              <w:rPr>
                <w:rFonts w:ascii="SimSun" w:hAnsi="SimSun" w:eastAsia="SimSun" w:cs="SimSun"/>
                <w:sz w:val="15"/>
                <w:szCs w:val="15"/>
                <w:color w:val="212529"/>
                <w:spacing w:val="10"/>
              </w:rPr>
              <w:t>2025年卫生健康人才培养省级（在岗村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医参加城乡居民养老保险缴费）晋财社</w:t>
            </w:r>
          </w:p>
          <w:p>
            <w:pPr>
              <w:ind w:left="31"/>
              <w:spacing w:line="194" w:lineRule="auto"/>
              <w:rPr>
                <w:rFonts w:ascii="SimSun" w:hAnsi="SimSun" w:eastAsia="SimSun" w:cs="SimSun"/>
                <w:sz w:val="15"/>
                <w:szCs w:val="15"/>
              </w:rPr>
            </w:pPr>
            <w:r>
              <w:rPr>
                <w:rFonts w:ascii="SimSun" w:hAnsi="SimSun" w:eastAsia="SimSun" w:cs="SimSun"/>
                <w:sz w:val="15"/>
                <w:szCs w:val="15"/>
                <w:color w:val="212529"/>
                <w:spacing w:val="3"/>
              </w:rPr>
              <w:t>[2024]218号</w:t>
            </w:r>
          </w:p>
        </w:tc>
        <w:tc>
          <w:tcPr>
            <w:tcW w:w="1145" w:type="dxa"/>
            <w:vAlign w:val="top"/>
          </w:tcPr>
          <w:p>
            <w:pPr>
              <w:ind w:right="26"/>
              <w:spacing w:before="19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4.63</w:t>
            </w:r>
          </w:p>
        </w:tc>
        <w:tc>
          <w:tcPr>
            <w:tcW w:w="1134" w:type="dxa"/>
            <w:vAlign w:val="top"/>
          </w:tcPr>
          <w:p>
            <w:pPr>
              <w:ind w:right="18"/>
              <w:spacing w:before="19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4.63</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6" w:right="27" w:firstLine="186"/>
              <w:spacing w:before="27" w:line="210" w:lineRule="auto"/>
              <w:rPr>
                <w:rFonts w:ascii="SimSun" w:hAnsi="SimSun" w:eastAsia="SimSun" w:cs="SimSun"/>
                <w:sz w:val="15"/>
                <w:szCs w:val="15"/>
              </w:rPr>
            </w:pPr>
            <w:r>
              <w:rPr>
                <w:rFonts w:ascii="SimSun" w:hAnsi="SimSun" w:eastAsia="SimSun" w:cs="SimSun"/>
                <w:sz w:val="15"/>
                <w:szCs w:val="15"/>
                <w:color w:val="212529"/>
                <w:spacing w:val="6"/>
              </w:rPr>
              <w:t>吕财社〔2025〕</w:t>
            </w:r>
            <w:r>
              <w:rPr>
                <w:rFonts w:ascii="SimSun" w:hAnsi="SimSun" w:eastAsia="SimSun" w:cs="SimSun"/>
                <w:sz w:val="15"/>
                <w:szCs w:val="15"/>
                <w:color w:val="212529"/>
                <w:spacing w:val="-36"/>
              </w:rPr>
              <w:t xml:space="preserve"> </w:t>
            </w:r>
            <w:r>
              <w:rPr>
                <w:rFonts w:ascii="SimSun" w:hAnsi="SimSun" w:eastAsia="SimSun" w:cs="SimSun"/>
                <w:sz w:val="15"/>
                <w:szCs w:val="15"/>
                <w:color w:val="212529"/>
                <w:spacing w:val="6"/>
              </w:rPr>
              <w:t>12号预拨2025年老年退</w:t>
            </w:r>
            <w:r>
              <w:rPr>
                <w:rFonts w:ascii="SimSun" w:hAnsi="SimSun" w:eastAsia="SimSun" w:cs="SimSun"/>
                <w:sz w:val="15"/>
                <w:szCs w:val="15"/>
                <w:color w:val="212529"/>
              </w:rPr>
              <w:t xml:space="preserve"> </w:t>
            </w:r>
            <w:r>
              <w:rPr>
                <w:rFonts w:ascii="SimSun" w:hAnsi="SimSun" w:eastAsia="SimSun" w:cs="SimSun"/>
                <w:sz w:val="15"/>
                <w:szCs w:val="15"/>
                <w:color w:val="212529"/>
                <w:spacing w:val="11"/>
              </w:rPr>
              <w:t>养村医生活补助市级配套资金</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11.20</w:t>
            </w:r>
          </w:p>
        </w:tc>
        <w:tc>
          <w:tcPr>
            <w:tcW w:w="1134"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8" w:hRule="atLeast"/>
        </w:trPr>
        <w:tc>
          <w:tcPr>
            <w:tcW w:w="2954" w:type="dxa"/>
            <w:vAlign w:val="top"/>
          </w:tcPr>
          <w:p>
            <w:pPr>
              <w:ind w:left="11" w:right="108" w:firstLine="181"/>
              <w:spacing w:before="26" w:line="210" w:lineRule="auto"/>
              <w:rPr>
                <w:rFonts w:ascii="SimSun" w:hAnsi="SimSun" w:eastAsia="SimSun" w:cs="SimSun"/>
                <w:sz w:val="15"/>
                <w:szCs w:val="15"/>
              </w:rPr>
            </w:pPr>
            <w:r>
              <w:rPr>
                <w:rFonts w:ascii="SimSun" w:hAnsi="SimSun" w:eastAsia="SimSun" w:cs="SimSun"/>
                <w:sz w:val="15"/>
                <w:szCs w:val="15"/>
                <w:color w:val="212529"/>
                <w:spacing w:val="7"/>
              </w:rPr>
              <w:t>吕财社〔2025〕7号预拨2025年驻村医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生个人要素市级补贴资金</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6.88</w:t>
            </w:r>
          </w:p>
        </w:tc>
        <w:tc>
          <w:tcPr>
            <w:tcW w:w="1134"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6.88</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8" w:hRule="atLeast"/>
        </w:trPr>
        <w:tc>
          <w:tcPr>
            <w:tcW w:w="2954" w:type="dxa"/>
            <w:vAlign w:val="top"/>
          </w:tcPr>
          <w:p>
            <w:pPr>
              <w:ind w:left="167"/>
              <w:spacing w:before="115" w:line="228" w:lineRule="auto"/>
              <w:rPr>
                <w:rFonts w:ascii="SimSun" w:hAnsi="SimSun" w:eastAsia="SimSun" w:cs="SimSun"/>
                <w:sz w:val="15"/>
                <w:szCs w:val="15"/>
              </w:rPr>
            </w:pPr>
            <w:r>
              <w:rPr>
                <w:rFonts w:ascii="SimSun" w:hAnsi="SimSun" w:eastAsia="SimSun" w:cs="SimSun"/>
                <w:sz w:val="15"/>
                <w:szCs w:val="15"/>
                <w:color w:val="212529"/>
                <w:spacing w:val="10"/>
              </w:rPr>
              <w:t>G驻村医生岗位津贴(县配套)</w:t>
            </w:r>
          </w:p>
        </w:tc>
        <w:tc>
          <w:tcPr>
            <w:tcW w:w="1145"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72.96</w:t>
            </w:r>
          </w:p>
        </w:tc>
        <w:tc>
          <w:tcPr>
            <w:tcW w:w="1134"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72.96</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7"/>
              <w:spacing w:before="116" w:line="228" w:lineRule="auto"/>
              <w:rPr>
                <w:rFonts w:ascii="SimSun" w:hAnsi="SimSun" w:eastAsia="SimSun" w:cs="SimSun"/>
                <w:sz w:val="15"/>
                <w:szCs w:val="15"/>
              </w:rPr>
            </w:pPr>
            <w:r>
              <w:rPr>
                <w:rFonts w:ascii="SimSun" w:hAnsi="SimSun" w:eastAsia="SimSun" w:cs="SimSun"/>
                <w:sz w:val="15"/>
                <w:szCs w:val="15"/>
                <w:color w:val="212529"/>
                <w:spacing w:val="10"/>
              </w:rPr>
              <w:t>G在岗村医岗位补助(县配套)</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146.40</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146.40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7"/>
              <w:spacing w:before="116" w:line="228" w:lineRule="auto"/>
              <w:rPr>
                <w:rFonts w:ascii="SimSun" w:hAnsi="SimSun" w:eastAsia="SimSun" w:cs="SimSun"/>
                <w:sz w:val="15"/>
                <w:szCs w:val="15"/>
              </w:rPr>
            </w:pPr>
            <w:r>
              <w:rPr>
                <w:rFonts w:ascii="SimSun" w:hAnsi="SimSun" w:eastAsia="SimSun" w:cs="SimSun"/>
                <w:sz w:val="15"/>
                <w:szCs w:val="15"/>
                <w:color w:val="212529"/>
                <w:spacing w:val="10"/>
              </w:rPr>
              <w:t>G乡村医生要素补贴(县配套)</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18.24</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18.24</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7"/>
              <w:spacing w:before="116" w:line="228" w:lineRule="auto"/>
              <w:rPr>
                <w:rFonts w:ascii="SimSun" w:hAnsi="SimSun" w:eastAsia="SimSun" w:cs="SimSun"/>
                <w:sz w:val="15"/>
                <w:szCs w:val="15"/>
              </w:rPr>
            </w:pPr>
            <w:r>
              <w:rPr>
                <w:rFonts w:ascii="SimSun" w:hAnsi="SimSun" w:eastAsia="SimSun" w:cs="SimSun"/>
                <w:sz w:val="15"/>
                <w:szCs w:val="15"/>
                <w:color w:val="212529"/>
                <w:spacing w:val="10"/>
              </w:rPr>
              <w:t>G村卫生室运行经费(县配套)</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36.11</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36.11</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9"/>
              <w:spacing w:before="117" w:line="228" w:lineRule="auto"/>
              <w:rPr>
                <w:rFonts w:ascii="SimSun" w:hAnsi="SimSun" w:eastAsia="SimSun" w:cs="SimSun"/>
                <w:sz w:val="15"/>
                <w:szCs w:val="15"/>
              </w:rPr>
            </w:pPr>
            <w:r>
              <w:rPr>
                <w:rFonts w:ascii="SimSun" w:hAnsi="SimSun" w:eastAsia="SimSun" w:cs="SimSun"/>
                <w:sz w:val="15"/>
                <w:szCs w:val="15"/>
                <w:color w:val="212529"/>
                <w:spacing w:val="10"/>
              </w:rPr>
              <w:t>村卫生室基药补助(县配套)</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17.56</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7" w:right="108" w:firstLine="168"/>
              <w:spacing w:before="31" w:line="208" w:lineRule="auto"/>
              <w:rPr>
                <w:rFonts w:ascii="SimSun" w:hAnsi="SimSun" w:eastAsia="SimSun" w:cs="SimSun"/>
                <w:sz w:val="15"/>
                <w:szCs w:val="15"/>
              </w:rPr>
            </w:pPr>
            <w:r>
              <w:rPr>
                <w:rFonts w:ascii="SimSun" w:hAnsi="SimSun" w:eastAsia="SimSun" w:cs="SimSun"/>
                <w:sz w:val="15"/>
                <w:szCs w:val="15"/>
                <w:color w:val="212529"/>
                <w:spacing w:val="10"/>
              </w:rPr>
              <w:t>乡村医生参加城乡居民养老保险(县配</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4"/>
              </w:rPr>
              <w:t>套)</w:t>
            </w:r>
          </w:p>
        </w:tc>
        <w:tc>
          <w:tcPr>
            <w:tcW w:w="1145" w:type="dxa"/>
            <w:vAlign w:val="top"/>
          </w:tcPr>
          <w:p>
            <w:pPr>
              <w:ind w:right="26"/>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6.77</w:t>
            </w:r>
          </w:p>
        </w:tc>
        <w:tc>
          <w:tcPr>
            <w:tcW w:w="1134" w:type="dxa"/>
            <w:vAlign w:val="top"/>
          </w:tcPr>
          <w:p>
            <w:pPr>
              <w:ind w:right="1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6.77</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8" w:hRule="atLeast"/>
        </w:trPr>
        <w:tc>
          <w:tcPr>
            <w:tcW w:w="2954" w:type="dxa"/>
            <w:vAlign w:val="top"/>
          </w:tcPr>
          <w:p>
            <w:pPr>
              <w:ind w:left="175"/>
              <w:spacing w:before="117" w:line="228" w:lineRule="auto"/>
              <w:rPr>
                <w:rFonts w:ascii="SimSun" w:hAnsi="SimSun" w:eastAsia="SimSun" w:cs="SimSun"/>
                <w:sz w:val="15"/>
                <w:szCs w:val="15"/>
              </w:rPr>
            </w:pPr>
            <w:r>
              <w:rPr>
                <w:rFonts w:ascii="SimSun" w:hAnsi="SimSun" w:eastAsia="SimSun" w:cs="SimSun"/>
                <w:sz w:val="15"/>
                <w:szCs w:val="15"/>
                <w:color w:val="212529"/>
                <w:spacing w:val="10"/>
              </w:rPr>
              <w:t>乡村医生要素补贴(县配套)</w:t>
            </w:r>
          </w:p>
        </w:tc>
        <w:tc>
          <w:tcPr>
            <w:tcW w:w="1145"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1.26</w:t>
            </w:r>
          </w:p>
        </w:tc>
        <w:tc>
          <w:tcPr>
            <w:tcW w:w="113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1.26</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9"/>
              <w:spacing w:before="118" w:line="228" w:lineRule="auto"/>
              <w:rPr>
                <w:rFonts w:ascii="SimSun" w:hAnsi="SimSun" w:eastAsia="SimSun" w:cs="SimSun"/>
                <w:sz w:val="15"/>
                <w:szCs w:val="15"/>
              </w:rPr>
            </w:pPr>
            <w:r>
              <w:rPr>
                <w:rFonts w:ascii="SimSun" w:hAnsi="SimSun" w:eastAsia="SimSun" w:cs="SimSun"/>
                <w:sz w:val="15"/>
                <w:szCs w:val="15"/>
                <w:color w:val="212529"/>
                <w:spacing w:val="10"/>
              </w:rPr>
              <w:t>驻村医生岗位津贴(县配套)</w:t>
            </w:r>
          </w:p>
        </w:tc>
        <w:tc>
          <w:tcPr>
            <w:tcW w:w="1145"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17.28</w:t>
            </w:r>
          </w:p>
        </w:tc>
        <w:tc>
          <w:tcPr>
            <w:tcW w:w="1134"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17.28</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84" w:hRule="atLeast"/>
        </w:trPr>
        <w:tc>
          <w:tcPr>
            <w:tcW w:w="2954" w:type="dxa"/>
            <w:vAlign w:val="top"/>
          </w:tcPr>
          <w:p>
            <w:pPr>
              <w:ind w:left="175"/>
              <w:spacing w:before="118" w:line="229" w:lineRule="auto"/>
              <w:rPr>
                <w:rFonts w:ascii="SimSun" w:hAnsi="SimSun" w:eastAsia="SimSun" w:cs="SimSun"/>
                <w:sz w:val="15"/>
                <w:szCs w:val="15"/>
              </w:rPr>
            </w:pPr>
            <w:r>
              <w:rPr>
                <w:rFonts w:ascii="SimSun" w:hAnsi="SimSun" w:eastAsia="SimSun" w:cs="SimSun"/>
                <w:sz w:val="15"/>
                <w:szCs w:val="15"/>
                <w:color w:val="212529"/>
                <w:spacing w:val="10"/>
              </w:rPr>
              <w:t>乡镇卫生院历史基建欠款</w:t>
            </w:r>
          </w:p>
        </w:tc>
        <w:tc>
          <w:tcPr>
            <w:tcW w:w="1145"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303.00</w:t>
            </w:r>
          </w:p>
        </w:tc>
        <w:tc>
          <w:tcPr>
            <w:tcW w:w="1134"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303.00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04"/>
        <w:gridCol w:w="1328"/>
        <w:gridCol w:w="1436"/>
        <w:gridCol w:w="1307"/>
        <w:gridCol w:w="1183"/>
      </w:tblGrid>
      <w:tr>
        <w:trPr>
          <w:trHeight w:val="384" w:hRule="atLeast"/>
        </w:trPr>
        <w:tc>
          <w:tcPr>
            <w:tcW w:w="39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3" w:type="dxa"/>
            <w:vAlign w:val="top"/>
            <w:tcBorders>
              <w:bottom w:val="single" w:color="FFFFFF" w:sz="4" w:space="0"/>
              <w:top w:val="single" w:color="FFFFFF" w:sz="4" w:space="0"/>
              <w:left w:val="single" w:color="FFFFFF" w:sz="2" w:space="0"/>
              <w:right w:val="single" w:color="FFFFFF" w:sz="2" w:space="0"/>
            </w:tcBorders>
          </w:tcPr>
          <w:p>
            <w:pPr>
              <w:ind w:left="380"/>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75"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单位名称：兴县医疗集团</w:t>
            </w:r>
          </w:p>
        </w:tc>
        <w:tc>
          <w:tcPr>
            <w:tcW w:w="1183" w:type="dxa"/>
            <w:vAlign w:val="top"/>
            <w:tcBorders>
              <w:top w:val="single" w:color="FFFFFF" w:sz="4" w:space="0"/>
              <w:left w:val="single" w:color="FFFFFF" w:sz="2" w:space="0"/>
              <w:right w:val="single" w:color="FFFFFF" w:sz="2" w:space="0"/>
            </w:tcBorders>
          </w:tcPr>
          <w:p>
            <w:pPr>
              <w:ind w:left="510"/>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04" w:type="dxa"/>
            <w:vAlign w:val="top"/>
            <w:vMerge w:val="restart"/>
            <w:tcBorders>
              <w:bottom w:val="nil"/>
            </w:tcBorders>
          </w:tcPr>
          <w:p>
            <w:pPr>
              <w:ind w:left="161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328" w:type="dxa"/>
            <w:vAlign w:val="top"/>
            <w:vMerge w:val="restart"/>
            <w:tcBorders>
              <w:bottom w:val="nil"/>
            </w:tcBorders>
          </w:tcPr>
          <w:p>
            <w:pPr>
              <w:ind w:left="49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26" w:type="dxa"/>
            <w:vAlign w:val="top"/>
            <w:gridSpan w:val="3"/>
          </w:tcPr>
          <w:p>
            <w:pPr>
              <w:ind w:left="1387"/>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04" w:type="dxa"/>
            <w:vAlign w:val="top"/>
            <w:vMerge w:val="continue"/>
            <w:tcBorders>
              <w:top w:val="nil"/>
            </w:tcBorders>
          </w:tcPr>
          <w:p>
            <w:pPr>
              <w:pStyle w:val="TableText"/>
              <w:rPr/>
            </w:pPr>
            <w:r/>
          </w:p>
        </w:tc>
        <w:tc>
          <w:tcPr>
            <w:tcW w:w="1328" w:type="dxa"/>
            <w:vAlign w:val="top"/>
            <w:vMerge w:val="continue"/>
            <w:tcBorders>
              <w:top w:val="nil"/>
            </w:tcBorders>
          </w:tcPr>
          <w:p>
            <w:pPr>
              <w:pStyle w:val="TableText"/>
              <w:rPr/>
            </w:pPr>
            <w:r/>
          </w:p>
        </w:tc>
        <w:tc>
          <w:tcPr>
            <w:tcW w:w="1436" w:type="dxa"/>
            <w:vAlign w:val="top"/>
          </w:tcPr>
          <w:p>
            <w:pPr>
              <w:ind w:left="221"/>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07" w:type="dxa"/>
            <w:vAlign w:val="top"/>
          </w:tcPr>
          <w:p>
            <w:pPr>
              <w:ind w:left="240"/>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8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83" w:type="dxa"/>
            <w:vAlign w:val="top"/>
          </w:tcPr>
          <w:p>
            <w:pPr>
              <w:ind w:left="273"/>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5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04" w:type="dxa"/>
            <w:vAlign w:val="top"/>
          </w:tcPr>
          <w:p>
            <w:pPr>
              <w:ind w:left="191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328" w:type="dxa"/>
            <w:vAlign w:val="top"/>
          </w:tcPr>
          <w:p>
            <w:pPr>
              <w:ind w:left="614"/>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36" w:type="dxa"/>
            <w:vAlign w:val="top"/>
          </w:tcPr>
          <w:p>
            <w:pPr>
              <w:ind w:left="673"/>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07" w:type="dxa"/>
            <w:vAlign w:val="top"/>
          </w:tcPr>
          <w:p>
            <w:pPr>
              <w:ind w:left="60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83" w:type="dxa"/>
            <w:vAlign w:val="top"/>
          </w:tcPr>
          <w:p>
            <w:pPr>
              <w:ind w:left="545"/>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04"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32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239.83</w:t>
            </w:r>
          </w:p>
        </w:tc>
        <w:tc>
          <w:tcPr>
            <w:tcW w:w="1436"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239.83</w:t>
            </w:r>
          </w:p>
        </w:tc>
        <w:tc>
          <w:tcPr>
            <w:tcW w:w="1307" w:type="dxa"/>
            <w:vAlign w:val="top"/>
          </w:tcPr>
          <w:p>
            <w:pPr>
              <w:pStyle w:val="TableText"/>
              <w:rPr/>
            </w:pPr>
            <w:r/>
          </w:p>
        </w:tc>
        <w:tc>
          <w:tcPr>
            <w:tcW w:w="1183" w:type="dxa"/>
            <w:vAlign w:val="top"/>
          </w:tcPr>
          <w:p>
            <w:pPr>
              <w:pStyle w:val="TableText"/>
              <w:rPr/>
            </w:pPr>
            <w:r/>
          </w:p>
        </w:tc>
      </w:tr>
      <w:tr>
        <w:trPr>
          <w:trHeight w:val="378" w:hRule="atLeast"/>
        </w:trPr>
        <w:tc>
          <w:tcPr>
            <w:tcW w:w="3904" w:type="dxa"/>
            <w:vAlign w:val="top"/>
          </w:tcPr>
          <w:p>
            <w:pPr>
              <w:ind w:left="91"/>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32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239.83</w:t>
            </w:r>
          </w:p>
        </w:tc>
        <w:tc>
          <w:tcPr>
            <w:tcW w:w="1436"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239.83</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0" w:right="85" w:firstLine="167"/>
              <w:spacing w:before="31" w:line="208" w:lineRule="auto"/>
              <w:rPr>
                <w:rFonts w:ascii="SimSun" w:hAnsi="SimSun" w:eastAsia="SimSun" w:cs="SimSun"/>
                <w:sz w:val="15"/>
                <w:szCs w:val="15"/>
              </w:rPr>
            </w:pPr>
            <w:r>
              <w:rPr>
                <w:rFonts w:ascii="SimSun" w:hAnsi="SimSun" w:eastAsia="SimSun" w:cs="SimSun"/>
                <w:sz w:val="15"/>
                <w:szCs w:val="15"/>
                <w:color w:val="212529"/>
                <w:spacing w:val="8"/>
              </w:rPr>
              <w:t>（兴财社〔2024〕548号）</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8"/>
              </w:rPr>
              <w:t>中央财政基本公共卫生服</w:t>
            </w:r>
            <w:r>
              <w:rPr>
                <w:rFonts w:ascii="SimSun" w:hAnsi="SimSun" w:eastAsia="SimSun" w:cs="SimSun"/>
                <w:sz w:val="15"/>
                <w:szCs w:val="15"/>
                <w:color w:val="212529"/>
              </w:rPr>
              <w:t xml:space="preserve"> </w:t>
            </w:r>
            <w:r>
              <w:rPr>
                <w:rFonts w:ascii="SimSun" w:hAnsi="SimSun" w:eastAsia="SimSun" w:cs="SimSun"/>
                <w:sz w:val="15"/>
                <w:szCs w:val="15"/>
                <w:color w:val="212529"/>
                <w:spacing w:val="7"/>
              </w:rPr>
              <w:t>务（晋财社〔2024〕83号）</w:t>
            </w:r>
            <w:r>
              <w:rPr>
                <w:rFonts w:ascii="SimSun" w:hAnsi="SimSun" w:eastAsia="SimSun" w:cs="SimSun"/>
                <w:sz w:val="15"/>
                <w:szCs w:val="15"/>
                <w:color w:val="212529"/>
                <w:spacing w:val="-38"/>
              </w:rPr>
              <w:t xml:space="preserve"> </w:t>
            </w:r>
            <w:r>
              <w:rPr>
                <w:rFonts w:ascii="SimSun" w:hAnsi="SimSun" w:eastAsia="SimSun" w:cs="SimSun"/>
                <w:sz w:val="15"/>
                <w:szCs w:val="15"/>
                <w:color w:val="212529"/>
                <w:spacing w:val="7"/>
              </w:rPr>
              <w:t>中央</w:t>
            </w:r>
          </w:p>
        </w:tc>
        <w:tc>
          <w:tcPr>
            <w:tcW w:w="132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195.15</w:t>
            </w:r>
          </w:p>
        </w:tc>
        <w:tc>
          <w:tcPr>
            <w:tcW w:w="143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195.15</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5" w:right="329" w:firstLine="162"/>
              <w:spacing w:before="31" w:line="208" w:lineRule="auto"/>
              <w:rPr>
                <w:rFonts w:ascii="SimSun" w:hAnsi="SimSun" w:eastAsia="SimSun" w:cs="SimSun"/>
                <w:sz w:val="15"/>
                <w:szCs w:val="15"/>
              </w:rPr>
            </w:pPr>
            <w:r>
              <w:rPr>
                <w:rFonts w:ascii="SimSun" w:hAnsi="SimSun" w:eastAsia="SimSun" w:cs="SimSun"/>
                <w:sz w:val="15"/>
                <w:szCs w:val="15"/>
                <w:color w:val="212529"/>
                <w:spacing w:val="10"/>
              </w:rPr>
              <w:t>（兴财社〔2024〕58号）在岗村医岗位</w:t>
            </w:r>
            <w:r>
              <w:rPr>
                <w:rFonts w:ascii="SimSun" w:hAnsi="SimSun" w:eastAsia="SimSun" w:cs="SimSun"/>
                <w:sz w:val="15"/>
                <w:szCs w:val="15"/>
                <w:color w:val="212529"/>
                <w:spacing w:val="9"/>
              </w:rPr>
              <w:t>补助省级</w:t>
            </w:r>
            <w:r>
              <w:rPr>
                <w:rFonts w:ascii="SimSun" w:hAnsi="SimSun" w:eastAsia="SimSun" w:cs="SimSun"/>
                <w:sz w:val="15"/>
                <w:szCs w:val="15"/>
                <w:color w:val="212529"/>
              </w:rPr>
              <w:t xml:space="preserve"> </w:t>
            </w:r>
            <w:r>
              <w:rPr>
                <w:rFonts w:ascii="SimSun" w:hAnsi="SimSun" w:eastAsia="SimSun" w:cs="SimSun"/>
                <w:sz w:val="15"/>
                <w:szCs w:val="15"/>
                <w:color w:val="212529"/>
                <w:spacing w:val="7"/>
              </w:rPr>
              <w:t>（晋财社【2023】298号）</w:t>
            </w:r>
          </w:p>
        </w:tc>
        <w:tc>
          <w:tcPr>
            <w:tcW w:w="132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14.64</w:t>
            </w:r>
          </w:p>
        </w:tc>
        <w:tc>
          <w:tcPr>
            <w:tcW w:w="143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14.64</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8" w:right="166" w:firstLine="184"/>
              <w:spacing w:before="31" w:line="208" w:lineRule="auto"/>
              <w:rPr>
                <w:rFonts w:ascii="SimSun" w:hAnsi="SimSun" w:eastAsia="SimSun" w:cs="SimSun"/>
                <w:sz w:val="15"/>
                <w:szCs w:val="15"/>
              </w:rPr>
            </w:pPr>
            <w:r>
              <w:rPr>
                <w:rFonts w:ascii="SimSun" w:hAnsi="SimSun" w:eastAsia="SimSun" w:cs="SimSun"/>
                <w:sz w:val="15"/>
                <w:szCs w:val="15"/>
                <w:color w:val="212529"/>
                <w:spacing w:val="8"/>
              </w:rPr>
              <w:t>吕财社[2024]11号--2024年基本公共卫生服务（第</w:t>
            </w:r>
            <w:r>
              <w:rPr>
                <w:rFonts w:ascii="SimSun" w:hAnsi="SimSun" w:eastAsia="SimSun" w:cs="SimSun"/>
                <w:sz w:val="15"/>
                <w:szCs w:val="15"/>
                <w:color w:val="212529"/>
              </w:rPr>
              <w:t xml:space="preserve"> </w:t>
            </w:r>
            <w:r>
              <w:rPr>
                <w:rFonts w:ascii="SimSun" w:hAnsi="SimSun" w:eastAsia="SimSun" w:cs="SimSun"/>
                <w:sz w:val="15"/>
                <w:szCs w:val="15"/>
                <w:color w:val="212529"/>
                <w:spacing w:val="9"/>
              </w:rPr>
              <w:t>一批）市级配套资金（兴财社〔2024〕944号）</w:t>
            </w:r>
          </w:p>
        </w:tc>
        <w:tc>
          <w:tcPr>
            <w:tcW w:w="1328" w:type="dxa"/>
            <w:vAlign w:val="top"/>
          </w:tcPr>
          <w:p>
            <w:pPr>
              <w:ind w:right="23"/>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w:t>
            </w:r>
          </w:p>
        </w:tc>
        <w:tc>
          <w:tcPr>
            <w:tcW w:w="1436"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w:t>
            </w:r>
          </w:p>
        </w:tc>
        <w:tc>
          <w:tcPr>
            <w:tcW w:w="1307" w:type="dxa"/>
            <w:vAlign w:val="top"/>
          </w:tcPr>
          <w:p>
            <w:pPr>
              <w:pStyle w:val="TableText"/>
              <w:rPr/>
            </w:pPr>
            <w:r/>
          </w:p>
        </w:tc>
        <w:tc>
          <w:tcPr>
            <w:tcW w:w="1183" w:type="dxa"/>
            <w:vAlign w:val="top"/>
          </w:tcPr>
          <w:p>
            <w:pPr>
              <w:pStyle w:val="TableText"/>
              <w:rPr/>
            </w:pPr>
            <w:r/>
          </w:p>
        </w:tc>
      </w:tr>
      <w:tr>
        <w:trPr>
          <w:trHeight w:val="384" w:hRule="atLeast"/>
        </w:trPr>
        <w:tc>
          <w:tcPr>
            <w:tcW w:w="3904" w:type="dxa"/>
            <w:vAlign w:val="top"/>
          </w:tcPr>
          <w:p>
            <w:pPr>
              <w:ind w:left="8" w:right="166" w:firstLine="184"/>
              <w:spacing w:before="31" w:line="211" w:lineRule="auto"/>
              <w:rPr>
                <w:rFonts w:ascii="SimSun" w:hAnsi="SimSun" w:eastAsia="SimSun" w:cs="SimSun"/>
                <w:sz w:val="15"/>
                <w:szCs w:val="15"/>
              </w:rPr>
            </w:pPr>
            <w:r>
              <w:rPr>
                <w:rFonts w:ascii="SimSun" w:hAnsi="SimSun" w:eastAsia="SimSun" w:cs="SimSun"/>
                <w:sz w:val="15"/>
                <w:szCs w:val="15"/>
                <w:color w:val="212529"/>
                <w:spacing w:val="8"/>
              </w:rPr>
              <w:t>吕财社[2024]11号--2024年基本公共卫生服务（第</w:t>
            </w:r>
            <w:r>
              <w:rPr>
                <w:rFonts w:ascii="SimSun" w:hAnsi="SimSun" w:eastAsia="SimSun" w:cs="SimSun"/>
                <w:sz w:val="15"/>
                <w:szCs w:val="15"/>
                <w:color w:val="212529"/>
              </w:rPr>
              <w:t xml:space="preserve"> </w:t>
            </w:r>
            <w:r>
              <w:rPr>
                <w:rFonts w:ascii="SimSun" w:hAnsi="SimSun" w:eastAsia="SimSun" w:cs="SimSun"/>
                <w:sz w:val="15"/>
                <w:szCs w:val="15"/>
                <w:color w:val="212529"/>
                <w:spacing w:val="9"/>
              </w:rPr>
              <w:t>一批）市级配套资金（兴财社〔2024〕456号）</w:t>
            </w:r>
          </w:p>
        </w:tc>
        <w:tc>
          <w:tcPr>
            <w:tcW w:w="1328"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26.41</w:t>
            </w:r>
          </w:p>
        </w:tc>
        <w:tc>
          <w:tcPr>
            <w:tcW w:w="1436"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26.41</w:t>
            </w:r>
          </w:p>
        </w:tc>
        <w:tc>
          <w:tcPr>
            <w:tcW w:w="1307" w:type="dxa"/>
            <w:vAlign w:val="top"/>
          </w:tcPr>
          <w:p>
            <w:pPr>
              <w:pStyle w:val="TableText"/>
              <w:rPr/>
            </w:pPr>
            <w:r/>
          </w:p>
        </w:tc>
        <w:tc>
          <w:tcPr>
            <w:tcW w:w="1183" w:type="dxa"/>
            <w:vAlign w:val="top"/>
          </w:tcPr>
          <w:p>
            <w:pPr>
              <w:pStyle w:val="TableText"/>
              <w:rPr/>
            </w:pPr>
            <w:r/>
          </w:p>
        </w:tc>
      </w:tr>
    </w:tbl>
    <w:p>
      <w:pPr>
        <w:pStyle w:val="BodyText"/>
        <w:rPr/>
      </w:pPr>
      <w:r/>
    </w:p>
    <w:p>
      <w:pPr>
        <w:sectPr>
          <w:headerReference w:type="default" r:id="rId26"/>
          <w:footerReference w:type="default" r:id="rId27"/>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8" w:right="1223" w:firstLine="452"/>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2025年度兴县医疗集团预算收入总计1,163.65</w:t>
      </w:r>
      <w:r>
        <w:rPr>
          <w:rFonts w:ascii="FangSong" w:hAnsi="FangSong" w:eastAsia="FangSong" w:cs="FangSong"/>
          <w:sz w:val="23"/>
          <w:szCs w:val="23"/>
          <w:spacing w:val="4"/>
        </w:rPr>
        <w:t>万元，其中：本年收入923.82万元，上年</w:t>
      </w:r>
      <w:r>
        <w:rPr>
          <w:rFonts w:ascii="FangSong" w:hAnsi="FangSong" w:eastAsia="FangSong" w:cs="FangSong"/>
          <w:sz w:val="23"/>
          <w:szCs w:val="23"/>
        </w:rPr>
        <w:t xml:space="preserve"> </w:t>
      </w:r>
      <w:r>
        <w:rPr>
          <w:rFonts w:ascii="FangSong" w:hAnsi="FangSong" w:eastAsia="FangSong" w:cs="FangSong"/>
          <w:sz w:val="23"/>
          <w:szCs w:val="23"/>
          <w:spacing w:val="3"/>
        </w:rPr>
        <w:t>结转239.83万元，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比上年增加169.47万元，增长17.05%，主要原因是预算基建款增加；本年</w:t>
      </w:r>
      <w:r>
        <w:rPr>
          <w:rFonts w:ascii="FangSong" w:hAnsi="FangSong" w:eastAsia="FangSong" w:cs="FangSong"/>
          <w:sz w:val="23"/>
          <w:szCs w:val="23"/>
        </w:rPr>
        <w:t xml:space="preserve"> </w:t>
      </w:r>
      <w:r>
        <w:rPr>
          <w:rFonts w:ascii="FangSong" w:hAnsi="FangSong" w:eastAsia="FangSong" w:cs="FangSong"/>
          <w:sz w:val="23"/>
          <w:szCs w:val="23"/>
          <w:spacing w:val="4"/>
        </w:rPr>
        <w:t>单位预算支出总计1,163.65万元，其中：本年预算安排923.82万元，上年结转239.83万元，</w:t>
      </w:r>
      <w:r>
        <w:rPr>
          <w:rFonts w:ascii="FangSong" w:hAnsi="FangSong" w:eastAsia="FangSong" w:cs="FangSong"/>
          <w:sz w:val="23"/>
          <w:szCs w:val="23"/>
          <w:spacing w:val="7"/>
        </w:rPr>
        <w:t xml:space="preserve"> </w:t>
      </w:r>
      <w:r>
        <w:rPr>
          <w:rFonts w:ascii="FangSong" w:hAnsi="FangSong" w:eastAsia="FangSong" w:cs="FangSong"/>
          <w:sz w:val="23"/>
          <w:szCs w:val="23"/>
        </w:rPr>
        <w:t>比上年增加169.47万元，增长17.05%，主要原因是预算基</w:t>
      </w:r>
      <w:r>
        <w:rPr>
          <w:rFonts w:ascii="FangSong" w:hAnsi="FangSong" w:eastAsia="FangSong" w:cs="FangSong"/>
          <w:sz w:val="23"/>
          <w:szCs w:val="23"/>
          <w:spacing w:val="-1"/>
        </w:rPr>
        <w:t>建款增加</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5" w:right="1223" w:firstLine="454"/>
        <w:spacing w:before="172" w:line="326" w:lineRule="auto"/>
        <w:jc w:val="both"/>
        <w:rPr>
          <w:rFonts w:ascii="FangSong" w:hAnsi="FangSong" w:eastAsia="FangSong" w:cs="FangSong"/>
          <w:sz w:val="23"/>
          <w:szCs w:val="23"/>
        </w:rPr>
      </w:pPr>
      <w:r>
        <w:pict>
          <v:shape id="_x0000_s208" style="position:absolute;margin-left:391.92pt;margin-top:78.4113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5"/>
        </w:rPr>
        <w:t>2025年度兴县医疗集团预算收入1,163.65万元</w:t>
      </w:r>
      <w:r>
        <w:rPr>
          <w:rFonts w:ascii="FangSong" w:hAnsi="FangSong" w:eastAsia="FangSong" w:cs="FangSong"/>
          <w:sz w:val="23"/>
          <w:szCs w:val="23"/>
          <w:spacing w:val="4"/>
        </w:rPr>
        <w:t>，主要包括一般公共预算拨款收入923.82</w:t>
      </w:r>
      <w:r>
        <w:rPr>
          <w:rFonts w:ascii="FangSong" w:hAnsi="FangSong" w:eastAsia="FangSong" w:cs="FangSong"/>
          <w:sz w:val="23"/>
          <w:szCs w:val="23"/>
        </w:rPr>
        <w:t xml:space="preserve"> </w:t>
      </w:r>
      <w:r>
        <w:rPr>
          <w:rFonts w:ascii="FangSong" w:hAnsi="FangSong" w:eastAsia="FangSong" w:cs="FangSong"/>
          <w:sz w:val="23"/>
          <w:szCs w:val="23"/>
          <w:spacing w:val="6"/>
        </w:rPr>
        <w:t>万元，</w:t>
      </w:r>
      <w:r>
        <w:rPr>
          <w:rFonts w:ascii="FangSong" w:hAnsi="FangSong" w:eastAsia="FangSong" w:cs="FangSong"/>
          <w:sz w:val="23"/>
          <w:szCs w:val="23"/>
          <w:spacing w:val="-47"/>
        </w:rPr>
        <w:t xml:space="preserve"> </w:t>
      </w:r>
      <w:r>
        <w:rPr>
          <w:rFonts w:ascii="FangSong" w:hAnsi="FangSong" w:eastAsia="FangSong" w:cs="FangSong"/>
          <w:sz w:val="23"/>
          <w:szCs w:val="23"/>
          <w:spacing w:val="6"/>
        </w:rPr>
        <w:t>占79.39%；政府性基金预算拨款收入0万元，</w:t>
      </w:r>
      <w:r>
        <w:rPr>
          <w:rFonts w:ascii="FangSong" w:hAnsi="FangSong" w:eastAsia="FangSong" w:cs="FangSong"/>
          <w:sz w:val="23"/>
          <w:szCs w:val="23"/>
          <w:spacing w:val="-48"/>
        </w:rPr>
        <w:t xml:space="preserve"> </w:t>
      </w:r>
      <w:r>
        <w:rPr>
          <w:rFonts w:ascii="FangSong" w:hAnsi="FangSong" w:eastAsia="FangSong" w:cs="FangSong"/>
          <w:sz w:val="23"/>
          <w:szCs w:val="23"/>
          <w:spacing w:val="6"/>
        </w:rPr>
        <w:t>占0%</w:t>
      </w:r>
      <w:r>
        <w:rPr>
          <w:rFonts w:ascii="FangSong" w:hAnsi="FangSong" w:eastAsia="FangSong" w:cs="FangSong"/>
          <w:sz w:val="23"/>
          <w:szCs w:val="23"/>
          <w:spacing w:val="5"/>
        </w:rPr>
        <w:t>；</w:t>
      </w:r>
      <w:r>
        <w:rPr>
          <w:rFonts w:ascii="FangSong" w:hAnsi="FangSong" w:eastAsia="FangSong" w:cs="FangSong"/>
          <w:sz w:val="23"/>
          <w:szCs w:val="23"/>
          <w:spacing w:val="-60"/>
        </w:rPr>
        <w:t xml:space="preserve"> </w:t>
      </w:r>
      <w:r>
        <w:rPr>
          <w:rFonts w:ascii="FangSong" w:hAnsi="FangSong" w:eastAsia="FangSong" w:cs="FangSong"/>
          <w:sz w:val="23"/>
          <w:szCs w:val="23"/>
          <w:spacing w:val="5"/>
        </w:rPr>
        <w:t>国有资本经营预算拨款收入0万</w:t>
      </w:r>
      <w:r>
        <w:rPr>
          <w:rFonts w:ascii="FangSong" w:hAnsi="FangSong" w:eastAsia="FangSong" w:cs="FangSong"/>
          <w:sz w:val="23"/>
          <w:szCs w:val="23"/>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占0%；单位</w:t>
      </w:r>
      <w:r>
        <w:rPr>
          <w:rFonts w:ascii="FangSong" w:hAnsi="FangSong" w:eastAsia="FangSong" w:cs="FangSong"/>
          <w:sz w:val="23"/>
          <w:szCs w:val="23"/>
        </w:rPr>
        <w:t>资金0万元，</w:t>
      </w:r>
      <w:r>
        <w:rPr>
          <w:rFonts w:ascii="FangSong" w:hAnsi="FangSong" w:eastAsia="FangSong" w:cs="FangSong"/>
          <w:sz w:val="23"/>
          <w:szCs w:val="23"/>
          <w:spacing w:val="-54"/>
        </w:rPr>
        <w:t xml:space="preserve"> </w:t>
      </w:r>
      <w:r>
        <w:rPr>
          <w:rFonts w:ascii="FangSong" w:hAnsi="FangSong" w:eastAsia="FangSong" w:cs="FangSong"/>
          <w:sz w:val="23"/>
          <w:szCs w:val="23"/>
        </w:rPr>
        <w:t>占0%；上年结转239.83万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60"/>
        </w:rPr>
        <w:t xml:space="preserve"> </w:t>
      </w:r>
      <w:r>
        <w:rPr>
          <w:rFonts w:ascii="FangSong" w:hAnsi="FangSong" w:eastAsia="FangSong" w:cs="FangSong"/>
          <w:sz w:val="23"/>
          <w:szCs w:val="23"/>
          <w:spacing w:val="-7"/>
        </w:rPr>
        <w:t>占20.61%。</w:t>
      </w:r>
    </w:p>
    <w:p>
      <w:pPr>
        <w:pStyle w:val="BodyText"/>
        <w:spacing w:line="363" w:lineRule="auto"/>
        <w:rPr/>
      </w:pPr>
      <w:r/>
    </w:p>
    <w:p>
      <w:pPr>
        <w:ind w:firstLine="3286"/>
        <w:spacing w:line="2637" w:lineRule="exact"/>
        <w:rPr/>
      </w:pPr>
      <w:r>
        <w:rPr>
          <w:position w:val="-52"/>
        </w:rPr>
        <w:drawing>
          <wp:inline distT="0" distB="0" distL="0" distR="0">
            <wp:extent cx="3031319" cy="1674776"/>
            <wp:effectExtent l="0" t="0" r="0" b="0"/>
            <wp:docPr id="4" name="IM 4"/>
            <wp:cNvGraphicFramePr/>
            <a:graphic>
              <a:graphicData uri="http://schemas.openxmlformats.org/drawingml/2006/picture">
                <pic:pic>
                  <pic:nvPicPr>
                    <pic:cNvPr id="4" name="IM 4"/>
                    <pic:cNvPicPr/>
                  </pic:nvPicPr>
                  <pic:blipFill>
                    <a:blip r:embed="rId30"/>
                    <a:stretch>
                      <a:fillRect/>
                    </a:stretch>
                  </pic:blipFill>
                  <pic:spPr>
                    <a:xfrm rot="0">
                      <a:off x="0" y="0"/>
                      <a:ext cx="3031319" cy="1674776"/>
                    </a:xfrm>
                    <a:prstGeom prst="rect">
                      <a:avLst/>
                    </a:prstGeom>
                  </pic:spPr>
                </pic:pic>
              </a:graphicData>
            </a:graphic>
          </wp:inline>
        </w:drawing>
      </w:r>
    </w:p>
    <w:p>
      <w:pPr>
        <w:pStyle w:val="BodyText"/>
        <w:spacing w:line="261" w:lineRule="auto"/>
        <w:rPr/>
      </w:pPr>
      <w:r/>
    </w:p>
    <w:p>
      <w:pPr>
        <w:pStyle w:val="BodyText"/>
        <w:spacing w:line="262" w:lineRule="auto"/>
        <w:rPr/>
      </w:pPr>
      <w:r/>
    </w:p>
    <w:p>
      <w:pPr>
        <w:pStyle w:val="BodyText"/>
        <w:spacing w:line="262"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64" w:right="1274" w:firstLine="455"/>
        <w:spacing w:before="174" w:line="323" w:lineRule="auto"/>
        <w:rPr>
          <w:rFonts w:ascii="FangSong" w:hAnsi="FangSong" w:eastAsia="FangSong" w:cs="FangSong"/>
          <w:sz w:val="23"/>
          <w:szCs w:val="23"/>
        </w:rPr>
      </w:pPr>
      <w:r>
        <w:rPr>
          <w:rFonts w:ascii="FangSong" w:hAnsi="FangSong" w:eastAsia="FangSong" w:cs="FangSong"/>
          <w:sz w:val="23"/>
          <w:szCs w:val="23"/>
          <w:spacing w:val="2"/>
        </w:rPr>
        <w:t>2025年度兴县医疗集团支出预算1163.65万元，其中：基本支出103.69万元，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占8.91%；</w:t>
      </w:r>
      <w:r>
        <w:rPr>
          <w:rFonts w:ascii="FangSong" w:hAnsi="FangSong" w:eastAsia="FangSong" w:cs="FangSong"/>
          <w:sz w:val="23"/>
          <w:szCs w:val="23"/>
        </w:rPr>
        <w:t xml:space="preserve"> </w:t>
      </w:r>
      <w:r>
        <w:rPr>
          <w:rFonts w:ascii="FangSong" w:hAnsi="FangSong" w:eastAsia="FangSong" w:cs="FangSong"/>
          <w:sz w:val="23"/>
          <w:szCs w:val="23"/>
          <w:spacing w:val="-3"/>
        </w:rPr>
        <w:t>项目支出1059.97万元，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占91.09%。</w:t>
      </w:r>
    </w:p>
    <w:p>
      <w:pPr>
        <w:ind w:left="1271"/>
        <w:spacing w:before="2"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7" w:right="1223" w:firstLine="453"/>
        <w:spacing w:before="177" w:line="322" w:lineRule="auto"/>
        <w:rPr>
          <w:rFonts w:ascii="FangSong" w:hAnsi="FangSong" w:eastAsia="FangSong" w:cs="FangSong"/>
          <w:sz w:val="23"/>
          <w:szCs w:val="23"/>
        </w:rPr>
      </w:pPr>
      <w:r>
        <w:rPr>
          <w:rFonts w:ascii="FangSong" w:hAnsi="FangSong" w:eastAsia="FangSong" w:cs="FangSong"/>
          <w:sz w:val="23"/>
          <w:szCs w:val="23"/>
          <w:spacing w:val="8"/>
        </w:rPr>
        <w:t>2025年度兴县医疗集团财政拨款收支总预算1,163.65万元</w:t>
      </w:r>
      <w:r>
        <w:rPr>
          <w:rFonts w:ascii="FangSong" w:hAnsi="FangSong" w:eastAsia="FangSong" w:cs="FangSong"/>
          <w:sz w:val="23"/>
          <w:szCs w:val="23"/>
          <w:spacing w:val="-62"/>
        </w:rPr>
        <w:t xml:space="preserve"> </w:t>
      </w:r>
      <w:r>
        <w:rPr>
          <w:rFonts w:ascii="FangSong" w:hAnsi="FangSong" w:eastAsia="FangSong" w:cs="FangSong"/>
          <w:sz w:val="23"/>
          <w:szCs w:val="23"/>
          <w:spacing w:val="8"/>
        </w:rPr>
        <w:t>。其中：</w:t>
      </w:r>
      <w:r>
        <w:rPr>
          <w:rFonts w:ascii="FangSong" w:hAnsi="FangSong" w:eastAsia="FangSong" w:cs="FangSong"/>
          <w:sz w:val="23"/>
          <w:szCs w:val="23"/>
          <w:spacing w:val="-68"/>
        </w:rPr>
        <w:t xml:space="preserve"> </w:t>
      </w:r>
      <w:r>
        <w:rPr>
          <w:rFonts w:ascii="FangSong" w:hAnsi="FangSong" w:eastAsia="FangSong" w:cs="FangSong"/>
          <w:sz w:val="23"/>
          <w:szCs w:val="23"/>
          <w:spacing w:val="8"/>
        </w:rPr>
        <w:t>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1,163.65万元，政府性基金预算拨</w:t>
      </w:r>
      <w:r>
        <w:rPr>
          <w:rFonts w:ascii="FangSong" w:hAnsi="FangSong" w:eastAsia="FangSong" w:cs="FangSong"/>
          <w:sz w:val="23"/>
          <w:szCs w:val="23"/>
          <w:spacing w:val="2"/>
        </w:rPr>
        <w:t>款0万元，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4"/>
        </w:rPr>
        <w:t>收入923.82万元，上年结转收入239.83万元。支出包括：社会保障和就业支出103.69万元、</w:t>
      </w:r>
      <w:r>
        <w:rPr>
          <w:rFonts w:ascii="FangSong" w:hAnsi="FangSong" w:eastAsia="FangSong" w:cs="FangSong"/>
          <w:sz w:val="23"/>
          <w:szCs w:val="23"/>
          <w:spacing w:val="11"/>
        </w:rPr>
        <w:t xml:space="preserve"> </w:t>
      </w:r>
      <w:r>
        <w:rPr>
          <w:rFonts w:ascii="FangSong" w:hAnsi="FangSong" w:eastAsia="FangSong" w:cs="FangSong"/>
          <w:sz w:val="23"/>
          <w:szCs w:val="23"/>
          <w:spacing w:val="-1"/>
        </w:rPr>
        <w:t>卫生健康支出1,059.97万元等。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55" w:right="1223" w:firstLine="464"/>
        <w:spacing w:before="124" w:line="325" w:lineRule="auto"/>
        <w:rPr>
          <w:rFonts w:ascii="FangSong" w:hAnsi="FangSong" w:eastAsia="FangSong" w:cs="FangSong"/>
          <w:sz w:val="23"/>
          <w:szCs w:val="23"/>
        </w:rPr>
      </w:pPr>
      <w:r>
        <w:rPr>
          <w:rFonts w:ascii="FangSong" w:hAnsi="FangSong" w:eastAsia="FangSong" w:cs="FangSong"/>
          <w:sz w:val="23"/>
          <w:szCs w:val="23"/>
          <w:spacing w:val="4"/>
        </w:rPr>
        <w:t>2025年度兴县医疗集团一般公共预算当年支出923.82万</w:t>
      </w:r>
      <w:r>
        <w:rPr>
          <w:rFonts w:ascii="FangSong" w:hAnsi="FangSong" w:eastAsia="FangSong" w:cs="FangSong"/>
          <w:sz w:val="23"/>
          <w:szCs w:val="23"/>
          <w:spacing w:val="3"/>
        </w:rPr>
        <w:t>元,</w:t>
      </w:r>
      <w:r>
        <w:rPr>
          <w:rFonts w:ascii="FangSong" w:hAnsi="FangSong" w:eastAsia="FangSong" w:cs="FangSong"/>
          <w:sz w:val="23"/>
          <w:szCs w:val="23"/>
          <w:spacing w:val="-68"/>
        </w:rPr>
        <w:t xml:space="preserve"> </w:t>
      </w:r>
      <w:r>
        <w:rPr>
          <w:rFonts w:ascii="FangSong" w:hAnsi="FangSong" w:eastAsia="FangSong" w:cs="FangSong"/>
          <w:sz w:val="23"/>
          <w:szCs w:val="23"/>
          <w:spacing w:val="3"/>
        </w:rPr>
        <w:t>比上年减少42.09万元，下降</w:t>
      </w:r>
      <w:r>
        <w:rPr>
          <w:rFonts w:ascii="FangSong" w:hAnsi="FangSong" w:eastAsia="FangSong" w:cs="FangSong"/>
          <w:sz w:val="23"/>
          <w:szCs w:val="23"/>
        </w:rPr>
        <w:t xml:space="preserve"> </w:t>
      </w:r>
      <w:r>
        <w:rPr>
          <w:rFonts w:ascii="FangSong" w:hAnsi="FangSong" w:eastAsia="FangSong" w:cs="FangSong"/>
          <w:sz w:val="23"/>
          <w:szCs w:val="23"/>
          <w:spacing w:val="-1"/>
        </w:rPr>
        <w:t>4.36%。</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3" w:right="1223" w:firstLine="456"/>
        <w:spacing w:before="124" w:line="322" w:lineRule="auto"/>
        <w:rPr>
          <w:rFonts w:ascii="FangSong" w:hAnsi="FangSong" w:eastAsia="FangSong" w:cs="FangSong"/>
          <w:sz w:val="23"/>
          <w:szCs w:val="23"/>
        </w:rPr>
      </w:pPr>
      <w:r>
        <w:rPr>
          <w:rFonts w:ascii="FangSong" w:hAnsi="FangSong" w:eastAsia="FangSong" w:cs="FangSong"/>
          <w:sz w:val="23"/>
          <w:szCs w:val="23"/>
          <w:spacing w:val="2"/>
        </w:rPr>
        <w:t>2025年度兴县医疗集团一般公共预算当年支出923.82万元,主要用于以下方面：社会保障</w:t>
      </w:r>
      <w:r>
        <w:rPr>
          <w:rFonts w:ascii="FangSong" w:hAnsi="FangSong" w:eastAsia="FangSong" w:cs="FangSong"/>
          <w:sz w:val="23"/>
          <w:szCs w:val="23"/>
          <w:spacing w:val="11"/>
        </w:rPr>
        <w:t xml:space="preserve"> </w:t>
      </w:r>
      <w:r>
        <w:rPr>
          <w:rFonts w:ascii="FangSong" w:hAnsi="FangSong" w:eastAsia="FangSong" w:cs="FangSong"/>
          <w:sz w:val="23"/>
          <w:szCs w:val="23"/>
          <w:spacing w:val="-2"/>
        </w:rPr>
        <w:t>和就业支出103.69万元，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占11.22%；卫生健康支出82</w:t>
      </w:r>
      <w:r>
        <w:rPr>
          <w:rFonts w:ascii="FangSong" w:hAnsi="FangSong" w:eastAsia="FangSong" w:cs="FangSong"/>
          <w:sz w:val="23"/>
          <w:szCs w:val="23"/>
          <w:spacing w:val="-3"/>
        </w:rPr>
        <w:t>0.14万元，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占88.78%等。</w:t>
      </w:r>
    </w:p>
    <w:p>
      <w:pPr>
        <w:spacing w:line="322" w:lineRule="auto"/>
        <w:sectPr>
          <w:headerReference w:type="default" r:id="rId28"/>
          <w:footerReference w:type="default" r:id="rId29"/>
          <w:pgSz w:w="11900" w:h="16840"/>
          <w:pgMar w:top="642" w:right="0" w:bottom="340" w:left="0" w:header="326" w:footer="111" w:gutter="0"/>
        </w:sectPr>
        <w:rPr>
          <w:rFonts w:ascii="FangSong" w:hAnsi="FangSong" w:eastAsia="FangSong" w:cs="FangSong"/>
          <w:sz w:val="23"/>
          <w:szCs w:val="23"/>
        </w:rPr>
      </w:pPr>
    </w:p>
    <w:p>
      <w:pPr>
        <w:pStyle w:val="BodyText"/>
        <w:spacing w:line="261" w:lineRule="auto"/>
        <w:rPr/>
      </w:pPr>
      <w:r/>
    </w:p>
    <w:p>
      <w:pPr>
        <w:pStyle w:val="BodyText"/>
        <w:spacing w:line="262" w:lineRule="auto"/>
        <w:rPr/>
      </w:pPr>
      <w:r/>
    </w:p>
    <w:p>
      <w:pPr>
        <w:pStyle w:val="BodyText"/>
        <w:spacing w:line="262" w:lineRule="auto"/>
        <w:rPr/>
      </w:pPr>
      <w:r/>
    </w:p>
    <w:p>
      <w:pPr>
        <w:ind w:firstLine="4544"/>
        <w:spacing w:line="2424" w:lineRule="exact"/>
        <w:rPr/>
      </w:pPr>
      <w:r>
        <w:rPr>
          <w:position w:val="-48"/>
        </w:rPr>
        <w:drawing>
          <wp:inline distT="0" distB="0" distL="0" distR="0">
            <wp:extent cx="2042018" cy="1539028"/>
            <wp:effectExtent l="0" t="0" r="0" b="0"/>
            <wp:docPr id="6" name="IM 6"/>
            <wp:cNvGraphicFramePr/>
            <a:graphic>
              <a:graphicData uri="http://schemas.openxmlformats.org/drawingml/2006/picture">
                <pic:pic>
                  <pic:nvPicPr>
                    <pic:cNvPr id="6" name="IM 6"/>
                    <pic:cNvPicPr/>
                  </pic:nvPicPr>
                  <pic:blipFill>
                    <a:blip r:embed="rId32"/>
                    <a:stretch>
                      <a:fillRect/>
                    </a:stretch>
                  </pic:blipFill>
                  <pic:spPr>
                    <a:xfrm rot="0">
                      <a:off x="0" y="0"/>
                      <a:ext cx="2042018" cy="1539028"/>
                    </a:xfrm>
                    <a:prstGeom prst="rect">
                      <a:avLst/>
                    </a:prstGeom>
                  </pic:spPr>
                </pic:pic>
              </a:graphicData>
            </a:graphic>
          </wp:inline>
        </w:drawing>
      </w:r>
    </w:p>
    <w:p>
      <w:pPr>
        <w:pStyle w:val="BodyText"/>
        <w:spacing w:line="284" w:lineRule="auto"/>
        <w:rPr/>
      </w:pPr>
      <w:r/>
    </w:p>
    <w:p>
      <w:pPr>
        <w:pStyle w:val="BodyText"/>
        <w:spacing w:line="285"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2025年度兴县医疗集团一般公共预算安排基本支出103.69万元，其中：</w:t>
      </w:r>
    </w:p>
    <w:p>
      <w:pPr>
        <w:ind w:left="1728"/>
        <w:spacing w:before="133" w:line="221" w:lineRule="auto"/>
        <w:rPr>
          <w:rFonts w:ascii="FangSong" w:hAnsi="FangSong" w:eastAsia="FangSong" w:cs="FangSong"/>
          <w:sz w:val="23"/>
          <w:szCs w:val="23"/>
        </w:rPr>
      </w:pPr>
      <w:r>
        <w:rPr>
          <w:rFonts w:ascii="FangSong" w:hAnsi="FangSong" w:eastAsia="FangSong" w:cs="FangSong"/>
          <w:sz w:val="23"/>
          <w:szCs w:val="23"/>
        </w:rPr>
        <w:t>人员经费103.69万元，主要包括：其他社会保障缴费、退</w:t>
      </w:r>
      <w:r>
        <w:rPr>
          <w:rFonts w:ascii="FangSong" w:hAnsi="FangSong" w:eastAsia="FangSong" w:cs="FangSong"/>
          <w:sz w:val="23"/>
          <w:szCs w:val="23"/>
          <w:spacing w:val="-1"/>
        </w:rPr>
        <w:t>休费等；</w:t>
      </w:r>
    </w:p>
    <w:p>
      <w:pPr>
        <w:ind w:left="1729"/>
        <w:spacing w:before="125" w:line="224" w:lineRule="auto"/>
        <w:rPr>
          <w:rFonts w:ascii="FangSong" w:hAnsi="FangSong" w:eastAsia="FangSong" w:cs="FangSong"/>
          <w:sz w:val="23"/>
          <w:szCs w:val="23"/>
        </w:rPr>
      </w:pPr>
      <w:r>
        <w:rPr>
          <w:rFonts w:ascii="FangSong" w:hAnsi="FangSong" w:eastAsia="FangSong" w:cs="FangSong"/>
          <w:sz w:val="23"/>
          <w:szCs w:val="23"/>
          <w:spacing w:val="-1"/>
        </w:rPr>
        <w:t>公用经费0万元，主要包括：无。</w:t>
      </w:r>
    </w:p>
    <w:p>
      <w:pPr>
        <w:ind w:left="1255"/>
        <w:spacing w:before="118"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本单位没有机关运行经费，上年也没有机关</w:t>
      </w:r>
      <w:r>
        <w:rPr>
          <w:rFonts w:ascii="FangSong" w:hAnsi="FangSong" w:eastAsia="FangSong" w:cs="FangSong"/>
          <w:sz w:val="23"/>
          <w:szCs w:val="23"/>
          <w:spacing w:val="-1"/>
        </w:rPr>
        <w:t>运行经费</w:t>
      </w:r>
    </w:p>
    <w:p>
      <w:pPr>
        <w:ind w:left="1258"/>
        <w:spacing w:before="132" w:line="226"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3" w:right="1223" w:firstLine="456"/>
        <w:spacing w:before="176" w:line="322" w:lineRule="auto"/>
        <w:rPr>
          <w:rFonts w:ascii="FangSong" w:hAnsi="FangSong" w:eastAsia="FangSong" w:cs="FangSong"/>
          <w:sz w:val="23"/>
          <w:szCs w:val="23"/>
        </w:rPr>
      </w:pPr>
      <w:r>
        <w:rPr>
          <w:rFonts w:ascii="FangSong" w:hAnsi="FangSong" w:eastAsia="FangSong" w:cs="FangSong"/>
          <w:sz w:val="23"/>
          <w:szCs w:val="23"/>
          <w:spacing w:val="5"/>
        </w:rPr>
        <w:t>2025年兴县医疗集团政府采购预算总额0万元。其中：政府采购货物预算0万元、政府采</w:t>
      </w:r>
      <w:r>
        <w:rPr>
          <w:rFonts w:ascii="FangSong" w:hAnsi="FangSong" w:eastAsia="FangSong" w:cs="FangSong"/>
          <w:sz w:val="23"/>
          <w:szCs w:val="23"/>
          <w:spacing w:val="9"/>
        </w:rPr>
        <w:t xml:space="preserve"> </w:t>
      </w:r>
      <w:r>
        <w:rPr>
          <w:rFonts w:ascii="FangSong" w:hAnsi="FangSong" w:eastAsia="FangSong" w:cs="FangSong"/>
          <w:sz w:val="23"/>
          <w:szCs w:val="23"/>
          <w:spacing w:val="-1"/>
        </w:rPr>
        <w:t>购工程预算0万元、政府采购服务预算0万元。</w:t>
      </w:r>
    </w:p>
    <w:p>
      <w:pPr>
        <w:ind w:left="1260"/>
        <w:spacing w:before="5"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2025年编报单位整体绩效目标，涉及资金1059.97万元。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24" w:line="323" w:lineRule="auto"/>
        <w:rPr>
          <w:rFonts w:ascii="FangSong" w:hAnsi="FangSong" w:eastAsia="FangSong" w:cs="FangSong"/>
          <w:sz w:val="23"/>
          <w:szCs w:val="23"/>
        </w:rPr>
      </w:pPr>
      <w:r>
        <w:rPr>
          <w:rFonts w:ascii="FangSong" w:hAnsi="FangSong" w:eastAsia="FangSong" w:cs="FangSong"/>
          <w:sz w:val="23"/>
          <w:szCs w:val="23"/>
          <w:spacing w:val="8"/>
        </w:rPr>
        <w:t>2025年兴县医疗集团纳入绩效目标管理的二</w:t>
      </w:r>
      <w:r>
        <w:rPr>
          <w:rFonts w:ascii="FangSong" w:hAnsi="FangSong" w:eastAsia="FangSong" w:cs="FangSong"/>
          <w:sz w:val="23"/>
          <w:szCs w:val="23"/>
          <w:spacing w:val="7"/>
        </w:rPr>
        <w:t>级项</w:t>
      </w:r>
      <w:r>
        <w:rPr>
          <w:rFonts w:ascii="FangSong" w:hAnsi="FangSong" w:eastAsia="FangSong" w:cs="FangSong"/>
          <w:sz w:val="23"/>
          <w:szCs w:val="23"/>
          <w:spacing w:val="-46"/>
        </w:rPr>
        <w:t xml:space="preserve"> </w:t>
      </w:r>
      <w:r>
        <w:rPr>
          <w:rFonts w:ascii="FangSong" w:hAnsi="FangSong" w:eastAsia="FangSong" w:cs="FangSong"/>
          <w:sz w:val="23"/>
          <w:szCs w:val="23"/>
          <w:spacing w:val="7"/>
        </w:rPr>
        <w:t>目15个，共计金额1,059.97万元</w:t>
      </w:r>
      <w:r>
        <w:rPr>
          <w:rFonts w:ascii="FangSong" w:hAnsi="FangSong" w:eastAsia="FangSong" w:cs="FangSong"/>
          <w:sz w:val="23"/>
          <w:szCs w:val="23"/>
          <w:spacing w:val="-69"/>
        </w:rPr>
        <w:t xml:space="preserve"> </w:t>
      </w:r>
      <w:r>
        <w:rPr>
          <w:rFonts w:ascii="FangSong" w:hAnsi="FangSong" w:eastAsia="FangSong" w:cs="FangSong"/>
          <w:sz w:val="23"/>
          <w:szCs w:val="23"/>
          <w:spacing w:val="7"/>
        </w:rPr>
        <w:t>。其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绩效目标15个，涉及项目金额1,059.97万元，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占部门（单位）项目支出总额的100%。其中：</w:t>
      </w:r>
      <w:r>
        <w:rPr>
          <w:rFonts w:ascii="FangSong" w:hAnsi="FangSong" w:eastAsia="FangSong" w:cs="FangSong"/>
          <w:sz w:val="23"/>
          <w:szCs w:val="23"/>
        </w:rPr>
        <w:t xml:space="preserve"> </w:t>
      </w:r>
      <w:r>
        <w:rPr>
          <w:rFonts w:ascii="FangSong" w:hAnsi="FangSong" w:eastAsia="FangSong" w:cs="FangSong"/>
          <w:sz w:val="23"/>
          <w:szCs w:val="23"/>
        </w:rPr>
        <w:t>其他运转类项目0个，涉及项目金额0万元；特定目标类项目0个，涉及项目金额0万元。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24"/>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081"/>
        <w:spacing w:line="12282" w:lineRule="exact"/>
        <w:rPr/>
      </w:pPr>
      <w:r>
        <w:pict>
          <v:shape id="_x0000_s224"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26"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929283" cy="7798977"/>
            <wp:effectExtent l="0" t="0" r="0" b="0"/>
            <wp:docPr id="8" name="IM 8"/>
            <wp:cNvGraphicFramePr/>
            <a:graphic>
              <a:graphicData uri="http://schemas.openxmlformats.org/drawingml/2006/picture">
                <pic:pic>
                  <pic:nvPicPr>
                    <pic:cNvPr id="8" name="IM 8"/>
                    <pic:cNvPicPr/>
                  </pic:nvPicPr>
                  <pic:blipFill>
                    <a:blip r:embed="rId35"/>
                    <a:stretch>
                      <a:fillRect/>
                    </a:stretch>
                  </pic:blipFill>
                  <pic:spPr>
                    <a:xfrm rot="0">
                      <a:off x="0" y="0"/>
                      <a:ext cx="4929283" cy="7798977"/>
                    </a:xfrm>
                    <a:prstGeom prst="rect">
                      <a:avLst/>
                    </a:prstGeom>
                  </pic:spPr>
                </pic:pic>
              </a:graphicData>
            </a:graphic>
          </wp:inline>
        </w:drawing>
      </w:r>
    </w:p>
    <w:p>
      <w:pPr>
        <w:spacing w:line="12282" w:lineRule="exact"/>
        <w:sectPr>
          <w:headerReference w:type="default" r:id="rId33"/>
          <w:footerReference w:type="default" r:id="rId3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217" w:lineRule="exact"/>
        <w:rPr/>
      </w:pPr>
      <w:r>
        <w:pict>
          <v:shape id="_x0000_s228"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30"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929283" cy="7757785"/>
            <wp:effectExtent l="0" t="0" r="0" b="0"/>
            <wp:docPr id="10" name="IM 10"/>
            <wp:cNvGraphicFramePr/>
            <a:graphic>
              <a:graphicData uri="http://schemas.openxmlformats.org/drawingml/2006/picture">
                <pic:pic>
                  <pic:nvPicPr>
                    <pic:cNvPr id="10" name="IM 10"/>
                    <pic:cNvPicPr/>
                  </pic:nvPicPr>
                  <pic:blipFill>
                    <a:blip r:embed="rId37"/>
                    <a:stretch>
                      <a:fillRect/>
                    </a:stretch>
                  </pic:blipFill>
                  <pic:spPr>
                    <a:xfrm rot="0">
                      <a:off x="0" y="0"/>
                      <a:ext cx="4929283" cy="7757785"/>
                    </a:xfrm>
                    <a:prstGeom prst="rect">
                      <a:avLst/>
                    </a:prstGeom>
                  </pic:spPr>
                </pic:pic>
              </a:graphicData>
            </a:graphic>
          </wp:inline>
        </w:drawing>
      </w:r>
    </w:p>
    <w:p>
      <w:pPr>
        <w:spacing w:line="12217" w:lineRule="exact"/>
        <w:sectPr>
          <w:footerReference w:type="default" r:id="rId3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152" w:lineRule="exact"/>
        <w:rPr/>
      </w:pPr>
      <w:r>
        <w:pict>
          <v:shape id="_x0000_s232"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34"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4929283" cy="7716595"/>
            <wp:effectExtent l="0" t="0" r="0" b="0"/>
            <wp:docPr id="12" name="IM 12"/>
            <wp:cNvGraphicFramePr/>
            <a:graphic>
              <a:graphicData uri="http://schemas.openxmlformats.org/drawingml/2006/picture">
                <pic:pic>
                  <pic:nvPicPr>
                    <pic:cNvPr id="12" name="IM 12"/>
                    <pic:cNvPicPr/>
                  </pic:nvPicPr>
                  <pic:blipFill>
                    <a:blip r:embed="rId39"/>
                    <a:stretch>
                      <a:fillRect/>
                    </a:stretch>
                  </pic:blipFill>
                  <pic:spPr>
                    <a:xfrm rot="0">
                      <a:off x="0" y="0"/>
                      <a:ext cx="4929283" cy="7716595"/>
                    </a:xfrm>
                    <a:prstGeom prst="rect">
                      <a:avLst/>
                    </a:prstGeom>
                  </pic:spPr>
                </pic:pic>
              </a:graphicData>
            </a:graphic>
          </wp:inline>
        </w:drawing>
      </w:r>
    </w:p>
    <w:p>
      <w:pPr>
        <w:spacing w:line="12152" w:lineRule="exact"/>
        <w:sectPr>
          <w:footerReference w:type="default" r:id="rId3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455" w:lineRule="exact"/>
        <w:rPr/>
      </w:pPr>
      <w:r>
        <w:pict>
          <v:shape id="_x0000_s236"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38"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929283" cy="7908822"/>
            <wp:effectExtent l="0" t="0" r="0" b="0"/>
            <wp:docPr id="14" name="IM 14"/>
            <wp:cNvGraphicFramePr/>
            <a:graphic>
              <a:graphicData uri="http://schemas.openxmlformats.org/drawingml/2006/picture">
                <pic:pic>
                  <pic:nvPicPr>
                    <pic:cNvPr id="14" name="IM 14"/>
                    <pic:cNvPicPr/>
                  </pic:nvPicPr>
                  <pic:blipFill>
                    <a:blip r:embed="rId41"/>
                    <a:stretch>
                      <a:fillRect/>
                    </a:stretch>
                  </pic:blipFill>
                  <pic:spPr>
                    <a:xfrm rot="0">
                      <a:off x="0" y="0"/>
                      <a:ext cx="4929283" cy="7908822"/>
                    </a:xfrm>
                    <a:prstGeom prst="rect">
                      <a:avLst/>
                    </a:prstGeom>
                  </pic:spPr>
                </pic:pic>
              </a:graphicData>
            </a:graphic>
          </wp:inline>
        </w:drawing>
      </w:r>
    </w:p>
    <w:p>
      <w:pPr>
        <w:spacing w:line="12455" w:lineRule="exact"/>
        <w:sectPr>
          <w:footerReference w:type="default" r:id="rId4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081"/>
        <w:spacing w:line="12131" w:lineRule="exact"/>
        <w:rPr/>
      </w:pPr>
      <w:r>
        <w:pict>
          <v:shape id="_x0000_s240"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42"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2"/>
        </w:rPr>
        <w:drawing>
          <wp:inline distT="0" distB="0" distL="0" distR="0">
            <wp:extent cx="4929283" cy="7702864"/>
            <wp:effectExtent l="0" t="0" r="0" b="0"/>
            <wp:docPr id="16" name="IM 16"/>
            <wp:cNvGraphicFramePr/>
            <a:graphic>
              <a:graphicData uri="http://schemas.openxmlformats.org/drawingml/2006/picture">
                <pic:pic>
                  <pic:nvPicPr>
                    <pic:cNvPr id="16" name="IM 16"/>
                    <pic:cNvPicPr/>
                  </pic:nvPicPr>
                  <pic:blipFill>
                    <a:blip r:embed="rId43"/>
                    <a:stretch>
                      <a:fillRect/>
                    </a:stretch>
                  </pic:blipFill>
                  <pic:spPr>
                    <a:xfrm rot="0">
                      <a:off x="0" y="0"/>
                      <a:ext cx="4929283" cy="7702864"/>
                    </a:xfrm>
                    <a:prstGeom prst="rect">
                      <a:avLst/>
                    </a:prstGeom>
                  </pic:spPr>
                </pic:pic>
              </a:graphicData>
            </a:graphic>
          </wp:inline>
        </w:drawing>
      </w:r>
    </w:p>
    <w:p>
      <w:pPr>
        <w:spacing w:line="12131" w:lineRule="exact"/>
        <w:sectPr>
          <w:footerReference w:type="default" r:id="rId4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081"/>
        <w:spacing w:line="12261" w:lineRule="exact"/>
        <w:rPr/>
      </w:pPr>
      <w:r>
        <w:pict>
          <v:shape id="_x0000_s244"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46"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929283" cy="7785246"/>
            <wp:effectExtent l="0" t="0" r="0" b="0"/>
            <wp:docPr id="18" name="IM 18"/>
            <wp:cNvGraphicFramePr/>
            <a:graphic>
              <a:graphicData uri="http://schemas.openxmlformats.org/drawingml/2006/picture">
                <pic:pic>
                  <pic:nvPicPr>
                    <pic:cNvPr id="18" name="IM 18"/>
                    <pic:cNvPicPr/>
                  </pic:nvPicPr>
                  <pic:blipFill>
                    <a:blip r:embed="rId45"/>
                    <a:stretch>
                      <a:fillRect/>
                    </a:stretch>
                  </pic:blipFill>
                  <pic:spPr>
                    <a:xfrm rot="0">
                      <a:off x="0" y="0"/>
                      <a:ext cx="4929283" cy="7785246"/>
                    </a:xfrm>
                    <a:prstGeom prst="rect">
                      <a:avLst/>
                    </a:prstGeom>
                  </pic:spPr>
                </pic:pic>
              </a:graphicData>
            </a:graphic>
          </wp:inline>
        </w:drawing>
      </w:r>
    </w:p>
    <w:p>
      <w:pPr>
        <w:spacing w:line="12261"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498" w:lineRule="exact"/>
        <w:rPr/>
      </w:pPr>
      <w:r>
        <w:pict>
          <v:shape id="_x0000_s248"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50"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929283" cy="7936283"/>
            <wp:effectExtent l="0" t="0" r="0" b="0"/>
            <wp:docPr id="20" name="IM 20"/>
            <wp:cNvGraphicFramePr/>
            <a:graphic>
              <a:graphicData uri="http://schemas.openxmlformats.org/drawingml/2006/picture">
                <pic:pic>
                  <pic:nvPicPr>
                    <pic:cNvPr id="20" name="IM 20"/>
                    <pic:cNvPicPr/>
                  </pic:nvPicPr>
                  <pic:blipFill>
                    <a:blip r:embed="rId47"/>
                    <a:stretch>
                      <a:fillRect/>
                    </a:stretch>
                  </pic:blipFill>
                  <pic:spPr>
                    <a:xfrm rot="0">
                      <a:off x="0" y="0"/>
                      <a:ext cx="4929283" cy="7936283"/>
                    </a:xfrm>
                    <a:prstGeom prst="rect">
                      <a:avLst/>
                    </a:prstGeom>
                  </pic:spPr>
                </pic:pic>
              </a:graphicData>
            </a:graphic>
          </wp:inline>
        </w:drawing>
      </w:r>
    </w:p>
    <w:p>
      <w:pPr>
        <w:spacing w:line="12498" w:lineRule="exact"/>
        <w:sectPr>
          <w:footerReference w:type="default" r:id="rId4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081"/>
        <w:spacing w:line="12217" w:lineRule="exact"/>
        <w:rPr/>
      </w:pPr>
      <w:r>
        <w:pict>
          <v:shape id="_x0000_s252"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54"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929283" cy="7757785"/>
            <wp:effectExtent l="0" t="0" r="0" b="0"/>
            <wp:docPr id="22" name="IM 22"/>
            <wp:cNvGraphicFramePr/>
            <a:graphic>
              <a:graphicData uri="http://schemas.openxmlformats.org/drawingml/2006/picture">
                <pic:pic>
                  <pic:nvPicPr>
                    <pic:cNvPr id="22" name="IM 22"/>
                    <pic:cNvPicPr/>
                  </pic:nvPicPr>
                  <pic:blipFill>
                    <a:blip r:embed="rId49"/>
                    <a:stretch>
                      <a:fillRect/>
                    </a:stretch>
                  </pic:blipFill>
                  <pic:spPr>
                    <a:xfrm rot="0">
                      <a:off x="0" y="0"/>
                      <a:ext cx="4929283" cy="7757785"/>
                    </a:xfrm>
                    <a:prstGeom prst="rect">
                      <a:avLst/>
                    </a:prstGeom>
                  </pic:spPr>
                </pic:pic>
              </a:graphicData>
            </a:graphic>
          </wp:inline>
        </w:drawing>
      </w:r>
    </w:p>
    <w:p>
      <w:pPr>
        <w:spacing w:line="12217" w:lineRule="exact"/>
        <w:sectPr>
          <w:footerReference w:type="default" r:id="rId4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217" w:lineRule="exact"/>
        <w:rPr/>
      </w:pPr>
      <w:r>
        <w:pict>
          <v:shape id="_x0000_s256"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58"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929283" cy="7757785"/>
            <wp:effectExtent l="0" t="0" r="0" b="0"/>
            <wp:docPr id="24" name="IM 24"/>
            <wp:cNvGraphicFramePr/>
            <a:graphic>
              <a:graphicData uri="http://schemas.openxmlformats.org/drawingml/2006/picture">
                <pic:pic>
                  <pic:nvPicPr>
                    <pic:cNvPr id="24" name="IM 24"/>
                    <pic:cNvPicPr/>
                  </pic:nvPicPr>
                  <pic:blipFill>
                    <a:blip r:embed="rId51"/>
                    <a:stretch>
                      <a:fillRect/>
                    </a:stretch>
                  </pic:blipFill>
                  <pic:spPr>
                    <a:xfrm rot="0">
                      <a:off x="0" y="0"/>
                      <a:ext cx="4929283" cy="7757785"/>
                    </a:xfrm>
                    <a:prstGeom prst="rect">
                      <a:avLst/>
                    </a:prstGeom>
                  </pic:spPr>
                </pic:pic>
              </a:graphicData>
            </a:graphic>
          </wp:inline>
        </w:drawing>
      </w:r>
    </w:p>
    <w:p>
      <w:pPr>
        <w:spacing w:line="12217" w:lineRule="exact"/>
        <w:sectPr>
          <w:footerReference w:type="default" r:id="rId5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152" w:lineRule="exact"/>
        <w:rPr/>
      </w:pPr>
      <w:r>
        <w:pict>
          <v:shape id="_x0000_s260"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62"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4929283" cy="7716595"/>
            <wp:effectExtent l="0" t="0" r="0" b="0"/>
            <wp:docPr id="26" name="IM 26"/>
            <wp:cNvGraphicFramePr/>
            <a:graphic>
              <a:graphicData uri="http://schemas.openxmlformats.org/drawingml/2006/picture">
                <pic:pic>
                  <pic:nvPicPr>
                    <pic:cNvPr id="26" name="IM 26"/>
                    <pic:cNvPicPr/>
                  </pic:nvPicPr>
                  <pic:blipFill>
                    <a:blip r:embed="rId53"/>
                    <a:stretch>
                      <a:fillRect/>
                    </a:stretch>
                  </pic:blipFill>
                  <pic:spPr>
                    <a:xfrm rot="0">
                      <a:off x="0" y="0"/>
                      <a:ext cx="4929283" cy="7716595"/>
                    </a:xfrm>
                    <a:prstGeom prst="rect">
                      <a:avLst/>
                    </a:prstGeom>
                  </pic:spPr>
                </pic:pic>
              </a:graphicData>
            </a:graphic>
          </wp:inline>
        </w:drawing>
      </w:r>
    </w:p>
    <w:p>
      <w:pPr>
        <w:spacing w:line="12152"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455" w:lineRule="exact"/>
        <w:rPr/>
      </w:pPr>
      <w:r>
        <w:pict>
          <v:shape id="_x0000_s264"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66"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929283" cy="7908822"/>
            <wp:effectExtent l="0" t="0" r="0" b="0"/>
            <wp:docPr id="28" name="IM 28"/>
            <wp:cNvGraphicFramePr/>
            <a:graphic>
              <a:graphicData uri="http://schemas.openxmlformats.org/drawingml/2006/picture">
                <pic:pic>
                  <pic:nvPicPr>
                    <pic:cNvPr id="28" name="IM 28"/>
                    <pic:cNvPicPr/>
                  </pic:nvPicPr>
                  <pic:blipFill>
                    <a:blip r:embed="rId55"/>
                    <a:stretch>
                      <a:fillRect/>
                    </a:stretch>
                  </pic:blipFill>
                  <pic:spPr>
                    <a:xfrm rot="0">
                      <a:off x="0" y="0"/>
                      <a:ext cx="4929283" cy="7908822"/>
                    </a:xfrm>
                    <a:prstGeom prst="rect">
                      <a:avLst/>
                    </a:prstGeom>
                  </pic:spPr>
                </pic:pic>
              </a:graphicData>
            </a:graphic>
          </wp:inline>
        </w:drawing>
      </w:r>
    </w:p>
    <w:p>
      <w:pPr>
        <w:spacing w:line="12455" w:lineRule="exact"/>
        <w:sectPr>
          <w:footerReference w:type="default" r:id="rId5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131" w:lineRule="exact"/>
        <w:rPr/>
      </w:pPr>
      <w:r>
        <w:pict>
          <v:shape id="_x0000_s268"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70"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42"/>
        </w:rPr>
        <w:drawing>
          <wp:inline distT="0" distB="0" distL="0" distR="0">
            <wp:extent cx="4929283" cy="7702864"/>
            <wp:effectExtent l="0" t="0" r="0" b="0"/>
            <wp:docPr id="30" name="IM 30"/>
            <wp:cNvGraphicFramePr/>
            <a:graphic>
              <a:graphicData uri="http://schemas.openxmlformats.org/drawingml/2006/picture">
                <pic:pic>
                  <pic:nvPicPr>
                    <pic:cNvPr id="30" name="IM 30"/>
                    <pic:cNvPicPr/>
                  </pic:nvPicPr>
                  <pic:blipFill>
                    <a:blip r:embed="rId57"/>
                    <a:stretch>
                      <a:fillRect/>
                    </a:stretch>
                  </pic:blipFill>
                  <pic:spPr>
                    <a:xfrm rot="0">
                      <a:off x="0" y="0"/>
                      <a:ext cx="4929283" cy="7702864"/>
                    </a:xfrm>
                    <a:prstGeom prst="rect">
                      <a:avLst/>
                    </a:prstGeom>
                  </pic:spPr>
                </pic:pic>
              </a:graphicData>
            </a:graphic>
          </wp:inline>
        </w:drawing>
      </w:r>
    </w:p>
    <w:p>
      <w:pPr>
        <w:spacing w:line="12131" w:lineRule="exact"/>
        <w:sectPr>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261" w:lineRule="exact"/>
        <w:rPr/>
      </w:pPr>
      <w:r>
        <w:pict>
          <v:shape id="_x0000_s272"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74"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929283" cy="7785246"/>
            <wp:effectExtent l="0" t="0" r="0" b="0"/>
            <wp:docPr id="32" name="IM 32"/>
            <wp:cNvGraphicFramePr/>
            <a:graphic>
              <a:graphicData uri="http://schemas.openxmlformats.org/drawingml/2006/picture">
                <pic:pic>
                  <pic:nvPicPr>
                    <pic:cNvPr id="32" name="IM 32"/>
                    <pic:cNvPicPr/>
                  </pic:nvPicPr>
                  <pic:blipFill>
                    <a:blip r:embed="rId59"/>
                    <a:stretch>
                      <a:fillRect/>
                    </a:stretch>
                  </pic:blipFill>
                  <pic:spPr>
                    <a:xfrm rot="0">
                      <a:off x="0" y="0"/>
                      <a:ext cx="4929283" cy="7785246"/>
                    </a:xfrm>
                    <a:prstGeom prst="rect">
                      <a:avLst/>
                    </a:prstGeom>
                  </pic:spPr>
                </pic:pic>
              </a:graphicData>
            </a:graphic>
          </wp:inline>
        </w:drawing>
      </w:r>
    </w:p>
    <w:p>
      <w:pPr>
        <w:spacing w:line="12261" w:lineRule="exact"/>
        <w:sectPr>
          <w:footerReference w:type="default" r:id="rId5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498" w:lineRule="exact"/>
        <w:rPr/>
      </w:pPr>
      <w:r>
        <w:pict>
          <v:shape id="_x0000_s276"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929283" cy="7936283"/>
            <wp:effectExtent l="0" t="0" r="0" b="0"/>
            <wp:docPr id="34" name="IM 34"/>
            <wp:cNvGraphicFramePr/>
            <a:graphic>
              <a:graphicData uri="http://schemas.openxmlformats.org/drawingml/2006/picture">
                <pic:pic>
                  <pic:nvPicPr>
                    <pic:cNvPr id="34" name="IM 34"/>
                    <pic:cNvPicPr/>
                  </pic:nvPicPr>
                  <pic:blipFill>
                    <a:blip r:embed="rId61"/>
                    <a:stretch>
                      <a:fillRect/>
                    </a:stretch>
                  </pic:blipFill>
                  <pic:spPr>
                    <a:xfrm rot="0">
                      <a:off x="0" y="0"/>
                      <a:ext cx="4929283" cy="7936283"/>
                    </a:xfrm>
                    <a:prstGeom prst="rect">
                      <a:avLst/>
                    </a:prstGeom>
                  </pic:spPr>
                </pic:pic>
              </a:graphicData>
            </a:graphic>
          </wp:inline>
        </w:drawing>
      </w:r>
    </w:p>
    <w:p>
      <w:pPr>
        <w:spacing w:line="12498" w:lineRule="exact"/>
        <w:sectPr>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217" w:lineRule="exact"/>
        <w:rPr/>
      </w:pPr>
      <w:r>
        <w:pict>
          <v:shape id="_x0000_s280"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929283" cy="7757785"/>
            <wp:effectExtent l="0" t="0" r="0" b="0"/>
            <wp:docPr id="36" name="IM 36"/>
            <wp:cNvGraphicFramePr/>
            <a:graphic>
              <a:graphicData uri="http://schemas.openxmlformats.org/drawingml/2006/picture">
                <pic:pic>
                  <pic:nvPicPr>
                    <pic:cNvPr id="36" name="IM 36"/>
                    <pic:cNvPicPr/>
                  </pic:nvPicPr>
                  <pic:blipFill>
                    <a:blip r:embed="rId63"/>
                    <a:stretch>
                      <a:fillRect/>
                    </a:stretch>
                  </pic:blipFill>
                  <pic:spPr>
                    <a:xfrm rot="0">
                      <a:off x="0" y="0"/>
                      <a:ext cx="4929283" cy="7757785"/>
                    </a:xfrm>
                    <a:prstGeom prst="rect">
                      <a:avLst/>
                    </a:prstGeom>
                  </pic:spPr>
                </pic:pic>
              </a:graphicData>
            </a:graphic>
          </wp:inline>
        </w:drawing>
      </w:r>
    </w:p>
    <w:p>
      <w:pPr>
        <w:spacing w:line="12217" w:lineRule="exact"/>
        <w:sectPr>
          <w:footerReference w:type="default" r:id="rId6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1774" w:lineRule="exact"/>
        <w:rPr/>
      </w:pPr>
      <w:r>
        <w:pict>
          <v:shape id="_x0000_s284" style="position:absolute;margin-left:86.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86"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4929283" cy="7476309"/>
            <wp:effectExtent l="0" t="0" r="0" b="0"/>
            <wp:docPr id="38" name="IM 38"/>
            <wp:cNvGraphicFramePr/>
            <a:graphic>
              <a:graphicData uri="http://schemas.openxmlformats.org/drawingml/2006/picture">
                <pic:pic>
                  <pic:nvPicPr>
                    <pic:cNvPr id="38" name="IM 38"/>
                    <pic:cNvPicPr/>
                  </pic:nvPicPr>
                  <pic:blipFill>
                    <a:blip r:embed="rId65"/>
                    <a:stretch>
                      <a:fillRect/>
                    </a:stretch>
                  </pic:blipFill>
                  <pic:spPr>
                    <a:xfrm rot="0">
                      <a:off x="0" y="0"/>
                      <a:ext cx="4929283" cy="7476309"/>
                    </a:xfrm>
                    <a:prstGeom prst="rect">
                      <a:avLst/>
                    </a:prstGeom>
                  </pic:spPr>
                </pic:pic>
              </a:graphicData>
            </a:graphic>
          </wp:inline>
        </w:drawing>
      </w:r>
    </w:p>
    <w:p>
      <w:pPr>
        <w:spacing w:line="11774" w:lineRule="exact"/>
        <w:sectPr>
          <w:footerReference w:type="default" r:id="rId6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131" w:lineRule="exact"/>
        <w:rPr/>
      </w:pPr>
      <w:r>
        <w:pict>
          <v:shape id="_x0000_s288"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90"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42"/>
        </w:rPr>
        <w:drawing>
          <wp:inline distT="0" distB="0" distL="0" distR="0">
            <wp:extent cx="4929283" cy="7702864"/>
            <wp:effectExtent l="0" t="0" r="0" b="0"/>
            <wp:docPr id="40" name="IM 40"/>
            <wp:cNvGraphicFramePr/>
            <a:graphic>
              <a:graphicData uri="http://schemas.openxmlformats.org/drawingml/2006/picture">
                <pic:pic>
                  <pic:nvPicPr>
                    <pic:cNvPr id="40" name="IM 40"/>
                    <pic:cNvPicPr/>
                  </pic:nvPicPr>
                  <pic:blipFill>
                    <a:blip r:embed="rId67"/>
                    <a:stretch>
                      <a:fillRect/>
                    </a:stretch>
                  </pic:blipFill>
                  <pic:spPr>
                    <a:xfrm rot="0">
                      <a:off x="0" y="0"/>
                      <a:ext cx="4929283" cy="7702864"/>
                    </a:xfrm>
                    <a:prstGeom prst="rect">
                      <a:avLst/>
                    </a:prstGeom>
                  </pic:spPr>
                </pic:pic>
              </a:graphicData>
            </a:graphic>
          </wp:inline>
        </w:drawing>
      </w:r>
    </w:p>
    <w:p>
      <w:pPr>
        <w:spacing w:line="12131" w:lineRule="exact"/>
        <w:sectPr>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8877" w:lineRule="exact"/>
        <w:rPr/>
      </w:pPr>
      <w:r>
        <w:pict>
          <v:shape id="_x0000_s308"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4929283" cy="5636409"/>
            <wp:effectExtent l="0" t="0" r="0" b="0"/>
            <wp:docPr id="42" name="IM 42"/>
            <wp:cNvGraphicFramePr/>
            <a:graphic>
              <a:graphicData uri="http://schemas.openxmlformats.org/drawingml/2006/picture">
                <pic:pic>
                  <pic:nvPicPr>
                    <pic:cNvPr id="42" name="IM 42"/>
                    <pic:cNvPicPr/>
                  </pic:nvPicPr>
                  <pic:blipFill>
                    <a:blip r:embed="rId70"/>
                    <a:stretch>
                      <a:fillRect/>
                    </a:stretch>
                  </pic:blipFill>
                  <pic:spPr>
                    <a:xfrm rot="0">
                      <a:off x="0" y="0"/>
                      <a:ext cx="4929283" cy="5636409"/>
                    </a:xfrm>
                    <a:prstGeom prst="rect">
                      <a:avLst/>
                    </a:prstGeom>
                  </pic:spPr>
                </pic:pic>
              </a:graphicData>
            </a:graphic>
          </wp:inline>
        </w:drawing>
      </w:r>
    </w:p>
    <w:p>
      <w:pPr>
        <w:spacing w:line="8877" w:lineRule="exact"/>
        <w:sectPr>
          <w:headerReference w:type="default" r:id="rId68"/>
          <w:footerReference w:type="default" r:id="rId69"/>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截至2024年12月31日，兴县医疗集团共有公务用车编制0辆，实有0辆，其中：领导用车0</w:t>
      </w:r>
      <w:r>
        <w:rPr>
          <w:rFonts w:ascii="FangSong" w:hAnsi="FangSong" w:eastAsia="FangSong" w:cs="FangSong"/>
          <w:sz w:val="23"/>
          <w:szCs w:val="23"/>
          <w:spacing w:val="7"/>
        </w:rPr>
        <w:t xml:space="preserve"> </w:t>
      </w:r>
      <w:r>
        <w:rPr>
          <w:rFonts w:ascii="FangSong" w:hAnsi="FangSong" w:eastAsia="FangSong" w:cs="FangSong"/>
          <w:sz w:val="23"/>
          <w:szCs w:val="23"/>
          <w:spacing w:val="5"/>
        </w:rPr>
        <w:t>辆，机要通信用车0辆，应急保障用车0辆，执法执勤用车0辆，特种专业技术用车0辆，事业</w:t>
      </w:r>
      <w:r>
        <w:rPr>
          <w:rFonts w:ascii="FangSong" w:hAnsi="FangSong" w:eastAsia="FangSong" w:cs="FangSong"/>
          <w:sz w:val="23"/>
          <w:szCs w:val="23"/>
          <w:spacing w:val="2"/>
        </w:rPr>
        <w:t xml:space="preserve"> </w:t>
      </w:r>
      <w:r>
        <w:rPr>
          <w:rFonts w:ascii="FangSong" w:hAnsi="FangSong" w:eastAsia="FangSong" w:cs="FangSong"/>
          <w:sz w:val="23"/>
          <w:szCs w:val="23"/>
          <w:spacing w:val="-1"/>
        </w:rPr>
        <w:t>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3" w:line="222" w:lineRule="auto"/>
        <w:rPr>
          <w:rFonts w:ascii="FangSong" w:hAnsi="FangSong" w:eastAsia="FangSong" w:cs="FangSong"/>
          <w:sz w:val="23"/>
          <w:szCs w:val="23"/>
        </w:rPr>
      </w:pPr>
      <w:r>
        <w:rPr>
          <w:rFonts w:ascii="FangSong" w:hAnsi="FangSong" w:eastAsia="FangSong" w:cs="FangSong"/>
          <w:sz w:val="23"/>
          <w:szCs w:val="23"/>
        </w:rPr>
        <w:t>截至2024年12月31日，兴县医疗集团使用的办公用房建筑总面积0平方米。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5"/>
        </w:rPr>
        <w:t>截至2024年12月31</w:t>
      </w:r>
      <w:r>
        <w:rPr>
          <w:rFonts w:ascii="FangSong" w:hAnsi="FangSong" w:eastAsia="FangSong" w:cs="FangSong"/>
          <w:sz w:val="23"/>
          <w:szCs w:val="23"/>
          <w:spacing w:val="-42"/>
        </w:rPr>
        <w:t xml:space="preserve"> </w:t>
      </w:r>
      <w:r>
        <w:rPr>
          <w:rFonts w:ascii="FangSong" w:hAnsi="FangSong" w:eastAsia="FangSong" w:cs="FangSong"/>
          <w:sz w:val="23"/>
          <w:szCs w:val="23"/>
          <w:spacing w:val="5"/>
        </w:rPr>
        <w:t>日，兴县医疗集团占有使</w:t>
      </w:r>
      <w:r>
        <w:rPr>
          <w:rFonts w:ascii="FangSong" w:hAnsi="FangSong" w:eastAsia="FangSong" w:cs="FangSong"/>
          <w:sz w:val="23"/>
          <w:szCs w:val="23"/>
          <w:spacing w:val="4"/>
        </w:rPr>
        <w:t>用价值50万元（原值）</w:t>
      </w:r>
      <w:r>
        <w:rPr>
          <w:rFonts w:ascii="FangSong" w:hAnsi="FangSong" w:eastAsia="FangSong" w:cs="FangSong"/>
          <w:sz w:val="23"/>
          <w:szCs w:val="23"/>
          <w:spacing w:val="-58"/>
        </w:rPr>
        <w:t xml:space="preserve"> </w:t>
      </w:r>
      <w:r>
        <w:rPr>
          <w:rFonts w:ascii="FangSong" w:hAnsi="FangSong" w:eastAsia="FangSong" w:cs="FangSong"/>
          <w:sz w:val="23"/>
          <w:szCs w:val="23"/>
          <w:spacing w:val="4"/>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兴县医疗集团占有使用价值100万元（原值）以上的通用设备0台（套）。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71"/>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318"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320" style="position:absolute;margin-left:-13.08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26"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44" name="IM 44"/>
            <wp:cNvGraphicFramePr/>
            <a:graphic>
              <a:graphicData uri="http://schemas.openxmlformats.org/drawingml/2006/picture">
                <pic:pic>
                  <pic:nvPicPr>
                    <pic:cNvPr id="44" name="IM 44"/>
                    <pic:cNvPicPr/>
                  </pic:nvPicPr>
                  <pic:blipFill>
                    <a:blip r:embed="rId74"/>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72"/>
          <w:footerReference w:type="default" r:id="rId73"/>
          <w:pgSz w:w="11900" w:h="16840"/>
          <w:pgMar w:top="642" w:right="0" w:bottom="340" w:left="0" w:header="326" w:footer="111" w:gutter="0"/>
        </w:sectPr>
        <w:rPr/>
      </w:pPr>
    </w:p>
    <w:p>
      <w:pPr>
        <w:pStyle w:val="BodyText"/>
        <w:spacing w:line="277" w:lineRule="auto"/>
        <w:rPr/>
      </w:pPr>
      <w:r>
        <w:pict>
          <v:shape id="_x0000_s328" style="position:absolute;margin-left:491.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330"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34" style="position:absolute;margin-left:491.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36"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46" name="IM 46"/>
            <wp:cNvGraphicFramePr/>
            <a:graphic>
              <a:graphicData uri="http://schemas.openxmlformats.org/drawingml/2006/picture">
                <pic:pic>
                  <pic:nvPicPr>
                    <pic:cNvPr id="46" name="IM 46"/>
                    <pic:cNvPicPr/>
                  </pic:nvPicPr>
                  <pic:blipFill>
                    <a:blip r:embed="rId76"/>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75"/>
          <w:pgSz w:w="11900" w:h="16840"/>
          <w:pgMar w:top="642" w:right="0" w:bottom="340" w:left="0" w:header="326" w:footer="111" w:gutter="0"/>
        </w:sectPr>
        <w:rPr/>
      </w:pPr>
    </w:p>
    <w:p>
      <w:pPr>
        <w:pStyle w:val="BodyText"/>
        <w:spacing w:line="277" w:lineRule="auto"/>
        <w:rPr/>
      </w:pPr>
      <w:r>
        <w:pict>
          <v:shape id="_x0000_s338"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340"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42"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44"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48" name="IM 48"/>
            <wp:cNvGraphicFramePr/>
            <a:graphic>
              <a:graphicData uri="http://schemas.openxmlformats.org/drawingml/2006/picture">
                <pic:pic>
                  <pic:nvPicPr>
                    <pic:cNvPr id="48" name="IM 48"/>
                    <pic:cNvPicPr/>
                  </pic:nvPicPr>
                  <pic:blipFill>
                    <a:blip r:embed="rId7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77"/>
          <w:pgSz w:w="11900" w:h="16840"/>
          <w:pgMar w:top="642" w:right="0" w:bottom="340" w:left="0" w:header="326" w:footer="111" w:gutter="0"/>
        </w:sectPr>
        <w:rPr/>
      </w:pPr>
    </w:p>
    <w:p>
      <w:pPr>
        <w:pStyle w:val="BodyText"/>
        <w:spacing w:line="277" w:lineRule="auto"/>
        <w:rPr/>
      </w:pPr>
      <w:r>
        <w:pict>
          <v:shape id="_x0000_s348"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350"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52"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54"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56" style="position:absolute;margin-left:391.92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50" name="IM 50"/>
            <wp:cNvGraphicFramePr/>
            <a:graphic>
              <a:graphicData uri="http://schemas.openxmlformats.org/drawingml/2006/picture">
                <pic:pic>
                  <pic:nvPicPr>
                    <pic:cNvPr id="50" name="IM 50"/>
                    <pic:cNvPicPr/>
                  </pic:nvPicPr>
                  <pic:blipFill>
                    <a:blip r:embed="rId8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79"/>
          <w:pgSz w:w="11900" w:h="16840"/>
          <w:pgMar w:top="642" w:right="0" w:bottom="340" w:left="0" w:header="326" w:footer="111" w:gutter="0"/>
        </w:sectPr>
        <w:rPr/>
      </w:pPr>
    </w:p>
    <w:p>
      <w:pPr>
        <w:pStyle w:val="BodyText"/>
        <w:spacing w:line="277" w:lineRule="auto"/>
        <w:rPr/>
      </w:pPr>
      <w:r>
        <w:pict>
          <v:shape id="_x0000_s358"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360"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62" style="position:absolute;margin-left:491.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64" style="position:absolute;margin-left:86.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66" style="position:absolute;margin-left:-13.08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52" name="IM 52"/>
            <wp:cNvGraphicFramePr/>
            <a:graphic>
              <a:graphicData uri="http://schemas.openxmlformats.org/drawingml/2006/picture">
                <pic:pic>
                  <pic:nvPicPr>
                    <pic:cNvPr id="52" name="IM 52"/>
                    <pic:cNvPicPr/>
                  </pic:nvPicPr>
                  <pic:blipFill>
                    <a:blip r:embed="rId82"/>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81"/>
          <w:pgSz w:w="11900" w:h="16840"/>
          <w:pgMar w:top="642" w:right="0" w:bottom="340" w:left="0" w:header="326" w:footer="110" w:gutter="0"/>
        </w:sectPr>
        <w:rPr/>
      </w:pPr>
    </w:p>
    <w:p>
      <w:pPr>
        <w:pStyle w:val="BodyText"/>
        <w:spacing w:line="277" w:lineRule="auto"/>
        <w:rPr/>
      </w:pPr>
      <w:r>
        <w:pict>
          <v:shape id="_x0000_s368" style="position:absolute;margin-left:491.92pt;margin-top:44.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370" style="position:absolute;margin-left:491.92pt;margin-top:472.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72" style="position:absolute;margin-left:-13.08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376" style="position:absolute;margin-left:86.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54" name="IM 54"/>
            <wp:cNvGraphicFramePr/>
            <a:graphic>
              <a:graphicData uri="http://schemas.openxmlformats.org/drawingml/2006/picture">
                <pic:pic>
                  <pic:nvPicPr>
                    <pic:cNvPr id="54" name="IM 54"/>
                    <pic:cNvPicPr/>
                  </pic:nvPicPr>
                  <pic:blipFill>
                    <a:blip r:embed="rId84"/>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83"/>
          <w:pgSz w:w="11900" w:h="16840"/>
          <w:pgMar w:top="642" w:right="0" w:bottom="340" w:left="0" w:header="326" w:footer="110" w:gutter="0"/>
        </w:sectPr>
        <w:rPr/>
      </w:pPr>
    </w:p>
    <w:p>
      <w:pPr>
        <w:pStyle w:val="BodyText"/>
        <w:spacing w:line="277" w:lineRule="auto"/>
        <w:rPr/>
      </w:pPr>
      <w:r>
        <w:pict>
          <v:shape id="_x0000_s378" style="position:absolute;margin-left:491.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380" style="position:absolute;margin-left:391.92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382" style="position:absolute;margin-left:86.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84" style="position:absolute;margin-left:491.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386" style="position:absolute;margin-left:-13.08pt;margin-top:228.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56" name="IM 56"/>
            <wp:cNvGraphicFramePr/>
            <a:graphic>
              <a:graphicData uri="http://schemas.openxmlformats.org/drawingml/2006/picture">
                <pic:pic>
                  <pic:nvPicPr>
                    <pic:cNvPr id="56" name="IM 56"/>
                    <pic:cNvPicPr/>
                  </pic:nvPicPr>
                  <pic:blipFill>
                    <a:blip r:embed="rId86"/>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85"/>
          <w:pgSz w:w="11900" w:h="16840"/>
          <w:pgMar w:top="642" w:right="0" w:bottom="340" w:left="0" w:header="326" w:footer="111" w:gutter="0"/>
        </w:sectPr>
        <w:rPr/>
      </w:pPr>
    </w:p>
    <w:p>
      <w:pPr>
        <w:pStyle w:val="BodyText"/>
        <w:spacing w:line="277" w:lineRule="auto"/>
        <w:rPr/>
      </w:pPr>
      <w:r>
        <w:pict>
          <v:shape id="_x0000_s388"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390" style="position:absolute;margin-left:491.92pt;margin-top:472.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94" style="position:absolute;margin-left:391.92pt;margin-top:228.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396" style="position:absolute;margin-left:-13.08pt;margin-top:228.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58" name="IM 58"/>
            <wp:cNvGraphicFramePr/>
            <a:graphic>
              <a:graphicData uri="http://schemas.openxmlformats.org/drawingml/2006/picture">
                <pic:pic>
                  <pic:nvPicPr>
                    <pic:cNvPr id="58" name="IM 58"/>
                    <pic:cNvPicPr/>
                  </pic:nvPicPr>
                  <pic:blipFill>
                    <a:blip r:embed="rId88"/>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87"/>
          <w:pgSz w:w="11900" w:h="16840"/>
          <w:pgMar w:top="642" w:right="0" w:bottom="340" w:left="0" w:header="326" w:footer="110"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24"/>
      <w:footerReference w:type="default" r:id="rId89"/>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6"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92pt;margin-top:27.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486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2" style="position:absolute;margin-left:86.92pt;margin-top:27.7633pt;mso-position-vertical-relative:text;mso-position-horizontal-relative:text;width:119.4pt;height:18.85pt;z-index:-251538432;rotation:330;" fillcolor="#404040" filled="true" stroked="false" type="#_x0000_t136">
          <v:fill opacity="0.400000"/>
          <v:textpath style="font-family:&quot;SimSun&quot;;font-size:20;v-text-kern:t;mso-text-shadow:auto" string="仅供内部审核"/>
        </v:shape>
      </w:pict>
    </w:r>
    <w:r>
      <w:pict>
        <v:shape id="PowerPlusWaterMarkObject294" style="position:absolute;margin-left:-13.08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306"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0" style="position:absolute;margin-left:86.92pt;margin-top:27.7633pt;mso-position-vertical-relative:text;mso-position-horizontal-relative:text;width:119.4pt;height:18.85pt;z-index:-251534336;rotation:330;" fillcolor="#404040" filled="true" stroked="false" type="#_x0000_t136">
          <v:fill opacity="0.400000"/>
          <v:textpath style="font-family:&quot;SimSun&quot;;font-size:20;v-text-kern:t;mso-text-shadow:auto" string="仅供内部审核"/>
        </v:shape>
      </w:pict>
    </w:r>
    <w:r>
      <w:pict>
        <v:shape id="PowerPlusWaterMarkObject312" style="position:absolute;margin-left:-13.08pt;margin-top:776.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391.92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_x0000_s316" style="position:absolute;margin-left:30pt;margin-top:29.5pt;mso-position-vertical-relative:page;mso-position-horizontal-relative:page;width:535pt;height:1pt;z-index:-2515353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兴县医疗集团2025年单位预算公开报告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兴县医疗集团2025年单位预算公开报告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styles" Target="styles.xml"/><Relationship Id="rId90" Type="http://schemas.openxmlformats.org/officeDocument/2006/relationships/settings" Target="settings.xml"/><Relationship Id="rId9" Type="http://schemas.openxmlformats.org/officeDocument/2006/relationships/header" Target="header6.xml"/><Relationship Id="rId89" Type="http://schemas.openxmlformats.org/officeDocument/2006/relationships/footer" Target="footer45.xml"/><Relationship Id="rId88" Type="http://schemas.openxmlformats.org/officeDocument/2006/relationships/image" Target="media/image29.png"/><Relationship Id="rId87" Type="http://schemas.openxmlformats.org/officeDocument/2006/relationships/footer" Target="footer44.xml"/><Relationship Id="rId86" Type="http://schemas.openxmlformats.org/officeDocument/2006/relationships/image" Target="media/image28.png"/><Relationship Id="rId85" Type="http://schemas.openxmlformats.org/officeDocument/2006/relationships/footer" Target="footer43.xml"/><Relationship Id="rId84" Type="http://schemas.openxmlformats.org/officeDocument/2006/relationships/image" Target="media/image27.png"/><Relationship Id="rId83" Type="http://schemas.openxmlformats.org/officeDocument/2006/relationships/footer" Target="footer42.xml"/><Relationship Id="rId82" Type="http://schemas.openxmlformats.org/officeDocument/2006/relationships/image" Target="media/image26.png"/><Relationship Id="rId81" Type="http://schemas.openxmlformats.org/officeDocument/2006/relationships/footer" Target="footer41.xml"/><Relationship Id="rId80" Type="http://schemas.openxmlformats.org/officeDocument/2006/relationships/image" Target="media/image25.png"/><Relationship Id="rId8" Type="http://schemas.openxmlformats.org/officeDocument/2006/relationships/footer" Target="footer2.xml"/><Relationship Id="rId79" Type="http://schemas.openxmlformats.org/officeDocument/2006/relationships/footer" Target="footer40.xml"/><Relationship Id="rId78" Type="http://schemas.openxmlformats.org/officeDocument/2006/relationships/image" Target="media/image24.png"/><Relationship Id="rId77" Type="http://schemas.openxmlformats.org/officeDocument/2006/relationships/footer" Target="footer39.xml"/><Relationship Id="rId76" Type="http://schemas.openxmlformats.org/officeDocument/2006/relationships/image" Target="media/image23.png"/><Relationship Id="rId75" Type="http://schemas.openxmlformats.org/officeDocument/2006/relationships/footer" Target="footer38.xml"/><Relationship Id="rId74" Type="http://schemas.openxmlformats.org/officeDocument/2006/relationships/image" Target="media/image22.png"/><Relationship Id="rId73" Type="http://schemas.openxmlformats.org/officeDocument/2006/relationships/footer" Target="footer37.xml"/><Relationship Id="rId72" Type="http://schemas.openxmlformats.org/officeDocument/2006/relationships/header" Target="header15.xml"/><Relationship Id="rId71" Type="http://schemas.openxmlformats.org/officeDocument/2006/relationships/footer" Target="footer36.xml"/><Relationship Id="rId70" Type="http://schemas.openxmlformats.org/officeDocument/2006/relationships/image" Target="media/image21.png"/><Relationship Id="rId7" Type="http://schemas.openxmlformats.org/officeDocument/2006/relationships/header" Target="header5.xml"/><Relationship Id="rId69" Type="http://schemas.openxmlformats.org/officeDocument/2006/relationships/footer" Target="footer35.xml"/><Relationship Id="rId68" Type="http://schemas.openxmlformats.org/officeDocument/2006/relationships/header" Target="header14.xml"/><Relationship Id="rId67" Type="http://schemas.openxmlformats.org/officeDocument/2006/relationships/image" Target="media/image20.png"/><Relationship Id="rId66" Type="http://schemas.openxmlformats.org/officeDocument/2006/relationships/footer" Target="footer34.xml"/><Relationship Id="rId65" Type="http://schemas.openxmlformats.org/officeDocument/2006/relationships/image" Target="media/image19.png"/><Relationship Id="rId64" Type="http://schemas.openxmlformats.org/officeDocument/2006/relationships/footer" Target="footer33.xml"/><Relationship Id="rId63" Type="http://schemas.openxmlformats.org/officeDocument/2006/relationships/image" Target="media/image18.png"/><Relationship Id="rId62" Type="http://schemas.openxmlformats.org/officeDocument/2006/relationships/footer" Target="footer32.xml"/><Relationship Id="rId61" Type="http://schemas.openxmlformats.org/officeDocument/2006/relationships/image" Target="media/image17.png"/><Relationship Id="rId60" Type="http://schemas.openxmlformats.org/officeDocument/2006/relationships/footer" Target="footer31.xml"/><Relationship Id="rId6" Type="http://schemas.openxmlformats.org/officeDocument/2006/relationships/footer" Target="footer1.xml"/><Relationship Id="rId59" Type="http://schemas.openxmlformats.org/officeDocument/2006/relationships/image" Target="media/image16.png"/><Relationship Id="rId58" Type="http://schemas.openxmlformats.org/officeDocument/2006/relationships/footer" Target="footer30.xml"/><Relationship Id="rId57" Type="http://schemas.openxmlformats.org/officeDocument/2006/relationships/image" Target="media/image15.png"/><Relationship Id="rId56" Type="http://schemas.openxmlformats.org/officeDocument/2006/relationships/footer" Target="footer29.xml"/><Relationship Id="rId55" Type="http://schemas.openxmlformats.org/officeDocument/2006/relationships/image" Target="media/image14.png"/><Relationship Id="rId54" Type="http://schemas.openxmlformats.org/officeDocument/2006/relationships/footer" Target="footer28.xml"/><Relationship Id="rId53" Type="http://schemas.openxmlformats.org/officeDocument/2006/relationships/image" Target="media/image13.png"/><Relationship Id="rId52" Type="http://schemas.openxmlformats.org/officeDocument/2006/relationships/footer" Target="footer27.xml"/><Relationship Id="rId51" Type="http://schemas.openxmlformats.org/officeDocument/2006/relationships/image" Target="media/image12.png"/><Relationship Id="rId50" Type="http://schemas.openxmlformats.org/officeDocument/2006/relationships/footer" Target="footer26.xml"/><Relationship Id="rId5" Type="http://schemas.openxmlformats.org/officeDocument/2006/relationships/header" Target="header4.xml"/><Relationship Id="rId49" Type="http://schemas.openxmlformats.org/officeDocument/2006/relationships/image" Target="media/image11.png"/><Relationship Id="rId48" Type="http://schemas.openxmlformats.org/officeDocument/2006/relationships/footer" Target="footer25.xml"/><Relationship Id="rId47" Type="http://schemas.openxmlformats.org/officeDocument/2006/relationships/image" Target="media/image10.png"/><Relationship Id="rId46" Type="http://schemas.openxmlformats.org/officeDocument/2006/relationships/footer" Target="footer24.xml"/><Relationship Id="rId45" Type="http://schemas.openxmlformats.org/officeDocument/2006/relationships/image" Target="media/image9.png"/><Relationship Id="rId44" Type="http://schemas.openxmlformats.org/officeDocument/2006/relationships/footer" Target="footer23.xml"/><Relationship Id="rId43" Type="http://schemas.openxmlformats.org/officeDocument/2006/relationships/image" Target="media/image8.png"/><Relationship Id="rId42" Type="http://schemas.openxmlformats.org/officeDocument/2006/relationships/footer" Target="footer22.xml"/><Relationship Id="rId41" Type="http://schemas.openxmlformats.org/officeDocument/2006/relationships/image" Target="media/image7.png"/><Relationship Id="rId40" Type="http://schemas.openxmlformats.org/officeDocument/2006/relationships/footer" Target="footer21.xml"/><Relationship Id="rId4" Type="http://schemas.openxmlformats.org/officeDocument/2006/relationships/header" Target="header3.xml"/><Relationship Id="rId39" Type="http://schemas.openxmlformats.org/officeDocument/2006/relationships/image" Target="media/image6.png"/><Relationship Id="rId38" Type="http://schemas.openxmlformats.org/officeDocument/2006/relationships/footer" Target="footer20.xml"/><Relationship Id="rId37" Type="http://schemas.openxmlformats.org/officeDocument/2006/relationships/image" Target="media/image5.png"/><Relationship Id="rId36" Type="http://schemas.openxmlformats.org/officeDocument/2006/relationships/footer" Target="footer19.xml"/><Relationship Id="rId35" Type="http://schemas.openxmlformats.org/officeDocument/2006/relationships/image" Target="media/image4.png"/><Relationship Id="rId34" Type="http://schemas.openxmlformats.org/officeDocument/2006/relationships/footer" Target="footer18.xml"/><Relationship Id="rId33" Type="http://schemas.openxmlformats.org/officeDocument/2006/relationships/header" Target="header13.xml"/><Relationship Id="rId32" Type="http://schemas.openxmlformats.org/officeDocument/2006/relationships/image" Target="media/image3.png"/><Relationship Id="rId31" Type="http://schemas.openxmlformats.org/officeDocument/2006/relationships/footer" Target="footer17.xml"/><Relationship Id="rId30" Type="http://schemas.openxmlformats.org/officeDocument/2006/relationships/image" Target="media/image2.png"/><Relationship Id="rId3" Type="http://schemas.openxmlformats.org/officeDocument/2006/relationships/image" Target="media/image1.png"/><Relationship Id="rId29" Type="http://schemas.openxmlformats.org/officeDocument/2006/relationships/footer" Target="footer16.xml"/><Relationship Id="rId28" Type="http://schemas.openxmlformats.org/officeDocument/2006/relationships/header" Target="header12.xml"/><Relationship Id="rId27" Type="http://schemas.openxmlformats.org/officeDocument/2006/relationships/footer" Target="footer15.xml"/><Relationship Id="rId26" Type="http://schemas.openxmlformats.org/officeDocument/2006/relationships/header" Target="header11.xml"/><Relationship Id="rId25" Type="http://schemas.openxmlformats.org/officeDocument/2006/relationships/footer" Target="footer14.xml"/><Relationship Id="rId24" Type="http://schemas.openxmlformats.org/officeDocument/2006/relationships/header" Target="header10.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2025-09-25T18:21:37Z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2025-09-25T20:37:50</vt:filetime>
  </property>
</Properties>
</file>