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2" w:lineRule="auto"/>
        <w:rPr>
          <w:rFonts w:ascii="Arial"/>
          <w:sz w:val="21"/>
        </w:rPr>
      </w:pPr>
      <w:r/>
    </w:p>
    <w:p>
      <w:pPr>
        <w:spacing w:line="243" w:lineRule="auto"/>
        <w:rPr>
          <w:rFonts w:ascii="Arial"/>
          <w:sz w:val="21"/>
        </w:rPr>
      </w:pPr>
      <w:r/>
    </w:p>
    <w:p>
      <w:pPr>
        <w:spacing w:line="243" w:lineRule="auto"/>
        <w:rPr>
          <w:rFonts w:ascii="Arial"/>
          <w:sz w:val="21"/>
        </w:rPr>
      </w:pPr>
      <w:r/>
    </w:p>
    <w:p>
      <w:pPr>
        <w:pStyle w:val="BodyText"/>
        <w:ind w:left="948"/>
        <w:spacing w:before="140" w:line="219" w:lineRule="auto"/>
        <w:rPr/>
      </w:pPr>
      <w:r>
        <w:rPr>
          <w:spacing w:val="102"/>
        </w:rPr>
        <w:t>兴县园林事业发展服务中心</w:t>
      </w:r>
    </w:p>
    <w:p>
      <w:pPr>
        <w:spacing w:line="378" w:lineRule="auto"/>
        <w:rPr>
          <w:rFonts w:ascii="Arial"/>
          <w:sz w:val="21"/>
        </w:rPr>
      </w:pPr>
      <w:r/>
    </w:p>
    <w:p>
      <w:pPr>
        <w:pStyle w:val="BodyText"/>
        <w:ind w:left="1294"/>
        <w:spacing w:before="140" w:line="583" w:lineRule="exact"/>
        <w:rPr/>
      </w:pPr>
      <w:r>
        <w:rPr>
          <w:spacing w:val="4"/>
          <w:position w:val="2"/>
        </w:rPr>
        <w:t>2</w:t>
      </w:r>
      <w:r>
        <w:rPr>
          <w:spacing w:val="-89"/>
          <w:position w:val="2"/>
        </w:rPr>
        <w:t xml:space="preserve"> </w:t>
      </w:r>
      <w:r>
        <w:rPr>
          <w:spacing w:val="4"/>
          <w:position w:val="2"/>
        </w:rPr>
        <w:t>0</w:t>
      </w:r>
      <w:r>
        <w:rPr>
          <w:spacing w:val="-94"/>
          <w:position w:val="2"/>
        </w:rPr>
        <w:t xml:space="preserve"> </w:t>
      </w:r>
      <w:r>
        <w:rPr>
          <w:spacing w:val="4"/>
          <w:position w:val="2"/>
        </w:rPr>
        <w:t>2</w:t>
      </w:r>
      <w:r>
        <w:rPr>
          <w:spacing w:val="-77"/>
          <w:position w:val="2"/>
        </w:rPr>
        <w:t xml:space="preserve"> </w:t>
      </w:r>
      <w:r>
        <w:rPr>
          <w:spacing w:val="4"/>
          <w:position w:val="2"/>
        </w:rPr>
        <w:t>5</w:t>
      </w:r>
      <w:r>
        <w:rPr>
          <w:spacing w:val="-98"/>
          <w:position w:val="2"/>
        </w:rPr>
        <w:t xml:space="preserve"> </w:t>
      </w:r>
      <w:r>
        <w:rPr>
          <w:spacing w:val="4"/>
          <w:position w:val="2"/>
        </w:rPr>
        <w:t>年</w:t>
      </w:r>
      <w:r>
        <w:rPr>
          <w:spacing w:val="-96"/>
          <w:position w:val="2"/>
        </w:rPr>
        <w:t xml:space="preserve"> </w:t>
      </w:r>
      <w:r>
        <w:rPr>
          <w:spacing w:val="4"/>
          <w:position w:val="2"/>
        </w:rPr>
        <w:t>度</w:t>
      </w:r>
      <w:r>
        <w:rPr>
          <w:spacing w:val="-97"/>
          <w:position w:val="2"/>
        </w:rPr>
        <w:t xml:space="preserve"> </w:t>
      </w:r>
      <w:r>
        <w:rPr>
          <w:spacing w:val="4"/>
          <w:position w:val="2"/>
        </w:rPr>
        <w:t>部</w:t>
      </w:r>
      <w:r>
        <w:rPr>
          <w:spacing w:val="-64"/>
          <w:position w:val="2"/>
        </w:rPr>
        <w:t xml:space="preserve"> </w:t>
      </w:r>
      <w:r>
        <w:rPr>
          <w:spacing w:val="4"/>
          <w:position w:val="2"/>
        </w:rPr>
        <w:t>门</w:t>
      </w:r>
      <w:r>
        <w:rPr>
          <w:spacing w:val="-108"/>
          <w:position w:val="2"/>
        </w:rPr>
        <w:t xml:space="preserve"> </w:t>
      </w:r>
      <w:r>
        <w:rPr>
          <w:spacing w:val="4"/>
          <w:position w:val="2"/>
        </w:rPr>
        <w:t>预</w:t>
      </w:r>
      <w:r>
        <w:rPr>
          <w:spacing w:val="-94"/>
          <w:position w:val="2"/>
        </w:rPr>
        <w:t xml:space="preserve"> </w:t>
      </w:r>
      <w:r>
        <w:rPr>
          <w:spacing w:val="4"/>
          <w:position w:val="2"/>
        </w:rPr>
        <w:t>算</w:t>
      </w:r>
      <w:r>
        <w:rPr>
          <w:spacing w:val="-104"/>
          <w:position w:val="2"/>
        </w:rPr>
        <w:t xml:space="preserve"> </w:t>
      </w:r>
      <w:r>
        <w:rPr>
          <w:spacing w:val="4"/>
          <w:position w:val="2"/>
        </w:rPr>
        <w:t>公</w:t>
      </w:r>
      <w:r>
        <w:rPr>
          <w:spacing w:val="-98"/>
          <w:position w:val="2"/>
        </w:rPr>
        <w:t xml:space="preserve"> </w:t>
      </w:r>
      <w:r>
        <w:rPr>
          <w:spacing w:val="4"/>
          <w:position w:val="2"/>
        </w:rPr>
        <w:t>开</w:t>
      </w:r>
    </w:p>
    <w:p>
      <w:pPr>
        <w:spacing w:line="583" w:lineRule="exact"/>
        <w:sectPr>
          <w:pgSz w:w="11900" w:h="16840"/>
          <w:pgMar w:top="1431" w:right="1785" w:bottom="0" w:left="1785" w:header="0" w:footer="0" w:gutter="0"/>
        </w:sectPr>
        <w:rPr/>
      </w:pPr>
    </w:p>
    <w:p>
      <w:pPr>
        <w:ind w:left="3977"/>
        <w:spacing w:before="102" w:line="223" w:lineRule="auto"/>
        <w:outlineLvl w:val="0"/>
        <w:rPr>
          <w:rFonts w:ascii="FangSong" w:hAnsi="FangSong" w:eastAsia="FangSong" w:cs="FangSong"/>
          <w:sz w:val="50"/>
          <w:szCs w:val="50"/>
        </w:rPr>
      </w:pPr>
      <w:r>
        <w:rPr>
          <w:rFonts w:ascii="FangSong" w:hAnsi="FangSong" w:eastAsia="FangSong" w:cs="FangSong"/>
          <w:sz w:val="50"/>
          <w:szCs w:val="50"/>
          <w:b/>
          <w:bCs/>
          <w:spacing w:val="-66"/>
        </w:rPr>
        <w:t>目</w:t>
      </w:r>
      <w:r>
        <w:rPr>
          <w:rFonts w:ascii="FangSong" w:hAnsi="FangSong" w:eastAsia="FangSong" w:cs="FangSong"/>
          <w:sz w:val="50"/>
          <w:szCs w:val="50"/>
          <w:spacing w:val="25"/>
        </w:rPr>
        <w:t xml:space="preserve">  </w:t>
      </w:r>
      <w:r>
        <w:rPr>
          <w:rFonts w:ascii="FangSong" w:hAnsi="FangSong" w:eastAsia="FangSong" w:cs="FangSong"/>
          <w:sz w:val="50"/>
          <w:szCs w:val="50"/>
          <w:b/>
          <w:bCs/>
          <w:spacing w:val="-66"/>
        </w:rPr>
        <w:t>录</w:t>
      </w:r>
    </w:p>
    <w:p>
      <w:pPr>
        <w:spacing w:line="444" w:lineRule="auto"/>
        <w:rPr>
          <w:rFonts w:ascii="Arial"/>
          <w:sz w:val="21"/>
        </w:rPr>
      </w:pPr>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11"/>
            <w:spacing w:before="104" w:line="222" w:lineRule="auto"/>
            <w:tabs>
              <w:tab w:val="right" w:leader="dot" w:pos="9235"/>
            </w:tabs>
            <w:rPr>
              <w:rFonts w:ascii="FangSong" w:hAnsi="FangSong" w:eastAsia="FangSong" w:cs="FangSong"/>
              <w:sz w:val="32"/>
              <w:szCs w:val="32"/>
            </w:rPr>
          </w:pPr>
          <w:hyperlink w:history="true" w:anchor="bookmark1">
            <w:r>
              <w:rPr>
                <w:rFonts w:ascii="FangSong" w:hAnsi="FangSong" w:eastAsia="FangSong" w:cs="FangSong"/>
                <w:sz w:val="32"/>
                <w:szCs w:val="32"/>
                <w:b/>
                <w:bCs/>
                <w:spacing w:val="-13"/>
              </w:rPr>
              <w:t>第一部分</w:t>
            </w:r>
            <w:r>
              <w:rPr>
                <w:rFonts w:ascii="FangSong" w:hAnsi="FangSong" w:eastAsia="FangSong" w:cs="FangSong"/>
                <w:sz w:val="32"/>
                <w:szCs w:val="32"/>
                <w:spacing w:val="21"/>
              </w:rPr>
              <w:t xml:space="preserve"> </w:t>
            </w:r>
            <w:r>
              <w:rPr>
                <w:rFonts w:ascii="FangSong" w:hAnsi="FangSong" w:eastAsia="FangSong" w:cs="FangSong"/>
                <w:sz w:val="32"/>
                <w:szCs w:val="32"/>
                <w:b/>
                <w:bCs/>
                <w:spacing w:val="-13"/>
              </w:rPr>
              <w:t>概况</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b/>
                <w:bCs/>
                <w:spacing w:val="-39"/>
              </w:rPr>
              <w:t>1</w:t>
            </w:r>
          </w:hyperlink>
        </w:p>
        <w:p>
          <w:pPr>
            <w:ind w:left="642"/>
            <w:spacing w:before="113" w:line="222" w:lineRule="auto"/>
            <w:tabs>
              <w:tab w:val="right" w:leader="dot" w:pos="9235"/>
            </w:tabs>
            <w:rPr>
              <w:rFonts w:ascii="FangSong" w:hAnsi="FangSong" w:eastAsia="FangSong" w:cs="FangSong"/>
              <w:sz w:val="32"/>
              <w:szCs w:val="32"/>
            </w:rPr>
          </w:pPr>
          <w:hyperlink w:history="true" w:anchor="bookmark2">
            <w:r>
              <w:rPr>
                <w:rFonts w:ascii="FangSong" w:hAnsi="FangSong" w:eastAsia="FangSong" w:cs="FangSong"/>
                <w:sz w:val="32"/>
                <w:szCs w:val="32"/>
                <w:spacing w:val="-8"/>
              </w:rPr>
              <w:t>一、本部门职责</w:t>
            </w:r>
            <w:r>
              <w:rPr>
                <w:rFonts w:ascii="FangSong" w:hAnsi="FangSong" w:eastAsia="FangSong" w:cs="FangSong"/>
                <w:sz w:val="32"/>
                <w:szCs w:val="32"/>
                <w:spacing w:val="-9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35"/>
              </w:rPr>
              <w:t>1</w:t>
            </w:r>
          </w:hyperlink>
        </w:p>
        <w:p>
          <w:pPr>
            <w:ind w:left="647"/>
            <w:spacing w:before="116" w:line="222" w:lineRule="auto"/>
            <w:tabs>
              <w:tab w:val="right" w:leader="dot" w:pos="9235"/>
            </w:tabs>
            <w:rPr>
              <w:rFonts w:ascii="FangSong" w:hAnsi="FangSong" w:eastAsia="FangSong" w:cs="FangSong"/>
              <w:sz w:val="32"/>
              <w:szCs w:val="32"/>
            </w:rPr>
          </w:pPr>
          <w:hyperlink w:history="true" w:anchor="bookmark3">
            <w:r>
              <w:rPr>
                <w:rFonts w:ascii="FangSong" w:hAnsi="FangSong" w:eastAsia="FangSong" w:cs="FangSong"/>
                <w:sz w:val="32"/>
                <w:szCs w:val="32"/>
                <w:spacing w:val="-4"/>
              </w:rPr>
              <w:t>二、机构设置情况</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35"/>
              </w:rPr>
              <w:t>1</w:t>
            </w:r>
          </w:hyperlink>
        </w:p>
        <w:p>
          <w:pPr>
            <w:ind w:left="11"/>
            <w:spacing w:before="114" w:line="222" w:lineRule="auto"/>
            <w:tabs>
              <w:tab w:val="right" w:leader="dot" w:pos="9235"/>
            </w:tabs>
            <w:rPr>
              <w:rFonts w:ascii="FangSong" w:hAnsi="FangSong" w:eastAsia="FangSong" w:cs="FangSong"/>
              <w:sz w:val="32"/>
              <w:szCs w:val="32"/>
            </w:rPr>
          </w:pPr>
          <w:hyperlink w:history="true" w:anchor="bookmark4">
            <w:r>
              <w:rPr>
                <w:rFonts w:ascii="FangSong" w:hAnsi="FangSong" w:eastAsia="FangSong" w:cs="FangSong"/>
                <w:sz w:val="32"/>
                <w:szCs w:val="32"/>
                <w:b/>
                <w:bCs/>
                <w:spacing w:val="-5"/>
              </w:rPr>
              <w:t>第二部分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2025年部门预算报表</w:t>
            </w:r>
            <w:r>
              <w:rPr>
                <w:rFonts w:ascii="FangSong" w:hAnsi="FangSong" w:eastAsia="FangSong" w:cs="FangSong"/>
                <w:sz w:val="32"/>
                <w:szCs w:val="32"/>
                <w:spacing w:val="-107"/>
              </w:rPr>
              <w:t xml:space="preserve"> </w:t>
            </w:r>
            <w:r>
              <w:rPr>
                <w:rFonts w:ascii="FangSong" w:hAnsi="FangSong" w:eastAsia="FangSong" w:cs="FangSong"/>
                <w:sz w:val="32"/>
                <w:szCs w:val="32"/>
              </w:rPr>
              <w:tab/>
            </w:r>
            <w:r>
              <w:rPr>
                <w:rFonts w:ascii="FangSong" w:hAnsi="FangSong" w:eastAsia="FangSong" w:cs="FangSong"/>
                <w:sz w:val="32"/>
                <w:szCs w:val="32"/>
                <w:spacing w:val="-123"/>
              </w:rPr>
              <w:t xml:space="preserve"> </w:t>
            </w:r>
            <w:r>
              <w:rPr>
                <w:rFonts w:ascii="FangSong" w:hAnsi="FangSong" w:eastAsia="FangSong" w:cs="FangSong"/>
                <w:sz w:val="32"/>
                <w:szCs w:val="32"/>
                <w:b/>
                <w:bCs/>
                <w:spacing w:val="-21"/>
              </w:rPr>
              <w:t>3</w:t>
            </w:r>
          </w:hyperlink>
        </w:p>
        <w:p>
          <w:pPr>
            <w:ind w:left="640"/>
            <w:spacing w:before="115" w:line="222" w:lineRule="auto"/>
            <w:tabs>
              <w:tab w:val="right" w:leader="dot" w:pos="9235"/>
            </w:tabs>
            <w:rPr>
              <w:rFonts w:ascii="FangSong" w:hAnsi="FangSong" w:eastAsia="FangSong" w:cs="FangSong"/>
              <w:sz w:val="32"/>
              <w:szCs w:val="32"/>
            </w:rPr>
          </w:pPr>
          <w:hyperlink w:history="true" w:anchor="bookmark5">
            <w:r>
              <w:rPr>
                <w:rFonts w:ascii="FangSong" w:hAnsi="FangSong" w:eastAsia="FangSong" w:cs="FangSong"/>
                <w:sz w:val="32"/>
                <w:szCs w:val="32"/>
                <w:spacing w:val="-2"/>
              </w:rPr>
              <w:t>表一2025年预算收支总表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3</w:t>
            </w:r>
          </w:hyperlink>
        </w:p>
        <w:p>
          <w:pPr>
            <w:ind w:left="640"/>
            <w:spacing w:before="115" w:line="222" w:lineRule="auto"/>
            <w:tabs>
              <w:tab w:val="right" w:leader="dot" w:pos="9235"/>
            </w:tabs>
            <w:rPr>
              <w:rFonts w:ascii="FangSong" w:hAnsi="FangSong" w:eastAsia="FangSong" w:cs="FangSong"/>
              <w:sz w:val="32"/>
              <w:szCs w:val="32"/>
            </w:rPr>
          </w:pPr>
          <w:hyperlink w:history="true" w:anchor="bookmark6">
            <w:r>
              <w:rPr>
                <w:rFonts w:ascii="FangSong" w:hAnsi="FangSong" w:eastAsia="FangSong" w:cs="FangSong"/>
                <w:sz w:val="32"/>
                <w:szCs w:val="32"/>
                <w:spacing w:val="-2"/>
              </w:rPr>
              <w:t>表二2025年预算收入总表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18"/>
              </w:rPr>
              <w:t>5</w:t>
            </w:r>
          </w:hyperlink>
        </w:p>
        <w:p>
          <w:pPr>
            <w:ind w:left="640"/>
            <w:spacing w:before="115" w:line="222" w:lineRule="auto"/>
            <w:tabs>
              <w:tab w:val="right" w:leader="dot" w:pos="9235"/>
            </w:tabs>
            <w:rPr>
              <w:rFonts w:ascii="FangSong" w:hAnsi="FangSong" w:eastAsia="FangSong" w:cs="FangSong"/>
              <w:sz w:val="32"/>
              <w:szCs w:val="32"/>
            </w:rPr>
          </w:pPr>
          <w:hyperlink w:history="true" w:anchor="bookmark7">
            <w:r>
              <w:rPr>
                <w:rFonts w:ascii="FangSong" w:hAnsi="FangSong" w:eastAsia="FangSong" w:cs="FangSong"/>
                <w:sz w:val="32"/>
                <w:szCs w:val="32"/>
                <w:spacing w:val="-2"/>
              </w:rPr>
              <w:t>表三2025年预算支出总表</w:t>
            </w:r>
            <w:r>
              <w:rPr>
                <w:rFonts w:ascii="FangSong" w:hAnsi="FangSong" w:eastAsia="FangSong" w:cs="FangSong"/>
                <w:sz w:val="32"/>
                <w:szCs w:val="32"/>
                <w:spacing w:val="-109"/>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19"/>
              </w:rPr>
              <w:t>7</w:t>
            </w:r>
          </w:hyperlink>
        </w:p>
        <w:p>
          <w:pPr>
            <w:ind w:left="640"/>
            <w:spacing w:before="117" w:line="222" w:lineRule="auto"/>
            <w:tabs>
              <w:tab w:val="right" w:leader="dot" w:pos="9235"/>
            </w:tabs>
            <w:rPr>
              <w:rFonts w:ascii="FangSong" w:hAnsi="FangSong" w:eastAsia="FangSong" w:cs="FangSong"/>
              <w:sz w:val="32"/>
              <w:szCs w:val="32"/>
            </w:rPr>
          </w:pPr>
          <w:hyperlink w:history="true" w:anchor="bookmark8">
            <w:r>
              <w:rPr>
                <w:rFonts w:ascii="FangSong" w:hAnsi="FangSong" w:eastAsia="FangSong" w:cs="FangSong"/>
                <w:sz w:val="32"/>
                <w:szCs w:val="32"/>
                <w:spacing w:val="-2"/>
              </w:rPr>
              <w:t>表四2025年财政拨款收支总表</w:t>
            </w:r>
            <w:r>
              <w:rPr>
                <w:rFonts w:ascii="FangSong" w:hAnsi="FangSong" w:eastAsia="FangSong" w:cs="FangSong"/>
                <w:sz w:val="32"/>
                <w:szCs w:val="32"/>
                <w:spacing w:val="-120"/>
              </w:rPr>
              <w:t xml:space="preserve"> </w:t>
            </w:r>
            <w:r>
              <w:rPr>
                <w:rFonts w:ascii="FangSong" w:hAnsi="FangSong" w:eastAsia="FangSong" w:cs="FangSong"/>
                <w:sz w:val="32"/>
                <w:szCs w:val="32"/>
              </w:rPr>
              <w:tab/>
            </w:r>
            <w:r>
              <w:rPr>
                <w:rFonts w:ascii="FangSong" w:hAnsi="FangSong" w:eastAsia="FangSong" w:cs="FangSong"/>
                <w:sz w:val="32"/>
                <w:szCs w:val="32"/>
                <w:spacing w:val="-83"/>
              </w:rPr>
              <w:t xml:space="preserve"> </w:t>
            </w:r>
            <w:r>
              <w:rPr>
                <w:rFonts w:ascii="FangSong" w:hAnsi="FangSong" w:eastAsia="FangSong" w:cs="FangSong"/>
                <w:sz w:val="32"/>
                <w:szCs w:val="32"/>
                <w:spacing w:val="-13"/>
              </w:rPr>
              <w:t>8</w:t>
            </w:r>
          </w:hyperlink>
        </w:p>
        <w:p>
          <w:pPr>
            <w:ind w:left="640"/>
            <w:spacing w:before="114" w:line="219" w:lineRule="auto"/>
            <w:tabs>
              <w:tab w:val="right" w:leader="dot" w:pos="9235"/>
            </w:tabs>
            <w:rPr>
              <w:rFonts w:ascii="FangSong" w:hAnsi="FangSong" w:eastAsia="FangSong" w:cs="FangSong"/>
              <w:sz w:val="32"/>
              <w:szCs w:val="32"/>
            </w:rPr>
          </w:pPr>
          <w:hyperlink w:history="true" w:anchor="bookmark9">
            <w:r>
              <w:rPr>
                <w:rFonts w:ascii="FangSong" w:hAnsi="FangSong" w:eastAsia="FangSong" w:cs="FangSong"/>
                <w:sz w:val="32"/>
                <w:szCs w:val="32"/>
                <w:spacing w:val="-1"/>
              </w:rPr>
              <w:t>表五2025年一般公共预算支出预算表（不含上年结转）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10</w:t>
            </w:r>
          </w:hyperlink>
        </w:p>
        <w:p>
          <w:pPr>
            <w:ind w:left="640"/>
            <w:spacing w:before="121" w:line="221" w:lineRule="auto"/>
            <w:rPr>
              <w:rFonts w:ascii="FangSong" w:hAnsi="FangSong" w:eastAsia="FangSong" w:cs="FangSong"/>
              <w:sz w:val="32"/>
              <w:szCs w:val="32"/>
            </w:rPr>
          </w:pPr>
          <w:hyperlink w:history="true" w:anchor="bookmark10">
            <w:r>
              <w:rPr>
                <w:rFonts w:ascii="FangSong" w:hAnsi="FangSong" w:eastAsia="FangSong" w:cs="FangSong"/>
                <w:sz w:val="32"/>
                <w:szCs w:val="32"/>
                <w:spacing w:val="-1"/>
              </w:rPr>
              <w:t>表六2025年一般公共预算安排基本支出分经济科目表（不含</w:t>
            </w:r>
          </w:hyperlink>
        </w:p>
        <w:p>
          <w:pPr>
            <w:spacing w:before="116" w:line="219" w:lineRule="auto"/>
            <w:tabs>
              <w:tab w:val="right" w:leader="dot" w:pos="9235"/>
            </w:tabs>
            <w:rPr>
              <w:rFonts w:ascii="FangSong" w:hAnsi="FangSong" w:eastAsia="FangSong" w:cs="FangSong"/>
              <w:sz w:val="32"/>
              <w:szCs w:val="32"/>
            </w:rPr>
          </w:pPr>
          <w:hyperlink w:history="true" w:anchor="bookmark11">
            <w:r>
              <w:rPr>
                <w:rFonts w:ascii="FangSong" w:hAnsi="FangSong" w:eastAsia="FangSong" w:cs="FangSong"/>
                <w:sz w:val="32"/>
                <w:szCs w:val="32"/>
                <w:spacing w:val="-5"/>
              </w:rPr>
              <w:t>上年结转）</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11</w:t>
            </w:r>
          </w:hyperlink>
        </w:p>
        <w:p>
          <w:pPr>
            <w:ind w:left="640"/>
            <w:spacing w:before="121" w:line="219" w:lineRule="auto"/>
            <w:tabs>
              <w:tab w:val="right" w:leader="dot" w:pos="9235"/>
            </w:tabs>
            <w:rPr>
              <w:rFonts w:ascii="FangSong" w:hAnsi="FangSong" w:eastAsia="FangSong" w:cs="FangSong"/>
              <w:sz w:val="32"/>
              <w:szCs w:val="32"/>
            </w:rPr>
          </w:pPr>
          <w:hyperlink w:history="true" w:anchor="bookmark12">
            <w:r>
              <w:rPr>
                <w:rFonts w:ascii="FangSong" w:hAnsi="FangSong" w:eastAsia="FangSong" w:cs="FangSong"/>
                <w:sz w:val="32"/>
                <w:szCs w:val="32"/>
                <w:spacing w:val="-1"/>
              </w:rPr>
              <w:t>表七2025年政府性基金预算收入表（不含上年结转）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12</w:t>
            </w:r>
          </w:hyperlink>
        </w:p>
        <w:p>
          <w:pPr>
            <w:ind w:left="640"/>
            <w:spacing w:before="120" w:line="219" w:lineRule="auto"/>
            <w:tabs>
              <w:tab w:val="right" w:leader="dot" w:pos="9235"/>
            </w:tabs>
            <w:rPr>
              <w:rFonts w:ascii="FangSong" w:hAnsi="FangSong" w:eastAsia="FangSong" w:cs="FangSong"/>
              <w:sz w:val="32"/>
              <w:szCs w:val="32"/>
            </w:rPr>
          </w:pPr>
          <w:hyperlink w:history="true" w:anchor="bookmark13">
            <w:r>
              <w:rPr>
                <w:rFonts w:ascii="FangSong" w:hAnsi="FangSong" w:eastAsia="FangSong" w:cs="FangSong"/>
                <w:sz w:val="32"/>
                <w:szCs w:val="32"/>
                <w:spacing w:val="-1"/>
              </w:rPr>
              <w:t>表八2025年政府性基金预算支出表（不含上年结转）</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61"/>
              </w:rPr>
              <w:t xml:space="preserve"> </w:t>
            </w:r>
            <w:r>
              <w:rPr>
                <w:rFonts w:ascii="FangSong" w:hAnsi="FangSong" w:eastAsia="FangSong" w:cs="FangSong"/>
                <w:sz w:val="32"/>
                <w:szCs w:val="32"/>
                <w:spacing w:val="-18"/>
              </w:rPr>
              <w:t>13</w:t>
            </w:r>
          </w:hyperlink>
        </w:p>
      </w:sdtContent>
    </w:sdt>
    <w:p>
      <w:pPr>
        <w:ind w:left="11" w:right="19" w:firstLine="628"/>
        <w:spacing w:before="122" w:line="288" w:lineRule="auto"/>
        <w:rPr>
          <w:rFonts w:ascii="FangSong" w:hAnsi="FangSong" w:eastAsia="FangSong" w:cs="FangSong"/>
          <w:sz w:val="32"/>
          <w:szCs w:val="32"/>
        </w:rPr>
      </w:pPr>
      <w:r>
        <w:rPr>
          <w:rFonts w:ascii="FangSong" w:hAnsi="FangSong" w:eastAsia="FangSong" w:cs="FangSong"/>
          <w:sz w:val="32"/>
          <w:szCs w:val="32"/>
          <w:spacing w:val="-1"/>
        </w:rPr>
        <w:t>表九2025年国有资本经营预算收支预算表（不含上年结转）</w:t>
      </w:r>
      <w:r>
        <w:rPr>
          <w:rFonts w:ascii="FangSong" w:hAnsi="FangSong" w:eastAsia="FangSong" w:cs="FangSong"/>
          <w:sz w:val="32"/>
          <w:szCs w:val="32"/>
          <w:spacing w:val="-109"/>
        </w:rPr>
        <w:t xml:space="preserve"> </w:t>
      </w:r>
      <w:r>
        <w:rPr>
          <w:sz w:val="32"/>
          <w:szCs w:val="32"/>
        </w:rPr>
        <w:drawing>
          <wp:inline distT="0" distB="0" distL="0" distR="0">
            <wp:extent cx="147781" cy="12700"/>
            <wp:effectExtent l="0" t="0" r="0" b="0"/>
            <wp:docPr id="2" name="IM 2"/>
            <wp:cNvGraphicFramePr/>
            <a:graphic>
              <a:graphicData uri="http://schemas.openxmlformats.org/drawingml/2006/picture">
                <pic:pic>
                  <pic:nvPicPr>
                    <pic:cNvPr id="2" name="IM 2"/>
                    <pic:cNvPicPr/>
                  </pic:nvPicPr>
                  <pic:blipFill>
                    <a:blip r:embed="rId1"/>
                    <a:stretch>
                      <a:fillRect/>
                    </a:stretch>
                  </pic:blipFill>
                  <pic:spPr>
                    <a:xfrm rot="0">
                      <a:off x="0" y="0"/>
                      <a:ext cx="147781" cy="12700"/>
                    </a:xfrm>
                    <a:prstGeom prst="rect">
                      <a:avLst/>
                    </a:prstGeom>
                  </pic:spPr>
                </pic:pic>
              </a:graphicData>
            </a:graphic>
          </wp:inline>
        </w:drawing>
      </w:r>
      <w:r>
        <w:rPr>
          <w:rFonts w:ascii="FangSong" w:hAnsi="FangSong" w:eastAsia="FangSong" w:cs="FangSong"/>
          <w:sz w:val="32"/>
          <w:szCs w:val="32"/>
        </w:rPr>
        <w:t xml:space="preserve"> </w:t>
      </w:r>
      <w:r>
        <w:rPr>
          <w:rFonts w:ascii="FangSong" w:hAnsi="FangSong" w:eastAsia="FangSong" w:cs="FangSong"/>
          <w:sz w:val="32"/>
          <w:szCs w:val="32"/>
          <w:spacing w:val="-9"/>
        </w:rPr>
        <w:t>14</w:t>
      </w: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40"/>
            <w:spacing w:before="1" w:line="221" w:lineRule="auto"/>
            <w:tabs>
              <w:tab w:val="right" w:leader="dot" w:pos="9235"/>
            </w:tabs>
            <w:rPr>
              <w:rFonts w:ascii="FangSong" w:hAnsi="FangSong" w:eastAsia="FangSong" w:cs="FangSong"/>
              <w:sz w:val="32"/>
              <w:szCs w:val="32"/>
            </w:rPr>
          </w:pPr>
          <w:hyperlink w:history="true" w:anchor="bookmark14">
            <w:r>
              <w:rPr>
                <w:rFonts w:ascii="FangSong" w:hAnsi="FangSong" w:eastAsia="FangSong" w:cs="FangSong"/>
                <w:sz w:val="32"/>
                <w:szCs w:val="32"/>
                <w:spacing w:val="-1"/>
              </w:rPr>
              <w:t>表十2025年财政拨款安排“三公”经费支出预算表</w:t>
            </w:r>
            <w:r>
              <w:rPr>
                <w:rFonts w:ascii="FangSong" w:hAnsi="FangSong" w:eastAsia="FangSong" w:cs="FangSong"/>
                <w:sz w:val="32"/>
                <w:szCs w:val="32"/>
                <w:spacing w:val="-111"/>
              </w:rPr>
              <w:t xml:space="preserve"> </w:t>
            </w:r>
            <w:r>
              <w:rPr>
                <w:rFonts w:ascii="FangSong" w:hAnsi="FangSong" w:eastAsia="FangSong" w:cs="FangSong"/>
                <w:sz w:val="32"/>
                <w:szCs w:val="32"/>
              </w:rPr>
              <w:tab/>
            </w:r>
            <w:r>
              <w:rPr>
                <w:rFonts w:ascii="FangSong" w:hAnsi="FangSong" w:eastAsia="FangSong" w:cs="FangSong"/>
                <w:sz w:val="32"/>
                <w:szCs w:val="32"/>
                <w:spacing w:val="-46"/>
              </w:rPr>
              <w:t xml:space="preserve"> </w:t>
            </w:r>
            <w:r>
              <w:rPr>
                <w:rFonts w:ascii="FangSong" w:hAnsi="FangSong" w:eastAsia="FangSong" w:cs="FangSong"/>
                <w:sz w:val="32"/>
                <w:szCs w:val="32"/>
                <w:spacing w:val="-23"/>
              </w:rPr>
              <w:t>1</w:t>
            </w:r>
            <w:r>
              <w:rPr>
                <w:rFonts w:ascii="FangSong" w:hAnsi="FangSong" w:eastAsia="FangSong" w:cs="FangSong"/>
                <w:sz w:val="32"/>
                <w:szCs w:val="32"/>
                <w:spacing w:val="-13"/>
              </w:rPr>
              <w:t>4</w:t>
            </w:r>
          </w:hyperlink>
        </w:p>
        <w:p>
          <w:pPr>
            <w:ind w:left="640"/>
            <w:spacing w:before="116" w:line="221" w:lineRule="auto"/>
            <w:tabs>
              <w:tab w:val="right" w:leader="dot" w:pos="9235"/>
            </w:tabs>
            <w:rPr>
              <w:rFonts w:ascii="FangSong" w:hAnsi="FangSong" w:eastAsia="FangSong" w:cs="FangSong"/>
              <w:sz w:val="32"/>
              <w:szCs w:val="32"/>
            </w:rPr>
          </w:pPr>
          <w:hyperlink w:history="true" w:anchor="bookmark15">
            <w:r>
              <w:rPr>
                <w:rFonts w:ascii="FangSong" w:hAnsi="FangSong" w:eastAsia="FangSong" w:cs="FangSong"/>
                <w:sz w:val="32"/>
                <w:szCs w:val="32"/>
                <w:spacing w:val="-1"/>
              </w:rPr>
              <w:t>表十一2025年财政拨款安排机关运行经费预</w:t>
            </w:r>
            <w:r>
              <w:rPr>
                <w:rFonts w:ascii="FangSong" w:hAnsi="FangSong" w:eastAsia="FangSong" w:cs="FangSong"/>
                <w:sz w:val="32"/>
                <w:szCs w:val="32"/>
                <w:spacing w:val="-2"/>
              </w:rPr>
              <w:t>算表</w:t>
            </w:r>
            <w:r>
              <w:rPr>
                <w:rFonts w:ascii="FangSong" w:hAnsi="FangSong" w:eastAsia="FangSong" w:cs="FangSong"/>
                <w:sz w:val="32"/>
                <w:szCs w:val="32"/>
                <w:spacing w:val="-125"/>
              </w:rPr>
              <w:t xml:space="preserve"> </w:t>
            </w:r>
            <w:r>
              <w:rPr>
                <w:rFonts w:ascii="FangSong" w:hAnsi="FangSong" w:eastAsia="FangSong" w:cs="FangSong"/>
                <w:sz w:val="32"/>
                <w:szCs w:val="32"/>
              </w:rPr>
              <w:tab/>
            </w:r>
            <w:r>
              <w:rPr>
                <w:rFonts w:ascii="FangSong" w:hAnsi="FangSong" w:eastAsia="FangSong" w:cs="FangSong"/>
                <w:sz w:val="32"/>
                <w:szCs w:val="32"/>
                <w:spacing w:val="-30"/>
              </w:rPr>
              <w:t xml:space="preserve"> </w:t>
            </w:r>
            <w:r>
              <w:rPr>
                <w:rFonts w:ascii="FangSong" w:hAnsi="FangSong" w:eastAsia="FangSong" w:cs="FangSong"/>
                <w:sz w:val="32"/>
                <w:szCs w:val="32"/>
                <w:spacing w:val="-18"/>
              </w:rPr>
              <w:t>15</w:t>
            </w:r>
          </w:hyperlink>
        </w:p>
        <w:p>
          <w:pPr>
            <w:ind w:left="640"/>
            <w:spacing w:before="117" w:line="222" w:lineRule="auto"/>
            <w:tabs>
              <w:tab w:val="right" w:leader="dot" w:pos="9235"/>
            </w:tabs>
            <w:rPr>
              <w:rFonts w:ascii="FangSong" w:hAnsi="FangSong" w:eastAsia="FangSong" w:cs="FangSong"/>
              <w:sz w:val="32"/>
              <w:szCs w:val="32"/>
            </w:rPr>
          </w:pPr>
          <w:hyperlink w:history="true" w:anchor="bookmark16">
            <w:r>
              <w:rPr>
                <w:rFonts w:ascii="FangSong" w:hAnsi="FangSong" w:eastAsia="FangSong" w:cs="FangSong"/>
                <w:sz w:val="32"/>
                <w:szCs w:val="32"/>
                <w:spacing w:val="-2"/>
              </w:rPr>
              <w:t>表十二2025年项目支出预算表（本年预算）</w:t>
            </w:r>
            <w:r>
              <w:rPr>
                <w:rFonts w:ascii="FangSong" w:hAnsi="FangSong" w:eastAsia="FangSong" w:cs="FangSong"/>
                <w:sz w:val="32"/>
                <w:szCs w:val="32"/>
                <w:spacing w:val="-108"/>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16</w:t>
            </w:r>
          </w:hyperlink>
        </w:p>
        <w:p>
          <w:pPr>
            <w:ind w:left="640"/>
            <w:spacing w:before="115" w:line="219" w:lineRule="auto"/>
            <w:tabs>
              <w:tab w:val="right" w:leader="dot" w:pos="9235"/>
            </w:tabs>
            <w:rPr>
              <w:rFonts w:ascii="FangSong" w:hAnsi="FangSong" w:eastAsia="FangSong" w:cs="FangSong"/>
              <w:sz w:val="32"/>
              <w:szCs w:val="32"/>
            </w:rPr>
          </w:pPr>
          <w:hyperlink w:history="true" w:anchor="bookmark17">
            <w:r>
              <w:rPr>
                <w:rFonts w:ascii="FangSong" w:hAnsi="FangSong" w:eastAsia="FangSong" w:cs="FangSong"/>
                <w:sz w:val="32"/>
                <w:szCs w:val="32"/>
                <w:spacing w:val="-2"/>
              </w:rPr>
              <w:t>表十三2025年项目支出预算表（上年结转）</w:t>
            </w:r>
            <w:r>
              <w:rPr>
                <w:rFonts w:ascii="FangSong" w:hAnsi="FangSong" w:eastAsia="FangSong" w:cs="FangSong"/>
                <w:sz w:val="32"/>
                <w:szCs w:val="32"/>
                <w:spacing w:val="-93"/>
              </w:rPr>
              <w:t xml:space="preserve"> </w:t>
            </w:r>
            <w:r>
              <w:rPr>
                <w:rFonts w:ascii="FangSong" w:hAnsi="FangSong" w:eastAsia="FangSong" w:cs="FangSong"/>
                <w:sz w:val="32"/>
                <w:szCs w:val="32"/>
              </w:rPr>
              <w:tab/>
            </w:r>
            <w:r>
              <w:rPr>
                <w:rFonts w:ascii="FangSong" w:hAnsi="FangSong" w:eastAsia="FangSong" w:cs="FangSong"/>
                <w:sz w:val="32"/>
                <w:szCs w:val="32"/>
                <w:spacing w:val="-105"/>
              </w:rPr>
              <w:t xml:space="preserve"> </w:t>
            </w:r>
            <w:r>
              <w:rPr>
                <w:rFonts w:ascii="FangSong" w:hAnsi="FangSong" w:eastAsia="FangSong" w:cs="FangSong"/>
                <w:sz w:val="32"/>
                <w:szCs w:val="32"/>
                <w:spacing w:val="-18"/>
              </w:rPr>
              <w:t>18</w:t>
            </w:r>
          </w:hyperlink>
        </w:p>
        <w:p>
          <w:pPr>
            <w:ind w:left="11"/>
            <w:spacing w:before="120" w:line="222" w:lineRule="auto"/>
            <w:tabs>
              <w:tab w:val="right" w:leader="dot" w:pos="9235"/>
            </w:tabs>
            <w:rPr>
              <w:rFonts w:ascii="FangSong" w:hAnsi="FangSong" w:eastAsia="FangSong" w:cs="FangSong"/>
              <w:sz w:val="32"/>
              <w:szCs w:val="32"/>
            </w:rPr>
          </w:pPr>
          <w:hyperlink w:history="true" w:anchor="bookmark18">
            <w:r>
              <w:rPr>
                <w:rFonts w:ascii="FangSong" w:hAnsi="FangSong" w:eastAsia="FangSong" w:cs="FangSong"/>
                <w:sz w:val="32"/>
                <w:szCs w:val="32"/>
                <w:b/>
                <w:bCs/>
                <w:spacing w:val="-5"/>
              </w:rPr>
              <w:t>第三部分</w:t>
            </w:r>
            <w:r>
              <w:rPr>
                <w:rFonts w:ascii="FangSong" w:hAnsi="FangSong" w:eastAsia="FangSong" w:cs="FangSong"/>
                <w:sz w:val="32"/>
                <w:szCs w:val="32"/>
                <w:spacing w:val="-5"/>
              </w:rPr>
              <w:t xml:space="preserve">  </w:t>
            </w:r>
            <w:r>
              <w:rPr>
                <w:rFonts w:ascii="FangSong" w:hAnsi="FangSong" w:eastAsia="FangSong" w:cs="FangSong"/>
                <w:sz w:val="32"/>
                <w:szCs w:val="32"/>
                <w:b/>
                <w:bCs/>
                <w:spacing w:val="-5"/>
              </w:rPr>
              <w:t>2025年度部门预算情况说明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0"/>
              </w:rPr>
              <w:t xml:space="preserve"> </w:t>
            </w:r>
            <w:r>
              <w:rPr>
                <w:rFonts w:ascii="FangSong" w:hAnsi="FangSong" w:eastAsia="FangSong" w:cs="FangSong"/>
                <w:sz w:val="32"/>
                <w:szCs w:val="32"/>
                <w:b/>
                <w:bCs/>
                <w:spacing w:val="-23"/>
              </w:rPr>
              <w:t>1</w:t>
            </w:r>
            <w:r>
              <w:rPr>
                <w:rFonts w:ascii="FangSong" w:hAnsi="FangSong" w:eastAsia="FangSong" w:cs="FangSong"/>
                <w:sz w:val="32"/>
                <w:szCs w:val="32"/>
                <w:b/>
                <w:bCs/>
                <w:spacing w:val="-19"/>
              </w:rPr>
              <w:t>9</w:t>
            </w:r>
          </w:hyperlink>
        </w:p>
        <w:p>
          <w:pPr>
            <w:ind w:left="642"/>
            <w:spacing w:before="115" w:line="222" w:lineRule="auto"/>
            <w:tabs>
              <w:tab w:val="right" w:leader="dot" w:pos="9235"/>
            </w:tabs>
            <w:rPr>
              <w:rFonts w:ascii="FangSong" w:hAnsi="FangSong" w:eastAsia="FangSong" w:cs="FangSong"/>
              <w:sz w:val="32"/>
              <w:szCs w:val="32"/>
            </w:rPr>
          </w:pPr>
          <w:hyperlink w:history="true" w:anchor="bookmark19">
            <w:r>
              <w:rPr>
                <w:rFonts w:ascii="FangSong" w:hAnsi="FangSong" w:eastAsia="FangSong" w:cs="FangSong"/>
                <w:sz w:val="32"/>
                <w:szCs w:val="32"/>
                <w:spacing w:val="-5"/>
              </w:rPr>
              <w:t>一、部门预算收支数据变动情况及原因</w:t>
            </w:r>
            <w:r>
              <w:rPr>
                <w:rFonts w:ascii="FangSong" w:hAnsi="FangSong" w:eastAsia="FangSong" w:cs="FangSong"/>
                <w:sz w:val="32"/>
                <w:szCs w:val="32"/>
                <w:spacing w:val="-5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19</w:t>
            </w:r>
          </w:hyperlink>
        </w:p>
        <w:p>
          <w:pPr>
            <w:ind w:left="647"/>
            <w:spacing w:before="116" w:line="222" w:lineRule="auto"/>
            <w:tabs>
              <w:tab w:val="right" w:leader="dot" w:pos="9235"/>
            </w:tabs>
            <w:rPr>
              <w:rFonts w:ascii="FangSong" w:hAnsi="FangSong" w:eastAsia="FangSong" w:cs="FangSong"/>
              <w:sz w:val="32"/>
              <w:szCs w:val="32"/>
            </w:rPr>
          </w:pPr>
          <w:hyperlink w:history="true" w:anchor="bookmark20">
            <w:r>
              <w:rPr>
                <w:rFonts w:ascii="FangSong" w:hAnsi="FangSong" w:eastAsia="FangSong" w:cs="FangSong"/>
                <w:sz w:val="32"/>
                <w:szCs w:val="32"/>
                <w:spacing w:val="-4"/>
              </w:rPr>
              <w:t>二、收入预算情况说明</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19</w:t>
            </w:r>
          </w:hyperlink>
        </w:p>
        <w:p>
          <w:pPr>
            <w:ind w:left="646"/>
            <w:spacing w:before="115" w:line="222" w:lineRule="auto"/>
            <w:tabs>
              <w:tab w:val="right" w:leader="dot" w:pos="9235"/>
            </w:tabs>
            <w:rPr>
              <w:rFonts w:ascii="FangSong" w:hAnsi="FangSong" w:eastAsia="FangSong" w:cs="FangSong"/>
              <w:sz w:val="32"/>
              <w:szCs w:val="32"/>
            </w:rPr>
          </w:pPr>
          <w:hyperlink w:history="true" w:anchor="bookmark21">
            <w:r>
              <w:rPr>
                <w:rFonts w:ascii="FangSong" w:hAnsi="FangSong" w:eastAsia="FangSong" w:cs="FangSong"/>
                <w:sz w:val="32"/>
                <w:szCs w:val="32"/>
                <w:spacing w:val="-4"/>
              </w:rPr>
              <w:t>三、支出预算情况说明</w:t>
            </w:r>
            <w:r>
              <w:rPr>
                <w:rFonts w:ascii="FangSong" w:hAnsi="FangSong" w:eastAsia="FangSong" w:cs="FangSong"/>
                <w:sz w:val="32"/>
                <w:szCs w:val="32"/>
                <w:spacing w:val="-117"/>
              </w:rPr>
              <w:t xml:space="preserve"> </w:t>
            </w:r>
            <w:r>
              <w:rPr>
                <w:rFonts w:ascii="FangSong" w:hAnsi="FangSong" w:eastAsia="FangSong" w:cs="FangSong"/>
                <w:sz w:val="32"/>
                <w:szCs w:val="32"/>
              </w:rPr>
              <w:tab/>
            </w:r>
            <w:r>
              <w:rPr>
                <w:rFonts w:ascii="FangSong" w:hAnsi="FangSong" w:eastAsia="FangSong" w:cs="FangSong"/>
                <w:sz w:val="32"/>
                <w:szCs w:val="32"/>
                <w:spacing w:val="-90"/>
              </w:rPr>
              <w:t xml:space="preserve"> </w:t>
            </w:r>
            <w:r>
              <w:rPr>
                <w:rFonts w:ascii="FangSong" w:hAnsi="FangSong" w:eastAsia="FangSong" w:cs="FangSong"/>
                <w:sz w:val="32"/>
                <w:szCs w:val="32"/>
                <w:spacing w:val="-18"/>
              </w:rPr>
              <w:t>19</w:t>
            </w:r>
          </w:hyperlink>
        </w:p>
        <w:p>
          <w:pPr>
            <w:ind w:left="675"/>
            <w:spacing w:before="115" w:line="222" w:lineRule="auto"/>
            <w:tabs>
              <w:tab w:val="right" w:leader="dot" w:pos="9235"/>
            </w:tabs>
            <w:rPr>
              <w:rFonts w:ascii="FangSong" w:hAnsi="FangSong" w:eastAsia="FangSong" w:cs="FangSong"/>
              <w:sz w:val="32"/>
              <w:szCs w:val="32"/>
            </w:rPr>
          </w:pPr>
          <w:hyperlink w:history="true" w:anchor="bookmark22">
            <w:r>
              <w:rPr>
                <w:rFonts w:ascii="FangSong" w:hAnsi="FangSong" w:eastAsia="FangSong" w:cs="FangSong"/>
                <w:sz w:val="32"/>
                <w:szCs w:val="32"/>
                <w:spacing w:val="-4"/>
              </w:rPr>
              <w:t>四、财政拨款收支预算总体情况说明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75"/>
              </w:rPr>
              <w:t xml:space="preserve"> </w:t>
            </w:r>
            <w:r>
              <w:rPr>
                <w:rFonts w:ascii="FangSong" w:hAnsi="FangSong" w:eastAsia="FangSong" w:cs="FangSong"/>
                <w:sz w:val="32"/>
                <w:szCs w:val="32"/>
                <w:spacing w:val="-18"/>
              </w:rPr>
              <w:t>19</w:t>
            </w:r>
          </w:hyperlink>
        </w:p>
        <w:p>
          <w:pPr>
            <w:ind w:left="642"/>
            <w:spacing w:before="115" w:line="222" w:lineRule="auto"/>
            <w:tabs>
              <w:tab w:val="right" w:leader="dot" w:pos="9235"/>
            </w:tabs>
            <w:rPr>
              <w:rFonts w:ascii="FangSong" w:hAnsi="FangSong" w:eastAsia="FangSong" w:cs="FangSong"/>
              <w:sz w:val="32"/>
              <w:szCs w:val="32"/>
            </w:rPr>
          </w:pPr>
          <w:hyperlink w:history="true" w:anchor="bookmark23">
            <w:r>
              <w:rPr>
                <w:rFonts w:ascii="FangSong" w:hAnsi="FangSong" w:eastAsia="FangSong" w:cs="FangSong"/>
                <w:sz w:val="32"/>
                <w:szCs w:val="32"/>
                <w:spacing w:val="-2"/>
              </w:rPr>
              <w:t>五、一般公共预算支出情况说明</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45"/>
              </w:rPr>
              <w:t xml:space="preserve"> </w:t>
            </w:r>
            <w:r>
              <w:rPr>
                <w:rFonts w:ascii="FangSong" w:hAnsi="FangSong" w:eastAsia="FangSong" w:cs="FangSong"/>
                <w:sz w:val="32"/>
                <w:szCs w:val="32"/>
                <w:spacing w:val="-18"/>
              </w:rPr>
              <w:t>19</w:t>
            </w:r>
          </w:hyperlink>
        </w:p>
        <w:p>
          <w:pPr>
            <w:ind w:left="640"/>
            <w:spacing w:before="115" w:line="222" w:lineRule="auto"/>
            <w:tabs>
              <w:tab w:val="right" w:leader="dot" w:pos="9235"/>
            </w:tabs>
            <w:rPr>
              <w:rFonts w:ascii="FangSong" w:hAnsi="FangSong" w:eastAsia="FangSong" w:cs="FangSong"/>
              <w:sz w:val="32"/>
              <w:szCs w:val="32"/>
            </w:rPr>
          </w:pPr>
          <w:hyperlink w:history="true" w:anchor="bookmark24">
            <w:r>
              <w:rPr>
                <w:rFonts w:ascii="FangSong" w:hAnsi="FangSong" w:eastAsia="FangSong" w:cs="FangSong"/>
                <w:sz w:val="32"/>
                <w:szCs w:val="32"/>
                <w:spacing w:val="-2"/>
              </w:rPr>
              <w:t>六、一般公共预算基本支出情况说明</w:t>
            </w:r>
            <w:r>
              <w:rPr>
                <w:rFonts w:ascii="FangSong" w:hAnsi="FangSong" w:eastAsia="FangSong" w:cs="FangSong"/>
                <w:sz w:val="32"/>
                <w:szCs w:val="32"/>
                <w:spacing w:val="-118"/>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20</w:t>
            </w:r>
          </w:hyperlink>
        </w:p>
        <w:p>
          <w:pPr>
            <w:ind w:left="643"/>
            <w:spacing w:before="116" w:line="223" w:lineRule="auto"/>
            <w:tabs>
              <w:tab w:val="right" w:leader="dot" w:pos="9235"/>
            </w:tabs>
            <w:rPr>
              <w:rFonts w:ascii="FangSong" w:hAnsi="FangSong" w:eastAsia="FangSong" w:cs="FangSong"/>
              <w:sz w:val="32"/>
              <w:szCs w:val="32"/>
            </w:rPr>
          </w:pPr>
          <w:hyperlink w:history="true" w:anchor="bookmark25">
            <w:r>
              <w:rPr>
                <w:rFonts w:ascii="FangSong" w:hAnsi="FangSong" w:eastAsia="FangSong" w:cs="FangSong"/>
                <w:sz w:val="32"/>
                <w:szCs w:val="32"/>
                <w:spacing w:val="-2"/>
              </w:rPr>
              <w:t>七、“三公”经费增减变动原因说明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20</w:t>
            </w:r>
          </w:hyperlink>
        </w:p>
        <w:p>
          <w:pPr>
            <w:ind w:left="636"/>
            <w:spacing w:before="114" w:line="221" w:lineRule="auto"/>
            <w:tabs>
              <w:tab w:val="right" w:leader="dot" w:pos="9235"/>
            </w:tabs>
            <w:rPr>
              <w:rFonts w:ascii="FangSong" w:hAnsi="FangSong" w:eastAsia="FangSong" w:cs="FangSong"/>
              <w:sz w:val="32"/>
              <w:szCs w:val="32"/>
            </w:rPr>
          </w:pPr>
          <w:hyperlink w:history="true" w:anchor="bookmark26">
            <w:r>
              <w:rPr>
                <w:rFonts w:ascii="FangSong" w:hAnsi="FangSong" w:eastAsia="FangSong" w:cs="FangSong"/>
                <w:sz w:val="32"/>
                <w:szCs w:val="32"/>
                <w:spacing w:val="-2"/>
              </w:rPr>
              <w:t>八、机关运行经费增减变动原因说明</w:t>
            </w:r>
            <w:r>
              <w:rPr>
                <w:rFonts w:ascii="FangSong" w:hAnsi="FangSong" w:eastAsia="FangSong" w:cs="FangSong"/>
                <w:sz w:val="32"/>
                <w:szCs w:val="32"/>
                <w:spacing w:val="-100"/>
              </w:rPr>
              <w:t xml:space="preserve"> </w:t>
            </w:r>
            <w:r>
              <w:rPr>
                <w:rFonts w:ascii="FangSong" w:hAnsi="FangSong" w:eastAsia="FangSong" w:cs="FangSong"/>
                <w:sz w:val="32"/>
                <w:szCs w:val="32"/>
              </w:rPr>
              <w:tab/>
            </w:r>
            <w:r>
              <w:rPr>
                <w:rFonts w:ascii="FangSong" w:hAnsi="FangSong" w:eastAsia="FangSong" w:cs="FangSong"/>
                <w:sz w:val="32"/>
                <w:szCs w:val="32"/>
                <w:spacing w:val="-95"/>
              </w:rPr>
              <w:t xml:space="preserve"> </w:t>
            </w:r>
            <w:r>
              <w:rPr>
                <w:rFonts w:ascii="FangSong" w:hAnsi="FangSong" w:eastAsia="FangSong" w:cs="FangSong"/>
                <w:sz w:val="32"/>
                <w:szCs w:val="32"/>
                <w:spacing w:val="-8"/>
              </w:rPr>
              <w:t>20</w:t>
            </w:r>
          </w:hyperlink>
        </w:p>
      </w:sdtContent>
    </w:sdt>
    <w:p>
      <w:pPr>
        <w:spacing w:line="221" w:lineRule="auto"/>
        <w:sectPr>
          <w:pgSz w:w="11900" w:h="16840"/>
          <w:pgMar w:top="938" w:right="1320" w:bottom="0" w:left="1343" w:header="0" w:footer="0" w:gutter="0"/>
        </w:sectPr>
        <w:rPr>
          <w:rFonts w:ascii="FangSong" w:hAnsi="FangSong" w:eastAsia="FangSong" w:cs="FangSong"/>
          <w:sz w:val="32"/>
          <w:szCs w:val="32"/>
        </w:rPr>
      </w:pPr>
    </w:p>
    <w:sdt>
      <w:sdtPr>
        <w:rPr>
          <w:rFonts w:ascii="FangSong" w:hAnsi="FangSong" w:eastAsia="FangSong" w:cs="FangSong"/>
          <w:sz w:val="32"/>
          <w:szCs w:val="32"/>
        </w:rPr>
        <w:docPartObj>
          <w:docPartGallery w:val="Table of Contents"/>
          <w:docPartUnique/>
        </w:docPartObj>
      </w:sdtPr>
      <w:sdtEndPr>
        <w:rPr>
          <w:rFonts w:ascii="FangSong" w:hAnsi="FangSong" w:eastAsia="FangSong" w:cs="FangSong"/>
          <w:sz w:val="32"/>
          <w:szCs w:val="32"/>
        </w:rPr>
      </w:sdtEndPr>
      <w:sdtContent>
        <w:p>
          <w:pPr>
            <w:ind w:left="637"/>
            <w:spacing w:before="66" w:line="222" w:lineRule="auto"/>
            <w:tabs>
              <w:tab w:val="right" w:leader="dot" w:pos="9225"/>
            </w:tabs>
            <w:rPr>
              <w:rFonts w:ascii="FangSong" w:hAnsi="FangSong" w:eastAsia="FangSong" w:cs="FangSong"/>
              <w:sz w:val="32"/>
              <w:szCs w:val="32"/>
            </w:rPr>
          </w:pPr>
          <w:bookmarkStart w:name="bookmark27" w:id="1"/>
          <w:bookmarkEnd w:id="1"/>
          <w:hyperlink w:history="true" w:anchor="bookmark28">
            <w:r>
              <w:rPr>
                <w:rFonts w:ascii="FangSong" w:hAnsi="FangSong" w:eastAsia="FangSong" w:cs="FangSong"/>
                <w:sz w:val="32"/>
                <w:szCs w:val="32"/>
                <w:spacing w:val="-5"/>
              </w:rPr>
              <w:t>九、政府采购情况</w:t>
            </w:r>
            <w:r>
              <w:rPr>
                <w:rFonts w:ascii="FangSong" w:hAnsi="FangSong" w:eastAsia="FangSong" w:cs="FangSong"/>
                <w:sz w:val="32"/>
                <w:szCs w:val="32"/>
                <w:spacing w:val="-104"/>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20</w:t>
            </w:r>
          </w:hyperlink>
        </w:p>
        <w:p>
          <w:pPr>
            <w:ind w:left="635"/>
            <w:spacing w:before="115" w:line="222" w:lineRule="auto"/>
            <w:tabs>
              <w:tab w:val="right" w:leader="dot" w:pos="9225"/>
            </w:tabs>
            <w:rPr>
              <w:rFonts w:ascii="FangSong" w:hAnsi="FangSong" w:eastAsia="FangSong" w:cs="FangSong"/>
              <w:sz w:val="32"/>
              <w:szCs w:val="32"/>
            </w:rPr>
          </w:pPr>
          <w:hyperlink w:history="true" w:anchor="bookmark29">
            <w:r>
              <w:rPr>
                <w:rFonts w:ascii="FangSong" w:hAnsi="FangSong" w:eastAsia="FangSong" w:cs="FangSong"/>
                <w:sz w:val="32"/>
                <w:szCs w:val="32"/>
                <w:spacing w:val="-4"/>
              </w:rPr>
              <w:t>十、绩效管理情况</w:t>
            </w:r>
            <w:r>
              <w:rPr>
                <w:rFonts w:ascii="FangSong" w:hAnsi="FangSong" w:eastAsia="FangSong" w:cs="FangSong"/>
                <w:sz w:val="32"/>
                <w:szCs w:val="32"/>
                <w:spacing w:val="-110"/>
              </w:rPr>
              <w:t xml:space="preserve"> </w:t>
            </w:r>
            <w:r>
              <w:rPr>
                <w:rFonts w:ascii="FangSong" w:hAnsi="FangSong" w:eastAsia="FangSong" w:cs="FangSong"/>
                <w:sz w:val="32"/>
                <w:szCs w:val="32"/>
              </w:rPr>
              <w:tab/>
            </w:r>
            <w:r>
              <w:rPr>
                <w:rFonts w:ascii="FangSong" w:hAnsi="FangSong" w:eastAsia="FangSong" w:cs="FangSong"/>
                <w:sz w:val="32"/>
                <w:szCs w:val="32"/>
                <w:spacing w:val="-80"/>
              </w:rPr>
              <w:t xml:space="preserve"> </w:t>
            </w:r>
            <w:r>
              <w:rPr>
                <w:rFonts w:ascii="FangSong" w:hAnsi="FangSong" w:eastAsia="FangSong" w:cs="FangSong"/>
                <w:sz w:val="32"/>
                <w:szCs w:val="32"/>
                <w:spacing w:val="-8"/>
              </w:rPr>
              <w:t>20</w:t>
            </w:r>
          </w:hyperlink>
        </w:p>
        <w:p>
          <w:pPr>
            <w:ind w:left="635"/>
            <w:spacing w:before="115" w:line="222" w:lineRule="auto"/>
            <w:tabs>
              <w:tab w:val="right" w:leader="dot" w:pos="9225"/>
            </w:tabs>
            <w:rPr>
              <w:rFonts w:ascii="FangSong" w:hAnsi="FangSong" w:eastAsia="FangSong" w:cs="FangSong"/>
              <w:sz w:val="32"/>
              <w:szCs w:val="32"/>
            </w:rPr>
          </w:pPr>
          <w:hyperlink w:history="true" w:anchor="bookmark30">
            <w:r>
              <w:rPr>
                <w:rFonts w:ascii="FangSong" w:hAnsi="FangSong" w:eastAsia="FangSong" w:cs="FangSong"/>
                <w:sz w:val="32"/>
                <w:szCs w:val="32"/>
                <w:spacing w:val="-5"/>
              </w:rPr>
              <w:t>十一、国有资产占有使用情况</w:t>
            </w:r>
            <w:r>
              <w:rPr>
                <w:rFonts w:ascii="FangSong" w:hAnsi="FangSong" w:eastAsia="FangSong" w:cs="FangSong"/>
                <w:sz w:val="32"/>
                <w:szCs w:val="32"/>
                <w:spacing w:val="-137"/>
              </w:rPr>
              <w:t xml:space="preserve"> </w:t>
            </w:r>
            <w:r>
              <w:rPr>
                <w:rFonts w:ascii="FangSong" w:hAnsi="FangSong" w:eastAsia="FangSong" w:cs="FangSong"/>
                <w:sz w:val="32"/>
                <w:szCs w:val="32"/>
              </w:rPr>
              <w:tab/>
            </w:r>
            <w:r>
              <w:rPr>
                <w:rFonts w:ascii="FangSong" w:hAnsi="FangSong" w:eastAsia="FangSong" w:cs="FangSong"/>
                <w:sz w:val="32"/>
                <w:szCs w:val="32"/>
                <w:spacing w:val="-153"/>
              </w:rPr>
              <w:t xml:space="preserve"> </w:t>
            </w:r>
            <w:r>
              <w:rPr>
                <w:rFonts w:ascii="FangSong" w:hAnsi="FangSong" w:eastAsia="FangSong" w:cs="FangSong"/>
                <w:sz w:val="32"/>
                <w:szCs w:val="32"/>
                <w:spacing w:val="-9"/>
              </w:rPr>
              <w:t>53</w:t>
            </w:r>
          </w:hyperlink>
        </w:p>
        <w:p>
          <w:pPr>
            <w:ind w:left="635"/>
            <w:spacing w:before="113" w:line="222" w:lineRule="auto"/>
            <w:tabs>
              <w:tab w:val="right" w:leader="dot" w:pos="9225"/>
            </w:tabs>
            <w:rPr>
              <w:rFonts w:ascii="FangSong" w:hAnsi="FangSong" w:eastAsia="FangSong" w:cs="FangSong"/>
              <w:sz w:val="32"/>
              <w:szCs w:val="32"/>
            </w:rPr>
          </w:pPr>
          <w:hyperlink w:history="true" w:anchor="bookmark31">
            <w:r>
              <w:rPr>
                <w:rFonts w:ascii="FangSong" w:hAnsi="FangSong" w:eastAsia="FangSong" w:cs="FangSong"/>
                <w:sz w:val="32"/>
                <w:szCs w:val="32"/>
                <w:spacing w:val="-5"/>
              </w:rPr>
              <w:t>十二、其他说明</w:t>
            </w:r>
            <w:r>
              <w:rPr>
                <w:rFonts w:ascii="FangSong" w:hAnsi="FangSong" w:eastAsia="FangSong" w:cs="FangSong"/>
                <w:sz w:val="32"/>
                <w:szCs w:val="32"/>
                <w:spacing w:val="-122"/>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9"/>
              </w:rPr>
              <w:t>53</w:t>
            </w:r>
          </w:hyperlink>
        </w:p>
        <w:p>
          <w:pPr>
            <w:ind w:left="1266"/>
            <w:spacing w:before="116" w:line="220" w:lineRule="auto"/>
            <w:tabs>
              <w:tab w:val="right" w:leader="dot" w:pos="9225"/>
            </w:tabs>
            <w:rPr>
              <w:rFonts w:ascii="FangSong" w:hAnsi="FangSong" w:eastAsia="FangSong" w:cs="FangSong"/>
              <w:sz w:val="32"/>
              <w:szCs w:val="32"/>
            </w:rPr>
          </w:pPr>
          <w:hyperlink w:history="true" w:anchor="bookmark32">
            <w:r>
              <w:rPr>
                <w:rFonts w:ascii="FangSong" w:hAnsi="FangSong" w:eastAsia="FangSong" w:cs="FangSong"/>
                <w:sz w:val="32"/>
                <w:szCs w:val="32"/>
                <w:spacing w:val="-4"/>
              </w:rPr>
              <w:t>（一）政府购买服务指导性目录</w:t>
            </w:r>
            <w:r>
              <w:rPr>
                <w:rFonts w:ascii="FangSong" w:hAnsi="FangSong" w:eastAsia="FangSong" w:cs="FangSong"/>
                <w:sz w:val="32"/>
                <w:szCs w:val="32"/>
                <w:spacing w:val="-77"/>
              </w:rPr>
              <w:t xml:space="preserve"> </w:t>
            </w:r>
            <w:r>
              <w:rPr>
                <w:rFonts w:ascii="FangSong" w:hAnsi="FangSong" w:eastAsia="FangSong" w:cs="FangSong"/>
                <w:sz w:val="32"/>
                <w:szCs w:val="32"/>
              </w:rPr>
              <w:tab/>
            </w:r>
            <w:r>
              <w:rPr>
                <w:rFonts w:ascii="FangSong" w:hAnsi="FangSong" w:eastAsia="FangSong" w:cs="FangSong"/>
                <w:sz w:val="32"/>
                <w:szCs w:val="32"/>
                <w:spacing w:val="-93"/>
              </w:rPr>
              <w:t xml:space="preserve"> </w:t>
            </w:r>
            <w:r>
              <w:rPr>
                <w:rFonts w:ascii="FangSong" w:hAnsi="FangSong" w:eastAsia="FangSong" w:cs="FangSong"/>
                <w:sz w:val="32"/>
                <w:szCs w:val="32"/>
                <w:spacing w:val="-9"/>
              </w:rPr>
              <w:t>53</w:t>
            </w:r>
          </w:hyperlink>
        </w:p>
        <w:p>
          <w:pPr>
            <w:ind w:left="1266"/>
            <w:spacing w:before="117" w:line="222" w:lineRule="auto"/>
            <w:tabs>
              <w:tab w:val="right" w:leader="dot" w:pos="9225"/>
            </w:tabs>
            <w:rPr>
              <w:rFonts w:ascii="FangSong" w:hAnsi="FangSong" w:eastAsia="FangSong" w:cs="FangSong"/>
              <w:sz w:val="32"/>
              <w:szCs w:val="32"/>
            </w:rPr>
          </w:pPr>
          <w:hyperlink w:history="true" w:anchor="bookmark33">
            <w:r>
              <w:rPr>
                <w:rFonts w:ascii="FangSong" w:hAnsi="FangSong" w:eastAsia="FangSong" w:cs="FangSong"/>
                <w:sz w:val="32"/>
                <w:szCs w:val="32"/>
                <w:spacing w:val="-9"/>
              </w:rPr>
              <w:t>（二）其他</w:t>
            </w:r>
            <w:r>
              <w:rPr>
                <w:rFonts w:ascii="FangSong" w:hAnsi="FangSong" w:eastAsia="FangSong" w:cs="FangSong"/>
                <w:sz w:val="32"/>
                <w:szCs w:val="32"/>
                <w:spacing w:val="-103"/>
              </w:rPr>
              <w:t xml:space="preserve"> </w:t>
            </w:r>
            <w:r>
              <w:rPr>
                <w:rFonts w:ascii="FangSong" w:hAnsi="FangSong" w:eastAsia="FangSong" w:cs="FangSong"/>
                <w:sz w:val="32"/>
                <w:szCs w:val="32"/>
              </w:rPr>
              <w:tab/>
            </w:r>
            <w:r>
              <w:rPr>
                <w:rFonts w:ascii="FangSong" w:hAnsi="FangSong" w:eastAsia="FangSong" w:cs="FangSong"/>
                <w:sz w:val="32"/>
                <w:szCs w:val="32"/>
                <w:spacing w:val="-63"/>
              </w:rPr>
              <w:t xml:space="preserve"> </w:t>
            </w:r>
            <w:r>
              <w:rPr>
                <w:rFonts w:ascii="FangSong" w:hAnsi="FangSong" w:eastAsia="FangSong" w:cs="FangSong"/>
                <w:sz w:val="32"/>
                <w:szCs w:val="32"/>
                <w:spacing w:val="-9"/>
              </w:rPr>
              <w:t>53</w:t>
            </w:r>
          </w:hyperlink>
        </w:p>
        <w:p>
          <w:pPr>
            <w:spacing w:before="116" w:line="222" w:lineRule="auto"/>
            <w:tabs>
              <w:tab w:val="right" w:leader="dot" w:pos="9225"/>
            </w:tabs>
            <w:rPr>
              <w:rFonts w:ascii="FangSong" w:hAnsi="FangSong" w:eastAsia="FangSong" w:cs="FangSong"/>
              <w:sz w:val="32"/>
              <w:szCs w:val="32"/>
            </w:rPr>
          </w:pPr>
          <w:hyperlink w:history="true" w:anchor="bookmark34">
            <w:r>
              <w:rPr>
                <w:rFonts w:ascii="FangSong" w:hAnsi="FangSong" w:eastAsia="FangSong" w:cs="FangSong"/>
                <w:sz w:val="32"/>
                <w:szCs w:val="32"/>
                <w:b/>
                <w:bCs/>
                <w:spacing w:val="-11"/>
              </w:rPr>
              <w:t>第四部分</w:t>
            </w:r>
            <w:r>
              <w:rPr>
                <w:rFonts w:ascii="FangSong" w:hAnsi="FangSong" w:eastAsia="FangSong" w:cs="FangSong"/>
                <w:sz w:val="32"/>
                <w:szCs w:val="32"/>
                <w:spacing w:val="12"/>
              </w:rPr>
              <w:t xml:space="preserve">  </w:t>
            </w:r>
            <w:r>
              <w:rPr>
                <w:rFonts w:ascii="FangSong" w:hAnsi="FangSong" w:eastAsia="FangSong" w:cs="FangSong"/>
                <w:sz w:val="32"/>
                <w:szCs w:val="32"/>
                <w:b/>
                <w:bCs/>
                <w:spacing w:val="-11"/>
              </w:rPr>
              <w:t>名词解释</w:t>
            </w:r>
            <w:r>
              <w:rPr>
                <w:rFonts w:ascii="FangSong" w:hAnsi="FangSong" w:eastAsia="FangSong" w:cs="FangSong"/>
                <w:sz w:val="32"/>
                <w:szCs w:val="32"/>
                <w:spacing w:val="-124"/>
              </w:rPr>
              <w:t xml:space="preserve"> </w:t>
            </w:r>
            <w:r>
              <w:rPr>
                <w:rFonts w:ascii="FangSong" w:hAnsi="FangSong" w:eastAsia="FangSong" w:cs="FangSong"/>
                <w:sz w:val="32"/>
                <w:szCs w:val="32"/>
              </w:rPr>
              <w:tab/>
            </w:r>
            <w:r>
              <w:rPr>
                <w:rFonts w:ascii="FangSong" w:hAnsi="FangSong" w:eastAsia="FangSong" w:cs="FangSong"/>
                <w:sz w:val="32"/>
                <w:szCs w:val="32"/>
                <w:spacing w:val="-106"/>
              </w:rPr>
              <w:t xml:space="preserve"> </w:t>
            </w:r>
            <w:r>
              <w:rPr>
                <w:rFonts w:ascii="FangSong" w:hAnsi="FangSong" w:eastAsia="FangSong" w:cs="FangSong"/>
                <w:sz w:val="32"/>
                <w:szCs w:val="32"/>
                <w:b/>
                <w:bCs/>
                <w:spacing w:val="-15"/>
              </w:rPr>
              <w:t>112</w:t>
            </w:r>
          </w:hyperlink>
        </w:p>
      </w:sdtContent>
    </w:sdt>
    <w:p>
      <w:pPr>
        <w:spacing w:line="222" w:lineRule="auto"/>
        <w:sectPr>
          <w:pgSz w:w="11900" w:h="16840"/>
          <w:pgMar w:top="879" w:right="1320" w:bottom="0" w:left="1354" w:header="0" w:footer="0" w:gutter="0"/>
        </w:sectPr>
        <w:rPr>
          <w:rFonts w:ascii="FangSong" w:hAnsi="FangSong" w:eastAsia="FangSong" w:cs="FangSong"/>
          <w:sz w:val="32"/>
          <w:szCs w:val="32"/>
        </w:rPr>
      </w:pPr>
    </w:p>
    <w:p>
      <w:pPr>
        <w:spacing w:line="266" w:lineRule="auto"/>
        <w:rPr>
          <w:rFonts w:ascii="Arial"/>
          <w:sz w:val="21"/>
        </w:rPr>
      </w:pPr>
      <w:r/>
    </w:p>
    <w:p>
      <w:pPr>
        <w:spacing w:line="266" w:lineRule="auto"/>
        <w:rPr>
          <w:rFonts w:ascii="Arial"/>
          <w:sz w:val="21"/>
        </w:rPr>
      </w:pPr>
      <w:r/>
    </w:p>
    <w:p>
      <w:pPr>
        <w:ind w:left="4587"/>
        <w:spacing w:before="99" w:line="238" w:lineRule="exact"/>
        <w:outlineLvl w:val="0"/>
        <w:rPr>
          <w:rFonts w:ascii="Microsoft YaHei" w:hAnsi="Microsoft YaHei" w:eastAsia="Microsoft YaHei" w:cs="Microsoft YaHei"/>
          <w:sz w:val="23"/>
          <w:szCs w:val="23"/>
        </w:rPr>
      </w:pPr>
      <w:bookmarkStart w:name="bookmark1" w:id="2"/>
      <w:bookmarkEnd w:id="2"/>
      <w:r>
        <w:rPr>
          <w:rFonts w:ascii="Microsoft YaHei" w:hAnsi="Microsoft YaHei" w:eastAsia="Microsoft YaHei" w:cs="Microsoft YaHei"/>
          <w:sz w:val="23"/>
          <w:szCs w:val="23"/>
          <w:spacing w:val="15"/>
          <w:position w:val="-1"/>
        </w:rPr>
        <w:t>第一部分</w:t>
      </w:r>
      <w:r>
        <w:rPr>
          <w:rFonts w:ascii="Microsoft YaHei" w:hAnsi="Microsoft YaHei" w:eastAsia="Microsoft YaHei" w:cs="Microsoft YaHei"/>
          <w:sz w:val="23"/>
          <w:szCs w:val="23"/>
          <w:spacing w:val="15"/>
          <w:position w:val="-1"/>
        </w:rPr>
        <w:t xml:space="preserve"> </w:t>
      </w:r>
      <w:r>
        <w:rPr>
          <w:rFonts w:ascii="Microsoft YaHei" w:hAnsi="Microsoft YaHei" w:eastAsia="Microsoft YaHei" w:cs="Microsoft YaHei"/>
          <w:sz w:val="23"/>
          <w:szCs w:val="23"/>
          <w:spacing w:val="15"/>
          <w:position w:val="-1"/>
        </w:rPr>
        <w:t>概况</w:t>
      </w:r>
    </w:p>
    <w:p>
      <w:pPr>
        <w:spacing w:line="255" w:lineRule="auto"/>
        <w:rPr>
          <w:rFonts w:ascii="Arial"/>
          <w:sz w:val="21"/>
        </w:rPr>
      </w:pPr>
      <w:r/>
    </w:p>
    <w:p>
      <w:pPr>
        <w:ind w:left="913"/>
        <w:spacing w:before="78" w:line="221" w:lineRule="auto"/>
        <w:outlineLvl w:val="1"/>
        <w:rPr>
          <w:rFonts w:ascii="SimHei" w:hAnsi="SimHei" w:eastAsia="SimHei" w:cs="SimHei"/>
          <w:sz w:val="24"/>
          <w:szCs w:val="24"/>
        </w:rPr>
      </w:pPr>
      <w:bookmarkStart w:name="bookmark2" w:id="3"/>
      <w:bookmarkEnd w:id="3"/>
      <w:r>
        <w:rPr>
          <w:rFonts w:ascii="SimHei" w:hAnsi="SimHei" w:eastAsia="SimHei" w:cs="SimHei"/>
          <w:sz w:val="24"/>
          <w:szCs w:val="24"/>
          <w:spacing w:val="-4"/>
        </w:rPr>
        <w:t>一、本部门职责</w:t>
      </w:r>
    </w:p>
    <w:p>
      <w:pPr>
        <w:ind w:left="919" w:right="874" w:hanging="4"/>
        <w:spacing w:before="283" w:line="282" w:lineRule="auto"/>
        <w:rPr>
          <w:rFonts w:ascii="FangSong" w:hAnsi="FangSong" w:eastAsia="FangSong" w:cs="FangSong"/>
          <w:sz w:val="24"/>
          <w:szCs w:val="24"/>
        </w:rPr>
      </w:pPr>
      <w:r>
        <w:rPr>
          <w:rFonts w:ascii="FangSong" w:hAnsi="FangSong" w:eastAsia="FangSong" w:cs="FangSong"/>
          <w:sz w:val="24"/>
          <w:szCs w:val="24"/>
          <w:spacing w:val="7"/>
        </w:rPr>
        <w:t>（一）认真贯彻执行《城市绿化管理条例》及省、市、县关于绿化方面的政策和规</w:t>
      </w:r>
      <w:r>
        <w:rPr>
          <w:rFonts w:ascii="FangSong" w:hAnsi="FangSong" w:eastAsia="FangSong" w:cs="FangSong"/>
          <w:sz w:val="24"/>
          <w:szCs w:val="24"/>
          <w:spacing w:val="1"/>
        </w:rPr>
        <w:t>定，搞好城区绿化工作，编制本地城市绿地系统规划</w:t>
      </w:r>
      <w:r>
        <w:rPr>
          <w:rFonts w:ascii="FangSong" w:hAnsi="FangSong" w:eastAsia="FangSong" w:cs="FangSong"/>
          <w:sz w:val="24"/>
          <w:szCs w:val="24"/>
        </w:rPr>
        <w:t>、城市绿线、城市绿化审批制度</w:t>
      </w:r>
      <w:r>
        <w:rPr>
          <w:rFonts w:ascii="FangSong" w:hAnsi="FangSong" w:eastAsia="FangSong" w:cs="FangSong"/>
          <w:sz w:val="24"/>
          <w:szCs w:val="24"/>
          <w:spacing w:val="-14"/>
        </w:rPr>
        <w:t>等。</w:t>
      </w:r>
    </w:p>
    <w:p>
      <w:pPr>
        <w:ind w:left="915" w:right="874"/>
        <w:spacing w:before="98" w:line="282" w:lineRule="auto"/>
        <w:rPr>
          <w:rFonts w:ascii="FangSong" w:hAnsi="FangSong" w:eastAsia="FangSong" w:cs="FangSong"/>
          <w:sz w:val="24"/>
          <w:szCs w:val="24"/>
        </w:rPr>
      </w:pPr>
      <w:r>
        <w:rPr>
          <w:rFonts w:ascii="FangSong" w:hAnsi="FangSong" w:eastAsia="FangSong" w:cs="FangSong"/>
          <w:sz w:val="24"/>
          <w:szCs w:val="24"/>
          <w:spacing w:val="1"/>
        </w:rPr>
        <w:t>（二）参与建成区新建、改建、扩建项目附属绿化工程设计方案</w:t>
      </w:r>
      <w:r>
        <w:rPr>
          <w:rFonts w:ascii="FangSong" w:hAnsi="FangSong" w:eastAsia="FangSong" w:cs="FangSong"/>
          <w:sz w:val="24"/>
          <w:szCs w:val="24"/>
        </w:rPr>
        <w:t>的论证、审核；负责</w:t>
      </w:r>
      <w:r>
        <w:rPr>
          <w:rFonts w:ascii="FangSong" w:hAnsi="FangSong" w:eastAsia="FangSong" w:cs="FangSong"/>
          <w:sz w:val="24"/>
          <w:szCs w:val="24"/>
          <w:spacing w:val="1"/>
        </w:rPr>
        <w:t>对建成区公共绿地、居住区绿地、附属地绿地及建成区主干道绿</w:t>
      </w:r>
      <w:r>
        <w:rPr>
          <w:rFonts w:ascii="FangSong" w:hAnsi="FangSong" w:eastAsia="FangSong" w:cs="FangSong"/>
          <w:sz w:val="24"/>
          <w:szCs w:val="24"/>
        </w:rPr>
        <w:t>化规划设计方案的论</w:t>
      </w:r>
      <w:r>
        <w:rPr>
          <w:rFonts w:ascii="FangSong" w:hAnsi="FangSong" w:eastAsia="FangSong" w:cs="FangSong"/>
          <w:sz w:val="24"/>
          <w:szCs w:val="24"/>
          <w:spacing w:val="-8"/>
        </w:rPr>
        <w:t>证、审核。</w:t>
      </w:r>
    </w:p>
    <w:p>
      <w:pPr>
        <w:ind w:left="915" w:right="874"/>
        <w:spacing w:before="100" w:line="286" w:lineRule="auto"/>
        <w:rPr>
          <w:rFonts w:ascii="FangSong" w:hAnsi="FangSong" w:eastAsia="FangSong" w:cs="FangSong"/>
          <w:sz w:val="24"/>
          <w:szCs w:val="24"/>
        </w:rPr>
      </w:pPr>
      <w:r>
        <w:rPr>
          <w:rFonts w:ascii="FangSong" w:hAnsi="FangSong" w:eastAsia="FangSong" w:cs="FangSong"/>
          <w:sz w:val="24"/>
          <w:szCs w:val="24"/>
          <w:spacing w:val="1"/>
        </w:rPr>
        <w:t>（三）承担全县主交通通道、城市主干道区域绿化、城内各公园</w:t>
      </w:r>
      <w:r>
        <w:rPr>
          <w:rFonts w:ascii="FangSong" w:hAnsi="FangSong" w:eastAsia="FangSong" w:cs="FangSong"/>
          <w:sz w:val="24"/>
          <w:szCs w:val="24"/>
        </w:rPr>
        <w:t>、绿地休闲广场、街</w:t>
      </w:r>
      <w:r>
        <w:rPr>
          <w:rFonts w:ascii="FangSong" w:hAnsi="FangSong" w:eastAsia="FangSong" w:cs="FangSong"/>
          <w:sz w:val="24"/>
          <w:szCs w:val="24"/>
          <w:spacing w:val="4"/>
        </w:rPr>
        <w:t>巷绿化、沿河绿化、美化景点等工程的建设、维护和日常管理工作；</w:t>
      </w:r>
      <w:r>
        <w:rPr>
          <w:rFonts w:ascii="FangSong" w:hAnsi="FangSong" w:eastAsia="FangSong" w:cs="FangSong"/>
          <w:sz w:val="24"/>
          <w:szCs w:val="24"/>
          <w:spacing w:val="4"/>
        </w:rPr>
        <w:t xml:space="preserve"> </w:t>
      </w:r>
      <w:r>
        <w:rPr>
          <w:rFonts w:ascii="FangSong" w:hAnsi="FangSong" w:eastAsia="FangSong" w:cs="FangSong"/>
          <w:sz w:val="24"/>
          <w:szCs w:val="24"/>
          <w:spacing w:val="4"/>
        </w:rPr>
        <w:t>负责建成区绿</w:t>
      </w:r>
      <w:r>
        <w:rPr>
          <w:rFonts w:ascii="FangSong" w:hAnsi="FangSong" w:eastAsia="FangSong" w:cs="FangSong"/>
          <w:sz w:val="24"/>
          <w:szCs w:val="24"/>
          <w:spacing w:val="1"/>
        </w:rPr>
        <w:t>地的养护工作；负责辖区内绿地树木养护管理的业务督导检查和</w:t>
      </w:r>
      <w:r>
        <w:rPr>
          <w:rFonts w:ascii="FangSong" w:hAnsi="FangSong" w:eastAsia="FangSong" w:cs="FangSong"/>
          <w:sz w:val="24"/>
          <w:szCs w:val="24"/>
        </w:rPr>
        <w:t>绿化进度的统计汇总</w:t>
      </w:r>
      <w:r>
        <w:rPr>
          <w:rFonts w:ascii="FangSong" w:hAnsi="FangSong" w:eastAsia="FangSong" w:cs="FangSong"/>
          <w:sz w:val="24"/>
          <w:szCs w:val="24"/>
          <w:spacing w:val="-8"/>
        </w:rPr>
        <w:t>上报工作。</w:t>
      </w:r>
    </w:p>
    <w:p>
      <w:pPr>
        <w:ind w:left="915" w:right="875"/>
        <w:spacing w:before="118" w:line="266" w:lineRule="auto"/>
        <w:rPr>
          <w:rFonts w:ascii="FangSong" w:hAnsi="FangSong" w:eastAsia="FangSong" w:cs="FangSong"/>
          <w:sz w:val="24"/>
          <w:szCs w:val="24"/>
        </w:rPr>
      </w:pPr>
      <w:r>
        <w:rPr>
          <w:rFonts w:ascii="FangSong" w:hAnsi="FangSong" w:eastAsia="FangSong" w:cs="FangSong"/>
          <w:sz w:val="24"/>
          <w:szCs w:val="24"/>
          <w:spacing w:val="1"/>
        </w:rPr>
        <w:t>（四）承担园林绿化科学研究工作；参与县城规划区内园林植物</w:t>
      </w:r>
      <w:r>
        <w:rPr>
          <w:rFonts w:ascii="FangSong" w:hAnsi="FangSong" w:eastAsia="FangSong" w:cs="FangSong"/>
          <w:sz w:val="24"/>
          <w:szCs w:val="24"/>
        </w:rPr>
        <w:t>多样性保护规划的编</w:t>
      </w:r>
      <w:r>
        <w:rPr>
          <w:rFonts w:ascii="FangSong" w:hAnsi="FangSong" w:eastAsia="FangSong" w:cs="FangSong"/>
          <w:sz w:val="24"/>
          <w:szCs w:val="24"/>
          <w:spacing w:val="-2"/>
        </w:rPr>
        <w:t>制和实施；参与县城规划区内古树名木的保护工</w:t>
      </w:r>
      <w:r>
        <w:rPr>
          <w:rFonts w:ascii="FangSong" w:hAnsi="FangSong" w:eastAsia="FangSong" w:cs="FangSong"/>
          <w:sz w:val="24"/>
          <w:szCs w:val="24"/>
          <w:spacing w:val="-3"/>
        </w:rPr>
        <w:t>作。</w:t>
      </w:r>
    </w:p>
    <w:p>
      <w:pPr>
        <w:ind w:left="915" w:right="874"/>
        <w:spacing w:before="102" w:line="282" w:lineRule="auto"/>
        <w:rPr>
          <w:rFonts w:ascii="FangSong" w:hAnsi="FangSong" w:eastAsia="FangSong" w:cs="FangSong"/>
          <w:sz w:val="24"/>
          <w:szCs w:val="24"/>
        </w:rPr>
      </w:pPr>
      <w:r>
        <w:rPr>
          <w:rFonts w:ascii="FangSong" w:hAnsi="FangSong" w:eastAsia="FangSong" w:cs="FangSong"/>
          <w:sz w:val="24"/>
          <w:szCs w:val="24"/>
          <w:spacing w:val="7"/>
        </w:rPr>
        <w:t>（五）承办县委、县政府交办的其他事项。（一）认真贯彻执行《城市绿化管理条</w:t>
      </w:r>
      <w:r>
        <w:rPr>
          <w:rFonts w:ascii="FangSong" w:hAnsi="FangSong" w:eastAsia="FangSong" w:cs="FangSong"/>
          <w:sz w:val="24"/>
          <w:szCs w:val="24"/>
          <w:spacing w:val="1"/>
        </w:rPr>
        <w:t>例》及省、市、县关于绿化方面的政策和规定，搞好城区绿化工</w:t>
      </w:r>
      <w:r>
        <w:rPr>
          <w:rFonts w:ascii="FangSong" w:hAnsi="FangSong" w:eastAsia="FangSong" w:cs="FangSong"/>
          <w:sz w:val="24"/>
          <w:szCs w:val="24"/>
        </w:rPr>
        <w:t>作，编制本地城市绿</w:t>
      </w:r>
      <w:r>
        <w:rPr>
          <w:rFonts w:ascii="FangSong" w:hAnsi="FangSong" w:eastAsia="FangSong" w:cs="FangSong"/>
          <w:sz w:val="24"/>
          <w:szCs w:val="24"/>
          <w:spacing w:val="-3"/>
        </w:rPr>
        <w:t>地系统规划、城市绿线、城市绿化审批制度等。</w:t>
      </w:r>
    </w:p>
    <w:p>
      <w:pPr>
        <w:ind w:left="915" w:right="874"/>
        <w:spacing w:before="102" w:line="278" w:lineRule="auto"/>
        <w:rPr>
          <w:rFonts w:ascii="FangSong" w:hAnsi="FangSong" w:eastAsia="FangSong" w:cs="FangSong"/>
          <w:sz w:val="24"/>
          <w:szCs w:val="24"/>
        </w:rPr>
      </w:pPr>
      <w:r>
        <w:rPr>
          <w:rFonts w:ascii="FangSong" w:hAnsi="FangSong" w:eastAsia="FangSong" w:cs="FangSong"/>
          <w:sz w:val="24"/>
          <w:szCs w:val="24"/>
          <w:spacing w:val="1"/>
        </w:rPr>
        <w:t>（二）参与建成区新建、改建、扩建项目附属绿化工程设计方案</w:t>
      </w:r>
      <w:r>
        <w:rPr>
          <w:rFonts w:ascii="FangSong" w:hAnsi="FangSong" w:eastAsia="FangSong" w:cs="FangSong"/>
          <w:sz w:val="24"/>
          <w:szCs w:val="24"/>
        </w:rPr>
        <w:t>的论证、审核；负责</w:t>
      </w:r>
      <w:r>
        <w:rPr>
          <w:rFonts w:ascii="FangSong" w:hAnsi="FangSong" w:eastAsia="FangSong" w:cs="FangSong"/>
          <w:sz w:val="24"/>
          <w:szCs w:val="24"/>
          <w:spacing w:val="1"/>
        </w:rPr>
        <w:t>对建成区公共绿地、居住区绿地、附属地绿地及建成区主干道绿</w:t>
      </w:r>
      <w:r>
        <w:rPr>
          <w:rFonts w:ascii="FangSong" w:hAnsi="FangSong" w:eastAsia="FangSong" w:cs="FangSong"/>
          <w:sz w:val="24"/>
          <w:szCs w:val="24"/>
        </w:rPr>
        <w:t>化规划设计方案的论</w:t>
      </w:r>
      <w:r>
        <w:rPr>
          <w:rFonts w:ascii="FangSong" w:hAnsi="FangSong" w:eastAsia="FangSong" w:cs="FangSong"/>
          <w:sz w:val="24"/>
          <w:szCs w:val="24"/>
          <w:spacing w:val="-8"/>
        </w:rPr>
        <w:t>证、审核。</w:t>
      </w:r>
    </w:p>
    <w:p>
      <w:pPr>
        <w:ind w:left="915" w:right="874"/>
        <w:spacing w:before="115" w:line="286" w:lineRule="auto"/>
        <w:rPr>
          <w:rFonts w:ascii="FangSong" w:hAnsi="FangSong" w:eastAsia="FangSong" w:cs="FangSong"/>
          <w:sz w:val="24"/>
          <w:szCs w:val="24"/>
        </w:rPr>
      </w:pPr>
      <w:r>
        <w:rPr>
          <w:rFonts w:ascii="FangSong" w:hAnsi="FangSong" w:eastAsia="FangSong" w:cs="FangSong"/>
          <w:sz w:val="24"/>
          <w:szCs w:val="24"/>
          <w:spacing w:val="1"/>
        </w:rPr>
        <w:t>（三）承担全县主交通通道、城市主干道区域绿化、城内各公园</w:t>
      </w:r>
      <w:r>
        <w:rPr>
          <w:rFonts w:ascii="FangSong" w:hAnsi="FangSong" w:eastAsia="FangSong" w:cs="FangSong"/>
          <w:sz w:val="24"/>
          <w:szCs w:val="24"/>
        </w:rPr>
        <w:t>、绿地休闲广场、街</w:t>
      </w:r>
      <w:r>
        <w:rPr>
          <w:rFonts w:ascii="FangSong" w:hAnsi="FangSong" w:eastAsia="FangSong" w:cs="FangSong"/>
          <w:sz w:val="24"/>
          <w:szCs w:val="24"/>
          <w:spacing w:val="4"/>
        </w:rPr>
        <w:t>巷绿化、沿河绿化、美化景点等工程的建设、维护和日常管理工作；</w:t>
      </w:r>
      <w:r>
        <w:rPr>
          <w:rFonts w:ascii="FangSong" w:hAnsi="FangSong" w:eastAsia="FangSong" w:cs="FangSong"/>
          <w:sz w:val="24"/>
          <w:szCs w:val="24"/>
          <w:spacing w:val="4"/>
        </w:rPr>
        <w:t xml:space="preserve"> </w:t>
      </w:r>
      <w:r>
        <w:rPr>
          <w:rFonts w:ascii="FangSong" w:hAnsi="FangSong" w:eastAsia="FangSong" w:cs="FangSong"/>
          <w:sz w:val="24"/>
          <w:szCs w:val="24"/>
          <w:spacing w:val="4"/>
        </w:rPr>
        <w:t>负责建成区绿</w:t>
      </w:r>
      <w:r>
        <w:rPr>
          <w:rFonts w:ascii="FangSong" w:hAnsi="FangSong" w:eastAsia="FangSong" w:cs="FangSong"/>
          <w:sz w:val="24"/>
          <w:szCs w:val="24"/>
          <w:spacing w:val="1"/>
        </w:rPr>
        <w:t>地的养护工作；负责辖区内绿地树木养护管理的业务督导检查和</w:t>
      </w:r>
      <w:r>
        <w:rPr>
          <w:rFonts w:ascii="FangSong" w:hAnsi="FangSong" w:eastAsia="FangSong" w:cs="FangSong"/>
          <w:sz w:val="24"/>
          <w:szCs w:val="24"/>
        </w:rPr>
        <w:t>绿化进度的统计汇总</w:t>
      </w:r>
      <w:r>
        <w:rPr>
          <w:rFonts w:ascii="FangSong" w:hAnsi="FangSong" w:eastAsia="FangSong" w:cs="FangSong"/>
          <w:sz w:val="24"/>
          <w:szCs w:val="24"/>
          <w:spacing w:val="-8"/>
        </w:rPr>
        <w:t>上报工作。</w:t>
      </w:r>
    </w:p>
    <w:p>
      <w:pPr>
        <w:ind w:left="915" w:right="875"/>
        <w:spacing w:before="119" w:line="260" w:lineRule="auto"/>
        <w:rPr>
          <w:rFonts w:ascii="FangSong" w:hAnsi="FangSong" w:eastAsia="FangSong" w:cs="FangSong"/>
          <w:sz w:val="24"/>
          <w:szCs w:val="24"/>
        </w:rPr>
      </w:pPr>
      <w:r>
        <w:rPr>
          <w:rFonts w:ascii="FangSong" w:hAnsi="FangSong" w:eastAsia="FangSong" w:cs="FangSong"/>
          <w:sz w:val="24"/>
          <w:szCs w:val="24"/>
          <w:spacing w:val="1"/>
        </w:rPr>
        <w:t>（四）承担园林绿化科学研究工作；参与县城规划区内园林植物</w:t>
      </w:r>
      <w:r>
        <w:rPr>
          <w:rFonts w:ascii="FangSong" w:hAnsi="FangSong" w:eastAsia="FangSong" w:cs="FangSong"/>
          <w:sz w:val="24"/>
          <w:szCs w:val="24"/>
        </w:rPr>
        <w:t>多样性保护规划的编</w:t>
      </w:r>
      <w:r>
        <w:rPr>
          <w:rFonts w:ascii="FangSong" w:hAnsi="FangSong" w:eastAsia="FangSong" w:cs="FangSong"/>
          <w:sz w:val="24"/>
          <w:szCs w:val="24"/>
          <w:spacing w:val="-2"/>
        </w:rPr>
        <w:t>制和实施；参与县城规划区内古树名木的保护工</w:t>
      </w:r>
      <w:r>
        <w:rPr>
          <w:rFonts w:ascii="FangSong" w:hAnsi="FangSong" w:eastAsia="FangSong" w:cs="FangSong"/>
          <w:sz w:val="24"/>
          <w:szCs w:val="24"/>
          <w:spacing w:val="-3"/>
        </w:rPr>
        <w:t>作。</w:t>
      </w:r>
    </w:p>
    <w:p>
      <w:pPr>
        <w:ind w:left="915"/>
        <w:spacing w:before="118" w:line="222" w:lineRule="auto"/>
        <w:rPr>
          <w:rFonts w:ascii="FangSong" w:hAnsi="FangSong" w:eastAsia="FangSong" w:cs="FangSong"/>
          <w:sz w:val="24"/>
          <w:szCs w:val="24"/>
        </w:rPr>
      </w:pPr>
      <w:r>
        <w:rPr>
          <w:rFonts w:ascii="FangSong" w:hAnsi="FangSong" w:eastAsia="FangSong" w:cs="FangSong"/>
          <w:sz w:val="24"/>
          <w:szCs w:val="24"/>
          <w:spacing w:val="-3"/>
        </w:rPr>
        <w:t>（五）承办县委、县政府交办的其他事项。</w:t>
      </w:r>
    </w:p>
    <w:p>
      <w:pPr>
        <w:ind w:left="913"/>
        <w:spacing w:before="297" w:line="222" w:lineRule="auto"/>
        <w:outlineLvl w:val="1"/>
        <w:rPr>
          <w:rFonts w:ascii="SimHei" w:hAnsi="SimHei" w:eastAsia="SimHei" w:cs="SimHei"/>
          <w:sz w:val="24"/>
          <w:szCs w:val="24"/>
        </w:rPr>
      </w:pPr>
      <w:bookmarkStart w:name="bookmark3" w:id="4"/>
      <w:bookmarkEnd w:id="4"/>
      <w:r>
        <w:rPr>
          <w:rFonts w:ascii="SimHei" w:hAnsi="SimHei" w:eastAsia="SimHei" w:cs="SimHei"/>
          <w:sz w:val="24"/>
          <w:szCs w:val="24"/>
          <w:spacing w:val="-2"/>
        </w:rPr>
        <w:t>二、机构设置情况</w:t>
      </w:r>
    </w:p>
    <w:p>
      <w:pPr>
        <w:ind w:left="921"/>
        <w:spacing w:before="101" w:line="221" w:lineRule="auto"/>
        <w:rPr>
          <w:rFonts w:ascii="FangSong" w:hAnsi="FangSong" w:eastAsia="FangSong" w:cs="FangSong"/>
          <w:sz w:val="24"/>
          <w:szCs w:val="24"/>
        </w:rPr>
      </w:pPr>
      <w:r>
        <w:rPr>
          <w:rFonts w:ascii="FangSong" w:hAnsi="FangSong" w:eastAsia="FangSong" w:cs="FangSong"/>
          <w:sz w:val="24"/>
          <w:szCs w:val="24"/>
          <w:spacing w:val="-2"/>
        </w:rPr>
        <w:t>兴县园林事业发展服务中心是县政府直属事业单位，公益一类，正科级建制。</w:t>
      </w:r>
    </w:p>
    <w:p>
      <w:pPr>
        <w:ind w:left="921"/>
        <w:spacing w:before="119" w:line="222" w:lineRule="auto"/>
        <w:rPr>
          <w:rFonts w:ascii="FangSong" w:hAnsi="FangSong" w:eastAsia="FangSong" w:cs="FangSong"/>
          <w:sz w:val="24"/>
          <w:szCs w:val="24"/>
        </w:rPr>
      </w:pPr>
      <w:r>
        <w:rPr>
          <w:rFonts w:ascii="FangSong" w:hAnsi="FangSong" w:eastAsia="FangSong" w:cs="FangSong"/>
          <w:sz w:val="24"/>
          <w:szCs w:val="24"/>
          <w:spacing w:val="-4"/>
        </w:rPr>
        <w:t>兴县园林事业发展服务中心设下列内设机构：</w:t>
      </w:r>
    </w:p>
    <w:p>
      <w:pPr>
        <w:ind w:left="915"/>
        <w:spacing w:before="115" w:line="224" w:lineRule="auto"/>
        <w:rPr>
          <w:rFonts w:ascii="FangSong" w:hAnsi="FangSong" w:eastAsia="FangSong" w:cs="FangSong"/>
          <w:sz w:val="24"/>
          <w:szCs w:val="24"/>
        </w:rPr>
      </w:pPr>
      <w:r>
        <w:rPr>
          <w:rFonts w:ascii="FangSong" w:hAnsi="FangSong" w:eastAsia="FangSong" w:cs="FangSong"/>
          <w:sz w:val="24"/>
          <w:szCs w:val="24"/>
          <w:spacing w:val="-5"/>
        </w:rPr>
        <w:t>（一）综合办公室</w:t>
      </w:r>
    </w:p>
    <w:p>
      <w:pPr>
        <w:ind w:left="918" w:right="874" w:firstLine="3"/>
        <w:spacing w:before="98" w:line="308" w:lineRule="auto"/>
        <w:rPr>
          <w:rFonts w:ascii="FangSong" w:hAnsi="FangSong" w:eastAsia="FangSong" w:cs="FangSong"/>
          <w:sz w:val="24"/>
          <w:szCs w:val="24"/>
        </w:rPr>
      </w:pPr>
      <w:r>
        <w:rPr>
          <w:rFonts w:ascii="FangSong" w:hAnsi="FangSong" w:eastAsia="FangSong" w:cs="FangSong"/>
          <w:sz w:val="24"/>
          <w:szCs w:val="24"/>
          <w:spacing w:val="1"/>
        </w:rPr>
        <w:t>负责机关日常运行、综合协调、党务工作、文电</w:t>
      </w:r>
      <w:r>
        <w:rPr>
          <w:rFonts w:ascii="FangSong" w:hAnsi="FangSong" w:eastAsia="FangSong" w:cs="FangSong"/>
          <w:sz w:val="24"/>
          <w:szCs w:val="24"/>
        </w:rPr>
        <w:t>处理、安全保密、信访、公车管理、</w:t>
      </w:r>
      <w:r>
        <w:rPr>
          <w:rFonts w:ascii="FangSong" w:hAnsi="FangSong" w:eastAsia="FangSong" w:cs="FangSong"/>
          <w:sz w:val="24"/>
          <w:szCs w:val="24"/>
          <w:spacing w:val="1"/>
        </w:rPr>
        <w:t>财务管理、宣传培训等工作；负责全局性文稿起草、审核</w:t>
      </w:r>
      <w:r>
        <w:rPr>
          <w:rFonts w:ascii="FangSong" w:hAnsi="FangSong" w:eastAsia="FangSong" w:cs="FangSong"/>
          <w:sz w:val="24"/>
          <w:szCs w:val="24"/>
        </w:rPr>
        <w:t>把关、提出改进和加强工作</w:t>
      </w:r>
      <w:r>
        <w:rPr>
          <w:rFonts w:ascii="FangSong" w:hAnsi="FangSong" w:eastAsia="FangSong" w:cs="FangSong"/>
          <w:sz w:val="24"/>
          <w:szCs w:val="24"/>
          <w:spacing w:val="-7"/>
        </w:rPr>
        <w:t>的意见和建议。</w:t>
      </w:r>
    </w:p>
    <w:p>
      <w:pPr>
        <w:ind w:left="915"/>
        <w:spacing w:before="1" w:line="222" w:lineRule="auto"/>
        <w:rPr>
          <w:rFonts w:ascii="FangSong" w:hAnsi="FangSong" w:eastAsia="FangSong" w:cs="FangSong"/>
          <w:sz w:val="24"/>
          <w:szCs w:val="24"/>
        </w:rPr>
      </w:pPr>
      <w:r>
        <w:rPr>
          <w:rFonts w:ascii="FangSong" w:hAnsi="FangSong" w:eastAsia="FangSong" w:cs="FangSong"/>
          <w:sz w:val="24"/>
          <w:szCs w:val="24"/>
          <w:spacing w:val="-4"/>
        </w:rPr>
        <w:t>（二）园林绿化股</w:t>
      </w:r>
    </w:p>
    <w:p>
      <w:pPr>
        <w:ind w:left="922"/>
        <w:spacing w:before="116" w:line="221" w:lineRule="auto"/>
        <w:rPr>
          <w:rFonts w:ascii="FangSong" w:hAnsi="FangSong" w:eastAsia="FangSong" w:cs="FangSong"/>
          <w:sz w:val="24"/>
          <w:szCs w:val="24"/>
        </w:rPr>
      </w:pPr>
      <w:r>
        <w:rPr>
          <w:rFonts w:ascii="FangSong" w:hAnsi="FangSong" w:eastAsia="FangSong" w:cs="FangSong"/>
          <w:sz w:val="24"/>
          <w:szCs w:val="24"/>
          <w:spacing w:val="1"/>
        </w:rPr>
        <w:t>负责各公园、街道绿化、广场绿地的园林绿化</w:t>
      </w:r>
      <w:r>
        <w:rPr>
          <w:rFonts w:ascii="FangSong" w:hAnsi="FangSong" w:eastAsia="FangSong" w:cs="FangSong"/>
          <w:sz w:val="24"/>
          <w:szCs w:val="24"/>
        </w:rPr>
        <w:t>；做好各公园的管护养护、安全生产、</w:t>
      </w:r>
    </w:p>
    <w:p>
      <w:pPr>
        <w:spacing w:line="221" w:lineRule="auto"/>
        <w:sectPr>
          <w:headerReference w:type="default" r:id="rId2"/>
          <w:footerReference w:type="default" r:id="rId3"/>
          <w:pgSz w:w="11900" w:h="16840"/>
          <w:pgMar w:top="642" w:right="600" w:bottom="340" w:left="600" w:header="326" w:footer="110" w:gutter="0"/>
        </w:sectPr>
        <w:rPr>
          <w:rFonts w:ascii="FangSong" w:hAnsi="FangSong" w:eastAsia="FangSong" w:cs="FangSong"/>
          <w:sz w:val="24"/>
          <w:szCs w:val="24"/>
        </w:rPr>
      </w:pPr>
    </w:p>
    <w:p>
      <w:pPr>
        <w:spacing w:line="270" w:lineRule="auto"/>
        <w:rPr>
          <w:rFonts w:ascii="Arial"/>
          <w:sz w:val="21"/>
        </w:rPr>
      </w:pPr>
      <w:r/>
    </w:p>
    <w:p>
      <w:pPr>
        <w:spacing w:line="271" w:lineRule="auto"/>
        <w:rPr>
          <w:rFonts w:ascii="Arial"/>
          <w:sz w:val="21"/>
        </w:rPr>
      </w:pPr>
      <w:r/>
    </w:p>
    <w:p>
      <w:pPr>
        <w:ind w:left="917" w:right="874"/>
        <w:spacing w:before="78" w:line="306" w:lineRule="auto"/>
        <w:rPr>
          <w:rFonts w:ascii="FangSong" w:hAnsi="FangSong" w:eastAsia="FangSong" w:cs="FangSong"/>
          <w:sz w:val="24"/>
          <w:szCs w:val="24"/>
        </w:rPr>
      </w:pPr>
      <w:r>
        <w:rPr>
          <w:rFonts w:ascii="FangSong" w:hAnsi="FangSong" w:eastAsia="FangSong" w:cs="FangSong"/>
          <w:sz w:val="24"/>
          <w:szCs w:val="24"/>
          <w:spacing w:val="1"/>
        </w:rPr>
        <w:t>综合治理、精神文明建设等工作；负责建成地绿地、绿线</w:t>
      </w:r>
      <w:r>
        <w:rPr>
          <w:rFonts w:ascii="FangSong" w:hAnsi="FangSong" w:eastAsia="FangSong" w:cs="FangSong"/>
          <w:sz w:val="24"/>
          <w:szCs w:val="24"/>
        </w:rPr>
        <w:t>、绿化的规划设计、编制等</w:t>
      </w:r>
      <w:bookmarkStart w:name="bookmark35" w:id="5"/>
      <w:bookmarkEnd w:id="5"/>
      <w:r>
        <w:rPr>
          <w:rFonts w:ascii="FangSong" w:hAnsi="FangSong" w:eastAsia="FangSong" w:cs="FangSong"/>
          <w:sz w:val="24"/>
          <w:szCs w:val="24"/>
          <w:spacing w:val="-8"/>
        </w:rPr>
        <w:t>相关工作。</w:t>
      </w:r>
    </w:p>
    <w:p>
      <w:pPr>
        <w:ind w:left="915"/>
        <w:spacing w:before="1" w:line="220" w:lineRule="auto"/>
        <w:rPr>
          <w:rFonts w:ascii="FangSong" w:hAnsi="FangSong" w:eastAsia="FangSong" w:cs="FangSong"/>
          <w:sz w:val="24"/>
          <w:szCs w:val="24"/>
        </w:rPr>
      </w:pPr>
      <w:r>
        <w:rPr>
          <w:rFonts w:ascii="FangSong" w:hAnsi="FangSong" w:eastAsia="FangSong" w:cs="FangSong"/>
          <w:sz w:val="24"/>
          <w:szCs w:val="24"/>
          <w:spacing w:val="-4"/>
        </w:rPr>
        <w:t>（三）机械设备股</w:t>
      </w:r>
    </w:p>
    <w:p>
      <w:pPr>
        <w:ind w:left="929" w:right="874" w:hanging="7"/>
        <w:spacing w:before="117" w:line="306" w:lineRule="auto"/>
        <w:rPr>
          <w:rFonts w:ascii="FangSong" w:hAnsi="FangSong" w:eastAsia="FangSong" w:cs="FangSong"/>
          <w:sz w:val="24"/>
          <w:szCs w:val="24"/>
        </w:rPr>
      </w:pPr>
      <w:r>
        <w:rPr>
          <w:rFonts w:ascii="FangSong" w:hAnsi="FangSong" w:eastAsia="FangSong" w:cs="FangSong"/>
          <w:sz w:val="24"/>
          <w:szCs w:val="24"/>
          <w:spacing w:val="1"/>
        </w:rPr>
        <w:t>负责园林绿化车辆的日常管理、高度、养护等工</w:t>
      </w:r>
      <w:r>
        <w:rPr>
          <w:rFonts w:ascii="FangSong" w:hAnsi="FangSong" w:eastAsia="FangSong" w:cs="FangSong"/>
          <w:sz w:val="24"/>
          <w:szCs w:val="24"/>
        </w:rPr>
        <w:t>作，并完成建成区各公园、街道绿地</w:t>
      </w:r>
      <w:r>
        <w:rPr>
          <w:rFonts w:ascii="FangSong" w:hAnsi="FangSong" w:eastAsia="FangSong" w:cs="FangSong"/>
          <w:sz w:val="24"/>
          <w:szCs w:val="24"/>
          <w:spacing w:val="-4"/>
        </w:rPr>
        <w:t>的浇水及绿化垃圾的清运等工作。</w:t>
      </w:r>
    </w:p>
    <w:p>
      <w:pPr>
        <w:ind w:left="915"/>
        <w:spacing w:line="221" w:lineRule="auto"/>
        <w:rPr>
          <w:rFonts w:ascii="FangSong" w:hAnsi="FangSong" w:eastAsia="FangSong" w:cs="FangSong"/>
          <w:sz w:val="24"/>
          <w:szCs w:val="24"/>
        </w:rPr>
      </w:pPr>
      <w:r>
        <w:rPr>
          <w:rFonts w:ascii="FangSong" w:hAnsi="FangSong" w:eastAsia="FangSong" w:cs="FangSong"/>
          <w:sz w:val="24"/>
          <w:szCs w:val="24"/>
          <w:spacing w:val="-4"/>
        </w:rPr>
        <w:t>（四）园林维护股</w:t>
      </w:r>
    </w:p>
    <w:p>
      <w:pPr>
        <w:ind w:left="915" w:right="875" w:firstLine="6"/>
        <w:spacing w:before="117" w:line="308" w:lineRule="auto"/>
        <w:rPr>
          <w:rFonts w:ascii="FangSong" w:hAnsi="FangSong" w:eastAsia="FangSong" w:cs="FangSong"/>
          <w:sz w:val="24"/>
          <w:szCs w:val="24"/>
        </w:rPr>
      </w:pPr>
      <w:r>
        <w:rPr>
          <w:rFonts w:ascii="FangSong" w:hAnsi="FangSong" w:eastAsia="FangSong" w:cs="FangSong"/>
          <w:sz w:val="24"/>
          <w:szCs w:val="24"/>
          <w:spacing w:val="1"/>
        </w:rPr>
        <w:t>负责建成区广场、街道行道树、绿化带的管护和</w:t>
      </w:r>
      <w:r>
        <w:rPr>
          <w:rFonts w:ascii="FangSong" w:hAnsi="FangSong" w:eastAsia="FangSong" w:cs="FangSong"/>
          <w:sz w:val="24"/>
          <w:szCs w:val="24"/>
        </w:rPr>
        <w:t>街道花箱保洁工作；负责建成区内园</w:t>
      </w:r>
      <w:r>
        <w:rPr>
          <w:rFonts w:ascii="FangSong" w:hAnsi="FangSong" w:eastAsia="FangSong" w:cs="FangSong"/>
          <w:sz w:val="24"/>
          <w:szCs w:val="24"/>
        </w:rPr>
        <w:t>林绿化保护工作，及时制止破坏园林绿化违法违规行为，并移送综合执法部门处置。</w:t>
      </w:r>
      <w:r>
        <w:rPr>
          <w:rFonts w:ascii="FangSong" w:hAnsi="FangSong" w:eastAsia="FangSong" w:cs="FangSong"/>
          <w:sz w:val="24"/>
          <w:szCs w:val="24"/>
          <w:spacing w:val="4"/>
        </w:rPr>
        <w:t>兴县园林事业发展服务中心核定财政拨款事业编制16名，设主任（正科级）</w:t>
      </w:r>
      <w:r>
        <w:rPr>
          <w:rFonts w:ascii="FangSong" w:hAnsi="FangSong" w:eastAsia="FangSong" w:cs="FangSong"/>
          <w:sz w:val="24"/>
          <w:szCs w:val="24"/>
          <w:spacing w:val="3"/>
        </w:rPr>
        <w:t>1名，副</w:t>
      </w:r>
      <w:r>
        <w:rPr>
          <w:rFonts w:ascii="FangSong" w:hAnsi="FangSong" w:eastAsia="FangSong" w:cs="FangSong"/>
          <w:sz w:val="24"/>
          <w:szCs w:val="24"/>
          <w:spacing w:val="-5"/>
        </w:rPr>
        <w:t>主任（副科级）2名。</w:t>
      </w:r>
    </w:p>
    <w:p>
      <w:pPr>
        <w:spacing w:line="308" w:lineRule="auto"/>
        <w:sectPr>
          <w:footerReference w:type="default" r:id="rId4"/>
          <w:pgSz w:w="11900" w:h="16840"/>
          <w:pgMar w:top="642" w:right="600" w:bottom="340" w:left="600" w:header="326" w:footer="110" w:gutter="0"/>
        </w:sectPr>
        <w:rPr>
          <w:rFonts w:ascii="FangSong" w:hAnsi="FangSong" w:eastAsia="FangSong" w:cs="FangSong"/>
          <w:sz w:val="24"/>
          <w:szCs w:val="24"/>
        </w:rPr>
      </w:pPr>
    </w:p>
    <w:p>
      <w:pPr>
        <w:spacing w:line="303" w:lineRule="auto"/>
        <w:rPr>
          <w:rFonts w:ascii="Arial"/>
          <w:sz w:val="21"/>
        </w:rPr>
      </w:pPr>
      <w:r/>
    </w:p>
    <w:p>
      <w:pPr>
        <w:spacing w:line="303" w:lineRule="auto"/>
        <w:rPr>
          <w:rFonts w:ascii="Arial"/>
          <w:sz w:val="21"/>
        </w:rPr>
      </w:pPr>
      <w:r/>
    </w:p>
    <w:p>
      <w:pPr>
        <w:ind w:left="3747"/>
        <w:spacing w:before="98" w:line="238" w:lineRule="exact"/>
        <w:outlineLvl w:val="0"/>
        <w:rPr>
          <w:rFonts w:ascii="Microsoft YaHei" w:hAnsi="Microsoft YaHei" w:eastAsia="Microsoft YaHei" w:cs="Microsoft YaHei"/>
          <w:sz w:val="23"/>
          <w:szCs w:val="23"/>
        </w:rPr>
      </w:pPr>
      <w:bookmarkStart w:name="bookmark4" w:id="6"/>
      <w:bookmarkEnd w:id="6"/>
      <w:r>
        <w:rPr>
          <w:rFonts w:ascii="Microsoft YaHei" w:hAnsi="Microsoft YaHei" w:eastAsia="Microsoft YaHei" w:cs="Microsoft YaHei"/>
          <w:sz w:val="23"/>
          <w:szCs w:val="23"/>
          <w:spacing w:val="4"/>
          <w:position w:val="-1"/>
        </w:rPr>
        <w:t>第二部分</w:t>
      </w:r>
      <w:r>
        <w:rPr>
          <w:rFonts w:ascii="Microsoft YaHei" w:hAnsi="Microsoft YaHei" w:eastAsia="Microsoft YaHei" w:cs="Microsoft YaHei"/>
          <w:sz w:val="23"/>
          <w:szCs w:val="23"/>
          <w:spacing w:val="42"/>
          <w:position w:val="-1"/>
        </w:rPr>
        <w:t xml:space="preserve"> </w:t>
      </w:r>
      <w:r>
        <w:rPr>
          <w:rFonts w:ascii="Microsoft YaHei" w:hAnsi="Microsoft YaHei" w:eastAsia="Microsoft YaHei" w:cs="Microsoft YaHei"/>
          <w:sz w:val="23"/>
          <w:szCs w:val="23"/>
          <w:spacing w:val="4"/>
          <w:position w:val="-1"/>
        </w:rPr>
        <w:t>2025年部门预算报表</w:t>
      </w:r>
    </w:p>
    <w:p>
      <w:pPr>
        <w:spacing w:before="23"/>
        <w:rPr/>
      </w:pPr>
      <w:r/>
    </w:p>
    <w:p>
      <w:pPr>
        <w:spacing w:before="22"/>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44"/>
        <w:gridCol w:w="1213"/>
        <w:gridCol w:w="2111"/>
        <w:gridCol w:w="1228"/>
        <w:gridCol w:w="1228"/>
        <w:gridCol w:w="726"/>
      </w:tblGrid>
      <w:tr>
        <w:trPr>
          <w:trHeight w:val="532" w:hRule="atLeast"/>
        </w:trPr>
        <w:tc>
          <w:tcPr>
            <w:tcW w:w="8550" w:type="dxa"/>
            <w:vAlign w:val="top"/>
            <w:gridSpan w:val="6"/>
            <w:tcBorders>
              <w:bottom w:val="single" w:color="FFFFFF" w:sz="6" w:space="0"/>
              <w:top w:val="single" w:color="FFFFFF" w:sz="6" w:space="0"/>
              <w:left w:val="single" w:color="FFFFFF" w:sz="2" w:space="0"/>
              <w:right w:val="single" w:color="FFFFFF" w:sz="2" w:space="0"/>
            </w:tcBorders>
          </w:tcPr>
          <w:p>
            <w:pPr>
              <w:ind w:left="7527"/>
              <w:spacing w:before="175" w:line="219" w:lineRule="auto"/>
              <w:rPr>
                <w:rFonts w:ascii="SimSun" w:hAnsi="SimSun" w:eastAsia="SimSun" w:cs="SimSun"/>
                <w:sz w:val="18"/>
                <w:szCs w:val="18"/>
              </w:rPr>
            </w:pPr>
            <w:r>
              <w:rPr>
                <w:rFonts w:ascii="SimSun" w:hAnsi="SimSun" w:eastAsia="SimSun" w:cs="SimSun"/>
                <w:sz w:val="18"/>
                <w:szCs w:val="18"/>
                <w:color w:val="212529"/>
                <w:spacing w:val="-2"/>
              </w:rPr>
              <w:t>预算公开表1</w:t>
            </w:r>
          </w:p>
        </w:tc>
      </w:tr>
      <w:tr>
        <w:trPr>
          <w:trHeight w:val="524" w:hRule="atLeast"/>
        </w:trPr>
        <w:tc>
          <w:tcPr>
            <w:tcW w:w="8550" w:type="dxa"/>
            <w:vAlign w:val="top"/>
            <w:gridSpan w:val="6"/>
            <w:tcBorders>
              <w:left w:val="single" w:color="FFFFFF" w:sz="6" w:space="0"/>
              <w:bottom w:val="single" w:color="FFFFFF" w:sz="6" w:space="0"/>
              <w:right w:val="single" w:color="FFFFFF" w:sz="6" w:space="0"/>
              <w:top w:val="single" w:color="FFFFFF" w:sz="6" w:space="0"/>
            </w:tcBorders>
          </w:tcPr>
          <w:p>
            <w:pPr>
              <w:ind w:left="3184"/>
              <w:spacing w:before="143" w:line="240" w:lineRule="exact"/>
              <w:outlineLvl w:val="1"/>
              <w:rPr>
                <w:rFonts w:ascii="Microsoft YaHei" w:hAnsi="Microsoft YaHei" w:eastAsia="Microsoft YaHei" w:cs="Microsoft YaHei"/>
                <w:sz w:val="23"/>
                <w:szCs w:val="23"/>
              </w:rPr>
            </w:pPr>
            <w:bookmarkStart w:name="bookmark5" w:id="7"/>
            <w:bookmarkEnd w:id="7"/>
            <w:r>
              <w:rPr>
                <w:rFonts w:ascii="Microsoft YaHei" w:hAnsi="Microsoft YaHei" w:eastAsia="Microsoft YaHei" w:cs="Microsoft YaHei"/>
                <w:sz w:val="23"/>
                <w:szCs w:val="23"/>
                <w:color w:val="212529"/>
                <w:position w:val="-1"/>
              </w:rPr>
              <w:t>2025年预算收支总表</w:t>
            </w:r>
          </w:p>
        </w:tc>
      </w:tr>
      <w:tr>
        <w:trPr>
          <w:trHeight w:val="524" w:hRule="atLeast"/>
        </w:trPr>
        <w:tc>
          <w:tcPr>
            <w:tcW w:w="5368" w:type="dxa"/>
            <w:vAlign w:val="top"/>
            <w:gridSpan w:val="3"/>
            <w:tcBorders>
              <w:top w:val="single" w:color="FFFFFF" w:sz="6" w:space="0"/>
              <w:left w:val="single" w:color="FFFFFF" w:sz="2" w:space="0"/>
              <w:right w:val="single" w:color="FFFFFF" w:sz="2" w:space="0"/>
            </w:tcBorders>
          </w:tcPr>
          <w:p>
            <w:pPr>
              <w:ind w:left="14"/>
              <w:spacing w:before="169" w:line="219" w:lineRule="auto"/>
              <w:rPr>
                <w:rFonts w:ascii="SimSun" w:hAnsi="SimSun" w:eastAsia="SimSun" w:cs="SimSun"/>
                <w:sz w:val="18"/>
                <w:szCs w:val="18"/>
              </w:rPr>
            </w:pPr>
            <w:r>
              <w:rPr>
                <w:rFonts w:ascii="SimSun" w:hAnsi="SimSun" w:eastAsia="SimSun" w:cs="SimSun"/>
                <w:sz w:val="18"/>
                <w:szCs w:val="18"/>
                <w:color w:val="212529"/>
                <w:spacing w:val="-1"/>
              </w:rPr>
              <w:t>部门名称：兴县园林事业发展服务中心</w:t>
            </w:r>
          </w:p>
        </w:tc>
        <w:tc>
          <w:tcPr>
            <w:tcW w:w="3182" w:type="dxa"/>
            <w:vAlign w:val="top"/>
            <w:gridSpan w:val="3"/>
            <w:tcBorders>
              <w:top w:val="single" w:color="FFFFFF" w:sz="6" w:space="0"/>
              <w:left w:val="single" w:color="FFFFFF" w:sz="2" w:space="0"/>
              <w:right w:val="single" w:color="FFFFFF" w:sz="2" w:space="0"/>
            </w:tcBorders>
          </w:tcPr>
          <w:p>
            <w:pPr>
              <w:ind w:left="2250"/>
              <w:spacing w:before="170"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524" w:hRule="atLeast"/>
        </w:trPr>
        <w:tc>
          <w:tcPr>
            <w:tcW w:w="3257" w:type="dxa"/>
            <w:vAlign w:val="top"/>
            <w:gridSpan w:val="2"/>
          </w:tcPr>
          <w:p>
            <w:pPr>
              <w:ind w:left="1436"/>
              <w:spacing w:before="168"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4"/>
                <w:position w:val="-1"/>
              </w:rPr>
              <w:t>收入</w:t>
            </w:r>
          </w:p>
        </w:tc>
        <w:tc>
          <w:tcPr>
            <w:tcW w:w="5293" w:type="dxa"/>
            <w:vAlign w:val="top"/>
            <w:gridSpan w:val="4"/>
          </w:tcPr>
          <w:p>
            <w:pPr>
              <w:ind w:left="2448"/>
              <w:spacing w:before="168"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
                <w:position w:val="-1"/>
              </w:rPr>
              <w:t>支出</w:t>
            </w:r>
          </w:p>
        </w:tc>
      </w:tr>
      <w:tr>
        <w:trPr>
          <w:trHeight w:val="524" w:hRule="atLeast"/>
        </w:trPr>
        <w:tc>
          <w:tcPr>
            <w:tcW w:w="2044" w:type="dxa"/>
            <w:vAlign w:val="top"/>
          </w:tcPr>
          <w:p>
            <w:pPr>
              <w:ind w:left="822"/>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213" w:type="dxa"/>
            <w:vAlign w:val="top"/>
          </w:tcPr>
          <w:p>
            <w:pPr>
              <w:ind w:left="321"/>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position w:val="-1"/>
              </w:rPr>
              <w:t>2025年</w:t>
            </w:r>
          </w:p>
        </w:tc>
        <w:tc>
          <w:tcPr>
            <w:tcW w:w="2111" w:type="dxa"/>
            <w:vAlign w:val="top"/>
          </w:tcPr>
          <w:p>
            <w:pPr>
              <w:ind w:left="858"/>
              <w:spacing w:before="172"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1228" w:type="dxa"/>
            <w:vAlign w:val="top"/>
          </w:tcPr>
          <w:p>
            <w:pPr>
              <w:ind w:left="157"/>
              <w:spacing w:before="169"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2"/>
                <w:position w:val="-1"/>
              </w:rPr>
              <w:t>2025年合计</w:t>
            </w:r>
          </w:p>
        </w:tc>
        <w:tc>
          <w:tcPr>
            <w:tcW w:w="1228" w:type="dxa"/>
            <w:vAlign w:val="top"/>
          </w:tcPr>
          <w:p>
            <w:pPr>
              <w:ind w:left="69"/>
              <w:spacing w:before="169"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当年预算安排</w:t>
            </w:r>
          </w:p>
        </w:tc>
        <w:tc>
          <w:tcPr>
            <w:tcW w:w="726" w:type="dxa"/>
            <w:vAlign w:val="top"/>
          </w:tcPr>
          <w:p>
            <w:pPr>
              <w:ind w:left="73"/>
              <w:spacing w:before="6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上年结</w:t>
            </w:r>
          </w:p>
          <w:p>
            <w:pPr>
              <w:ind w:left="73"/>
              <w:spacing w:before="31" w:line="177"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转安排</w:t>
            </w:r>
          </w:p>
        </w:tc>
      </w:tr>
      <w:tr>
        <w:trPr>
          <w:trHeight w:val="524" w:hRule="atLeast"/>
        </w:trPr>
        <w:tc>
          <w:tcPr>
            <w:tcW w:w="2044" w:type="dxa"/>
            <w:vAlign w:val="top"/>
          </w:tcPr>
          <w:p>
            <w:pPr>
              <w:ind w:left="9"/>
              <w:spacing w:before="172" w:line="219" w:lineRule="auto"/>
              <w:rPr>
                <w:rFonts w:ascii="SimSun" w:hAnsi="SimSun" w:eastAsia="SimSun" w:cs="SimSun"/>
                <w:sz w:val="18"/>
                <w:szCs w:val="18"/>
              </w:rPr>
            </w:pPr>
            <w:r>
              <w:rPr>
                <w:rFonts w:ascii="SimSun" w:hAnsi="SimSun" w:eastAsia="SimSun" w:cs="SimSun"/>
                <w:sz w:val="18"/>
                <w:szCs w:val="18"/>
                <w:color w:val="212529"/>
                <w:spacing w:val="-2"/>
              </w:rPr>
              <w:t>一、一般公共预算</w:t>
            </w:r>
          </w:p>
        </w:tc>
        <w:tc>
          <w:tcPr>
            <w:tcW w:w="1213" w:type="dxa"/>
            <w:vAlign w:val="top"/>
          </w:tcPr>
          <w:p>
            <w:pPr>
              <w:ind w:right="30"/>
              <w:spacing w:before="173" w:line="238" w:lineRule="auto"/>
              <w:jc w:val="right"/>
              <w:rPr>
                <w:rFonts w:ascii="SimSun" w:hAnsi="SimSun" w:eastAsia="SimSun" w:cs="SimSun"/>
                <w:sz w:val="18"/>
                <w:szCs w:val="18"/>
              </w:rPr>
            </w:pPr>
            <w:r>
              <w:rPr>
                <w:rFonts w:ascii="SimSun" w:hAnsi="SimSun" w:eastAsia="SimSun" w:cs="SimSun"/>
                <w:sz w:val="18"/>
                <w:szCs w:val="18"/>
                <w:color w:val="212529"/>
                <w:spacing w:val="-2"/>
              </w:rPr>
              <w:t>3855.59</w:t>
            </w:r>
          </w:p>
        </w:tc>
        <w:tc>
          <w:tcPr>
            <w:tcW w:w="2111" w:type="dxa"/>
            <w:vAlign w:val="top"/>
          </w:tcPr>
          <w:p>
            <w:pPr>
              <w:ind w:left="7"/>
              <w:spacing w:before="172" w:line="219" w:lineRule="auto"/>
              <w:rPr>
                <w:rFonts w:ascii="SimSun" w:hAnsi="SimSun" w:eastAsia="SimSun" w:cs="SimSun"/>
                <w:sz w:val="18"/>
                <w:szCs w:val="18"/>
              </w:rPr>
            </w:pPr>
            <w:r>
              <w:rPr>
                <w:rFonts w:ascii="SimSun" w:hAnsi="SimSun" w:eastAsia="SimSun" w:cs="SimSun"/>
                <w:sz w:val="18"/>
                <w:szCs w:val="18"/>
                <w:color w:val="212529"/>
                <w:spacing w:val="-1"/>
              </w:rPr>
              <w:t>一、一般公共服务支出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ind w:left="9"/>
              <w:spacing w:before="173" w:line="218" w:lineRule="auto"/>
              <w:rPr>
                <w:rFonts w:ascii="SimSun" w:hAnsi="SimSun" w:eastAsia="SimSun" w:cs="SimSun"/>
                <w:sz w:val="18"/>
                <w:szCs w:val="18"/>
              </w:rPr>
            </w:pPr>
            <w:r>
              <w:rPr>
                <w:rFonts w:ascii="SimSun" w:hAnsi="SimSun" w:eastAsia="SimSun" w:cs="SimSun"/>
                <w:sz w:val="18"/>
                <w:szCs w:val="18"/>
                <w:color w:val="212529"/>
                <w:spacing w:val="-1"/>
              </w:rPr>
              <w:t>二、政府性基金预算</w:t>
            </w:r>
          </w:p>
        </w:tc>
        <w:tc>
          <w:tcPr>
            <w:tcW w:w="1213" w:type="dxa"/>
            <w:vAlign w:val="top"/>
          </w:tcPr>
          <w:p>
            <w:pPr>
              <w:pStyle w:val="TableText"/>
              <w:rPr/>
            </w:pPr>
            <w:r/>
          </w:p>
        </w:tc>
        <w:tc>
          <w:tcPr>
            <w:tcW w:w="2111" w:type="dxa"/>
            <w:vAlign w:val="top"/>
          </w:tcPr>
          <w:p>
            <w:pPr>
              <w:ind w:left="8"/>
              <w:spacing w:before="174" w:line="219" w:lineRule="auto"/>
              <w:rPr>
                <w:rFonts w:ascii="SimSun" w:hAnsi="SimSun" w:eastAsia="SimSun" w:cs="SimSun"/>
                <w:sz w:val="18"/>
                <w:szCs w:val="18"/>
              </w:rPr>
            </w:pPr>
            <w:r>
              <w:rPr>
                <w:rFonts w:ascii="SimSun" w:hAnsi="SimSun" w:eastAsia="SimSun" w:cs="SimSun"/>
                <w:sz w:val="18"/>
                <w:szCs w:val="18"/>
                <w:color w:val="212529"/>
                <w:spacing w:val="-2"/>
              </w:rPr>
              <w:t>二、外交支出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ind w:left="6"/>
              <w:spacing w:before="174" w:line="218" w:lineRule="auto"/>
              <w:rPr>
                <w:rFonts w:ascii="SimSun" w:hAnsi="SimSun" w:eastAsia="SimSun" w:cs="SimSun"/>
                <w:sz w:val="18"/>
                <w:szCs w:val="18"/>
              </w:rPr>
            </w:pPr>
            <w:r>
              <w:rPr>
                <w:rFonts w:ascii="SimSun" w:hAnsi="SimSun" w:eastAsia="SimSun" w:cs="SimSun"/>
                <w:sz w:val="18"/>
                <w:szCs w:val="18"/>
                <w:color w:val="212529"/>
                <w:spacing w:val="-1"/>
              </w:rPr>
              <w:t>三、国有资本经营预算</w:t>
            </w:r>
          </w:p>
        </w:tc>
        <w:tc>
          <w:tcPr>
            <w:tcW w:w="1213" w:type="dxa"/>
            <w:vAlign w:val="top"/>
          </w:tcPr>
          <w:p>
            <w:pPr>
              <w:pStyle w:val="TableText"/>
              <w:rPr/>
            </w:pPr>
            <w:r/>
          </w:p>
        </w:tc>
        <w:tc>
          <w:tcPr>
            <w:tcW w:w="2111" w:type="dxa"/>
            <w:vAlign w:val="top"/>
          </w:tcPr>
          <w:p>
            <w:pPr>
              <w:ind w:left="4"/>
              <w:spacing w:before="175" w:line="219" w:lineRule="auto"/>
              <w:rPr>
                <w:rFonts w:ascii="SimSun" w:hAnsi="SimSun" w:eastAsia="SimSun" w:cs="SimSun"/>
                <w:sz w:val="18"/>
                <w:szCs w:val="18"/>
              </w:rPr>
            </w:pPr>
            <w:r>
              <w:rPr>
                <w:rFonts w:ascii="SimSun" w:hAnsi="SimSun" w:eastAsia="SimSun" w:cs="SimSun"/>
                <w:sz w:val="18"/>
                <w:szCs w:val="18"/>
                <w:color w:val="212529"/>
                <w:spacing w:val="-1"/>
              </w:rPr>
              <w:t>三、国防支出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ind w:left="23"/>
              <w:spacing w:before="175" w:line="219" w:lineRule="auto"/>
              <w:rPr>
                <w:rFonts w:ascii="SimSun" w:hAnsi="SimSun" w:eastAsia="SimSun" w:cs="SimSun"/>
                <w:sz w:val="18"/>
                <w:szCs w:val="18"/>
              </w:rPr>
            </w:pPr>
            <w:r>
              <w:rPr>
                <w:rFonts w:ascii="SimSun" w:hAnsi="SimSun" w:eastAsia="SimSun" w:cs="SimSun"/>
                <w:sz w:val="18"/>
                <w:szCs w:val="18"/>
                <w:color w:val="212529"/>
                <w:spacing w:val="-3"/>
              </w:rPr>
              <w:t>四、财政专户管理资金</w:t>
            </w:r>
          </w:p>
        </w:tc>
        <w:tc>
          <w:tcPr>
            <w:tcW w:w="1213" w:type="dxa"/>
            <w:vAlign w:val="top"/>
          </w:tcPr>
          <w:p>
            <w:pPr>
              <w:pStyle w:val="TableText"/>
              <w:rPr/>
            </w:pPr>
            <w:r/>
          </w:p>
        </w:tc>
        <w:tc>
          <w:tcPr>
            <w:tcW w:w="2111" w:type="dxa"/>
            <w:vAlign w:val="top"/>
          </w:tcPr>
          <w:p>
            <w:pPr>
              <w:ind w:left="22"/>
              <w:spacing w:before="175" w:line="219" w:lineRule="auto"/>
              <w:rPr>
                <w:rFonts w:ascii="SimSun" w:hAnsi="SimSun" w:eastAsia="SimSun" w:cs="SimSun"/>
                <w:sz w:val="18"/>
                <w:szCs w:val="18"/>
              </w:rPr>
            </w:pPr>
            <w:r>
              <w:rPr>
                <w:rFonts w:ascii="SimSun" w:hAnsi="SimSun" w:eastAsia="SimSun" w:cs="SimSun"/>
                <w:sz w:val="18"/>
                <w:szCs w:val="18"/>
                <w:color w:val="212529"/>
                <w:spacing w:val="-3"/>
              </w:rPr>
              <w:t>四、公共安全支出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ind w:left="9"/>
              <w:spacing w:before="177" w:line="219" w:lineRule="auto"/>
              <w:rPr>
                <w:rFonts w:ascii="SimSun" w:hAnsi="SimSun" w:eastAsia="SimSun" w:cs="SimSun"/>
                <w:sz w:val="18"/>
                <w:szCs w:val="18"/>
              </w:rPr>
            </w:pPr>
            <w:r>
              <w:rPr>
                <w:rFonts w:ascii="SimSun" w:hAnsi="SimSun" w:eastAsia="SimSun" w:cs="SimSun"/>
                <w:sz w:val="18"/>
                <w:szCs w:val="18"/>
                <w:color w:val="212529"/>
                <w:spacing w:val="-2"/>
              </w:rPr>
              <w:t>五、单位资金</w:t>
            </w:r>
          </w:p>
        </w:tc>
        <w:tc>
          <w:tcPr>
            <w:tcW w:w="1213" w:type="dxa"/>
            <w:vAlign w:val="top"/>
          </w:tcPr>
          <w:p>
            <w:pPr>
              <w:pStyle w:val="TableText"/>
              <w:rPr/>
            </w:pPr>
            <w:r/>
          </w:p>
        </w:tc>
        <w:tc>
          <w:tcPr>
            <w:tcW w:w="2111" w:type="dxa"/>
            <w:vAlign w:val="top"/>
          </w:tcPr>
          <w:p>
            <w:pPr>
              <w:ind w:left="8"/>
              <w:spacing w:before="176" w:line="219" w:lineRule="auto"/>
              <w:rPr>
                <w:rFonts w:ascii="SimSun" w:hAnsi="SimSun" w:eastAsia="SimSun" w:cs="SimSun"/>
                <w:sz w:val="18"/>
                <w:szCs w:val="18"/>
              </w:rPr>
            </w:pPr>
            <w:r>
              <w:rPr>
                <w:rFonts w:ascii="SimSun" w:hAnsi="SimSun" w:eastAsia="SimSun" w:cs="SimSun"/>
                <w:sz w:val="18"/>
                <w:szCs w:val="18"/>
                <w:color w:val="212529"/>
                <w:spacing w:val="-2"/>
              </w:rPr>
              <w:t>五、教育支出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spacing w:before="177" w:line="218" w:lineRule="auto"/>
              <w:rPr>
                <w:rFonts w:ascii="SimSun" w:hAnsi="SimSun" w:eastAsia="SimSun" w:cs="SimSun"/>
                <w:sz w:val="18"/>
                <w:szCs w:val="18"/>
              </w:rPr>
            </w:pPr>
            <w:r>
              <w:rPr>
                <w:rFonts w:ascii="SimSun" w:hAnsi="SimSun" w:eastAsia="SimSun" w:cs="SimSun"/>
                <w:sz w:val="18"/>
                <w:szCs w:val="18"/>
                <w:color w:val="212529"/>
                <w:spacing w:val="-1"/>
              </w:rPr>
              <w:t>六、科学技术支出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right="117"/>
              <w:spacing w:before="73" w:line="218" w:lineRule="auto"/>
              <w:rPr>
                <w:rFonts w:ascii="SimSun" w:hAnsi="SimSun" w:eastAsia="SimSun" w:cs="SimSun"/>
                <w:sz w:val="18"/>
                <w:szCs w:val="18"/>
              </w:rPr>
            </w:pPr>
            <w:r>
              <w:rPr>
                <w:rFonts w:ascii="SimSun" w:hAnsi="SimSun" w:eastAsia="SimSun" w:cs="SimSun"/>
                <w:sz w:val="18"/>
                <w:szCs w:val="18"/>
                <w:color w:val="212529"/>
                <w:spacing w:val="-1"/>
              </w:rPr>
              <w:t>七、文化旅游体育与传媒</w:t>
            </w:r>
            <w:r>
              <w:rPr>
                <w:rFonts w:ascii="SimSun" w:hAnsi="SimSun" w:eastAsia="SimSun" w:cs="SimSun"/>
                <w:sz w:val="18"/>
                <w:szCs w:val="18"/>
                <w:color w:val="212529"/>
                <w:spacing w:val="-2"/>
              </w:rPr>
              <w:t>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8"/>
              <w:spacing w:before="179" w:line="218" w:lineRule="auto"/>
              <w:rPr>
                <w:rFonts w:ascii="SimSun" w:hAnsi="SimSun" w:eastAsia="SimSun" w:cs="SimSun"/>
                <w:sz w:val="18"/>
                <w:szCs w:val="18"/>
              </w:rPr>
            </w:pPr>
            <w:r>
              <w:rPr>
                <w:rFonts w:ascii="SimSun" w:hAnsi="SimSun" w:eastAsia="SimSun" w:cs="SimSun"/>
                <w:sz w:val="18"/>
                <w:szCs w:val="18"/>
                <w:color w:val="212529"/>
                <w:spacing w:val="-1"/>
              </w:rPr>
              <w:t>八、社会保障和就业支出</w:t>
            </w:r>
          </w:p>
        </w:tc>
        <w:tc>
          <w:tcPr>
            <w:tcW w:w="1228" w:type="dxa"/>
            <w:vAlign w:val="top"/>
          </w:tcPr>
          <w:p>
            <w:pPr>
              <w:ind w:right="16"/>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4"/>
              </w:rPr>
              <w:t>12.11</w:t>
            </w:r>
          </w:p>
        </w:tc>
        <w:tc>
          <w:tcPr>
            <w:tcW w:w="1228" w:type="dxa"/>
            <w:vAlign w:val="top"/>
          </w:tcPr>
          <w:p>
            <w:pPr>
              <w:ind w:right="26"/>
              <w:spacing w:before="180" w:line="238" w:lineRule="auto"/>
              <w:jc w:val="right"/>
              <w:rPr>
                <w:rFonts w:ascii="SimSun" w:hAnsi="SimSun" w:eastAsia="SimSun" w:cs="SimSun"/>
                <w:sz w:val="18"/>
                <w:szCs w:val="18"/>
              </w:rPr>
            </w:pPr>
            <w:r>
              <w:rPr>
                <w:rFonts w:ascii="SimSun" w:hAnsi="SimSun" w:eastAsia="SimSun" w:cs="SimSun"/>
                <w:sz w:val="18"/>
                <w:szCs w:val="18"/>
                <w:color w:val="212529"/>
                <w:spacing w:val="-4"/>
              </w:rPr>
              <w:t>12.11</w:t>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8"/>
              <w:spacing w:before="180" w:line="218" w:lineRule="auto"/>
              <w:rPr>
                <w:rFonts w:ascii="SimSun" w:hAnsi="SimSun" w:eastAsia="SimSun" w:cs="SimSun"/>
                <w:sz w:val="18"/>
                <w:szCs w:val="18"/>
              </w:rPr>
            </w:pPr>
            <w:r>
              <w:rPr>
                <w:rFonts w:ascii="SimSun" w:hAnsi="SimSun" w:eastAsia="SimSun" w:cs="SimSun"/>
                <w:sz w:val="18"/>
                <w:szCs w:val="18"/>
                <w:color w:val="212529"/>
                <w:spacing w:val="-1"/>
              </w:rPr>
              <w:t>九、社会保险基金支出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spacing w:before="181" w:line="219" w:lineRule="auto"/>
              <w:rPr>
                <w:rFonts w:ascii="SimSun" w:hAnsi="SimSun" w:eastAsia="SimSun" w:cs="SimSun"/>
                <w:sz w:val="18"/>
                <w:szCs w:val="18"/>
              </w:rPr>
            </w:pPr>
            <w:r>
              <w:rPr>
                <w:rFonts w:ascii="SimSun" w:hAnsi="SimSun" w:eastAsia="SimSun" w:cs="SimSun"/>
                <w:sz w:val="18"/>
                <w:szCs w:val="18"/>
                <w:color w:val="212529"/>
                <w:spacing w:val="-1"/>
              </w:rPr>
              <w:t>十、卫生健康支出</w:t>
            </w:r>
          </w:p>
        </w:tc>
        <w:tc>
          <w:tcPr>
            <w:tcW w:w="1228" w:type="dxa"/>
            <w:vAlign w:val="top"/>
          </w:tcPr>
          <w:p>
            <w:pPr>
              <w:ind w:right="19"/>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4.20</w:t>
            </w:r>
          </w:p>
        </w:tc>
        <w:tc>
          <w:tcPr>
            <w:tcW w:w="1228" w:type="dxa"/>
            <w:vAlign w:val="top"/>
          </w:tcPr>
          <w:p>
            <w:pPr>
              <w:ind w:right="28"/>
              <w:spacing w:before="182" w:line="238" w:lineRule="auto"/>
              <w:jc w:val="right"/>
              <w:rPr>
                <w:rFonts w:ascii="SimSun" w:hAnsi="SimSun" w:eastAsia="SimSun" w:cs="SimSun"/>
                <w:sz w:val="18"/>
                <w:szCs w:val="18"/>
              </w:rPr>
            </w:pPr>
            <w:r>
              <w:rPr>
                <w:rFonts w:ascii="SimSun" w:hAnsi="SimSun" w:eastAsia="SimSun" w:cs="SimSun"/>
                <w:sz w:val="18"/>
                <w:szCs w:val="18"/>
                <w:color w:val="212529"/>
                <w:spacing w:val="-2"/>
              </w:rPr>
              <w:t>4.20</w:t>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3"/>
              </w:rPr>
              <w:t>十一、节能环保支出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5"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十二、城乡社区支出</w:t>
            </w:r>
          </w:p>
        </w:tc>
        <w:tc>
          <w:tcPr>
            <w:tcW w:w="1228" w:type="dxa"/>
            <w:vAlign w:val="top"/>
          </w:tcPr>
          <w:p>
            <w:pPr>
              <w:ind w:right="19"/>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3831.27</w:t>
            </w:r>
          </w:p>
        </w:tc>
        <w:tc>
          <w:tcPr>
            <w:tcW w:w="1228" w:type="dxa"/>
            <w:vAlign w:val="top"/>
          </w:tcPr>
          <w:p>
            <w:pPr>
              <w:ind w:right="28"/>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3831.27</w:t>
            </w:r>
          </w:p>
        </w:tc>
        <w:tc>
          <w:tcPr>
            <w:tcW w:w="726" w:type="dxa"/>
            <w:vAlign w:val="top"/>
          </w:tcPr>
          <w:p>
            <w:pPr>
              <w:pStyle w:val="TableText"/>
              <w:rPr/>
            </w:pPr>
            <w:r/>
          </w:p>
        </w:tc>
      </w:tr>
      <w:tr>
        <w:trPr>
          <w:trHeight w:val="525"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十三、农林水支出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5"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十四、交通运输支出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5"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right="117"/>
              <w:spacing w:before="78" w:line="218" w:lineRule="auto"/>
              <w:rPr>
                <w:rFonts w:ascii="SimSun" w:hAnsi="SimSun" w:eastAsia="SimSun" w:cs="SimSun"/>
                <w:sz w:val="18"/>
                <w:szCs w:val="18"/>
              </w:rPr>
            </w:pPr>
            <w:r>
              <w:rPr>
                <w:rFonts w:ascii="SimSun" w:hAnsi="SimSun" w:eastAsia="SimSun" w:cs="SimSun"/>
                <w:sz w:val="18"/>
                <w:szCs w:val="18"/>
                <w:color w:val="212529"/>
                <w:spacing w:val="-1"/>
              </w:rPr>
              <w:t>十五、资源勘探工业信息</w:t>
            </w:r>
            <w:r>
              <w:rPr>
                <w:rFonts w:ascii="SimSun" w:hAnsi="SimSun" w:eastAsia="SimSun" w:cs="SimSun"/>
                <w:sz w:val="18"/>
                <w:szCs w:val="18"/>
                <w:color w:val="212529"/>
                <w:spacing w:val="-2"/>
              </w:rPr>
              <w:t>等支出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5"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spacing w:before="183" w:line="219" w:lineRule="auto"/>
              <w:rPr>
                <w:rFonts w:ascii="SimSun" w:hAnsi="SimSun" w:eastAsia="SimSun" w:cs="SimSun"/>
                <w:sz w:val="18"/>
                <w:szCs w:val="18"/>
              </w:rPr>
            </w:pPr>
            <w:r>
              <w:rPr>
                <w:rFonts w:ascii="SimSun" w:hAnsi="SimSun" w:eastAsia="SimSun" w:cs="SimSun"/>
                <w:sz w:val="18"/>
                <w:szCs w:val="18"/>
                <w:color w:val="212529"/>
                <w:spacing w:val="-1"/>
              </w:rPr>
              <w:t>十六、商业服务业等支出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5"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spacing w:before="184" w:line="219" w:lineRule="auto"/>
              <w:rPr>
                <w:rFonts w:ascii="SimSun" w:hAnsi="SimSun" w:eastAsia="SimSun" w:cs="SimSun"/>
                <w:sz w:val="18"/>
                <w:szCs w:val="18"/>
              </w:rPr>
            </w:pPr>
            <w:r>
              <w:rPr>
                <w:rFonts w:ascii="SimSun" w:hAnsi="SimSun" w:eastAsia="SimSun" w:cs="SimSun"/>
                <w:sz w:val="18"/>
                <w:szCs w:val="18"/>
                <w:color w:val="212529"/>
                <w:spacing w:val="-1"/>
              </w:rPr>
              <w:t>十七、金融支出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5"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spacing w:before="184" w:line="219" w:lineRule="auto"/>
              <w:rPr>
                <w:rFonts w:ascii="SimSun" w:hAnsi="SimSun" w:eastAsia="SimSun" w:cs="SimSun"/>
                <w:sz w:val="18"/>
                <w:szCs w:val="18"/>
              </w:rPr>
            </w:pPr>
            <w:r>
              <w:rPr>
                <w:rFonts w:ascii="SimSun" w:hAnsi="SimSun" w:eastAsia="SimSun" w:cs="SimSun"/>
                <w:sz w:val="18"/>
                <w:szCs w:val="18"/>
                <w:color w:val="212529"/>
                <w:spacing w:val="-1"/>
              </w:rPr>
              <w:t>十八、援助其他地区支出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5"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right="117"/>
              <w:spacing w:before="78" w:line="218" w:lineRule="auto"/>
              <w:rPr>
                <w:rFonts w:ascii="SimSun" w:hAnsi="SimSun" w:eastAsia="SimSun" w:cs="SimSun"/>
                <w:sz w:val="18"/>
                <w:szCs w:val="18"/>
              </w:rPr>
            </w:pPr>
            <w:r>
              <w:rPr>
                <w:rFonts w:ascii="SimSun" w:hAnsi="SimSun" w:eastAsia="SimSun" w:cs="SimSun"/>
                <w:sz w:val="18"/>
                <w:szCs w:val="18"/>
                <w:color w:val="212529"/>
                <w:spacing w:val="-1"/>
              </w:rPr>
              <w:t>十九、自然资源海洋气象</w:t>
            </w:r>
            <w:r>
              <w:rPr>
                <w:rFonts w:ascii="SimSun" w:hAnsi="SimSun" w:eastAsia="SimSun" w:cs="SimSun"/>
                <w:sz w:val="18"/>
                <w:szCs w:val="18"/>
                <w:color w:val="212529"/>
                <w:spacing w:val="-2"/>
              </w:rPr>
              <w:t>等支出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5"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8"/>
              <w:spacing w:before="183" w:line="219" w:lineRule="auto"/>
              <w:rPr>
                <w:rFonts w:ascii="SimSun" w:hAnsi="SimSun" w:eastAsia="SimSun" w:cs="SimSun"/>
                <w:sz w:val="18"/>
                <w:szCs w:val="18"/>
              </w:rPr>
            </w:pPr>
            <w:r>
              <w:rPr>
                <w:rFonts w:ascii="SimSun" w:hAnsi="SimSun" w:eastAsia="SimSun" w:cs="SimSun"/>
                <w:sz w:val="18"/>
                <w:szCs w:val="18"/>
                <w:color w:val="212529"/>
                <w:spacing w:val="-1"/>
              </w:rPr>
              <w:t>二十、住房保障支出</w:t>
            </w:r>
          </w:p>
        </w:tc>
        <w:tc>
          <w:tcPr>
            <w:tcW w:w="1228" w:type="dxa"/>
            <w:vAlign w:val="top"/>
          </w:tcPr>
          <w:p>
            <w:pPr>
              <w:ind w:right="18"/>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8.01</w:t>
            </w:r>
          </w:p>
        </w:tc>
        <w:tc>
          <w:tcPr>
            <w:tcW w:w="1228" w:type="dxa"/>
            <w:vAlign w:val="top"/>
          </w:tcPr>
          <w:p>
            <w:pPr>
              <w:ind w:right="28"/>
              <w:spacing w:before="184" w:line="238" w:lineRule="auto"/>
              <w:jc w:val="right"/>
              <w:rPr>
                <w:rFonts w:ascii="SimSun" w:hAnsi="SimSun" w:eastAsia="SimSun" w:cs="SimSun"/>
                <w:sz w:val="18"/>
                <w:szCs w:val="18"/>
              </w:rPr>
            </w:pPr>
            <w:r>
              <w:rPr>
                <w:rFonts w:ascii="SimSun" w:hAnsi="SimSun" w:eastAsia="SimSun" w:cs="SimSun"/>
                <w:sz w:val="18"/>
                <w:szCs w:val="18"/>
                <w:color w:val="212529"/>
                <w:spacing w:val="-2"/>
              </w:rPr>
              <w:t>8.01</w:t>
            </w:r>
          </w:p>
        </w:tc>
        <w:tc>
          <w:tcPr>
            <w:tcW w:w="726" w:type="dxa"/>
            <w:vAlign w:val="top"/>
          </w:tcPr>
          <w:p>
            <w:pPr>
              <w:pStyle w:val="TableText"/>
              <w:rPr/>
            </w:pPr>
            <w:r/>
          </w:p>
        </w:tc>
      </w:tr>
      <w:tr>
        <w:trPr>
          <w:trHeight w:val="532"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20" w:right="126" w:hanging="12"/>
              <w:spacing w:before="79" w:line="219" w:lineRule="auto"/>
              <w:rPr>
                <w:rFonts w:ascii="SimSun" w:hAnsi="SimSun" w:eastAsia="SimSun" w:cs="SimSun"/>
                <w:sz w:val="18"/>
                <w:szCs w:val="18"/>
              </w:rPr>
            </w:pPr>
            <w:r>
              <w:rPr>
                <w:rFonts w:ascii="SimSun" w:hAnsi="SimSun" w:eastAsia="SimSun" w:cs="SimSun"/>
                <w:sz w:val="18"/>
                <w:szCs w:val="18"/>
                <w:color w:val="212529"/>
                <w:spacing w:val="-2"/>
              </w:rPr>
              <w:t>二十一、粮油物资储备支</w:t>
            </w:r>
            <w:r>
              <w:rPr>
                <w:rFonts w:ascii="SimSun" w:hAnsi="SimSun" w:eastAsia="SimSun" w:cs="SimSun"/>
                <w:sz w:val="18"/>
                <w:szCs w:val="18"/>
                <w:color w:val="212529"/>
              </w:rPr>
              <w:t>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bl>
    <w:p>
      <w:pPr>
        <w:rPr>
          <w:rFonts w:ascii="Arial"/>
          <w:sz w:val="21"/>
        </w:rPr>
      </w:pPr>
      <w:r/>
    </w:p>
    <w:p>
      <w:pPr>
        <w:sectPr>
          <w:footerReference w:type="default" r:id="rId5"/>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8550"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2044"/>
        <w:gridCol w:w="1213"/>
        <w:gridCol w:w="2111"/>
        <w:gridCol w:w="1228"/>
        <w:gridCol w:w="1228"/>
        <w:gridCol w:w="726"/>
      </w:tblGrid>
      <w:tr>
        <w:trPr>
          <w:trHeight w:val="531"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5" w:right="117" w:firstLine="2"/>
              <w:spacing w:before="55" w:line="218" w:lineRule="auto"/>
              <w:rPr>
                <w:rFonts w:ascii="SimSun" w:hAnsi="SimSun" w:eastAsia="SimSun" w:cs="SimSun"/>
                <w:sz w:val="18"/>
                <w:szCs w:val="18"/>
              </w:rPr>
            </w:pPr>
            <w:bookmarkStart w:name="bookmark36" w:id="8"/>
            <w:bookmarkEnd w:id="8"/>
            <w:r>
              <w:rPr>
                <w:rFonts w:ascii="SimSun" w:hAnsi="SimSun" w:eastAsia="SimSun" w:cs="SimSun"/>
                <w:sz w:val="18"/>
                <w:szCs w:val="18"/>
                <w:color w:val="212529"/>
                <w:spacing w:val="-1"/>
              </w:rPr>
              <w:t>二十二、国有资本经营预</w:t>
            </w:r>
            <w:r>
              <w:rPr>
                <w:rFonts w:ascii="SimSun" w:hAnsi="SimSun" w:eastAsia="SimSun" w:cs="SimSun"/>
                <w:sz w:val="18"/>
                <w:szCs w:val="18"/>
                <w:color w:val="212529"/>
                <w:spacing w:val="-2"/>
              </w:rPr>
              <w:t>算支出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3"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8" w:right="117"/>
              <w:spacing w:before="49" w:line="218" w:lineRule="auto"/>
              <w:rPr>
                <w:rFonts w:ascii="SimSun" w:hAnsi="SimSun" w:eastAsia="SimSun" w:cs="SimSun"/>
                <w:sz w:val="18"/>
                <w:szCs w:val="18"/>
              </w:rPr>
            </w:pPr>
            <w:r>
              <w:rPr>
                <w:rFonts w:ascii="SimSun" w:hAnsi="SimSun" w:eastAsia="SimSun" w:cs="SimSun"/>
                <w:sz w:val="18"/>
                <w:szCs w:val="18"/>
                <w:color w:val="212529"/>
                <w:spacing w:val="-1"/>
              </w:rPr>
              <w:t>二十三、灾害防治及应急</w:t>
            </w:r>
            <w:r>
              <w:rPr>
                <w:rFonts w:ascii="SimSun" w:hAnsi="SimSun" w:eastAsia="SimSun" w:cs="SimSun"/>
                <w:sz w:val="18"/>
                <w:szCs w:val="18"/>
                <w:color w:val="212529"/>
                <w:spacing w:val="-2"/>
              </w:rPr>
              <w:t>管理支出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8"/>
              <w:spacing w:before="157" w:line="219" w:lineRule="auto"/>
              <w:rPr>
                <w:rFonts w:ascii="SimSun" w:hAnsi="SimSun" w:eastAsia="SimSun" w:cs="SimSun"/>
                <w:sz w:val="18"/>
                <w:szCs w:val="18"/>
              </w:rPr>
            </w:pPr>
            <w:r>
              <w:rPr>
                <w:rFonts w:ascii="SimSun" w:hAnsi="SimSun" w:eastAsia="SimSun" w:cs="SimSun"/>
                <w:sz w:val="18"/>
                <w:szCs w:val="18"/>
                <w:color w:val="212529"/>
                <w:spacing w:val="-2"/>
              </w:rPr>
              <w:t>二十四、预备费</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8"/>
              <w:spacing w:before="158" w:line="219" w:lineRule="auto"/>
              <w:rPr>
                <w:rFonts w:ascii="SimSun" w:hAnsi="SimSun" w:eastAsia="SimSun" w:cs="SimSun"/>
                <w:sz w:val="18"/>
                <w:szCs w:val="18"/>
              </w:rPr>
            </w:pPr>
            <w:r>
              <w:rPr>
                <w:rFonts w:ascii="SimSun" w:hAnsi="SimSun" w:eastAsia="SimSun" w:cs="SimSun"/>
                <w:sz w:val="18"/>
                <w:szCs w:val="18"/>
                <w:color w:val="212529"/>
                <w:spacing w:val="-2"/>
              </w:rPr>
              <w:t>二十五、其他支出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8"/>
              <w:spacing w:before="159" w:line="219" w:lineRule="auto"/>
              <w:rPr>
                <w:rFonts w:ascii="SimSun" w:hAnsi="SimSun" w:eastAsia="SimSun" w:cs="SimSun"/>
                <w:sz w:val="18"/>
                <w:szCs w:val="18"/>
              </w:rPr>
            </w:pPr>
            <w:r>
              <w:rPr>
                <w:rFonts w:ascii="SimSun" w:hAnsi="SimSun" w:eastAsia="SimSun" w:cs="SimSun"/>
                <w:sz w:val="18"/>
                <w:szCs w:val="18"/>
                <w:color w:val="212529"/>
                <w:spacing w:val="-1"/>
              </w:rPr>
              <w:t>二十六、转移性支出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8"/>
              <w:spacing w:before="159" w:line="218" w:lineRule="auto"/>
              <w:rPr>
                <w:rFonts w:ascii="SimSun" w:hAnsi="SimSun" w:eastAsia="SimSun" w:cs="SimSun"/>
                <w:sz w:val="18"/>
                <w:szCs w:val="18"/>
              </w:rPr>
            </w:pPr>
            <w:r>
              <w:rPr>
                <w:rFonts w:ascii="SimSun" w:hAnsi="SimSun" w:eastAsia="SimSun" w:cs="SimSun"/>
                <w:sz w:val="18"/>
                <w:szCs w:val="18"/>
                <w:color w:val="212529"/>
                <w:spacing w:val="-1"/>
              </w:rPr>
              <w:t>二十七、债务还本支出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8"/>
              <w:spacing w:before="160" w:line="219" w:lineRule="auto"/>
              <w:rPr>
                <w:rFonts w:ascii="SimSun" w:hAnsi="SimSun" w:eastAsia="SimSun" w:cs="SimSun"/>
                <w:sz w:val="18"/>
                <w:szCs w:val="18"/>
              </w:rPr>
            </w:pPr>
            <w:r>
              <w:rPr>
                <w:rFonts w:ascii="SimSun" w:hAnsi="SimSun" w:eastAsia="SimSun" w:cs="SimSun"/>
                <w:sz w:val="18"/>
                <w:szCs w:val="18"/>
                <w:color w:val="212529"/>
                <w:spacing w:val="-1"/>
              </w:rPr>
              <w:t>二十八、债务付息支出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20" w:right="117" w:hanging="12"/>
              <w:spacing w:before="57" w:line="219" w:lineRule="auto"/>
              <w:rPr>
                <w:rFonts w:ascii="SimSun" w:hAnsi="SimSun" w:eastAsia="SimSun" w:cs="SimSun"/>
                <w:sz w:val="18"/>
                <w:szCs w:val="18"/>
              </w:rPr>
            </w:pPr>
            <w:r>
              <w:rPr>
                <w:rFonts w:ascii="SimSun" w:hAnsi="SimSun" w:eastAsia="SimSun" w:cs="SimSun"/>
                <w:sz w:val="18"/>
                <w:szCs w:val="18"/>
                <w:color w:val="212529"/>
                <w:spacing w:val="-1"/>
              </w:rPr>
              <w:t>二十九、债务发行费用支</w:t>
            </w:r>
            <w:r>
              <w:rPr>
                <w:rFonts w:ascii="SimSun" w:hAnsi="SimSun" w:eastAsia="SimSun" w:cs="SimSun"/>
                <w:sz w:val="18"/>
                <w:szCs w:val="18"/>
                <w:color w:val="212529"/>
              </w:rPr>
              <w:t>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ind w:left="19" w:right="117" w:hanging="15"/>
              <w:spacing w:before="57" w:line="218" w:lineRule="auto"/>
              <w:rPr>
                <w:rFonts w:ascii="SimSun" w:hAnsi="SimSun" w:eastAsia="SimSun" w:cs="SimSun"/>
                <w:sz w:val="18"/>
                <w:szCs w:val="18"/>
              </w:rPr>
            </w:pPr>
            <w:r>
              <w:rPr>
                <w:rFonts w:ascii="SimSun" w:hAnsi="SimSun" w:eastAsia="SimSun" w:cs="SimSun"/>
                <w:sz w:val="18"/>
                <w:szCs w:val="18"/>
                <w:color w:val="212529"/>
                <w:spacing w:val="-1"/>
              </w:rPr>
              <w:t>三十、抗疫特别国债安排</w:t>
            </w:r>
            <w:r>
              <w:rPr>
                <w:rFonts w:ascii="SimSun" w:hAnsi="SimSun" w:eastAsia="SimSun" w:cs="SimSun"/>
                <w:sz w:val="18"/>
                <w:szCs w:val="18"/>
                <w:color w:val="212529"/>
                <w:spacing w:val="-5"/>
              </w:rPr>
              <w:t>的支出</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pStyle w:val="TableText"/>
              <w:rPr/>
            </w:pPr>
            <w:r/>
          </w:p>
        </w:tc>
        <w:tc>
          <w:tcPr>
            <w:tcW w:w="1213" w:type="dxa"/>
            <w:vAlign w:val="top"/>
          </w:tcPr>
          <w:p>
            <w:pPr>
              <w:pStyle w:val="TableText"/>
              <w:rPr/>
            </w:pPr>
            <w:r/>
          </w:p>
        </w:tc>
        <w:tc>
          <w:tcPr>
            <w:tcW w:w="2111" w:type="dxa"/>
            <w:vAlign w:val="top"/>
          </w:tcPr>
          <w:p>
            <w:pPr>
              <w:pStyle w:val="TableText"/>
              <w:rPr/>
            </w:pPr>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24" w:hRule="atLeast"/>
        </w:trPr>
        <w:tc>
          <w:tcPr>
            <w:tcW w:w="2044" w:type="dxa"/>
            <w:vAlign w:val="top"/>
          </w:tcPr>
          <w:p>
            <w:pPr>
              <w:ind w:left="7"/>
              <w:spacing w:before="161"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本年收入合计</w:t>
            </w:r>
          </w:p>
        </w:tc>
        <w:tc>
          <w:tcPr>
            <w:tcW w:w="1213" w:type="dxa"/>
            <w:vAlign w:val="top"/>
          </w:tcPr>
          <w:p>
            <w:pPr>
              <w:pStyle w:val="TableText"/>
              <w:ind w:left="546"/>
              <w:spacing w:before="186" w:line="183" w:lineRule="auto"/>
              <w:rPr>
                <w:sz w:val="15"/>
                <w:szCs w:val="15"/>
              </w:rPr>
            </w:pPr>
            <w:r>
              <w:rPr>
                <w:sz w:val="15"/>
                <w:szCs w:val="15"/>
                <w:color w:val="212529"/>
                <w:spacing w:val="2"/>
              </w:rPr>
              <w:t>3855.</w:t>
            </w:r>
            <w:r>
              <w:rPr>
                <w:sz w:val="15"/>
                <w:szCs w:val="15"/>
                <w:color w:val="212529"/>
                <w:spacing w:val="18"/>
              </w:rPr>
              <w:t xml:space="preserve"> </w:t>
            </w:r>
            <w:r>
              <w:rPr>
                <w:sz w:val="15"/>
                <w:szCs w:val="15"/>
                <w:color w:val="212529"/>
                <w:spacing w:val="2"/>
              </w:rPr>
              <w:t>59</w:t>
            </w:r>
          </w:p>
        </w:tc>
        <w:tc>
          <w:tcPr>
            <w:tcW w:w="2111" w:type="dxa"/>
            <w:vAlign w:val="top"/>
          </w:tcPr>
          <w:p>
            <w:pPr>
              <w:ind w:left="5"/>
              <w:spacing w:before="161"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本年支出合计</w:t>
            </w:r>
          </w:p>
        </w:tc>
        <w:tc>
          <w:tcPr>
            <w:tcW w:w="1228" w:type="dxa"/>
            <w:vAlign w:val="top"/>
          </w:tcPr>
          <w:p>
            <w:pPr>
              <w:pStyle w:val="TableText"/>
              <w:ind w:left="572"/>
              <w:spacing w:before="186" w:line="183" w:lineRule="auto"/>
              <w:rPr>
                <w:sz w:val="15"/>
                <w:szCs w:val="15"/>
              </w:rPr>
            </w:pPr>
            <w:r>
              <w:rPr>
                <w:sz w:val="15"/>
                <w:szCs w:val="15"/>
                <w:color w:val="212529"/>
                <w:spacing w:val="2"/>
              </w:rPr>
              <w:t>3855.</w:t>
            </w:r>
            <w:r>
              <w:rPr>
                <w:sz w:val="15"/>
                <w:szCs w:val="15"/>
                <w:color w:val="212529"/>
                <w:spacing w:val="18"/>
              </w:rPr>
              <w:t xml:space="preserve"> </w:t>
            </w:r>
            <w:r>
              <w:rPr>
                <w:sz w:val="15"/>
                <w:szCs w:val="15"/>
                <w:color w:val="212529"/>
                <w:spacing w:val="2"/>
              </w:rPr>
              <w:t>59</w:t>
            </w:r>
          </w:p>
        </w:tc>
        <w:tc>
          <w:tcPr>
            <w:tcW w:w="1228" w:type="dxa"/>
            <w:vAlign w:val="top"/>
          </w:tcPr>
          <w:p>
            <w:pPr>
              <w:pStyle w:val="TableText"/>
              <w:ind w:left="563"/>
              <w:spacing w:before="186" w:line="183" w:lineRule="auto"/>
              <w:rPr>
                <w:sz w:val="15"/>
                <w:szCs w:val="15"/>
              </w:rPr>
            </w:pPr>
            <w:r>
              <w:rPr>
                <w:sz w:val="15"/>
                <w:szCs w:val="15"/>
                <w:color w:val="212529"/>
                <w:spacing w:val="3"/>
              </w:rPr>
              <w:t>3855.</w:t>
            </w:r>
            <w:r>
              <w:rPr>
                <w:sz w:val="15"/>
                <w:szCs w:val="15"/>
                <w:color w:val="212529"/>
                <w:spacing w:val="11"/>
              </w:rPr>
              <w:t xml:space="preserve"> </w:t>
            </w:r>
            <w:r>
              <w:rPr>
                <w:sz w:val="15"/>
                <w:szCs w:val="15"/>
                <w:color w:val="212529"/>
                <w:spacing w:val="3"/>
              </w:rPr>
              <w:t>59</w:t>
            </w:r>
          </w:p>
        </w:tc>
        <w:tc>
          <w:tcPr>
            <w:tcW w:w="726" w:type="dxa"/>
            <w:vAlign w:val="top"/>
          </w:tcPr>
          <w:p>
            <w:pPr>
              <w:pStyle w:val="TableText"/>
              <w:rPr/>
            </w:pPr>
            <w:r/>
          </w:p>
        </w:tc>
      </w:tr>
      <w:tr>
        <w:trPr>
          <w:trHeight w:val="524" w:hRule="atLeast"/>
        </w:trPr>
        <w:tc>
          <w:tcPr>
            <w:tcW w:w="2044"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上年结转</w:t>
            </w:r>
          </w:p>
        </w:tc>
        <w:tc>
          <w:tcPr>
            <w:tcW w:w="1213" w:type="dxa"/>
            <w:vAlign w:val="top"/>
          </w:tcPr>
          <w:p>
            <w:pPr>
              <w:pStyle w:val="TableText"/>
              <w:rPr/>
            </w:pPr>
            <w:r/>
          </w:p>
        </w:tc>
        <w:tc>
          <w:tcPr>
            <w:tcW w:w="2111" w:type="dxa"/>
            <w:vAlign w:val="top"/>
          </w:tcPr>
          <w:p>
            <w:pPr>
              <w:ind w:left="193"/>
              <w:spacing w:before="165" w:line="219" w:lineRule="auto"/>
              <w:rPr>
                <w:rFonts w:ascii="FangSong" w:hAnsi="FangSong" w:eastAsia="FangSong" w:cs="FangSong"/>
                <w:sz w:val="18"/>
                <w:szCs w:val="18"/>
              </w:rPr>
            </w:pPr>
            <w:r>
              <w:rPr>
                <w:rFonts w:ascii="FangSong" w:hAnsi="FangSong" w:eastAsia="FangSong" w:cs="FangSong"/>
                <w:sz w:val="18"/>
                <w:szCs w:val="18"/>
                <w:color w:val="212529"/>
                <w:spacing w:val="-3"/>
              </w:rPr>
              <w:t>年终结转</w:t>
            </w:r>
          </w:p>
        </w:tc>
        <w:tc>
          <w:tcPr>
            <w:tcW w:w="1228" w:type="dxa"/>
            <w:vAlign w:val="top"/>
          </w:tcPr>
          <w:p>
            <w:pPr>
              <w:pStyle w:val="TableText"/>
              <w:rPr/>
            </w:pPr>
            <w:r/>
          </w:p>
        </w:tc>
        <w:tc>
          <w:tcPr>
            <w:tcW w:w="1228" w:type="dxa"/>
            <w:vAlign w:val="top"/>
          </w:tcPr>
          <w:p>
            <w:pPr>
              <w:pStyle w:val="TableText"/>
              <w:rPr/>
            </w:pPr>
            <w:r/>
          </w:p>
        </w:tc>
        <w:tc>
          <w:tcPr>
            <w:tcW w:w="726" w:type="dxa"/>
            <w:vAlign w:val="top"/>
          </w:tcPr>
          <w:p>
            <w:pPr>
              <w:pStyle w:val="TableText"/>
              <w:rPr/>
            </w:pPr>
            <w:r/>
          </w:p>
        </w:tc>
      </w:tr>
      <w:tr>
        <w:trPr>
          <w:trHeight w:val="531" w:hRule="atLeast"/>
        </w:trPr>
        <w:tc>
          <w:tcPr>
            <w:tcW w:w="2044" w:type="dxa"/>
            <w:vAlign w:val="top"/>
          </w:tcPr>
          <w:p>
            <w:pPr>
              <w:ind w:left="11"/>
              <w:spacing w:before="164"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收入总计</w:t>
            </w:r>
          </w:p>
        </w:tc>
        <w:tc>
          <w:tcPr>
            <w:tcW w:w="1213" w:type="dxa"/>
            <w:vAlign w:val="top"/>
          </w:tcPr>
          <w:p>
            <w:pPr>
              <w:pStyle w:val="TableText"/>
              <w:ind w:left="546"/>
              <w:spacing w:before="188" w:line="183" w:lineRule="auto"/>
              <w:rPr>
                <w:sz w:val="15"/>
                <w:szCs w:val="15"/>
              </w:rPr>
            </w:pPr>
            <w:r>
              <w:rPr>
                <w:sz w:val="15"/>
                <w:szCs w:val="15"/>
                <w:color w:val="212529"/>
                <w:spacing w:val="2"/>
              </w:rPr>
              <w:t>3855.</w:t>
            </w:r>
            <w:r>
              <w:rPr>
                <w:sz w:val="15"/>
                <w:szCs w:val="15"/>
                <w:color w:val="212529"/>
                <w:spacing w:val="18"/>
              </w:rPr>
              <w:t xml:space="preserve"> </w:t>
            </w:r>
            <w:r>
              <w:rPr>
                <w:sz w:val="15"/>
                <w:szCs w:val="15"/>
                <w:color w:val="212529"/>
                <w:spacing w:val="2"/>
              </w:rPr>
              <w:t>59</w:t>
            </w:r>
          </w:p>
        </w:tc>
        <w:tc>
          <w:tcPr>
            <w:tcW w:w="2111" w:type="dxa"/>
            <w:vAlign w:val="top"/>
          </w:tcPr>
          <w:p>
            <w:pPr>
              <w:ind w:left="4"/>
              <w:spacing w:before="164" w:line="176"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支出总计</w:t>
            </w:r>
          </w:p>
        </w:tc>
        <w:tc>
          <w:tcPr>
            <w:tcW w:w="1228" w:type="dxa"/>
            <w:vAlign w:val="top"/>
          </w:tcPr>
          <w:p>
            <w:pPr>
              <w:pStyle w:val="TableText"/>
              <w:ind w:left="572"/>
              <w:spacing w:before="188" w:line="183" w:lineRule="auto"/>
              <w:rPr>
                <w:sz w:val="15"/>
                <w:szCs w:val="15"/>
              </w:rPr>
            </w:pPr>
            <w:r>
              <w:rPr>
                <w:sz w:val="15"/>
                <w:szCs w:val="15"/>
                <w:color w:val="212529"/>
                <w:spacing w:val="2"/>
              </w:rPr>
              <w:t>3855.</w:t>
            </w:r>
            <w:r>
              <w:rPr>
                <w:sz w:val="15"/>
                <w:szCs w:val="15"/>
                <w:color w:val="212529"/>
                <w:spacing w:val="18"/>
              </w:rPr>
              <w:t xml:space="preserve"> </w:t>
            </w:r>
            <w:r>
              <w:rPr>
                <w:sz w:val="15"/>
                <w:szCs w:val="15"/>
                <w:color w:val="212529"/>
                <w:spacing w:val="2"/>
              </w:rPr>
              <w:t>59</w:t>
            </w:r>
          </w:p>
        </w:tc>
        <w:tc>
          <w:tcPr>
            <w:tcW w:w="1228" w:type="dxa"/>
            <w:vAlign w:val="top"/>
          </w:tcPr>
          <w:p>
            <w:pPr>
              <w:pStyle w:val="TableText"/>
              <w:ind w:left="563"/>
              <w:spacing w:before="188" w:line="183" w:lineRule="auto"/>
              <w:rPr>
                <w:sz w:val="15"/>
                <w:szCs w:val="15"/>
              </w:rPr>
            </w:pPr>
            <w:r>
              <w:rPr>
                <w:sz w:val="15"/>
                <w:szCs w:val="15"/>
                <w:color w:val="212529"/>
                <w:spacing w:val="3"/>
              </w:rPr>
              <w:t>3855.</w:t>
            </w:r>
            <w:r>
              <w:rPr>
                <w:sz w:val="15"/>
                <w:szCs w:val="15"/>
                <w:color w:val="212529"/>
                <w:spacing w:val="11"/>
              </w:rPr>
              <w:t xml:space="preserve"> </w:t>
            </w:r>
            <w:r>
              <w:rPr>
                <w:sz w:val="15"/>
                <w:szCs w:val="15"/>
                <w:color w:val="212529"/>
                <w:spacing w:val="3"/>
              </w:rPr>
              <w:t>59</w:t>
            </w:r>
          </w:p>
        </w:tc>
        <w:tc>
          <w:tcPr>
            <w:tcW w:w="726" w:type="dxa"/>
            <w:vAlign w:val="top"/>
          </w:tcPr>
          <w:p>
            <w:pPr>
              <w:pStyle w:val="TableText"/>
              <w:rPr/>
            </w:pPr>
            <w:r/>
          </w:p>
        </w:tc>
      </w:tr>
    </w:tbl>
    <w:p>
      <w:pPr>
        <w:rPr>
          <w:rFonts w:ascii="Arial"/>
          <w:sz w:val="21"/>
        </w:rPr>
      </w:pPr>
      <w:r/>
    </w:p>
    <w:p>
      <w:pPr>
        <w:sectPr>
          <w:footerReference w:type="default" r:id="rId6"/>
          <w:pgSz w:w="11900" w:h="16840"/>
          <w:pgMar w:top="642" w:right="600" w:bottom="340" w:left="600" w:header="326" w:footer="110" w:gutter="0"/>
        </w:sectPr>
        <w:rPr>
          <w:rFonts w:ascii="Arial" w:hAnsi="Arial" w:eastAsia="Arial" w:cs="Arial"/>
          <w:sz w:val="21"/>
          <w:szCs w:val="21"/>
        </w:rPr>
      </w:pPr>
    </w:p>
    <w:p>
      <w:pPr>
        <w:spacing w:before="118"/>
        <w:rPr/>
      </w:pPr>
      <w:r/>
    </w:p>
    <w:p>
      <w:pPr>
        <w:spacing w:before="11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81"/>
        <w:gridCol w:w="3086"/>
        <w:gridCol w:w="1633"/>
        <w:gridCol w:w="1438"/>
        <w:gridCol w:w="1064"/>
        <w:gridCol w:w="1288"/>
        <w:gridCol w:w="1289"/>
        <w:gridCol w:w="1019"/>
        <w:gridCol w:w="1071"/>
      </w:tblGrid>
      <w:tr>
        <w:trPr>
          <w:trHeight w:val="442" w:hRule="atLeast"/>
        </w:trPr>
        <w:tc>
          <w:tcPr>
            <w:tcW w:w="1581"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3086"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633"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43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064"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88"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1289" w:type="dxa"/>
            <w:vAlign w:val="top"/>
            <w:tcBorders>
              <w:left w:val="single" w:color="FFFFFF" w:sz="2" w:space="0"/>
              <w:right w:val="single" w:color="FFFFFF" w:sz="2" w:space="0"/>
              <w:bottom w:val="single" w:color="FFFFFF" w:sz="6" w:space="0"/>
              <w:top w:val="single" w:color="FFFFFF" w:sz="6" w:space="0"/>
            </w:tcBorders>
          </w:tcPr>
          <w:p>
            <w:pPr>
              <w:pStyle w:val="TableText"/>
              <w:rPr/>
            </w:pPr>
            <w:r/>
          </w:p>
        </w:tc>
        <w:tc>
          <w:tcPr>
            <w:tcW w:w="2090" w:type="dxa"/>
            <w:vAlign w:val="top"/>
            <w:gridSpan w:val="2"/>
            <w:tcBorders>
              <w:left w:val="single" w:color="FFFFFF" w:sz="2" w:space="0"/>
              <w:right w:val="single" w:color="FFFFFF" w:sz="2" w:space="0"/>
              <w:bottom w:val="single" w:color="FFFFFF" w:sz="6" w:space="0"/>
              <w:top w:val="single" w:color="FFFFFF" w:sz="6" w:space="0"/>
            </w:tcBorders>
          </w:tcPr>
          <w:p>
            <w:pPr>
              <w:ind w:left="1068"/>
              <w:spacing w:before="130" w:line="219" w:lineRule="auto"/>
              <w:rPr>
                <w:rFonts w:ascii="SimSun" w:hAnsi="SimSun" w:eastAsia="SimSun" w:cs="SimSun"/>
                <w:sz w:val="18"/>
                <w:szCs w:val="18"/>
              </w:rPr>
            </w:pPr>
            <w:r>
              <w:rPr>
                <w:rFonts w:ascii="SimSun" w:hAnsi="SimSun" w:eastAsia="SimSun" w:cs="SimSun"/>
                <w:sz w:val="18"/>
                <w:szCs w:val="18"/>
                <w:color w:val="212529"/>
                <w:spacing w:val="-2"/>
              </w:rPr>
              <w:t>预算公开表2</w:t>
            </w:r>
          </w:p>
        </w:tc>
      </w:tr>
      <w:tr>
        <w:trPr>
          <w:trHeight w:val="434" w:hRule="atLeast"/>
        </w:trPr>
        <w:tc>
          <w:tcPr>
            <w:tcW w:w="13469" w:type="dxa"/>
            <w:vAlign w:val="top"/>
            <w:gridSpan w:val="9"/>
            <w:tcBorders>
              <w:left w:val="single" w:color="FFFFFF" w:sz="6" w:space="0"/>
              <w:bottom w:val="single" w:color="FFFFFF" w:sz="6" w:space="0"/>
              <w:right w:val="single" w:color="FFFFFF" w:sz="6" w:space="0"/>
              <w:top w:val="single" w:color="FFFFFF" w:sz="6" w:space="0"/>
            </w:tcBorders>
          </w:tcPr>
          <w:p>
            <w:pPr>
              <w:ind w:left="5644"/>
              <w:spacing w:before="97" w:line="239" w:lineRule="exact"/>
              <w:outlineLvl w:val="1"/>
              <w:rPr>
                <w:rFonts w:ascii="Microsoft YaHei" w:hAnsi="Microsoft YaHei" w:eastAsia="Microsoft YaHei" w:cs="Microsoft YaHei"/>
                <w:sz w:val="23"/>
                <w:szCs w:val="23"/>
              </w:rPr>
            </w:pPr>
            <w:bookmarkStart w:name="bookmark37" w:id="9"/>
            <w:bookmarkEnd w:id="9"/>
            <w:bookmarkStart w:name="bookmark6" w:id="10"/>
            <w:bookmarkEnd w:id="10"/>
            <w:r>
              <w:rPr>
                <w:rFonts w:ascii="Microsoft YaHei" w:hAnsi="Microsoft YaHei" w:eastAsia="Microsoft YaHei" w:cs="Microsoft YaHei"/>
                <w:sz w:val="23"/>
                <w:szCs w:val="23"/>
                <w:color w:val="212529"/>
                <w:position w:val="-1"/>
              </w:rPr>
              <w:t>2025年预算收入总表</w:t>
            </w:r>
          </w:p>
        </w:tc>
      </w:tr>
      <w:tr>
        <w:trPr>
          <w:trHeight w:val="434" w:hRule="atLeast"/>
        </w:trPr>
        <w:tc>
          <w:tcPr>
            <w:tcW w:w="4667" w:type="dxa"/>
            <w:vAlign w:val="top"/>
            <w:gridSpan w:val="2"/>
            <w:tcBorders>
              <w:left w:val="single" w:color="FFFFFF" w:sz="2" w:space="0"/>
              <w:right w:val="single" w:color="FFFFFF" w:sz="2" w:space="0"/>
              <w:top w:val="single" w:color="FFFFFF" w:sz="6" w:space="0"/>
            </w:tcBorders>
          </w:tcPr>
          <w:p>
            <w:pPr>
              <w:ind w:left="14"/>
              <w:spacing w:before="124" w:line="219" w:lineRule="auto"/>
              <w:rPr>
                <w:rFonts w:ascii="SimSun" w:hAnsi="SimSun" w:eastAsia="SimSun" w:cs="SimSun"/>
                <w:sz w:val="18"/>
                <w:szCs w:val="18"/>
              </w:rPr>
            </w:pPr>
            <w:r>
              <w:rPr>
                <w:rFonts w:ascii="SimSun" w:hAnsi="SimSun" w:eastAsia="SimSun" w:cs="SimSun"/>
                <w:sz w:val="18"/>
                <w:szCs w:val="18"/>
                <w:color w:val="212529"/>
                <w:spacing w:val="-1"/>
              </w:rPr>
              <w:t>部门名称：兴县园林事业发展服务中心</w:t>
            </w:r>
          </w:p>
        </w:tc>
        <w:tc>
          <w:tcPr>
            <w:tcW w:w="1633" w:type="dxa"/>
            <w:vAlign w:val="top"/>
            <w:tcBorders>
              <w:left w:val="single" w:color="FFFFFF" w:sz="2" w:space="0"/>
              <w:right w:val="single" w:color="FFFFFF" w:sz="2" w:space="0"/>
              <w:top w:val="single" w:color="FFFFFF" w:sz="6" w:space="0"/>
            </w:tcBorders>
          </w:tcPr>
          <w:p>
            <w:pPr>
              <w:pStyle w:val="TableText"/>
              <w:rPr/>
            </w:pPr>
            <w:r/>
          </w:p>
        </w:tc>
        <w:tc>
          <w:tcPr>
            <w:tcW w:w="1438" w:type="dxa"/>
            <w:vAlign w:val="top"/>
            <w:tcBorders>
              <w:left w:val="single" w:color="FFFFFF" w:sz="2" w:space="0"/>
              <w:right w:val="single" w:color="FFFFFF" w:sz="2" w:space="0"/>
              <w:top w:val="single" w:color="FFFFFF" w:sz="6" w:space="0"/>
            </w:tcBorders>
          </w:tcPr>
          <w:p>
            <w:pPr>
              <w:pStyle w:val="TableText"/>
              <w:rPr/>
            </w:pPr>
            <w:r/>
          </w:p>
        </w:tc>
        <w:tc>
          <w:tcPr>
            <w:tcW w:w="1064" w:type="dxa"/>
            <w:vAlign w:val="top"/>
            <w:tcBorders>
              <w:left w:val="single" w:color="FFFFFF" w:sz="2" w:space="0"/>
              <w:right w:val="single" w:color="FFFFFF" w:sz="2" w:space="0"/>
              <w:top w:val="single" w:color="FFFFFF" w:sz="6" w:space="0"/>
            </w:tcBorders>
          </w:tcPr>
          <w:p>
            <w:pPr>
              <w:pStyle w:val="TableText"/>
              <w:rPr/>
            </w:pPr>
            <w:r/>
          </w:p>
        </w:tc>
        <w:tc>
          <w:tcPr>
            <w:tcW w:w="1288" w:type="dxa"/>
            <w:vAlign w:val="top"/>
            <w:tcBorders>
              <w:left w:val="single" w:color="FFFFFF" w:sz="2" w:space="0"/>
              <w:right w:val="single" w:color="FFFFFF" w:sz="2" w:space="0"/>
              <w:top w:val="single" w:color="FFFFFF" w:sz="6" w:space="0"/>
            </w:tcBorders>
          </w:tcPr>
          <w:p>
            <w:pPr>
              <w:pStyle w:val="TableText"/>
              <w:rPr/>
            </w:pPr>
            <w:r/>
          </w:p>
        </w:tc>
        <w:tc>
          <w:tcPr>
            <w:tcW w:w="1289" w:type="dxa"/>
            <w:vAlign w:val="top"/>
            <w:tcBorders>
              <w:left w:val="single" w:color="FFFFFF" w:sz="2" w:space="0"/>
              <w:right w:val="single" w:color="FFFFFF" w:sz="2" w:space="0"/>
              <w:top w:val="single" w:color="FFFFFF" w:sz="6" w:space="0"/>
            </w:tcBorders>
          </w:tcPr>
          <w:p>
            <w:pPr>
              <w:pStyle w:val="TableText"/>
              <w:rPr/>
            </w:pPr>
            <w:r/>
          </w:p>
        </w:tc>
        <w:tc>
          <w:tcPr>
            <w:tcW w:w="2090" w:type="dxa"/>
            <w:vAlign w:val="top"/>
            <w:gridSpan w:val="2"/>
            <w:tcBorders>
              <w:left w:val="single" w:color="FFFFFF" w:sz="2" w:space="0"/>
              <w:right w:val="single" w:color="FFFFFF" w:sz="2" w:space="0"/>
              <w:top w:val="single" w:color="FFFFFF" w:sz="6" w:space="0"/>
            </w:tcBorders>
          </w:tcPr>
          <w:p>
            <w:pPr>
              <w:ind w:left="1159"/>
              <w:spacing w:before="125" w:line="219" w:lineRule="auto"/>
              <w:rPr>
                <w:rFonts w:ascii="SimSun" w:hAnsi="SimSun" w:eastAsia="SimSun" w:cs="SimSun"/>
                <w:sz w:val="18"/>
                <w:szCs w:val="18"/>
              </w:rPr>
            </w:pPr>
            <w:r>
              <w:rPr>
                <w:rFonts w:ascii="SimSun" w:hAnsi="SimSun" w:eastAsia="SimSun" w:cs="SimSun"/>
                <w:sz w:val="18"/>
                <w:szCs w:val="18"/>
                <w:color w:val="212529"/>
                <w:spacing w:val="-2"/>
              </w:rPr>
              <w:t>单位：万元</w:t>
            </w:r>
          </w:p>
        </w:tc>
      </w:tr>
      <w:tr>
        <w:trPr>
          <w:trHeight w:val="434" w:hRule="atLeast"/>
        </w:trPr>
        <w:tc>
          <w:tcPr>
            <w:tcW w:w="4667" w:type="dxa"/>
            <w:vAlign w:val="top"/>
            <w:gridSpan w:val="2"/>
          </w:tcPr>
          <w:p>
            <w:pPr>
              <w:ind w:left="2134"/>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3"/>
              </w:rPr>
              <w:t>项目</w:t>
            </w:r>
          </w:p>
        </w:tc>
        <w:tc>
          <w:tcPr>
            <w:tcW w:w="7731" w:type="dxa"/>
            <w:vAlign w:val="top"/>
            <w:gridSpan w:val="6"/>
          </w:tcPr>
          <w:p>
            <w:pPr>
              <w:ind w:left="3489"/>
              <w:spacing w:before="122"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本年收入</w:t>
            </w:r>
          </w:p>
        </w:tc>
        <w:tc>
          <w:tcPr>
            <w:tcW w:w="1071" w:type="dxa"/>
            <w:vAlign w:val="top"/>
            <w:vMerge w:val="restart"/>
            <w:tcBorders>
              <w:bottom w:val="nil"/>
            </w:tcBorders>
          </w:tcPr>
          <w:p>
            <w:pPr>
              <w:pStyle w:val="TableText"/>
              <w:spacing w:line="273" w:lineRule="auto"/>
              <w:rPr/>
            </w:pPr>
            <w:r/>
          </w:p>
          <w:p>
            <w:pPr>
              <w:ind w:left="156"/>
              <w:spacing w:before="73"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上年结转</w:t>
            </w:r>
          </w:p>
        </w:tc>
      </w:tr>
      <w:tr>
        <w:trPr>
          <w:trHeight w:val="434" w:hRule="atLeast"/>
        </w:trPr>
        <w:tc>
          <w:tcPr>
            <w:tcW w:w="1581" w:type="dxa"/>
            <w:vAlign w:val="top"/>
          </w:tcPr>
          <w:p>
            <w:pPr>
              <w:ind w:left="411"/>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科目编码</w:t>
            </w:r>
          </w:p>
        </w:tc>
        <w:tc>
          <w:tcPr>
            <w:tcW w:w="3086" w:type="dxa"/>
            <w:vAlign w:val="top"/>
          </w:tcPr>
          <w:p>
            <w:pPr>
              <w:ind w:left="1163"/>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科目名称</w:t>
            </w:r>
          </w:p>
        </w:tc>
        <w:tc>
          <w:tcPr>
            <w:tcW w:w="1633" w:type="dxa"/>
            <w:vAlign w:val="top"/>
          </w:tcPr>
          <w:p>
            <w:pPr>
              <w:ind w:left="621"/>
              <w:spacing w:before="125"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438" w:type="dxa"/>
            <w:vAlign w:val="top"/>
          </w:tcPr>
          <w:p>
            <w:pPr>
              <w:ind w:left="160"/>
              <w:spacing w:before="123" w:line="180"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10"/>
                <w:position w:val="-1"/>
              </w:rPr>
              <w:t>一般公共预算</w:t>
            </w:r>
          </w:p>
        </w:tc>
        <w:tc>
          <w:tcPr>
            <w:tcW w:w="1064" w:type="dxa"/>
            <w:vAlign w:val="top"/>
          </w:tcPr>
          <w:p>
            <w:pPr>
              <w:ind w:left="62"/>
              <w:spacing w:before="124" w:line="178"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政府性基金</w:t>
            </w:r>
          </w:p>
        </w:tc>
        <w:tc>
          <w:tcPr>
            <w:tcW w:w="1288" w:type="dxa"/>
            <w:vAlign w:val="top"/>
          </w:tcPr>
          <w:p>
            <w:pPr>
              <w:ind w:left="443" w:right="110" w:hanging="337"/>
              <w:spacing w:before="18"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5"/>
              </w:rPr>
              <w:t>国有资本经营</w:t>
            </w:r>
            <w:r>
              <w:rPr>
                <w:rFonts w:ascii="Microsoft YaHei" w:hAnsi="Microsoft YaHei" w:eastAsia="Microsoft YaHei" w:cs="Microsoft YaHei"/>
                <w:sz w:val="17"/>
                <w:szCs w:val="17"/>
                <w:color w:val="212529"/>
                <w:spacing w:val="11"/>
              </w:rPr>
              <w:t>预算</w:t>
            </w:r>
          </w:p>
        </w:tc>
        <w:tc>
          <w:tcPr>
            <w:tcW w:w="1289" w:type="dxa"/>
            <w:vAlign w:val="top"/>
          </w:tcPr>
          <w:p>
            <w:pPr>
              <w:ind w:left="455" w:right="104" w:hanging="365"/>
              <w:spacing w:before="18" w:line="161" w:lineRule="auto"/>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rPr>
              <w:t>财政专户管理</w:t>
            </w:r>
            <w:r>
              <w:rPr>
                <w:rFonts w:ascii="Microsoft YaHei" w:hAnsi="Microsoft YaHei" w:eastAsia="Microsoft YaHei" w:cs="Microsoft YaHei"/>
                <w:sz w:val="17"/>
                <w:szCs w:val="17"/>
                <w:color w:val="212529"/>
                <w:spacing w:val="4"/>
              </w:rPr>
              <w:t>资金</w:t>
            </w:r>
          </w:p>
        </w:tc>
        <w:tc>
          <w:tcPr>
            <w:tcW w:w="1019" w:type="dxa"/>
            <w:vAlign w:val="top"/>
          </w:tcPr>
          <w:p>
            <w:pPr>
              <w:ind w:left="130"/>
              <w:spacing w:before="123" w:line="179"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9"/>
                <w:position w:val="-1"/>
              </w:rPr>
              <w:t>单位资金</w:t>
            </w:r>
          </w:p>
        </w:tc>
        <w:tc>
          <w:tcPr>
            <w:tcW w:w="1071" w:type="dxa"/>
            <w:vAlign w:val="top"/>
            <w:vMerge w:val="continue"/>
            <w:tcBorders>
              <w:top w:val="nil"/>
            </w:tcBorders>
          </w:tcPr>
          <w:p>
            <w:pPr>
              <w:pStyle w:val="TableText"/>
              <w:rPr/>
            </w:pPr>
            <w:r/>
          </w:p>
        </w:tc>
      </w:tr>
      <w:tr>
        <w:trPr>
          <w:trHeight w:val="434" w:hRule="atLeast"/>
        </w:trPr>
        <w:tc>
          <w:tcPr>
            <w:tcW w:w="4667" w:type="dxa"/>
            <w:vAlign w:val="top"/>
            <w:gridSpan w:val="2"/>
          </w:tcPr>
          <w:p>
            <w:pPr>
              <w:ind w:left="2136"/>
              <w:spacing w:before="126" w:line="175" w:lineRule="exact"/>
              <w:rPr>
                <w:rFonts w:ascii="Microsoft YaHei" w:hAnsi="Microsoft YaHei" w:eastAsia="Microsoft YaHei" w:cs="Microsoft YaHei"/>
                <w:sz w:val="17"/>
                <w:szCs w:val="17"/>
              </w:rPr>
            </w:pPr>
            <w:r>
              <w:rPr>
                <w:rFonts w:ascii="Microsoft YaHei" w:hAnsi="Microsoft YaHei" w:eastAsia="Microsoft YaHei" w:cs="Microsoft YaHei"/>
                <w:sz w:val="17"/>
                <w:szCs w:val="17"/>
                <w:color w:val="212529"/>
                <w:spacing w:val="8"/>
                <w:position w:val="-1"/>
              </w:rPr>
              <w:t>合计</w:t>
            </w:r>
          </w:p>
        </w:tc>
        <w:tc>
          <w:tcPr>
            <w:tcW w:w="1633" w:type="dxa"/>
            <w:vAlign w:val="top"/>
          </w:tcPr>
          <w:p>
            <w:pPr>
              <w:pStyle w:val="TableText"/>
              <w:ind w:left="970"/>
              <w:spacing w:before="149" w:line="183" w:lineRule="auto"/>
              <w:rPr>
                <w:sz w:val="15"/>
                <w:szCs w:val="15"/>
              </w:rPr>
            </w:pPr>
            <w:r>
              <w:rPr>
                <w:sz w:val="15"/>
                <w:szCs w:val="15"/>
                <w:color w:val="212529"/>
                <w:spacing w:val="2"/>
              </w:rPr>
              <w:t>3855.</w:t>
            </w:r>
            <w:r>
              <w:rPr>
                <w:sz w:val="15"/>
                <w:szCs w:val="15"/>
                <w:color w:val="212529"/>
                <w:spacing w:val="18"/>
              </w:rPr>
              <w:t xml:space="preserve"> </w:t>
            </w:r>
            <w:r>
              <w:rPr>
                <w:sz w:val="15"/>
                <w:szCs w:val="15"/>
                <w:color w:val="212529"/>
                <w:spacing w:val="2"/>
              </w:rPr>
              <w:t>59</w:t>
            </w:r>
          </w:p>
        </w:tc>
        <w:tc>
          <w:tcPr>
            <w:tcW w:w="1438" w:type="dxa"/>
            <w:vAlign w:val="top"/>
          </w:tcPr>
          <w:p>
            <w:pPr>
              <w:pStyle w:val="TableText"/>
              <w:ind w:left="770"/>
              <w:spacing w:before="149" w:line="183" w:lineRule="auto"/>
              <w:rPr>
                <w:sz w:val="15"/>
                <w:szCs w:val="15"/>
              </w:rPr>
            </w:pPr>
            <w:r>
              <w:rPr>
                <w:sz w:val="15"/>
                <w:szCs w:val="15"/>
                <w:color w:val="212529"/>
                <w:spacing w:val="2"/>
              </w:rPr>
              <w:t>3855.</w:t>
            </w:r>
            <w:r>
              <w:rPr>
                <w:sz w:val="15"/>
                <w:szCs w:val="15"/>
                <w:color w:val="212529"/>
                <w:spacing w:val="18"/>
              </w:rPr>
              <w:t xml:space="preserve"> </w:t>
            </w:r>
            <w:r>
              <w:rPr>
                <w:sz w:val="15"/>
                <w:szCs w:val="15"/>
                <w:color w:val="212529"/>
                <w:spacing w:val="2"/>
              </w:rPr>
              <w:t>59</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28" w:line="239" w:lineRule="auto"/>
              <w:rPr>
                <w:rFonts w:ascii="SimSun" w:hAnsi="SimSun" w:eastAsia="SimSun" w:cs="SimSun"/>
                <w:sz w:val="18"/>
                <w:szCs w:val="18"/>
              </w:rPr>
            </w:pPr>
            <w:r>
              <w:rPr>
                <w:rFonts w:ascii="SimSun" w:hAnsi="SimSun" w:eastAsia="SimSun" w:cs="SimSun"/>
                <w:sz w:val="18"/>
                <w:szCs w:val="18"/>
                <w:color w:val="212529"/>
                <w:spacing w:val="-3"/>
              </w:rPr>
              <w:t>208</w:t>
            </w:r>
          </w:p>
        </w:tc>
        <w:tc>
          <w:tcPr>
            <w:tcW w:w="3086" w:type="dxa"/>
            <w:vAlign w:val="top"/>
          </w:tcPr>
          <w:p>
            <w:pPr>
              <w:ind w:left="9"/>
              <w:spacing w:before="128" w:line="218" w:lineRule="auto"/>
              <w:rPr>
                <w:rFonts w:ascii="SimSun" w:hAnsi="SimSun" w:eastAsia="SimSun" w:cs="SimSun"/>
                <w:sz w:val="18"/>
                <w:szCs w:val="18"/>
              </w:rPr>
            </w:pPr>
            <w:r>
              <w:rPr>
                <w:rFonts w:ascii="SimSun" w:hAnsi="SimSun" w:eastAsia="SimSun" w:cs="SimSun"/>
                <w:sz w:val="18"/>
                <w:szCs w:val="18"/>
                <w:color w:val="212529"/>
                <w:spacing w:val="-1"/>
              </w:rPr>
              <w:t>社会保障和就业支出</w:t>
            </w:r>
          </w:p>
        </w:tc>
        <w:tc>
          <w:tcPr>
            <w:tcW w:w="1633" w:type="dxa"/>
            <w:vAlign w:val="top"/>
          </w:tcPr>
          <w:p>
            <w:pPr>
              <w:ind w:right="23"/>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4"/>
              </w:rPr>
              <w:t>12.11</w:t>
            </w:r>
          </w:p>
        </w:tc>
        <w:tc>
          <w:tcPr>
            <w:tcW w:w="1438" w:type="dxa"/>
            <w:vAlign w:val="top"/>
          </w:tcPr>
          <w:p>
            <w:pPr>
              <w:ind w:right="28"/>
              <w:spacing w:before="129" w:line="238" w:lineRule="auto"/>
              <w:jc w:val="right"/>
              <w:rPr>
                <w:rFonts w:ascii="SimSun" w:hAnsi="SimSun" w:eastAsia="SimSun" w:cs="SimSun"/>
                <w:sz w:val="18"/>
                <w:szCs w:val="18"/>
              </w:rPr>
            </w:pPr>
            <w:r>
              <w:rPr>
                <w:rFonts w:ascii="SimSun" w:hAnsi="SimSun" w:eastAsia="SimSun" w:cs="SimSun"/>
                <w:sz w:val="18"/>
                <w:szCs w:val="18"/>
                <w:color w:val="212529"/>
                <w:spacing w:val="-4"/>
              </w:rPr>
              <w:t>12.11</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29" w:line="239" w:lineRule="auto"/>
              <w:rPr>
                <w:rFonts w:ascii="SimSun" w:hAnsi="SimSun" w:eastAsia="SimSun" w:cs="SimSun"/>
                <w:sz w:val="18"/>
                <w:szCs w:val="18"/>
              </w:rPr>
            </w:pPr>
            <w:r>
              <w:rPr>
                <w:rFonts w:ascii="SimSun" w:hAnsi="SimSun" w:eastAsia="SimSun" w:cs="SimSun"/>
                <w:sz w:val="18"/>
                <w:szCs w:val="18"/>
                <w:color w:val="212529"/>
                <w:spacing w:val="-2"/>
              </w:rPr>
              <w:t>20805</w:t>
            </w:r>
          </w:p>
        </w:tc>
        <w:tc>
          <w:tcPr>
            <w:tcW w:w="3086" w:type="dxa"/>
            <w:vAlign w:val="top"/>
          </w:tcPr>
          <w:p>
            <w:pPr>
              <w:ind w:left="8"/>
              <w:spacing w:before="129" w:line="219" w:lineRule="auto"/>
              <w:rPr>
                <w:rFonts w:ascii="SimSun" w:hAnsi="SimSun" w:eastAsia="SimSun" w:cs="SimSun"/>
                <w:sz w:val="18"/>
                <w:szCs w:val="18"/>
              </w:rPr>
            </w:pPr>
            <w:r>
              <w:rPr>
                <w:rFonts w:ascii="SimSun" w:hAnsi="SimSun" w:eastAsia="SimSun" w:cs="SimSun"/>
                <w:sz w:val="18"/>
                <w:szCs w:val="18"/>
                <w:color w:val="212529"/>
                <w:spacing w:val="-1"/>
              </w:rPr>
              <w:t>行政事业单位养老支出</w:t>
            </w:r>
          </w:p>
        </w:tc>
        <w:tc>
          <w:tcPr>
            <w:tcW w:w="1633" w:type="dxa"/>
            <w:vAlign w:val="top"/>
          </w:tcPr>
          <w:p>
            <w:pPr>
              <w:ind w:right="23"/>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4"/>
              </w:rPr>
              <w:t>12.11</w:t>
            </w:r>
          </w:p>
        </w:tc>
        <w:tc>
          <w:tcPr>
            <w:tcW w:w="1438" w:type="dxa"/>
            <w:vAlign w:val="top"/>
          </w:tcPr>
          <w:p>
            <w:pPr>
              <w:ind w:right="28"/>
              <w:spacing w:before="130" w:line="238" w:lineRule="auto"/>
              <w:jc w:val="right"/>
              <w:rPr>
                <w:rFonts w:ascii="SimSun" w:hAnsi="SimSun" w:eastAsia="SimSun" w:cs="SimSun"/>
                <w:sz w:val="18"/>
                <w:szCs w:val="18"/>
              </w:rPr>
            </w:pPr>
            <w:r>
              <w:rPr>
                <w:rFonts w:ascii="SimSun" w:hAnsi="SimSun" w:eastAsia="SimSun" w:cs="SimSun"/>
                <w:sz w:val="18"/>
                <w:szCs w:val="18"/>
                <w:color w:val="212529"/>
                <w:spacing w:val="-4"/>
              </w:rPr>
              <w:t>12.11</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30" w:line="239" w:lineRule="auto"/>
              <w:rPr>
                <w:rFonts w:ascii="SimSun" w:hAnsi="SimSun" w:eastAsia="SimSun" w:cs="SimSun"/>
                <w:sz w:val="18"/>
                <w:szCs w:val="18"/>
              </w:rPr>
            </w:pPr>
            <w:r>
              <w:rPr>
                <w:rFonts w:ascii="SimSun" w:hAnsi="SimSun" w:eastAsia="SimSun" w:cs="SimSun"/>
                <w:sz w:val="18"/>
                <w:szCs w:val="18"/>
                <w:color w:val="212529"/>
                <w:spacing w:val="-2"/>
              </w:rPr>
              <w:t>2080505</w:t>
            </w:r>
          </w:p>
        </w:tc>
        <w:tc>
          <w:tcPr>
            <w:tcW w:w="3086" w:type="dxa"/>
            <w:vAlign w:val="top"/>
          </w:tcPr>
          <w:p>
            <w:pPr>
              <w:ind w:left="7"/>
              <w:spacing w:before="130" w:line="218" w:lineRule="auto"/>
              <w:rPr>
                <w:rFonts w:ascii="SimSun" w:hAnsi="SimSun" w:eastAsia="SimSun" w:cs="SimSun"/>
                <w:sz w:val="18"/>
                <w:szCs w:val="18"/>
              </w:rPr>
            </w:pPr>
            <w:r>
              <w:rPr>
                <w:rFonts w:ascii="SimSun" w:hAnsi="SimSun" w:eastAsia="SimSun" w:cs="SimSun"/>
                <w:sz w:val="18"/>
                <w:szCs w:val="18"/>
                <w:color w:val="212529"/>
                <w:spacing w:val="-1"/>
              </w:rPr>
              <w:t>机关事业单位基本养老保险缴费支出</w:t>
            </w:r>
          </w:p>
        </w:tc>
        <w:tc>
          <w:tcPr>
            <w:tcW w:w="1633" w:type="dxa"/>
            <w:vAlign w:val="top"/>
          </w:tcPr>
          <w:p>
            <w:pPr>
              <w:ind w:right="25"/>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9.71</w:t>
            </w:r>
          </w:p>
        </w:tc>
        <w:tc>
          <w:tcPr>
            <w:tcW w:w="1438" w:type="dxa"/>
            <w:vAlign w:val="top"/>
          </w:tcPr>
          <w:p>
            <w:pPr>
              <w:ind w:right="30"/>
              <w:spacing w:before="131" w:line="238" w:lineRule="auto"/>
              <w:jc w:val="right"/>
              <w:rPr>
                <w:rFonts w:ascii="SimSun" w:hAnsi="SimSun" w:eastAsia="SimSun" w:cs="SimSun"/>
                <w:sz w:val="18"/>
                <w:szCs w:val="18"/>
              </w:rPr>
            </w:pPr>
            <w:r>
              <w:rPr>
                <w:rFonts w:ascii="SimSun" w:hAnsi="SimSun" w:eastAsia="SimSun" w:cs="SimSun"/>
                <w:sz w:val="18"/>
                <w:szCs w:val="18"/>
                <w:color w:val="212529"/>
                <w:spacing w:val="-2"/>
              </w:rPr>
              <w:t>9.71</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31" w:line="239" w:lineRule="auto"/>
              <w:rPr>
                <w:rFonts w:ascii="SimSun" w:hAnsi="SimSun" w:eastAsia="SimSun" w:cs="SimSun"/>
                <w:sz w:val="18"/>
                <w:szCs w:val="18"/>
              </w:rPr>
            </w:pPr>
            <w:r>
              <w:rPr>
                <w:rFonts w:ascii="SimSun" w:hAnsi="SimSun" w:eastAsia="SimSun" w:cs="SimSun"/>
                <w:sz w:val="18"/>
                <w:szCs w:val="18"/>
                <w:color w:val="212529"/>
                <w:spacing w:val="-2"/>
              </w:rPr>
              <w:t>2080506</w:t>
            </w:r>
          </w:p>
        </w:tc>
        <w:tc>
          <w:tcPr>
            <w:tcW w:w="3086" w:type="dxa"/>
            <w:vAlign w:val="top"/>
          </w:tcPr>
          <w:p>
            <w:pPr>
              <w:ind w:left="7"/>
              <w:spacing w:before="131" w:line="218" w:lineRule="auto"/>
              <w:rPr>
                <w:rFonts w:ascii="SimSun" w:hAnsi="SimSun" w:eastAsia="SimSun" w:cs="SimSun"/>
                <w:sz w:val="18"/>
                <w:szCs w:val="18"/>
              </w:rPr>
            </w:pPr>
            <w:r>
              <w:rPr>
                <w:rFonts w:ascii="SimSun" w:hAnsi="SimSun" w:eastAsia="SimSun" w:cs="SimSun"/>
                <w:sz w:val="18"/>
                <w:szCs w:val="18"/>
                <w:color w:val="212529"/>
                <w:spacing w:val="-1"/>
              </w:rPr>
              <w:t>机关事业单位职业年金缴费支出</w:t>
            </w:r>
          </w:p>
        </w:tc>
        <w:tc>
          <w:tcPr>
            <w:tcW w:w="1633" w:type="dxa"/>
            <w:vAlign w:val="top"/>
          </w:tcPr>
          <w:p>
            <w:pPr>
              <w:ind w:right="25"/>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2.40</w:t>
            </w:r>
          </w:p>
        </w:tc>
        <w:tc>
          <w:tcPr>
            <w:tcW w:w="1438" w:type="dxa"/>
            <w:vAlign w:val="top"/>
          </w:tcPr>
          <w:p>
            <w:pPr>
              <w:ind w:right="30"/>
              <w:spacing w:before="132" w:line="238" w:lineRule="auto"/>
              <w:jc w:val="right"/>
              <w:rPr>
                <w:rFonts w:ascii="SimSun" w:hAnsi="SimSun" w:eastAsia="SimSun" w:cs="SimSun"/>
                <w:sz w:val="18"/>
                <w:szCs w:val="18"/>
              </w:rPr>
            </w:pPr>
            <w:r>
              <w:rPr>
                <w:rFonts w:ascii="SimSun" w:hAnsi="SimSun" w:eastAsia="SimSun" w:cs="SimSun"/>
                <w:sz w:val="18"/>
                <w:szCs w:val="18"/>
                <w:color w:val="212529"/>
                <w:spacing w:val="-2"/>
              </w:rPr>
              <w:t>2.40</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32" w:line="239" w:lineRule="auto"/>
              <w:rPr>
                <w:rFonts w:ascii="SimSun" w:hAnsi="SimSun" w:eastAsia="SimSun" w:cs="SimSun"/>
                <w:sz w:val="18"/>
                <w:szCs w:val="18"/>
              </w:rPr>
            </w:pPr>
            <w:r>
              <w:rPr>
                <w:rFonts w:ascii="SimSun" w:hAnsi="SimSun" w:eastAsia="SimSun" w:cs="SimSun"/>
                <w:sz w:val="18"/>
                <w:szCs w:val="18"/>
                <w:color w:val="212529"/>
                <w:spacing w:val="-3"/>
              </w:rPr>
              <w:t>210</w:t>
            </w:r>
          </w:p>
        </w:tc>
        <w:tc>
          <w:tcPr>
            <w:tcW w:w="3086" w:type="dxa"/>
            <w:vAlign w:val="top"/>
          </w:tcPr>
          <w:p>
            <w:pPr>
              <w:ind w:left="9"/>
              <w:spacing w:before="132" w:line="219" w:lineRule="auto"/>
              <w:rPr>
                <w:rFonts w:ascii="SimSun" w:hAnsi="SimSun" w:eastAsia="SimSun" w:cs="SimSun"/>
                <w:sz w:val="18"/>
                <w:szCs w:val="18"/>
              </w:rPr>
            </w:pPr>
            <w:r>
              <w:rPr>
                <w:rFonts w:ascii="SimSun" w:hAnsi="SimSun" w:eastAsia="SimSun" w:cs="SimSun"/>
                <w:sz w:val="18"/>
                <w:szCs w:val="18"/>
                <w:color w:val="212529"/>
                <w:spacing w:val="-2"/>
              </w:rPr>
              <w:t>卫生健康支出</w:t>
            </w:r>
          </w:p>
        </w:tc>
        <w:tc>
          <w:tcPr>
            <w:tcW w:w="1633" w:type="dxa"/>
            <w:vAlign w:val="top"/>
          </w:tcPr>
          <w:p>
            <w:pPr>
              <w:ind w:right="26"/>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4.20</w:t>
            </w:r>
          </w:p>
        </w:tc>
        <w:tc>
          <w:tcPr>
            <w:tcW w:w="1438" w:type="dxa"/>
            <w:vAlign w:val="top"/>
          </w:tcPr>
          <w:p>
            <w:pPr>
              <w:ind w:right="31"/>
              <w:spacing w:before="133" w:line="238" w:lineRule="auto"/>
              <w:jc w:val="right"/>
              <w:rPr>
                <w:rFonts w:ascii="SimSun" w:hAnsi="SimSun" w:eastAsia="SimSun" w:cs="SimSun"/>
                <w:sz w:val="18"/>
                <w:szCs w:val="18"/>
              </w:rPr>
            </w:pPr>
            <w:r>
              <w:rPr>
                <w:rFonts w:ascii="SimSun" w:hAnsi="SimSun" w:eastAsia="SimSun" w:cs="SimSun"/>
                <w:sz w:val="18"/>
                <w:szCs w:val="18"/>
                <w:color w:val="212529"/>
                <w:spacing w:val="-2"/>
              </w:rPr>
              <w:t>4.20</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33" w:line="239" w:lineRule="auto"/>
              <w:rPr>
                <w:rFonts w:ascii="SimSun" w:hAnsi="SimSun" w:eastAsia="SimSun" w:cs="SimSun"/>
                <w:sz w:val="18"/>
                <w:szCs w:val="18"/>
              </w:rPr>
            </w:pPr>
            <w:r>
              <w:rPr>
                <w:rFonts w:ascii="SimSun" w:hAnsi="SimSun" w:eastAsia="SimSun" w:cs="SimSun"/>
                <w:sz w:val="18"/>
                <w:szCs w:val="18"/>
                <w:color w:val="212529"/>
                <w:spacing w:val="-2"/>
              </w:rPr>
              <w:t>21011</w:t>
            </w:r>
          </w:p>
        </w:tc>
        <w:tc>
          <w:tcPr>
            <w:tcW w:w="3086" w:type="dxa"/>
            <w:vAlign w:val="top"/>
          </w:tcPr>
          <w:p>
            <w:pPr>
              <w:ind w:left="8"/>
              <w:spacing w:before="134" w:line="219" w:lineRule="auto"/>
              <w:rPr>
                <w:rFonts w:ascii="SimSun" w:hAnsi="SimSun" w:eastAsia="SimSun" w:cs="SimSun"/>
                <w:sz w:val="18"/>
                <w:szCs w:val="18"/>
              </w:rPr>
            </w:pPr>
            <w:r>
              <w:rPr>
                <w:rFonts w:ascii="SimSun" w:hAnsi="SimSun" w:eastAsia="SimSun" w:cs="SimSun"/>
                <w:sz w:val="18"/>
                <w:szCs w:val="18"/>
                <w:color w:val="212529"/>
                <w:spacing w:val="-1"/>
              </w:rPr>
              <w:t>行政事业单位医疗</w:t>
            </w:r>
          </w:p>
        </w:tc>
        <w:tc>
          <w:tcPr>
            <w:tcW w:w="1633" w:type="dxa"/>
            <w:vAlign w:val="top"/>
          </w:tcPr>
          <w:p>
            <w:pPr>
              <w:ind w:right="26"/>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4.20</w:t>
            </w:r>
          </w:p>
        </w:tc>
        <w:tc>
          <w:tcPr>
            <w:tcW w:w="1438" w:type="dxa"/>
            <w:vAlign w:val="top"/>
          </w:tcPr>
          <w:p>
            <w:pPr>
              <w:ind w:right="31"/>
              <w:spacing w:before="134" w:line="238" w:lineRule="auto"/>
              <w:jc w:val="right"/>
              <w:rPr>
                <w:rFonts w:ascii="SimSun" w:hAnsi="SimSun" w:eastAsia="SimSun" w:cs="SimSun"/>
                <w:sz w:val="18"/>
                <w:szCs w:val="18"/>
              </w:rPr>
            </w:pPr>
            <w:r>
              <w:rPr>
                <w:rFonts w:ascii="SimSun" w:hAnsi="SimSun" w:eastAsia="SimSun" w:cs="SimSun"/>
                <w:sz w:val="18"/>
                <w:szCs w:val="18"/>
                <w:color w:val="212529"/>
                <w:spacing w:val="-2"/>
              </w:rPr>
              <w:t>4.20</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34" w:line="239" w:lineRule="auto"/>
              <w:rPr>
                <w:rFonts w:ascii="SimSun" w:hAnsi="SimSun" w:eastAsia="SimSun" w:cs="SimSun"/>
                <w:sz w:val="18"/>
                <w:szCs w:val="18"/>
              </w:rPr>
            </w:pPr>
            <w:r>
              <w:rPr>
                <w:rFonts w:ascii="SimSun" w:hAnsi="SimSun" w:eastAsia="SimSun" w:cs="SimSun"/>
                <w:sz w:val="18"/>
                <w:szCs w:val="18"/>
                <w:color w:val="212529"/>
                <w:spacing w:val="-2"/>
              </w:rPr>
              <w:t>2101101</w:t>
            </w:r>
          </w:p>
        </w:tc>
        <w:tc>
          <w:tcPr>
            <w:tcW w:w="3086" w:type="dxa"/>
            <w:vAlign w:val="top"/>
          </w:tcPr>
          <w:p>
            <w:pPr>
              <w:ind w:left="8"/>
              <w:spacing w:before="135" w:line="219" w:lineRule="auto"/>
              <w:rPr>
                <w:rFonts w:ascii="SimSun" w:hAnsi="SimSun" w:eastAsia="SimSun" w:cs="SimSun"/>
                <w:sz w:val="18"/>
                <w:szCs w:val="18"/>
              </w:rPr>
            </w:pPr>
            <w:r>
              <w:rPr>
                <w:rFonts w:ascii="SimSun" w:hAnsi="SimSun" w:eastAsia="SimSun" w:cs="SimSun"/>
                <w:sz w:val="18"/>
                <w:szCs w:val="18"/>
                <w:color w:val="212529"/>
                <w:spacing w:val="-1"/>
              </w:rPr>
              <w:t>行政单位医疗</w:t>
            </w:r>
          </w:p>
        </w:tc>
        <w:tc>
          <w:tcPr>
            <w:tcW w:w="1633" w:type="dxa"/>
            <w:vAlign w:val="top"/>
          </w:tcPr>
          <w:p>
            <w:pPr>
              <w:ind w:right="25"/>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0.48</w:t>
            </w:r>
          </w:p>
        </w:tc>
        <w:tc>
          <w:tcPr>
            <w:tcW w:w="1438" w:type="dxa"/>
            <w:vAlign w:val="top"/>
          </w:tcPr>
          <w:p>
            <w:pPr>
              <w:ind w:right="30"/>
              <w:spacing w:before="135" w:line="238" w:lineRule="auto"/>
              <w:jc w:val="right"/>
              <w:rPr>
                <w:rFonts w:ascii="SimSun" w:hAnsi="SimSun" w:eastAsia="SimSun" w:cs="SimSun"/>
                <w:sz w:val="18"/>
                <w:szCs w:val="18"/>
              </w:rPr>
            </w:pPr>
            <w:r>
              <w:rPr>
                <w:rFonts w:ascii="SimSun" w:hAnsi="SimSun" w:eastAsia="SimSun" w:cs="SimSun"/>
                <w:sz w:val="18"/>
                <w:szCs w:val="18"/>
                <w:color w:val="212529"/>
                <w:spacing w:val="-2"/>
              </w:rPr>
              <w:t>0.48</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35" w:line="239" w:lineRule="auto"/>
              <w:rPr>
                <w:rFonts w:ascii="SimSun" w:hAnsi="SimSun" w:eastAsia="SimSun" w:cs="SimSun"/>
                <w:sz w:val="18"/>
                <w:szCs w:val="18"/>
              </w:rPr>
            </w:pPr>
            <w:r>
              <w:rPr>
                <w:rFonts w:ascii="SimSun" w:hAnsi="SimSun" w:eastAsia="SimSun" w:cs="SimSun"/>
                <w:sz w:val="18"/>
                <w:szCs w:val="18"/>
                <w:color w:val="212529"/>
                <w:spacing w:val="-2"/>
              </w:rPr>
              <w:t>2101102</w:t>
            </w:r>
          </w:p>
        </w:tc>
        <w:tc>
          <w:tcPr>
            <w:tcW w:w="3086" w:type="dxa"/>
            <w:vAlign w:val="top"/>
          </w:tcPr>
          <w:p>
            <w:pPr>
              <w:ind w:left="9"/>
              <w:spacing w:before="136" w:line="219" w:lineRule="auto"/>
              <w:rPr>
                <w:rFonts w:ascii="SimSun" w:hAnsi="SimSun" w:eastAsia="SimSun" w:cs="SimSun"/>
                <w:sz w:val="18"/>
                <w:szCs w:val="18"/>
              </w:rPr>
            </w:pPr>
            <w:r>
              <w:rPr>
                <w:rFonts w:ascii="SimSun" w:hAnsi="SimSun" w:eastAsia="SimSun" w:cs="SimSun"/>
                <w:sz w:val="18"/>
                <w:szCs w:val="18"/>
                <w:color w:val="212529"/>
                <w:spacing w:val="-2"/>
              </w:rPr>
              <w:t>事业单位医疗</w:t>
            </w:r>
          </w:p>
        </w:tc>
        <w:tc>
          <w:tcPr>
            <w:tcW w:w="1633" w:type="dxa"/>
            <w:vAlign w:val="top"/>
          </w:tcPr>
          <w:p>
            <w:pPr>
              <w:ind w:right="25"/>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3.50</w:t>
            </w:r>
          </w:p>
        </w:tc>
        <w:tc>
          <w:tcPr>
            <w:tcW w:w="1438" w:type="dxa"/>
            <w:vAlign w:val="top"/>
          </w:tcPr>
          <w:p>
            <w:pPr>
              <w:ind w:right="30"/>
              <w:spacing w:before="136" w:line="238" w:lineRule="auto"/>
              <w:jc w:val="right"/>
              <w:rPr>
                <w:rFonts w:ascii="SimSun" w:hAnsi="SimSun" w:eastAsia="SimSun" w:cs="SimSun"/>
                <w:sz w:val="18"/>
                <w:szCs w:val="18"/>
              </w:rPr>
            </w:pPr>
            <w:r>
              <w:rPr>
                <w:rFonts w:ascii="SimSun" w:hAnsi="SimSun" w:eastAsia="SimSun" w:cs="SimSun"/>
                <w:sz w:val="18"/>
                <w:szCs w:val="18"/>
                <w:color w:val="212529"/>
                <w:spacing w:val="-2"/>
              </w:rPr>
              <w:t>3.50</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36" w:line="239" w:lineRule="auto"/>
              <w:rPr>
                <w:rFonts w:ascii="SimSun" w:hAnsi="SimSun" w:eastAsia="SimSun" w:cs="SimSun"/>
                <w:sz w:val="18"/>
                <w:szCs w:val="18"/>
              </w:rPr>
            </w:pPr>
            <w:r>
              <w:rPr>
                <w:rFonts w:ascii="SimSun" w:hAnsi="SimSun" w:eastAsia="SimSun" w:cs="SimSun"/>
                <w:sz w:val="18"/>
                <w:szCs w:val="18"/>
                <w:color w:val="212529"/>
                <w:spacing w:val="-2"/>
              </w:rPr>
              <w:t>2101103</w:t>
            </w:r>
          </w:p>
        </w:tc>
        <w:tc>
          <w:tcPr>
            <w:tcW w:w="3086" w:type="dxa"/>
            <w:vAlign w:val="top"/>
          </w:tcPr>
          <w:p>
            <w:pPr>
              <w:ind w:left="13"/>
              <w:spacing w:before="136" w:line="219" w:lineRule="auto"/>
              <w:rPr>
                <w:rFonts w:ascii="SimSun" w:hAnsi="SimSun" w:eastAsia="SimSun" w:cs="SimSun"/>
                <w:sz w:val="18"/>
                <w:szCs w:val="18"/>
              </w:rPr>
            </w:pPr>
            <w:r>
              <w:rPr>
                <w:rFonts w:ascii="SimSun" w:hAnsi="SimSun" w:eastAsia="SimSun" w:cs="SimSun"/>
                <w:sz w:val="18"/>
                <w:szCs w:val="18"/>
                <w:color w:val="212529"/>
                <w:spacing w:val="-2"/>
              </w:rPr>
              <w:t>公务员医疗补助</w:t>
            </w:r>
          </w:p>
        </w:tc>
        <w:tc>
          <w:tcPr>
            <w:tcW w:w="1633" w:type="dxa"/>
            <w:vAlign w:val="top"/>
          </w:tcPr>
          <w:p>
            <w:pPr>
              <w:ind w:right="25"/>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0.22</w:t>
            </w:r>
          </w:p>
        </w:tc>
        <w:tc>
          <w:tcPr>
            <w:tcW w:w="1438" w:type="dxa"/>
            <w:vAlign w:val="top"/>
          </w:tcPr>
          <w:p>
            <w:pPr>
              <w:ind w:right="30"/>
              <w:spacing w:before="137" w:line="238" w:lineRule="auto"/>
              <w:jc w:val="right"/>
              <w:rPr>
                <w:rFonts w:ascii="SimSun" w:hAnsi="SimSun" w:eastAsia="SimSun" w:cs="SimSun"/>
                <w:sz w:val="18"/>
                <w:szCs w:val="18"/>
              </w:rPr>
            </w:pPr>
            <w:r>
              <w:rPr>
                <w:rFonts w:ascii="SimSun" w:hAnsi="SimSun" w:eastAsia="SimSun" w:cs="SimSun"/>
                <w:sz w:val="18"/>
                <w:szCs w:val="18"/>
                <w:color w:val="212529"/>
                <w:spacing w:val="-2"/>
              </w:rPr>
              <w:t>0.22</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4" w:hRule="atLeast"/>
        </w:trPr>
        <w:tc>
          <w:tcPr>
            <w:tcW w:w="1581" w:type="dxa"/>
            <w:vAlign w:val="top"/>
          </w:tcPr>
          <w:p>
            <w:pPr>
              <w:ind w:left="9"/>
              <w:spacing w:before="138"/>
              <w:rPr>
                <w:rFonts w:ascii="SimSun" w:hAnsi="SimSun" w:eastAsia="SimSun" w:cs="SimSun"/>
                <w:sz w:val="18"/>
                <w:szCs w:val="18"/>
              </w:rPr>
            </w:pPr>
            <w:r>
              <w:rPr>
                <w:rFonts w:ascii="SimSun" w:hAnsi="SimSun" w:eastAsia="SimSun" w:cs="SimSun"/>
                <w:sz w:val="18"/>
                <w:szCs w:val="18"/>
                <w:color w:val="212529"/>
                <w:spacing w:val="-3"/>
              </w:rPr>
              <w:t>212</w:t>
            </w:r>
          </w:p>
        </w:tc>
        <w:tc>
          <w:tcPr>
            <w:tcW w:w="3086" w:type="dxa"/>
            <w:vAlign w:val="top"/>
          </w:tcPr>
          <w:p>
            <w:pPr>
              <w:ind w:left="8"/>
              <w:spacing w:before="137" w:line="219" w:lineRule="auto"/>
              <w:rPr>
                <w:rFonts w:ascii="SimSun" w:hAnsi="SimSun" w:eastAsia="SimSun" w:cs="SimSun"/>
                <w:sz w:val="18"/>
                <w:szCs w:val="18"/>
              </w:rPr>
            </w:pPr>
            <w:r>
              <w:rPr>
                <w:rFonts w:ascii="SimSun" w:hAnsi="SimSun" w:eastAsia="SimSun" w:cs="SimSun"/>
                <w:sz w:val="18"/>
                <w:szCs w:val="18"/>
                <w:color w:val="212529"/>
                <w:spacing w:val="-1"/>
              </w:rPr>
              <w:t>城乡社区支出</w:t>
            </w:r>
          </w:p>
        </w:tc>
        <w:tc>
          <w:tcPr>
            <w:tcW w:w="1633" w:type="dxa"/>
            <w:vAlign w:val="top"/>
          </w:tcPr>
          <w:p>
            <w:pPr>
              <w:ind w:right="26"/>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3831.27</w:t>
            </w:r>
          </w:p>
        </w:tc>
        <w:tc>
          <w:tcPr>
            <w:tcW w:w="1438" w:type="dxa"/>
            <w:vAlign w:val="top"/>
          </w:tcPr>
          <w:p>
            <w:pPr>
              <w:ind w:right="31"/>
              <w:spacing w:before="138" w:line="238" w:lineRule="auto"/>
              <w:jc w:val="right"/>
              <w:rPr>
                <w:rFonts w:ascii="SimSun" w:hAnsi="SimSun" w:eastAsia="SimSun" w:cs="SimSun"/>
                <w:sz w:val="18"/>
                <w:szCs w:val="18"/>
              </w:rPr>
            </w:pPr>
            <w:r>
              <w:rPr>
                <w:rFonts w:ascii="SimSun" w:hAnsi="SimSun" w:eastAsia="SimSun" w:cs="SimSun"/>
                <w:sz w:val="18"/>
                <w:szCs w:val="18"/>
                <w:color w:val="212529"/>
                <w:spacing w:val="-2"/>
              </w:rPr>
              <w:t>3831.27</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5" w:hRule="atLeast"/>
        </w:trPr>
        <w:tc>
          <w:tcPr>
            <w:tcW w:w="158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21203</w:t>
            </w:r>
          </w:p>
        </w:tc>
        <w:tc>
          <w:tcPr>
            <w:tcW w:w="3086" w:type="dxa"/>
            <w:vAlign w:val="top"/>
          </w:tcPr>
          <w:p>
            <w:pPr>
              <w:ind w:left="8"/>
              <w:spacing w:before="138" w:line="219" w:lineRule="auto"/>
              <w:rPr>
                <w:rFonts w:ascii="SimSun" w:hAnsi="SimSun" w:eastAsia="SimSun" w:cs="SimSun"/>
                <w:sz w:val="18"/>
                <w:szCs w:val="18"/>
              </w:rPr>
            </w:pPr>
            <w:r>
              <w:rPr>
                <w:rFonts w:ascii="SimSun" w:hAnsi="SimSun" w:eastAsia="SimSun" w:cs="SimSun"/>
                <w:sz w:val="18"/>
                <w:szCs w:val="18"/>
                <w:color w:val="212529"/>
                <w:spacing w:val="-1"/>
              </w:rPr>
              <w:t>城乡社区公共设施</w:t>
            </w:r>
          </w:p>
        </w:tc>
        <w:tc>
          <w:tcPr>
            <w:tcW w:w="1633" w:type="dxa"/>
            <w:vAlign w:val="top"/>
          </w:tcPr>
          <w:p>
            <w:pPr>
              <w:ind w:right="2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182.88</w:t>
            </w:r>
          </w:p>
        </w:tc>
        <w:tc>
          <w:tcPr>
            <w:tcW w:w="1438"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182.88</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5" w:hRule="atLeast"/>
        </w:trPr>
        <w:tc>
          <w:tcPr>
            <w:tcW w:w="158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2120399</w:t>
            </w:r>
          </w:p>
        </w:tc>
        <w:tc>
          <w:tcPr>
            <w:tcW w:w="3086" w:type="dxa"/>
            <w:vAlign w:val="top"/>
          </w:tcPr>
          <w:p>
            <w:pPr>
              <w:ind w:left="7"/>
              <w:spacing w:before="138" w:line="219" w:lineRule="auto"/>
              <w:rPr>
                <w:rFonts w:ascii="SimSun" w:hAnsi="SimSun" w:eastAsia="SimSun" w:cs="SimSun"/>
                <w:sz w:val="18"/>
                <w:szCs w:val="18"/>
              </w:rPr>
            </w:pPr>
            <w:r>
              <w:rPr>
                <w:rFonts w:ascii="SimSun" w:hAnsi="SimSun" w:eastAsia="SimSun" w:cs="SimSun"/>
                <w:sz w:val="18"/>
                <w:szCs w:val="18"/>
                <w:color w:val="212529"/>
                <w:spacing w:val="-1"/>
              </w:rPr>
              <w:t>其他城乡社区公共设施支出</w:t>
            </w:r>
          </w:p>
        </w:tc>
        <w:tc>
          <w:tcPr>
            <w:tcW w:w="1633" w:type="dxa"/>
            <w:vAlign w:val="top"/>
          </w:tcPr>
          <w:p>
            <w:pPr>
              <w:ind w:right="24"/>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182.88</w:t>
            </w:r>
          </w:p>
        </w:tc>
        <w:tc>
          <w:tcPr>
            <w:tcW w:w="1438" w:type="dxa"/>
            <w:vAlign w:val="top"/>
          </w:tcPr>
          <w:p>
            <w:pPr>
              <w:ind w:right="29"/>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3"/>
              </w:rPr>
              <w:t>182.88</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5" w:hRule="atLeast"/>
        </w:trPr>
        <w:tc>
          <w:tcPr>
            <w:tcW w:w="158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21205</w:t>
            </w:r>
          </w:p>
        </w:tc>
        <w:tc>
          <w:tcPr>
            <w:tcW w:w="3086" w:type="dxa"/>
            <w:vAlign w:val="top"/>
          </w:tcPr>
          <w:p>
            <w:pPr>
              <w:ind w:left="8"/>
              <w:spacing w:before="138" w:line="219" w:lineRule="auto"/>
              <w:rPr>
                <w:rFonts w:ascii="SimSun" w:hAnsi="SimSun" w:eastAsia="SimSun" w:cs="SimSun"/>
                <w:sz w:val="18"/>
                <w:szCs w:val="18"/>
              </w:rPr>
            </w:pPr>
            <w:r>
              <w:rPr>
                <w:rFonts w:ascii="SimSun" w:hAnsi="SimSun" w:eastAsia="SimSun" w:cs="SimSun"/>
                <w:sz w:val="18"/>
                <w:szCs w:val="18"/>
                <w:color w:val="212529"/>
                <w:spacing w:val="-1"/>
              </w:rPr>
              <w:t>城乡社区环境卫生</w:t>
            </w:r>
          </w:p>
        </w:tc>
        <w:tc>
          <w:tcPr>
            <w:tcW w:w="1633"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3648.39</w:t>
            </w:r>
          </w:p>
        </w:tc>
        <w:tc>
          <w:tcPr>
            <w:tcW w:w="143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3648.39</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5" w:hRule="atLeast"/>
        </w:trPr>
        <w:tc>
          <w:tcPr>
            <w:tcW w:w="158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2120501</w:t>
            </w:r>
          </w:p>
        </w:tc>
        <w:tc>
          <w:tcPr>
            <w:tcW w:w="3086" w:type="dxa"/>
            <w:vAlign w:val="top"/>
          </w:tcPr>
          <w:p>
            <w:pPr>
              <w:ind w:left="8"/>
              <w:spacing w:before="138" w:line="219" w:lineRule="auto"/>
              <w:rPr>
                <w:rFonts w:ascii="SimSun" w:hAnsi="SimSun" w:eastAsia="SimSun" w:cs="SimSun"/>
                <w:sz w:val="18"/>
                <w:szCs w:val="18"/>
              </w:rPr>
            </w:pPr>
            <w:r>
              <w:rPr>
                <w:rFonts w:ascii="SimSun" w:hAnsi="SimSun" w:eastAsia="SimSun" w:cs="SimSun"/>
                <w:sz w:val="18"/>
                <w:szCs w:val="18"/>
                <w:color w:val="212529"/>
                <w:spacing w:val="-1"/>
              </w:rPr>
              <w:t>城乡社区环境卫生</w:t>
            </w:r>
          </w:p>
        </w:tc>
        <w:tc>
          <w:tcPr>
            <w:tcW w:w="1633" w:type="dxa"/>
            <w:vAlign w:val="top"/>
          </w:tcPr>
          <w:p>
            <w:pPr>
              <w:ind w:right="26"/>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3648.39</w:t>
            </w:r>
          </w:p>
        </w:tc>
        <w:tc>
          <w:tcPr>
            <w:tcW w:w="1438" w:type="dxa"/>
            <w:vAlign w:val="top"/>
          </w:tcPr>
          <w:p>
            <w:pPr>
              <w:ind w:right="31"/>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3648.39</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35" w:hRule="atLeast"/>
        </w:trPr>
        <w:tc>
          <w:tcPr>
            <w:tcW w:w="1581" w:type="dxa"/>
            <w:vAlign w:val="top"/>
          </w:tcPr>
          <w:p>
            <w:pPr>
              <w:ind w:left="9"/>
              <w:spacing w:before="139"/>
              <w:rPr>
                <w:rFonts w:ascii="SimSun" w:hAnsi="SimSun" w:eastAsia="SimSun" w:cs="SimSun"/>
                <w:sz w:val="18"/>
                <w:szCs w:val="18"/>
              </w:rPr>
            </w:pPr>
            <w:r>
              <w:rPr>
                <w:rFonts w:ascii="SimSun" w:hAnsi="SimSun" w:eastAsia="SimSun" w:cs="SimSun"/>
                <w:sz w:val="18"/>
                <w:szCs w:val="18"/>
                <w:color w:val="212529"/>
                <w:spacing w:val="-3"/>
              </w:rPr>
              <w:t>221</w:t>
            </w:r>
          </w:p>
        </w:tc>
        <w:tc>
          <w:tcPr>
            <w:tcW w:w="3086" w:type="dxa"/>
            <w:vAlign w:val="top"/>
          </w:tcPr>
          <w:p>
            <w:pPr>
              <w:ind w:left="9"/>
              <w:spacing w:before="138" w:line="219" w:lineRule="auto"/>
              <w:rPr>
                <w:rFonts w:ascii="SimSun" w:hAnsi="SimSun" w:eastAsia="SimSun" w:cs="SimSun"/>
                <w:sz w:val="18"/>
                <w:szCs w:val="18"/>
              </w:rPr>
            </w:pPr>
            <w:r>
              <w:rPr>
                <w:rFonts w:ascii="SimSun" w:hAnsi="SimSun" w:eastAsia="SimSun" w:cs="SimSun"/>
                <w:sz w:val="18"/>
                <w:szCs w:val="18"/>
                <w:color w:val="212529"/>
                <w:spacing w:val="-2"/>
              </w:rPr>
              <w:t>住房保障支出</w:t>
            </w:r>
          </w:p>
        </w:tc>
        <w:tc>
          <w:tcPr>
            <w:tcW w:w="1633" w:type="dxa"/>
            <w:vAlign w:val="top"/>
          </w:tcPr>
          <w:p>
            <w:pPr>
              <w:ind w:right="25"/>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8.01</w:t>
            </w:r>
          </w:p>
        </w:tc>
        <w:tc>
          <w:tcPr>
            <w:tcW w:w="1438"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8.01</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r>
        <w:trPr>
          <w:trHeight w:val="442" w:hRule="atLeast"/>
        </w:trPr>
        <w:tc>
          <w:tcPr>
            <w:tcW w:w="1581" w:type="dxa"/>
            <w:vAlign w:val="top"/>
          </w:tcPr>
          <w:p>
            <w:pPr>
              <w:ind w:left="9"/>
              <w:spacing w:before="138" w:line="239" w:lineRule="auto"/>
              <w:rPr>
                <w:rFonts w:ascii="SimSun" w:hAnsi="SimSun" w:eastAsia="SimSun" w:cs="SimSun"/>
                <w:sz w:val="18"/>
                <w:szCs w:val="18"/>
              </w:rPr>
            </w:pPr>
            <w:r>
              <w:rPr>
                <w:rFonts w:ascii="SimSun" w:hAnsi="SimSun" w:eastAsia="SimSun" w:cs="SimSun"/>
                <w:sz w:val="18"/>
                <w:szCs w:val="18"/>
                <w:color w:val="212529"/>
                <w:spacing w:val="-2"/>
              </w:rPr>
              <w:t>22102</w:t>
            </w:r>
          </w:p>
        </w:tc>
        <w:tc>
          <w:tcPr>
            <w:tcW w:w="3086" w:type="dxa"/>
            <w:vAlign w:val="top"/>
          </w:tcPr>
          <w:p>
            <w:pPr>
              <w:ind w:left="9"/>
              <w:spacing w:before="138" w:line="219" w:lineRule="auto"/>
              <w:rPr>
                <w:rFonts w:ascii="SimSun" w:hAnsi="SimSun" w:eastAsia="SimSun" w:cs="SimSun"/>
                <w:sz w:val="18"/>
                <w:szCs w:val="18"/>
              </w:rPr>
            </w:pPr>
            <w:r>
              <w:rPr>
                <w:rFonts w:ascii="SimSun" w:hAnsi="SimSun" w:eastAsia="SimSun" w:cs="SimSun"/>
                <w:sz w:val="18"/>
                <w:szCs w:val="18"/>
                <w:color w:val="212529"/>
                <w:spacing w:val="-2"/>
              </w:rPr>
              <w:t>住房改革支出</w:t>
            </w:r>
          </w:p>
        </w:tc>
        <w:tc>
          <w:tcPr>
            <w:tcW w:w="1633" w:type="dxa"/>
            <w:vAlign w:val="top"/>
          </w:tcPr>
          <w:p>
            <w:pPr>
              <w:ind w:right="25"/>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8.01</w:t>
            </w:r>
          </w:p>
        </w:tc>
        <w:tc>
          <w:tcPr>
            <w:tcW w:w="1438" w:type="dxa"/>
            <w:vAlign w:val="top"/>
          </w:tcPr>
          <w:p>
            <w:pPr>
              <w:ind w:right="30"/>
              <w:spacing w:before="139" w:line="238" w:lineRule="auto"/>
              <w:jc w:val="right"/>
              <w:rPr>
                <w:rFonts w:ascii="SimSun" w:hAnsi="SimSun" w:eastAsia="SimSun" w:cs="SimSun"/>
                <w:sz w:val="18"/>
                <w:szCs w:val="18"/>
              </w:rPr>
            </w:pPr>
            <w:r>
              <w:rPr>
                <w:rFonts w:ascii="SimSun" w:hAnsi="SimSun" w:eastAsia="SimSun" w:cs="SimSun"/>
                <w:sz w:val="18"/>
                <w:szCs w:val="18"/>
                <w:color w:val="212529"/>
                <w:spacing w:val="-2"/>
              </w:rPr>
              <w:t>8.01</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bl>
    <w:p>
      <w:pPr>
        <w:rPr>
          <w:rFonts w:ascii="Arial"/>
          <w:sz w:val="21"/>
        </w:rPr>
      </w:pPr>
      <w:r/>
    </w:p>
    <w:p>
      <w:pPr>
        <w:sectPr>
          <w:headerReference w:type="default" r:id="rId7"/>
          <w:footerReference w:type="default" r:id="rId8"/>
          <w:pgSz w:w="16840" w:h="11900"/>
          <w:pgMar w:top="642" w:right="600" w:bottom="340" w:left="600" w:header="326" w:footer="111" w:gutter="0"/>
        </w:sectPr>
        <w:rPr>
          <w:rFonts w:ascii="Arial" w:hAnsi="Arial" w:eastAsia="Arial" w:cs="Arial"/>
          <w:sz w:val="21"/>
          <w:szCs w:val="21"/>
        </w:rPr>
      </w:pPr>
    </w:p>
    <w:p>
      <w:pPr>
        <w:spacing w:before="28"/>
        <w:rPr/>
      </w:pPr>
      <w:r/>
    </w:p>
    <w:p>
      <w:pPr>
        <w:spacing w:before="28"/>
        <w:rPr/>
      </w:pPr>
      <w:r/>
    </w:p>
    <w:tbl>
      <w:tblPr>
        <w:tblStyle w:val="TableNormal"/>
        <w:tblW w:w="13469" w:type="dxa"/>
        <w:tblInd w:w="1087" w:type="dxa"/>
        <w:tblLayout w:type="fixed"/>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Grid>
        <w:gridCol w:w="1581"/>
        <w:gridCol w:w="3086"/>
        <w:gridCol w:w="1633"/>
        <w:gridCol w:w="1438"/>
        <w:gridCol w:w="1064"/>
        <w:gridCol w:w="1288"/>
        <w:gridCol w:w="1289"/>
        <w:gridCol w:w="1019"/>
        <w:gridCol w:w="1071"/>
      </w:tblGrid>
      <w:tr>
        <w:trPr>
          <w:trHeight w:val="435" w:hRule="atLeast"/>
        </w:trPr>
        <w:tc>
          <w:tcPr>
            <w:tcW w:w="1581" w:type="dxa"/>
            <w:vAlign w:val="top"/>
          </w:tcPr>
          <w:p>
            <w:pPr>
              <w:ind w:left="9"/>
              <w:spacing w:before="115" w:line="239" w:lineRule="auto"/>
              <w:rPr>
                <w:rFonts w:ascii="SimSun" w:hAnsi="SimSun" w:eastAsia="SimSun" w:cs="SimSun"/>
                <w:sz w:val="18"/>
                <w:szCs w:val="18"/>
              </w:rPr>
            </w:pPr>
            <w:r>
              <w:rPr>
                <w:rFonts w:ascii="SimSun" w:hAnsi="SimSun" w:eastAsia="SimSun" w:cs="SimSun"/>
                <w:sz w:val="18"/>
                <w:szCs w:val="18"/>
                <w:color w:val="212529"/>
                <w:spacing w:val="-2"/>
              </w:rPr>
              <w:t>2210201</w:t>
            </w:r>
          </w:p>
        </w:tc>
        <w:tc>
          <w:tcPr>
            <w:tcW w:w="3086" w:type="dxa"/>
            <w:vAlign w:val="top"/>
          </w:tcPr>
          <w:p>
            <w:pPr>
              <w:ind w:left="9"/>
              <w:spacing w:before="116" w:line="219" w:lineRule="auto"/>
              <w:rPr>
                <w:rFonts w:ascii="SimSun" w:hAnsi="SimSun" w:eastAsia="SimSun" w:cs="SimSun"/>
                <w:sz w:val="18"/>
                <w:szCs w:val="18"/>
              </w:rPr>
            </w:pPr>
            <w:r>
              <w:rPr>
                <w:rFonts w:ascii="SimSun" w:hAnsi="SimSun" w:eastAsia="SimSun" w:cs="SimSun"/>
                <w:sz w:val="18"/>
                <w:szCs w:val="18"/>
                <w:color w:val="212529"/>
                <w:spacing w:val="-2"/>
              </w:rPr>
              <w:t>住房公积金</w:t>
            </w:r>
          </w:p>
        </w:tc>
        <w:tc>
          <w:tcPr>
            <w:tcW w:w="1633" w:type="dxa"/>
            <w:vAlign w:val="top"/>
          </w:tcPr>
          <w:p>
            <w:pPr>
              <w:ind w:right="25"/>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8.01</w:t>
            </w:r>
          </w:p>
        </w:tc>
        <w:tc>
          <w:tcPr>
            <w:tcW w:w="1438" w:type="dxa"/>
            <w:vAlign w:val="top"/>
          </w:tcPr>
          <w:p>
            <w:pPr>
              <w:ind w:right="30"/>
              <w:spacing w:before="116" w:line="238" w:lineRule="auto"/>
              <w:jc w:val="right"/>
              <w:rPr>
                <w:rFonts w:ascii="SimSun" w:hAnsi="SimSun" w:eastAsia="SimSun" w:cs="SimSun"/>
                <w:sz w:val="18"/>
                <w:szCs w:val="18"/>
              </w:rPr>
            </w:pPr>
            <w:r>
              <w:rPr>
                <w:rFonts w:ascii="SimSun" w:hAnsi="SimSun" w:eastAsia="SimSun" w:cs="SimSun"/>
                <w:sz w:val="18"/>
                <w:szCs w:val="18"/>
                <w:color w:val="212529"/>
                <w:spacing w:val="-2"/>
              </w:rPr>
              <w:t>8.01</w:t>
            </w:r>
          </w:p>
        </w:tc>
        <w:tc>
          <w:tcPr>
            <w:tcW w:w="1064" w:type="dxa"/>
            <w:vAlign w:val="top"/>
          </w:tcPr>
          <w:p>
            <w:pPr>
              <w:pStyle w:val="TableText"/>
              <w:rPr/>
            </w:pPr>
            <w:r/>
          </w:p>
        </w:tc>
        <w:tc>
          <w:tcPr>
            <w:tcW w:w="1288" w:type="dxa"/>
            <w:vAlign w:val="top"/>
          </w:tcPr>
          <w:p>
            <w:pPr>
              <w:pStyle w:val="TableText"/>
              <w:rPr/>
            </w:pPr>
            <w:r/>
          </w:p>
        </w:tc>
        <w:tc>
          <w:tcPr>
            <w:tcW w:w="1289" w:type="dxa"/>
            <w:vAlign w:val="top"/>
          </w:tcPr>
          <w:p>
            <w:pPr>
              <w:pStyle w:val="TableText"/>
              <w:rPr/>
            </w:pPr>
            <w:r/>
          </w:p>
        </w:tc>
        <w:tc>
          <w:tcPr>
            <w:tcW w:w="1019" w:type="dxa"/>
            <w:vAlign w:val="top"/>
          </w:tcPr>
          <w:p>
            <w:pPr>
              <w:pStyle w:val="TableText"/>
              <w:rPr/>
            </w:pPr>
            <w:r/>
          </w:p>
        </w:tc>
        <w:tc>
          <w:tcPr>
            <w:tcW w:w="1071" w:type="dxa"/>
            <w:vAlign w:val="top"/>
          </w:tcPr>
          <w:p>
            <w:pPr>
              <w:pStyle w:val="TableText"/>
              <w:rPr/>
            </w:pPr>
            <w:r/>
          </w:p>
        </w:tc>
      </w:tr>
    </w:tbl>
    <w:p>
      <w:pPr>
        <w:rPr>
          <w:rFonts w:ascii="Arial"/>
          <w:sz w:val="21"/>
        </w:rPr>
      </w:pPr>
      <w:r/>
    </w:p>
    <w:p>
      <w:pPr>
        <w:sectPr>
          <w:footerReference w:type="default" r:id="rId9"/>
          <w:pgSz w:w="16840" w:h="1190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776"/>
        <w:gridCol w:w="3089"/>
        <w:gridCol w:w="1490"/>
        <w:gridCol w:w="1361"/>
        <w:gridCol w:w="1442"/>
      </w:tblGrid>
      <w:tr>
        <w:trPr>
          <w:trHeight w:val="319" w:hRule="atLeast"/>
        </w:trPr>
        <w:tc>
          <w:tcPr>
            <w:tcW w:w="177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08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9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3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42" w:type="dxa"/>
            <w:vAlign w:val="top"/>
            <w:tcBorders>
              <w:bottom w:val="single" w:color="FFFFFF" w:sz="4" w:space="0"/>
              <w:top w:val="single" w:color="FFFFFF" w:sz="4" w:space="0"/>
              <w:left w:val="single" w:color="FFFFFF" w:sz="2" w:space="0"/>
              <w:right w:val="single" w:color="FFFFFF" w:sz="2" w:space="0"/>
            </w:tcBorders>
          </w:tcPr>
          <w:p>
            <w:pPr>
              <w:ind w:left="703"/>
              <w:spacing w:before="94" w:line="234" w:lineRule="auto"/>
              <w:rPr>
                <w:rFonts w:ascii="SimSun" w:hAnsi="SimSun" w:eastAsia="SimSun" w:cs="SimSun"/>
                <w:sz w:val="12"/>
                <w:szCs w:val="12"/>
              </w:rPr>
            </w:pPr>
            <w:r>
              <w:rPr>
                <w:rFonts w:ascii="SimSun" w:hAnsi="SimSun" w:eastAsia="SimSun" w:cs="SimSun"/>
                <w:sz w:val="12"/>
                <w:szCs w:val="12"/>
                <w:color w:val="212529"/>
                <w:spacing w:val="8"/>
              </w:rPr>
              <w:t>预算公开表3</w:t>
            </w:r>
          </w:p>
        </w:tc>
      </w:tr>
      <w:tr>
        <w:trPr>
          <w:trHeight w:val="314"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3665"/>
              <w:spacing w:before="46" w:line="200" w:lineRule="exact"/>
              <w:outlineLvl w:val="1"/>
              <w:rPr>
                <w:rFonts w:ascii="Microsoft YaHei" w:hAnsi="Microsoft YaHei" w:eastAsia="Microsoft YaHei" w:cs="Microsoft YaHei"/>
                <w:sz w:val="19"/>
                <w:szCs w:val="19"/>
              </w:rPr>
            </w:pPr>
            <w:bookmarkStart w:name="bookmark7" w:id="11"/>
            <w:bookmarkEnd w:id="11"/>
            <w:r>
              <w:rPr>
                <w:rFonts w:ascii="Microsoft YaHei" w:hAnsi="Microsoft YaHei" w:eastAsia="Microsoft YaHei" w:cs="Microsoft YaHei"/>
                <w:sz w:val="19"/>
                <w:szCs w:val="19"/>
                <w:color w:val="212529"/>
                <w:spacing w:val="2"/>
                <w:position w:val="-1"/>
              </w:rPr>
              <w:t>2025年预算支出总表</w:t>
            </w:r>
          </w:p>
        </w:tc>
      </w:tr>
      <w:tr>
        <w:trPr>
          <w:trHeight w:val="313" w:hRule="atLeast"/>
        </w:trPr>
        <w:tc>
          <w:tcPr>
            <w:tcW w:w="6355" w:type="dxa"/>
            <w:vAlign w:val="top"/>
            <w:gridSpan w:val="3"/>
            <w:tcBorders>
              <w:top w:val="single" w:color="FFFFFF" w:sz="4" w:space="0"/>
              <w:left w:val="single" w:color="FFFFFF" w:sz="2" w:space="0"/>
              <w:right w:val="single" w:color="FFFFFF" w:sz="2" w:space="0"/>
            </w:tcBorders>
          </w:tcPr>
          <w:p>
            <w:pPr>
              <w:ind w:left="9"/>
              <w:spacing w:before="90"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361" w:type="dxa"/>
            <w:vAlign w:val="top"/>
            <w:tcBorders>
              <w:top w:val="single" w:color="FFFFFF" w:sz="4" w:space="0"/>
              <w:left w:val="single" w:color="FFFFFF" w:sz="2" w:space="0"/>
              <w:right w:val="single" w:color="FFFFFF" w:sz="2" w:space="0"/>
            </w:tcBorders>
          </w:tcPr>
          <w:p>
            <w:pPr>
              <w:pStyle w:val="TableText"/>
              <w:rPr/>
            </w:pPr>
            <w:r/>
          </w:p>
        </w:tc>
        <w:tc>
          <w:tcPr>
            <w:tcW w:w="1442" w:type="dxa"/>
            <w:vAlign w:val="top"/>
            <w:tcBorders>
              <w:top w:val="single" w:color="FFFFFF" w:sz="4" w:space="0"/>
              <w:left w:val="single" w:color="FFFFFF" w:sz="2" w:space="0"/>
              <w:right w:val="single" w:color="FFFFFF" w:sz="2" w:space="0"/>
            </w:tcBorders>
          </w:tcPr>
          <w:p>
            <w:pPr>
              <w:ind w:left="769"/>
              <w:spacing w:before="91"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14" w:hRule="atLeast"/>
        </w:trPr>
        <w:tc>
          <w:tcPr>
            <w:tcW w:w="4865" w:type="dxa"/>
            <w:vAlign w:val="top"/>
            <w:gridSpan w:val="2"/>
          </w:tcPr>
          <w:p>
            <w:pPr>
              <w:ind w:left="2258"/>
              <w:spacing w:before="7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293" w:type="dxa"/>
            <w:vAlign w:val="top"/>
            <w:gridSpan w:val="3"/>
          </w:tcPr>
          <w:p>
            <w:pPr>
              <w:ind w:left="1651"/>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13" w:hRule="atLeast"/>
        </w:trPr>
        <w:tc>
          <w:tcPr>
            <w:tcW w:w="1776" w:type="dxa"/>
            <w:vAlign w:val="top"/>
          </w:tcPr>
          <w:p>
            <w:pPr>
              <w:ind w:left="551"/>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089" w:type="dxa"/>
            <w:vAlign w:val="top"/>
          </w:tcPr>
          <w:p>
            <w:pPr>
              <w:ind w:left="1207"/>
              <w:spacing w:before="7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490" w:type="dxa"/>
            <w:vAlign w:val="top"/>
          </w:tcPr>
          <w:p>
            <w:pPr>
              <w:ind w:left="572"/>
              <w:spacing w:before="7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61" w:type="dxa"/>
            <w:vAlign w:val="top"/>
          </w:tcPr>
          <w:p>
            <w:pPr>
              <w:ind w:left="342"/>
              <w:spacing w:before="76" w:line="156" w:lineRule="exact"/>
              <w:outlineLvl w:val="1"/>
              <w:rPr>
                <w:rFonts w:ascii="Microsoft YaHei" w:hAnsi="Microsoft YaHei" w:eastAsia="Microsoft YaHei" w:cs="Microsoft YaHei"/>
                <w:sz w:val="15"/>
                <w:szCs w:val="15"/>
              </w:rPr>
            </w:pPr>
            <w:bookmarkStart w:name="bookmark10" w:id="12"/>
            <w:bookmarkEnd w:id="12"/>
            <w:r>
              <w:rPr>
                <w:rFonts w:ascii="Microsoft YaHei" w:hAnsi="Microsoft YaHei" w:eastAsia="Microsoft YaHei" w:cs="Microsoft YaHei"/>
                <w:sz w:val="15"/>
                <w:szCs w:val="15"/>
                <w:color w:val="212529"/>
                <w:spacing w:val="8"/>
                <w:position w:val="-1"/>
              </w:rPr>
              <w:t>基本支出</w:t>
            </w:r>
          </w:p>
        </w:tc>
        <w:tc>
          <w:tcPr>
            <w:tcW w:w="1442" w:type="dxa"/>
            <w:vAlign w:val="top"/>
          </w:tcPr>
          <w:p>
            <w:pPr>
              <w:ind w:left="385"/>
              <w:spacing w:before="7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14" w:hRule="atLeast"/>
        </w:trPr>
        <w:tc>
          <w:tcPr>
            <w:tcW w:w="4865" w:type="dxa"/>
            <w:vAlign w:val="top"/>
            <w:gridSpan w:val="2"/>
          </w:tcPr>
          <w:p>
            <w:pPr>
              <w:ind w:left="2260"/>
              <w:spacing w:before="7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490" w:type="dxa"/>
            <w:vAlign w:val="top"/>
          </w:tcPr>
          <w:p>
            <w:pPr>
              <w:pStyle w:val="TableText"/>
              <w:ind w:left="900"/>
              <w:spacing w:before="99" w:line="186" w:lineRule="auto"/>
              <w:rPr>
                <w:sz w:val="13"/>
                <w:szCs w:val="13"/>
              </w:rPr>
            </w:pPr>
            <w:r>
              <w:rPr>
                <w:sz w:val="13"/>
                <w:szCs w:val="13"/>
                <w:color w:val="212529"/>
                <w:spacing w:val="4"/>
              </w:rPr>
              <w:t>3855.</w:t>
            </w:r>
            <w:r>
              <w:rPr>
                <w:sz w:val="13"/>
                <w:szCs w:val="13"/>
                <w:color w:val="212529"/>
                <w:spacing w:val="19"/>
              </w:rPr>
              <w:t xml:space="preserve"> </w:t>
            </w:r>
            <w:r>
              <w:rPr>
                <w:sz w:val="13"/>
                <w:szCs w:val="13"/>
                <w:color w:val="212529"/>
                <w:spacing w:val="4"/>
              </w:rPr>
              <w:t>59</w:t>
            </w:r>
          </w:p>
        </w:tc>
        <w:tc>
          <w:tcPr>
            <w:tcW w:w="1361" w:type="dxa"/>
            <w:vAlign w:val="top"/>
          </w:tcPr>
          <w:p>
            <w:pPr>
              <w:pStyle w:val="TableText"/>
              <w:ind w:left="861"/>
              <w:spacing w:before="98" w:line="162" w:lineRule="auto"/>
              <w:rPr>
                <w:sz w:val="15"/>
                <w:szCs w:val="15"/>
              </w:rPr>
            </w:pPr>
            <w:r>
              <w:rPr>
                <w:sz w:val="15"/>
                <w:szCs w:val="15"/>
                <w:color w:val="212529"/>
              </w:rPr>
              <w:t>105.45</w:t>
            </w:r>
          </w:p>
        </w:tc>
        <w:tc>
          <w:tcPr>
            <w:tcW w:w="1442" w:type="dxa"/>
            <w:vAlign w:val="top"/>
          </w:tcPr>
          <w:p>
            <w:pPr>
              <w:pStyle w:val="TableText"/>
              <w:ind w:left="851"/>
              <w:spacing w:before="99" w:line="173" w:lineRule="auto"/>
              <w:rPr>
                <w:sz w:val="14"/>
                <w:szCs w:val="14"/>
              </w:rPr>
            </w:pPr>
            <w:r>
              <w:rPr>
                <w:sz w:val="14"/>
                <w:szCs w:val="14"/>
                <w:color w:val="212529"/>
              </w:rPr>
              <w:t>3750.</w:t>
            </w:r>
            <w:r>
              <w:rPr>
                <w:sz w:val="14"/>
                <w:szCs w:val="14"/>
                <w:color w:val="212529"/>
                <w:spacing w:val="11"/>
                <w:w w:val="101"/>
              </w:rPr>
              <w:t xml:space="preserve"> </w:t>
            </w:r>
            <w:r>
              <w:rPr>
                <w:sz w:val="14"/>
                <w:szCs w:val="14"/>
                <w:color w:val="212529"/>
              </w:rPr>
              <w:t>14</w:t>
            </w:r>
          </w:p>
        </w:tc>
      </w:tr>
      <w:tr>
        <w:trPr>
          <w:trHeight w:val="314" w:hRule="atLeast"/>
        </w:trPr>
        <w:tc>
          <w:tcPr>
            <w:tcW w:w="1776"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089" w:type="dxa"/>
            <w:vAlign w:val="top"/>
          </w:tcPr>
          <w:p>
            <w:pPr>
              <w:ind w:left="9"/>
              <w:spacing w:before="80"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490" w:type="dxa"/>
            <w:vAlign w:val="top"/>
          </w:tcPr>
          <w:p>
            <w:pPr>
              <w:ind w:right="22"/>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12.11</w:t>
            </w:r>
          </w:p>
        </w:tc>
        <w:tc>
          <w:tcPr>
            <w:tcW w:w="1361" w:type="dxa"/>
            <w:vAlign w:val="top"/>
          </w:tcPr>
          <w:p>
            <w:pPr>
              <w:pStyle w:val="TableText"/>
              <w:ind w:left="942"/>
              <w:spacing w:before="99" w:line="187" w:lineRule="auto"/>
              <w:rPr>
                <w:sz w:val="13"/>
                <w:szCs w:val="13"/>
              </w:rPr>
            </w:pPr>
            <w:r>
              <w:rPr>
                <w:sz w:val="13"/>
                <w:szCs w:val="13"/>
                <w:color w:val="212529"/>
                <w:spacing w:val="1"/>
              </w:rPr>
              <w:t>12.</w:t>
            </w:r>
            <w:r>
              <w:rPr>
                <w:sz w:val="13"/>
                <w:szCs w:val="13"/>
                <w:color w:val="212529"/>
                <w:spacing w:val="9"/>
              </w:rPr>
              <w:t xml:space="preserve"> </w:t>
            </w:r>
            <w:r>
              <w:rPr>
                <w:sz w:val="13"/>
                <w:szCs w:val="13"/>
                <w:color w:val="212529"/>
                <w:spacing w:val="1"/>
              </w:rPr>
              <w:t>11</w:t>
            </w:r>
          </w:p>
        </w:tc>
        <w:tc>
          <w:tcPr>
            <w:tcW w:w="1442" w:type="dxa"/>
            <w:vAlign w:val="top"/>
          </w:tcPr>
          <w:p>
            <w:pPr>
              <w:pStyle w:val="TableText"/>
              <w:rPr/>
            </w:pPr>
            <w:r/>
          </w:p>
        </w:tc>
      </w:tr>
      <w:tr>
        <w:trPr>
          <w:trHeight w:val="314" w:hRule="atLeast"/>
        </w:trPr>
        <w:tc>
          <w:tcPr>
            <w:tcW w:w="1776" w:type="dxa"/>
            <w:vAlign w:val="top"/>
          </w:tcPr>
          <w:p>
            <w:pPr>
              <w:ind w:left="8"/>
              <w:spacing w:before="80"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089" w:type="dxa"/>
            <w:vAlign w:val="top"/>
          </w:tcPr>
          <w:p>
            <w:pPr>
              <w:ind w:left="7"/>
              <w:spacing w:before="80"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490" w:type="dxa"/>
            <w:vAlign w:val="top"/>
          </w:tcPr>
          <w:p>
            <w:pPr>
              <w:ind w:right="22"/>
              <w:spacing w:before="80"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12.11</w:t>
            </w:r>
          </w:p>
        </w:tc>
        <w:tc>
          <w:tcPr>
            <w:tcW w:w="1361" w:type="dxa"/>
            <w:vAlign w:val="top"/>
          </w:tcPr>
          <w:p>
            <w:pPr>
              <w:pStyle w:val="TableText"/>
              <w:ind w:left="942"/>
              <w:spacing w:before="99" w:line="186" w:lineRule="auto"/>
              <w:rPr>
                <w:sz w:val="13"/>
                <w:szCs w:val="13"/>
              </w:rPr>
            </w:pPr>
            <w:r>
              <w:rPr>
                <w:sz w:val="13"/>
                <w:szCs w:val="13"/>
                <w:color w:val="212529"/>
                <w:spacing w:val="1"/>
              </w:rPr>
              <w:t>12.</w:t>
            </w:r>
            <w:r>
              <w:rPr>
                <w:sz w:val="13"/>
                <w:szCs w:val="13"/>
                <w:color w:val="212529"/>
                <w:spacing w:val="9"/>
              </w:rPr>
              <w:t xml:space="preserve"> </w:t>
            </w:r>
            <w:r>
              <w:rPr>
                <w:sz w:val="13"/>
                <w:szCs w:val="13"/>
                <w:color w:val="212529"/>
                <w:spacing w:val="1"/>
              </w:rPr>
              <w:t>11</w:t>
            </w:r>
          </w:p>
        </w:tc>
        <w:tc>
          <w:tcPr>
            <w:tcW w:w="1442" w:type="dxa"/>
            <w:vAlign w:val="top"/>
          </w:tcPr>
          <w:p>
            <w:pPr>
              <w:pStyle w:val="TableText"/>
              <w:rPr/>
            </w:pPr>
            <w:r/>
          </w:p>
        </w:tc>
      </w:tr>
      <w:tr>
        <w:trPr>
          <w:trHeight w:val="314" w:hRule="atLeast"/>
        </w:trPr>
        <w:tc>
          <w:tcPr>
            <w:tcW w:w="1776" w:type="dxa"/>
            <w:vAlign w:val="top"/>
          </w:tcPr>
          <w:p>
            <w:pPr>
              <w:ind w:left="8"/>
              <w:spacing w:before="81"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089" w:type="dxa"/>
            <w:vAlign w:val="top"/>
          </w:tcPr>
          <w:p>
            <w:pPr>
              <w:ind w:left="7"/>
              <w:spacing w:before="81"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490" w:type="dxa"/>
            <w:vAlign w:val="top"/>
          </w:tcPr>
          <w:p>
            <w:pPr>
              <w:ind w:right="22"/>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9.71</w:t>
            </w:r>
          </w:p>
        </w:tc>
        <w:tc>
          <w:tcPr>
            <w:tcW w:w="1361" w:type="dxa"/>
            <w:vAlign w:val="top"/>
          </w:tcPr>
          <w:p>
            <w:pPr>
              <w:ind w:right="22"/>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9.71</w:t>
            </w:r>
          </w:p>
        </w:tc>
        <w:tc>
          <w:tcPr>
            <w:tcW w:w="1442" w:type="dxa"/>
            <w:vAlign w:val="top"/>
          </w:tcPr>
          <w:p>
            <w:pPr>
              <w:pStyle w:val="TableText"/>
              <w:rPr/>
            </w:pPr>
            <w:r/>
          </w:p>
        </w:tc>
      </w:tr>
      <w:tr>
        <w:trPr>
          <w:trHeight w:val="314" w:hRule="atLeast"/>
        </w:trPr>
        <w:tc>
          <w:tcPr>
            <w:tcW w:w="1776"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4"/>
                <w:position w:val="1"/>
              </w:rPr>
              <w:t>2080506</w:t>
            </w:r>
          </w:p>
        </w:tc>
        <w:tc>
          <w:tcPr>
            <w:tcW w:w="3089" w:type="dxa"/>
            <w:vAlign w:val="top"/>
          </w:tcPr>
          <w:p>
            <w:pPr>
              <w:ind w:left="7"/>
              <w:spacing w:before="81" w:line="228" w:lineRule="auto"/>
              <w:rPr>
                <w:rFonts w:ascii="SimSun" w:hAnsi="SimSun" w:eastAsia="SimSun" w:cs="SimSun"/>
                <w:sz w:val="15"/>
                <w:szCs w:val="15"/>
              </w:rPr>
            </w:pPr>
            <w:r>
              <w:rPr>
                <w:rFonts w:ascii="SimSun" w:hAnsi="SimSun" w:eastAsia="SimSun" w:cs="SimSun"/>
                <w:sz w:val="15"/>
                <w:szCs w:val="15"/>
                <w:color w:val="212529"/>
                <w:spacing w:val="11"/>
              </w:rPr>
              <w:t>机关事业单位职业年金缴费支出</w:t>
            </w:r>
          </w:p>
        </w:tc>
        <w:tc>
          <w:tcPr>
            <w:tcW w:w="1490" w:type="dxa"/>
            <w:vAlign w:val="top"/>
          </w:tcPr>
          <w:p>
            <w:pPr>
              <w:ind w:right="22"/>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2.40</w:t>
            </w:r>
          </w:p>
        </w:tc>
        <w:tc>
          <w:tcPr>
            <w:tcW w:w="1361" w:type="dxa"/>
            <w:vAlign w:val="top"/>
          </w:tcPr>
          <w:p>
            <w:pPr>
              <w:ind w:right="22"/>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2.40</w:t>
            </w:r>
          </w:p>
        </w:tc>
        <w:tc>
          <w:tcPr>
            <w:tcW w:w="1442" w:type="dxa"/>
            <w:vAlign w:val="top"/>
          </w:tcPr>
          <w:p>
            <w:pPr>
              <w:pStyle w:val="TableText"/>
              <w:rPr/>
            </w:pPr>
            <w:r/>
          </w:p>
        </w:tc>
      </w:tr>
      <w:tr>
        <w:trPr>
          <w:trHeight w:val="314" w:hRule="atLeast"/>
        </w:trPr>
        <w:tc>
          <w:tcPr>
            <w:tcW w:w="1776" w:type="dxa"/>
            <w:vAlign w:val="top"/>
          </w:tcPr>
          <w:p>
            <w:pPr>
              <w:ind w:left="8"/>
              <w:spacing w:before="81"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089" w:type="dxa"/>
            <w:vAlign w:val="top"/>
          </w:tcPr>
          <w:p>
            <w:pPr>
              <w:ind w:left="9"/>
              <w:spacing w:before="81"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490" w:type="dxa"/>
            <w:vAlign w:val="top"/>
          </w:tcPr>
          <w:p>
            <w:pPr>
              <w:ind w:right="22"/>
              <w:spacing w:before="8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w:t>
            </w:r>
          </w:p>
        </w:tc>
        <w:tc>
          <w:tcPr>
            <w:tcW w:w="1361" w:type="dxa"/>
            <w:vAlign w:val="top"/>
          </w:tcPr>
          <w:p>
            <w:pPr>
              <w:pStyle w:val="TableText"/>
              <w:ind w:left="1011"/>
              <w:spacing w:before="101" w:line="186" w:lineRule="auto"/>
              <w:rPr>
                <w:sz w:val="13"/>
                <w:szCs w:val="13"/>
              </w:rPr>
            </w:pPr>
            <w:r>
              <w:rPr>
                <w:sz w:val="13"/>
                <w:szCs w:val="13"/>
                <w:color w:val="212529"/>
                <w:spacing w:val="4"/>
              </w:rPr>
              <w:t>4.</w:t>
            </w:r>
            <w:r>
              <w:rPr>
                <w:sz w:val="13"/>
                <w:szCs w:val="13"/>
                <w:color w:val="212529"/>
                <w:spacing w:val="9"/>
              </w:rPr>
              <w:t xml:space="preserve"> </w:t>
            </w:r>
            <w:r>
              <w:rPr>
                <w:sz w:val="13"/>
                <w:szCs w:val="13"/>
                <w:color w:val="212529"/>
                <w:spacing w:val="4"/>
              </w:rPr>
              <w:t>20</w:t>
            </w:r>
          </w:p>
        </w:tc>
        <w:tc>
          <w:tcPr>
            <w:tcW w:w="1442" w:type="dxa"/>
            <w:vAlign w:val="top"/>
          </w:tcPr>
          <w:p>
            <w:pPr>
              <w:pStyle w:val="TableText"/>
              <w:rPr/>
            </w:pPr>
            <w:r/>
          </w:p>
        </w:tc>
      </w:tr>
      <w:tr>
        <w:trPr>
          <w:trHeight w:val="314" w:hRule="atLeast"/>
        </w:trPr>
        <w:tc>
          <w:tcPr>
            <w:tcW w:w="1776" w:type="dxa"/>
            <w:vAlign w:val="top"/>
          </w:tcPr>
          <w:p>
            <w:pPr>
              <w:ind w:left="8"/>
              <w:spacing w:before="82" w:line="202"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089" w:type="dxa"/>
            <w:vAlign w:val="top"/>
          </w:tcPr>
          <w:p>
            <w:pPr>
              <w:ind w:left="7"/>
              <w:spacing w:before="82"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490"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w:t>
            </w:r>
          </w:p>
        </w:tc>
        <w:tc>
          <w:tcPr>
            <w:tcW w:w="1361" w:type="dxa"/>
            <w:vAlign w:val="top"/>
          </w:tcPr>
          <w:p>
            <w:pPr>
              <w:pStyle w:val="TableText"/>
              <w:ind w:left="1011"/>
              <w:spacing w:before="101" w:line="186" w:lineRule="auto"/>
              <w:rPr>
                <w:sz w:val="13"/>
                <w:szCs w:val="13"/>
              </w:rPr>
            </w:pPr>
            <w:r>
              <w:rPr>
                <w:sz w:val="13"/>
                <w:szCs w:val="13"/>
                <w:color w:val="212529"/>
                <w:spacing w:val="4"/>
              </w:rPr>
              <w:t>4.</w:t>
            </w:r>
            <w:r>
              <w:rPr>
                <w:sz w:val="13"/>
                <w:szCs w:val="13"/>
                <w:color w:val="212529"/>
                <w:spacing w:val="9"/>
              </w:rPr>
              <w:t xml:space="preserve"> </w:t>
            </w:r>
            <w:r>
              <w:rPr>
                <w:sz w:val="13"/>
                <w:szCs w:val="13"/>
                <w:color w:val="212529"/>
                <w:spacing w:val="4"/>
              </w:rPr>
              <w:t>20</w:t>
            </w:r>
          </w:p>
        </w:tc>
        <w:tc>
          <w:tcPr>
            <w:tcW w:w="1442" w:type="dxa"/>
            <w:vAlign w:val="top"/>
          </w:tcPr>
          <w:p>
            <w:pPr>
              <w:pStyle w:val="TableText"/>
              <w:rPr/>
            </w:pPr>
            <w:r/>
          </w:p>
        </w:tc>
      </w:tr>
      <w:tr>
        <w:trPr>
          <w:trHeight w:val="314" w:hRule="atLeast"/>
        </w:trPr>
        <w:tc>
          <w:tcPr>
            <w:tcW w:w="1776" w:type="dxa"/>
            <w:vAlign w:val="top"/>
          </w:tcPr>
          <w:p>
            <w:pPr>
              <w:ind w:left="8"/>
              <w:spacing w:before="82" w:line="203"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089" w:type="dxa"/>
            <w:vAlign w:val="top"/>
          </w:tcPr>
          <w:p>
            <w:pPr>
              <w:ind w:left="7"/>
              <w:spacing w:before="82"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490"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0.48</w:t>
            </w:r>
          </w:p>
        </w:tc>
        <w:tc>
          <w:tcPr>
            <w:tcW w:w="1361" w:type="dxa"/>
            <w:vAlign w:val="top"/>
          </w:tcPr>
          <w:p>
            <w:pPr>
              <w:ind w:right="22"/>
              <w:spacing w:before="8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0.48</w:t>
            </w:r>
          </w:p>
        </w:tc>
        <w:tc>
          <w:tcPr>
            <w:tcW w:w="1442" w:type="dxa"/>
            <w:vAlign w:val="top"/>
          </w:tcPr>
          <w:p>
            <w:pPr>
              <w:pStyle w:val="TableText"/>
              <w:rPr/>
            </w:pPr>
            <w:r/>
          </w:p>
        </w:tc>
      </w:tr>
      <w:tr>
        <w:trPr>
          <w:trHeight w:val="314" w:hRule="atLeast"/>
        </w:trPr>
        <w:tc>
          <w:tcPr>
            <w:tcW w:w="1776"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089" w:type="dxa"/>
            <w:vAlign w:val="top"/>
          </w:tcPr>
          <w:p>
            <w:pPr>
              <w:ind w:left="9"/>
              <w:spacing w:before="82"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490" w:type="dxa"/>
            <w:vAlign w:val="top"/>
          </w:tcPr>
          <w:p>
            <w:pPr>
              <w:ind w:right="22"/>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3.50</w:t>
            </w:r>
          </w:p>
        </w:tc>
        <w:tc>
          <w:tcPr>
            <w:tcW w:w="1361" w:type="dxa"/>
            <w:vAlign w:val="top"/>
          </w:tcPr>
          <w:p>
            <w:pPr>
              <w:ind w:right="22"/>
              <w:spacing w:before="83"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3.50</w:t>
            </w:r>
          </w:p>
        </w:tc>
        <w:tc>
          <w:tcPr>
            <w:tcW w:w="1442" w:type="dxa"/>
            <w:vAlign w:val="top"/>
          </w:tcPr>
          <w:p>
            <w:pPr>
              <w:pStyle w:val="TableText"/>
              <w:rPr/>
            </w:pPr>
            <w:r/>
          </w:p>
        </w:tc>
      </w:tr>
      <w:tr>
        <w:trPr>
          <w:trHeight w:val="314" w:hRule="atLeast"/>
        </w:trPr>
        <w:tc>
          <w:tcPr>
            <w:tcW w:w="1776" w:type="dxa"/>
            <w:vAlign w:val="top"/>
          </w:tcPr>
          <w:p>
            <w:pPr>
              <w:ind w:left="8"/>
              <w:spacing w:before="83" w:line="202"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089" w:type="dxa"/>
            <w:vAlign w:val="top"/>
          </w:tcPr>
          <w:p>
            <w:pPr>
              <w:ind w:left="12"/>
              <w:spacing w:before="83"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490"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0.22</w:t>
            </w:r>
          </w:p>
        </w:tc>
        <w:tc>
          <w:tcPr>
            <w:tcW w:w="1361"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0.22</w:t>
            </w:r>
          </w:p>
        </w:tc>
        <w:tc>
          <w:tcPr>
            <w:tcW w:w="1442" w:type="dxa"/>
            <w:vAlign w:val="top"/>
          </w:tcPr>
          <w:p>
            <w:pPr>
              <w:pStyle w:val="TableText"/>
              <w:rPr/>
            </w:pPr>
            <w:r/>
          </w:p>
        </w:tc>
      </w:tr>
      <w:tr>
        <w:trPr>
          <w:trHeight w:val="314" w:hRule="atLeast"/>
        </w:trPr>
        <w:tc>
          <w:tcPr>
            <w:tcW w:w="1776" w:type="dxa"/>
            <w:vAlign w:val="top"/>
          </w:tcPr>
          <w:p>
            <w:pPr>
              <w:ind w:left="8"/>
              <w:spacing w:before="83" w:line="204" w:lineRule="exact"/>
              <w:rPr>
                <w:rFonts w:ascii="SimSun" w:hAnsi="SimSun" w:eastAsia="SimSun" w:cs="SimSun"/>
                <w:sz w:val="15"/>
                <w:szCs w:val="15"/>
              </w:rPr>
            </w:pPr>
            <w:r>
              <w:rPr>
                <w:rFonts w:ascii="SimSun" w:hAnsi="SimSun" w:eastAsia="SimSun" w:cs="SimSun"/>
                <w:sz w:val="15"/>
                <w:szCs w:val="15"/>
                <w:color w:val="212529"/>
                <w:spacing w:val="2"/>
                <w:position w:val="1"/>
              </w:rPr>
              <w:t>212</w:t>
            </w:r>
          </w:p>
        </w:tc>
        <w:tc>
          <w:tcPr>
            <w:tcW w:w="3089" w:type="dxa"/>
            <w:vAlign w:val="top"/>
          </w:tcPr>
          <w:p>
            <w:pPr>
              <w:ind w:left="7"/>
              <w:spacing w:before="83" w:line="229" w:lineRule="auto"/>
              <w:rPr>
                <w:rFonts w:ascii="SimSun" w:hAnsi="SimSun" w:eastAsia="SimSun" w:cs="SimSun"/>
                <w:sz w:val="15"/>
                <w:szCs w:val="15"/>
              </w:rPr>
            </w:pPr>
            <w:r>
              <w:rPr>
                <w:rFonts w:ascii="SimSun" w:hAnsi="SimSun" w:eastAsia="SimSun" w:cs="SimSun"/>
                <w:sz w:val="15"/>
                <w:szCs w:val="15"/>
                <w:color w:val="212529"/>
                <w:spacing w:val="10"/>
              </w:rPr>
              <w:t>城乡社区支出</w:t>
            </w:r>
          </w:p>
        </w:tc>
        <w:tc>
          <w:tcPr>
            <w:tcW w:w="1490" w:type="dxa"/>
            <w:vAlign w:val="top"/>
          </w:tcPr>
          <w:p>
            <w:pPr>
              <w:ind w:right="22"/>
              <w:spacing w:before="8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3831.27</w:t>
            </w:r>
          </w:p>
        </w:tc>
        <w:tc>
          <w:tcPr>
            <w:tcW w:w="1361" w:type="dxa"/>
            <w:vAlign w:val="top"/>
          </w:tcPr>
          <w:p>
            <w:pPr>
              <w:pStyle w:val="TableText"/>
              <w:ind w:left="931"/>
              <w:spacing w:before="102" w:line="173" w:lineRule="auto"/>
              <w:rPr>
                <w:sz w:val="14"/>
                <w:szCs w:val="14"/>
              </w:rPr>
            </w:pPr>
            <w:r>
              <w:rPr>
                <w:sz w:val="14"/>
                <w:szCs w:val="14"/>
                <w:color w:val="212529"/>
              </w:rPr>
              <w:t>81.</w:t>
            </w:r>
            <w:r>
              <w:rPr>
                <w:sz w:val="14"/>
                <w:szCs w:val="14"/>
                <w:color w:val="212529"/>
                <w:spacing w:val="7"/>
              </w:rPr>
              <w:t xml:space="preserve"> </w:t>
            </w:r>
            <w:r>
              <w:rPr>
                <w:sz w:val="14"/>
                <w:szCs w:val="14"/>
                <w:color w:val="212529"/>
              </w:rPr>
              <w:t>14</w:t>
            </w:r>
          </w:p>
        </w:tc>
        <w:tc>
          <w:tcPr>
            <w:tcW w:w="1442" w:type="dxa"/>
            <w:vAlign w:val="top"/>
          </w:tcPr>
          <w:p>
            <w:pPr>
              <w:pStyle w:val="TableText"/>
              <w:ind w:left="851"/>
              <w:spacing w:before="102" w:line="173" w:lineRule="auto"/>
              <w:rPr>
                <w:sz w:val="14"/>
                <w:szCs w:val="14"/>
              </w:rPr>
            </w:pPr>
            <w:r>
              <w:rPr>
                <w:sz w:val="14"/>
                <w:szCs w:val="14"/>
                <w:color w:val="212529"/>
              </w:rPr>
              <w:t>3750.</w:t>
            </w:r>
            <w:r>
              <w:rPr>
                <w:sz w:val="14"/>
                <w:szCs w:val="14"/>
                <w:color w:val="212529"/>
                <w:spacing w:val="11"/>
                <w:w w:val="101"/>
              </w:rPr>
              <w:t xml:space="preserve"> </w:t>
            </w:r>
            <w:r>
              <w:rPr>
                <w:sz w:val="14"/>
                <w:szCs w:val="14"/>
                <w:color w:val="212529"/>
              </w:rPr>
              <w:t>14</w:t>
            </w:r>
          </w:p>
        </w:tc>
      </w:tr>
      <w:tr>
        <w:trPr>
          <w:trHeight w:val="314" w:hRule="atLeast"/>
        </w:trPr>
        <w:tc>
          <w:tcPr>
            <w:tcW w:w="1776"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21203</w:t>
            </w:r>
          </w:p>
        </w:tc>
        <w:tc>
          <w:tcPr>
            <w:tcW w:w="3089" w:type="dxa"/>
            <w:vAlign w:val="top"/>
          </w:tcPr>
          <w:p>
            <w:pPr>
              <w:ind w:left="7"/>
              <w:spacing w:before="84" w:line="229" w:lineRule="auto"/>
              <w:rPr>
                <w:rFonts w:ascii="SimSun" w:hAnsi="SimSun" w:eastAsia="SimSun" w:cs="SimSun"/>
                <w:sz w:val="15"/>
                <w:szCs w:val="15"/>
              </w:rPr>
            </w:pPr>
            <w:r>
              <w:rPr>
                <w:rFonts w:ascii="SimSun" w:hAnsi="SimSun" w:eastAsia="SimSun" w:cs="SimSun"/>
                <w:sz w:val="15"/>
                <w:szCs w:val="15"/>
                <w:color w:val="212529"/>
                <w:spacing w:val="10"/>
              </w:rPr>
              <w:t>城乡社区公共设施</w:t>
            </w:r>
          </w:p>
        </w:tc>
        <w:tc>
          <w:tcPr>
            <w:tcW w:w="1490" w:type="dxa"/>
            <w:vAlign w:val="top"/>
          </w:tcPr>
          <w:p>
            <w:pPr>
              <w:ind w:right="22"/>
              <w:spacing w:before="84"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182.88</w:t>
            </w:r>
          </w:p>
        </w:tc>
        <w:tc>
          <w:tcPr>
            <w:tcW w:w="1361" w:type="dxa"/>
            <w:vAlign w:val="top"/>
          </w:tcPr>
          <w:p>
            <w:pPr>
              <w:pStyle w:val="TableText"/>
              <w:rPr/>
            </w:pPr>
            <w:r/>
          </w:p>
        </w:tc>
        <w:tc>
          <w:tcPr>
            <w:tcW w:w="1442" w:type="dxa"/>
            <w:vAlign w:val="top"/>
          </w:tcPr>
          <w:p>
            <w:pPr>
              <w:pStyle w:val="TableText"/>
              <w:ind w:left="941"/>
              <w:spacing w:before="103" w:line="186" w:lineRule="auto"/>
              <w:rPr>
                <w:sz w:val="13"/>
                <w:szCs w:val="13"/>
              </w:rPr>
            </w:pPr>
            <w:r>
              <w:rPr>
                <w:sz w:val="13"/>
                <w:szCs w:val="13"/>
                <w:color w:val="212529"/>
                <w:spacing w:val="2"/>
              </w:rPr>
              <w:t>182.</w:t>
            </w:r>
            <w:r>
              <w:rPr>
                <w:sz w:val="13"/>
                <w:szCs w:val="13"/>
                <w:color w:val="212529"/>
                <w:spacing w:val="17"/>
              </w:rPr>
              <w:t xml:space="preserve"> </w:t>
            </w:r>
            <w:r>
              <w:rPr>
                <w:sz w:val="13"/>
                <w:szCs w:val="13"/>
                <w:color w:val="212529"/>
                <w:spacing w:val="2"/>
              </w:rPr>
              <w:t>88</w:t>
            </w:r>
          </w:p>
        </w:tc>
      </w:tr>
      <w:tr>
        <w:trPr>
          <w:trHeight w:val="314" w:hRule="atLeast"/>
        </w:trPr>
        <w:tc>
          <w:tcPr>
            <w:tcW w:w="1776" w:type="dxa"/>
            <w:vAlign w:val="top"/>
          </w:tcPr>
          <w:p>
            <w:pPr>
              <w:ind w:left="8"/>
              <w:spacing w:before="84" w:line="202" w:lineRule="exact"/>
              <w:rPr>
                <w:rFonts w:ascii="SimSun" w:hAnsi="SimSun" w:eastAsia="SimSun" w:cs="SimSun"/>
                <w:sz w:val="15"/>
                <w:szCs w:val="15"/>
              </w:rPr>
            </w:pPr>
            <w:r>
              <w:rPr>
                <w:rFonts w:ascii="SimSun" w:hAnsi="SimSun" w:eastAsia="SimSun" w:cs="SimSun"/>
                <w:sz w:val="15"/>
                <w:szCs w:val="15"/>
                <w:color w:val="212529"/>
                <w:spacing w:val="4"/>
                <w:position w:val="1"/>
              </w:rPr>
              <w:t>2120399</w:t>
            </w:r>
          </w:p>
        </w:tc>
        <w:tc>
          <w:tcPr>
            <w:tcW w:w="3089" w:type="dxa"/>
            <w:vAlign w:val="top"/>
          </w:tcPr>
          <w:p>
            <w:pPr>
              <w:ind w:left="7"/>
              <w:spacing w:before="84" w:line="229" w:lineRule="auto"/>
              <w:rPr>
                <w:rFonts w:ascii="SimSun" w:hAnsi="SimSun" w:eastAsia="SimSun" w:cs="SimSun"/>
                <w:sz w:val="15"/>
                <w:szCs w:val="15"/>
              </w:rPr>
            </w:pPr>
            <w:r>
              <w:rPr>
                <w:rFonts w:ascii="SimSun" w:hAnsi="SimSun" w:eastAsia="SimSun" w:cs="SimSun"/>
                <w:sz w:val="15"/>
                <w:szCs w:val="15"/>
                <w:color w:val="212529"/>
                <w:spacing w:val="11"/>
              </w:rPr>
              <w:t>其他城乡社区公共设施支出</w:t>
            </w:r>
          </w:p>
        </w:tc>
        <w:tc>
          <w:tcPr>
            <w:tcW w:w="1490" w:type="dxa"/>
            <w:vAlign w:val="top"/>
          </w:tcPr>
          <w:p>
            <w:pPr>
              <w:ind w:right="22"/>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182.88</w:t>
            </w:r>
          </w:p>
        </w:tc>
        <w:tc>
          <w:tcPr>
            <w:tcW w:w="1361" w:type="dxa"/>
            <w:vAlign w:val="top"/>
          </w:tcPr>
          <w:p>
            <w:pPr>
              <w:pStyle w:val="TableText"/>
              <w:rPr/>
            </w:pPr>
            <w:r/>
          </w:p>
        </w:tc>
        <w:tc>
          <w:tcPr>
            <w:tcW w:w="1442" w:type="dxa"/>
            <w:vAlign w:val="top"/>
          </w:tcPr>
          <w:p>
            <w:pPr>
              <w:ind w:right="24"/>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182.88</w:t>
            </w:r>
          </w:p>
        </w:tc>
      </w:tr>
      <w:tr>
        <w:trPr>
          <w:trHeight w:val="314" w:hRule="atLeast"/>
        </w:trPr>
        <w:tc>
          <w:tcPr>
            <w:tcW w:w="1776" w:type="dxa"/>
            <w:vAlign w:val="top"/>
          </w:tcPr>
          <w:p>
            <w:pPr>
              <w:ind w:left="8"/>
              <w:spacing w:before="84" w:line="203" w:lineRule="exact"/>
              <w:rPr>
                <w:rFonts w:ascii="SimSun" w:hAnsi="SimSun" w:eastAsia="SimSun" w:cs="SimSun"/>
                <w:sz w:val="15"/>
                <w:szCs w:val="15"/>
              </w:rPr>
            </w:pPr>
            <w:r>
              <w:rPr>
                <w:rFonts w:ascii="SimSun" w:hAnsi="SimSun" w:eastAsia="SimSun" w:cs="SimSun"/>
                <w:sz w:val="15"/>
                <w:szCs w:val="15"/>
                <w:color w:val="212529"/>
                <w:spacing w:val="4"/>
                <w:position w:val="1"/>
              </w:rPr>
              <w:t>21205</w:t>
            </w:r>
          </w:p>
        </w:tc>
        <w:tc>
          <w:tcPr>
            <w:tcW w:w="3089" w:type="dxa"/>
            <w:vAlign w:val="top"/>
          </w:tcPr>
          <w:p>
            <w:pPr>
              <w:ind w:left="7"/>
              <w:spacing w:before="84" w:line="229" w:lineRule="auto"/>
              <w:rPr>
                <w:rFonts w:ascii="SimSun" w:hAnsi="SimSun" w:eastAsia="SimSun" w:cs="SimSun"/>
                <w:sz w:val="15"/>
                <w:szCs w:val="15"/>
              </w:rPr>
            </w:pPr>
            <w:r>
              <w:rPr>
                <w:rFonts w:ascii="SimSun" w:hAnsi="SimSun" w:eastAsia="SimSun" w:cs="SimSun"/>
                <w:sz w:val="15"/>
                <w:szCs w:val="15"/>
                <w:color w:val="212529"/>
                <w:spacing w:val="10"/>
              </w:rPr>
              <w:t>城乡社区环境卫生</w:t>
            </w:r>
          </w:p>
        </w:tc>
        <w:tc>
          <w:tcPr>
            <w:tcW w:w="1490" w:type="dxa"/>
            <w:vAlign w:val="top"/>
          </w:tcPr>
          <w:p>
            <w:pPr>
              <w:ind w:right="22"/>
              <w:spacing w:before="8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3648.39</w:t>
            </w:r>
          </w:p>
        </w:tc>
        <w:tc>
          <w:tcPr>
            <w:tcW w:w="1361" w:type="dxa"/>
            <w:vAlign w:val="top"/>
          </w:tcPr>
          <w:p>
            <w:pPr>
              <w:pStyle w:val="TableText"/>
              <w:ind w:left="931"/>
              <w:spacing w:before="103" w:line="173" w:lineRule="auto"/>
              <w:rPr>
                <w:sz w:val="14"/>
                <w:szCs w:val="14"/>
              </w:rPr>
            </w:pPr>
            <w:r>
              <w:rPr>
                <w:sz w:val="14"/>
                <w:szCs w:val="14"/>
                <w:color w:val="212529"/>
              </w:rPr>
              <w:t>81.</w:t>
            </w:r>
            <w:r>
              <w:rPr>
                <w:sz w:val="14"/>
                <w:szCs w:val="14"/>
                <w:color w:val="212529"/>
                <w:spacing w:val="7"/>
              </w:rPr>
              <w:t xml:space="preserve"> </w:t>
            </w:r>
            <w:r>
              <w:rPr>
                <w:sz w:val="14"/>
                <w:szCs w:val="14"/>
                <w:color w:val="212529"/>
              </w:rPr>
              <w:t>14</w:t>
            </w:r>
          </w:p>
        </w:tc>
        <w:tc>
          <w:tcPr>
            <w:tcW w:w="1442" w:type="dxa"/>
            <w:vAlign w:val="top"/>
          </w:tcPr>
          <w:p>
            <w:pPr>
              <w:pStyle w:val="TableText"/>
              <w:ind w:left="851"/>
              <w:spacing w:before="104" w:line="172" w:lineRule="auto"/>
              <w:rPr>
                <w:sz w:val="14"/>
                <w:szCs w:val="14"/>
              </w:rPr>
            </w:pPr>
            <w:r>
              <w:rPr>
                <w:sz w:val="14"/>
                <w:szCs w:val="14"/>
                <w:color w:val="212529"/>
              </w:rPr>
              <w:t>3567.</w:t>
            </w:r>
            <w:r>
              <w:rPr>
                <w:sz w:val="14"/>
                <w:szCs w:val="14"/>
                <w:color w:val="212529"/>
                <w:spacing w:val="9"/>
              </w:rPr>
              <w:t xml:space="preserve"> </w:t>
            </w:r>
            <w:r>
              <w:rPr>
                <w:sz w:val="14"/>
                <w:szCs w:val="14"/>
                <w:color w:val="212529"/>
              </w:rPr>
              <w:t>26</w:t>
            </w:r>
          </w:p>
        </w:tc>
      </w:tr>
      <w:tr>
        <w:trPr>
          <w:trHeight w:val="314" w:hRule="atLeast"/>
        </w:trPr>
        <w:tc>
          <w:tcPr>
            <w:tcW w:w="1776" w:type="dxa"/>
            <w:vAlign w:val="top"/>
          </w:tcPr>
          <w:p>
            <w:pPr>
              <w:ind w:left="8"/>
              <w:spacing w:before="85" w:line="202" w:lineRule="exact"/>
              <w:rPr>
                <w:rFonts w:ascii="SimSun" w:hAnsi="SimSun" w:eastAsia="SimSun" w:cs="SimSun"/>
                <w:sz w:val="15"/>
                <w:szCs w:val="15"/>
              </w:rPr>
            </w:pPr>
            <w:r>
              <w:rPr>
                <w:rFonts w:ascii="SimSun" w:hAnsi="SimSun" w:eastAsia="SimSun" w:cs="SimSun"/>
                <w:sz w:val="15"/>
                <w:szCs w:val="15"/>
                <w:color w:val="212529"/>
                <w:spacing w:val="4"/>
                <w:position w:val="1"/>
              </w:rPr>
              <w:t>2120501</w:t>
            </w:r>
          </w:p>
        </w:tc>
        <w:tc>
          <w:tcPr>
            <w:tcW w:w="3089" w:type="dxa"/>
            <w:vAlign w:val="top"/>
          </w:tcPr>
          <w:p>
            <w:pPr>
              <w:ind w:left="7"/>
              <w:spacing w:before="85" w:line="229" w:lineRule="auto"/>
              <w:rPr>
                <w:rFonts w:ascii="SimSun" w:hAnsi="SimSun" w:eastAsia="SimSun" w:cs="SimSun"/>
                <w:sz w:val="15"/>
                <w:szCs w:val="15"/>
              </w:rPr>
            </w:pPr>
            <w:r>
              <w:rPr>
                <w:rFonts w:ascii="SimSun" w:hAnsi="SimSun" w:eastAsia="SimSun" w:cs="SimSun"/>
                <w:sz w:val="15"/>
                <w:szCs w:val="15"/>
                <w:color w:val="212529"/>
                <w:spacing w:val="10"/>
              </w:rPr>
              <w:t>城乡社区环境卫生</w:t>
            </w:r>
          </w:p>
        </w:tc>
        <w:tc>
          <w:tcPr>
            <w:tcW w:w="1490" w:type="dxa"/>
            <w:vAlign w:val="top"/>
          </w:tcPr>
          <w:p>
            <w:pPr>
              <w:ind w:right="22"/>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3648.39</w:t>
            </w:r>
          </w:p>
        </w:tc>
        <w:tc>
          <w:tcPr>
            <w:tcW w:w="1361" w:type="dxa"/>
            <w:vAlign w:val="top"/>
          </w:tcPr>
          <w:p>
            <w:pPr>
              <w:ind w:right="22"/>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81.14</w:t>
            </w:r>
          </w:p>
        </w:tc>
        <w:tc>
          <w:tcPr>
            <w:tcW w:w="1442" w:type="dxa"/>
            <w:vAlign w:val="top"/>
          </w:tcPr>
          <w:p>
            <w:pPr>
              <w:ind w:right="24"/>
              <w:spacing w:before="8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3567.26</w:t>
            </w:r>
          </w:p>
        </w:tc>
      </w:tr>
      <w:tr>
        <w:trPr>
          <w:trHeight w:val="314" w:hRule="atLeast"/>
        </w:trPr>
        <w:tc>
          <w:tcPr>
            <w:tcW w:w="1776" w:type="dxa"/>
            <w:vAlign w:val="top"/>
          </w:tcPr>
          <w:p>
            <w:pPr>
              <w:ind w:left="8"/>
              <w:spacing w:before="85" w:line="204"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089" w:type="dxa"/>
            <w:vAlign w:val="top"/>
          </w:tcPr>
          <w:p>
            <w:pPr>
              <w:ind w:left="8"/>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490" w:type="dxa"/>
            <w:vAlign w:val="top"/>
          </w:tcPr>
          <w:p>
            <w:pPr>
              <w:ind w:right="22"/>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361" w:type="dxa"/>
            <w:vAlign w:val="top"/>
          </w:tcPr>
          <w:p>
            <w:pPr>
              <w:pStyle w:val="TableText"/>
              <w:ind w:left="1012"/>
              <w:spacing w:before="104" w:line="186" w:lineRule="auto"/>
              <w:rPr>
                <w:sz w:val="13"/>
                <w:szCs w:val="13"/>
              </w:rPr>
            </w:pPr>
            <w:r>
              <w:rPr>
                <w:sz w:val="13"/>
                <w:szCs w:val="13"/>
                <w:color w:val="212529"/>
                <w:spacing w:val="3"/>
              </w:rPr>
              <w:t>8.</w:t>
            </w:r>
            <w:r>
              <w:rPr>
                <w:sz w:val="13"/>
                <w:szCs w:val="13"/>
                <w:color w:val="212529"/>
                <w:spacing w:val="3"/>
              </w:rPr>
              <w:t xml:space="preserve"> </w:t>
            </w:r>
            <w:r>
              <w:rPr>
                <w:sz w:val="13"/>
                <w:szCs w:val="13"/>
                <w:color w:val="212529"/>
                <w:spacing w:val="3"/>
              </w:rPr>
              <w:t>01</w:t>
            </w:r>
          </w:p>
        </w:tc>
        <w:tc>
          <w:tcPr>
            <w:tcW w:w="1442" w:type="dxa"/>
            <w:vAlign w:val="top"/>
          </w:tcPr>
          <w:p>
            <w:pPr>
              <w:pStyle w:val="TableText"/>
              <w:rPr/>
            </w:pPr>
            <w:r/>
          </w:p>
        </w:tc>
      </w:tr>
      <w:tr>
        <w:trPr>
          <w:trHeight w:val="314" w:hRule="atLeast"/>
        </w:trPr>
        <w:tc>
          <w:tcPr>
            <w:tcW w:w="1776" w:type="dxa"/>
            <w:vAlign w:val="top"/>
          </w:tcPr>
          <w:p>
            <w:pPr>
              <w:ind w:left="8"/>
              <w:spacing w:before="85"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089" w:type="dxa"/>
            <w:vAlign w:val="top"/>
          </w:tcPr>
          <w:p>
            <w:pPr>
              <w:ind w:left="8"/>
              <w:spacing w:before="8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490" w:type="dxa"/>
            <w:vAlign w:val="top"/>
          </w:tcPr>
          <w:p>
            <w:pPr>
              <w:ind w:right="22"/>
              <w:spacing w:before="8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361" w:type="dxa"/>
            <w:vAlign w:val="top"/>
          </w:tcPr>
          <w:p>
            <w:pPr>
              <w:pStyle w:val="TableText"/>
              <w:ind w:left="1012"/>
              <w:spacing w:before="104" w:line="187" w:lineRule="auto"/>
              <w:rPr>
                <w:sz w:val="13"/>
                <w:szCs w:val="13"/>
              </w:rPr>
            </w:pPr>
            <w:r>
              <w:rPr>
                <w:sz w:val="13"/>
                <w:szCs w:val="13"/>
                <w:color w:val="212529"/>
                <w:spacing w:val="3"/>
              </w:rPr>
              <w:t>8.</w:t>
            </w:r>
            <w:r>
              <w:rPr>
                <w:sz w:val="13"/>
                <w:szCs w:val="13"/>
                <w:color w:val="212529"/>
                <w:spacing w:val="3"/>
              </w:rPr>
              <w:t xml:space="preserve"> </w:t>
            </w:r>
            <w:r>
              <w:rPr>
                <w:sz w:val="13"/>
                <w:szCs w:val="13"/>
                <w:color w:val="212529"/>
                <w:spacing w:val="3"/>
              </w:rPr>
              <w:t>01</w:t>
            </w:r>
          </w:p>
        </w:tc>
        <w:tc>
          <w:tcPr>
            <w:tcW w:w="1442" w:type="dxa"/>
            <w:vAlign w:val="top"/>
          </w:tcPr>
          <w:p>
            <w:pPr>
              <w:pStyle w:val="TableText"/>
              <w:rPr/>
            </w:pPr>
            <w:r/>
          </w:p>
        </w:tc>
      </w:tr>
      <w:tr>
        <w:trPr>
          <w:trHeight w:val="319" w:hRule="atLeast"/>
        </w:trPr>
        <w:tc>
          <w:tcPr>
            <w:tcW w:w="1776" w:type="dxa"/>
            <w:vAlign w:val="top"/>
          </w:tcPr>
          <w:p>
            <w:pPr>
              <w:ind w:left="8"/>
              <w:spacing w:before="86" w:line="202"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089" w:type="dxa"/>
            <w:vAlign w:val="top"/>
          </w:tcPr>
          <w:p>
            <w:pPr>
              <w:ind w:left="8"/>
              <w:spacing w:before="8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490" w:type="dxa"/>
            <w:vAlign w:val="top"/>
          </w:tcPr>
          <w:p>
            <w:pPr>
              <w:ind w:right="22"/>
              <w:spacing w:before="8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361" w:type="dxa"/>
            <w:vAlign w:val="top"/>
          </w:tcPr>
          <w:p>
            <w:pPr>
              <w:ind w:right="22"/>
              <w:spacing w:before="86"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442" w:type="dxa"/>
            <w:vAlign w:val="top"/>
          </w:tcPr>
          <w:p>
            <w:pPr>
              <w:pStyle w:val="TableText"/>
              <w:rPr/>
            </w:pPr>
            <w:r/>
          </w:p>
        </w:tc>
      </w:tr>
    </w:tbl>
    <w:p>
      <w:pPr>
        <w:rPr>
          <w:rFonts w:ascii="Arial"/>
          <w:sz w:val="21"/>
        </w:rPr>
      </w:pPr>
      <w:r/>
    </w:p>
    <w:p>
      <w:pPr>
        <w:sectPr>
          <w:headerReference w:type="default" r:id="rId2"/>
          <w:footerReference w:type="default" r:id="rId10"/>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63"/>
        <w:gridCol w:w="1134"/>
        <w:gridCol w:w="1922"/>
        <w:gridCol w:w="1134"/>
        <w:gridCol w:w="1156"/>
        <w:gridCol w:w="864"/>
        <w:gridCol w:w="1085"/>
      </w:tblGrid>
      <w:tr>
        <w:trPr>
          <w:trHeight w:val="384" w:hRule="atLeast"/>
        </w:trPr>
        <w:tc>
          <w:tcPr>
            <w:tcW w:w="186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2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34"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49" w:type="dxa"/>
            <w:vAlign w:val="top"/>
            <w:gridSpan w:val="2"/>
            <w:tcBorders>
              <w:bottom w:val="single" w:color="FFFFFF" w:sz="4" w:space="0"/>
              <w:top w:val="single" w:color="FFFFFF" w:sz="4" w:space="0"/>
              <w:left w:val="single" w:color="FFFFFF" w:sz="2" w:space="0"/>
              <w:right w:val="single" w:color="FFFFFF" w:sz="2" w:space="0"/>
            </w:tcBorders>
          </w:tcPr>
          <w:p>
            <w:pPr>
              <w:ind w:right="24"/>
              <w:spacing w:before="114" w:line="225" w:lineRule="auto"/>
              <w:jc w:val="right"/>
              <w:rPr>
                <w:rFonts w:ascii="SimSun" w:hAnsi="SimSun" w:eastAsia="SimSun" w:cs="SimSun"/>
                <w:sz w:val="14"/>
                <w:szCs w:val="14"/>
              </w:rPr>
            </w:pPr>
            <w:r>
              <w:rPr>
                <w:rFonts w:ascii="SimSun" w:hAnsi="SimSun" w:eastAsia="SimSun" w:cs="SimSun"/>
                <w:sz w:val="14"/>
                <w:szCs w:val="14"/>
                <w:color w:val="212529"/>
                <w:spacing w:val="2"/>
              </w:rPr>
              <w:t>预算公开表4</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3464"/>
              <w:spacing w:before="78" w:line="201" w:lineRule="exact"/>
              <w:outlineLvl w:val="1"/>
              <w:rPr>
                <w:rFonts w:ascii="Microsoft YaHei" w:hAnsi="Microsoft YaHei" w:eastAsia="Microsoft YaHei" w:cs="Microsoft YaHei"/>
                <w:sz w:val="20"/>
                <w:szCs w:val="20"/>
              </w:rPr>
            </w:pPr>
            <w:bookmarkStart w:name="bookmark38" w:id="13"/>
            <w:bookmarkEnd w:id="13"/>
            <w:bookmarkStart w:name="bookmark8" w:id="14"/>
            <w:bookmarkEnd w:id="14"/>
            <w:r>
              <w:rPr>
                <w:rFonts w:ascii="Microsoft YaHei" w:hAnsi="Microsoft YaHei" w:eastAsia="Microsoft YaHei" w:cs="Microsoft YaHei"/>
                <w:sz w:val="20"/>
                <w:szCs w:val="20"/>
                <w:color w:val="212529"/>
                <w:spacing w:val="-5"/>
                <w:position w:val="-1"/>
              </w:rPr>
              <w:t>2025年财政拨款收支总表</w:t>
            </w:r>
          </w:p>
        </w:tc>
      </w:tr>
      <w:tr>
        <w:trPr>
          <w:trHeight w:val="379" w:hRule="atLeast"/>
        </w:trPr>
        <w:tc>
          <w:tcPr>
            <w:tcW w:w="8073" w:type="dxa"/>
            <w:vAlign w:val="top"/>
            <w:gridSpan w:val="6"/>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085" w:type="dxa"/>
            <w:vAlign w:val="top"/>
            <w:tcBorders>
              <w:top w:val="single" w:color="FFFFFF" w:sz="4" w:space="0"/>
              <w:left w:val="single" w:color="FFFFFF" w:sz="2" w:space="0"/>
              <w:right w:val="single" w:color="FFFFFF" w:sz="2" w:space="0"/>
            </w:tcBorders>
          </w:tcPr>
          <w:p>
            <w:pPr>
              <w:ind w:left="412"/>
              <w:spacing w:before="123"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2997" w:type="dxa"/>
            <w:vAlign w:val="top"/>
            <w:gridSpan w:val="2"/>
          </w:tcPr>
          <w:p>
            <w:pPr>
              <w:ind w:left="1326"/>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收入</w:t>
            </w:r>
          </w:p>
        </w:tc>
        <w:tc>
          <w:tcPr>
            <w:tcW w:w="6161" w:type="dxa"/>
            <w:vAlign w:val="top"/>
            <w:gridSpan w:val="5"/>
          </w:tcPr>
          <w:p>
            <w:pPr>
              <w:ind w:left="2904"/>
              <w:spacing w:before="107"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支出</w:t>
            </w:r>
          </w:p>
        </w:tc>
      </w:tr>
      <w:tr>
        <w:trPr>
          <w:trHeight w:val="379" w:hRule="atLeast"/>
        </w:trPr>
        <w:tc>
          <w:tcPr>
            <w:tcW w:w="1863" w:type="dxa"/>
            <w:vAlign w:val="top"/>
            <w:vMerge w:val="restart"/>
            <w:tcBorders>
              <w:bottom w:val="nil"/>
            </w:tcBorders>
          </w:tcPr>
          <w:p>
            <w:pPr>
              <w:ind w:left="753"/>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134" w:type="dxa"/>
            <w:vAlign w:val="top"/>
            <w:vMerge w:val="restart"/>
            <w:tcBorders>
              <w:bottom w:val="nil"/>
            </w:tcBorders>
          </w:tcPr>
          <w:p>
            <w:pPr>
              <w:ind w:left="384"/>
              <w:spacing w:before="30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c>
          <w:tcPr>
            <w:tcW w:w="1922" w:type="dxa"/>
            <w:vAlign w:val="top"/>
            <w:vMerge w:val="restart"/>
            <w:tcBorders>
              <w:bottom w:val="nil"/>
            </w:tcBorders>
          </w:tcPr>
          <w:p>
            <w:pPr>
              <w:ind w:left="785"/>
              <w:spacing w:before="30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239" w:type="dxa"/>
            <w:vAlign w:val="top"/>
            <w:gridSpan w:val="4"/>
          </w:tcPr>
          <w:p>
            <w:pPr>
              <w:ind w:left="1946"/>
              <w:spacing w:before="107"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金额</w:t>
            </w:r>
          </w:p>
        </w:tc>
      </w:tr>
      <w:tr>
        <w:trPr>
          <w:trHeight w:val="379" w:hRule="atLeast"/>
        </w:trPr>
        <w:tc>
          <w:tcPr>
            <w:tcW w:w="1863" w:type="dxa"/>
            <w:vAlign w:val="top"/>
            <w:vMerge w:val="continue"/>
            <w:tcBorders>
              <w:top w:val="nil"/>
            </w:tcBorders>
          </w:tcPr>
          <w:p>
            <w:pPr>
              <w:pStyle w:val="TableText"/>
              <w:rPr/>
            </w:pPr>
            <w:r/>
          </w:p>
        </w:tc>
        <w:tc>
          <w:tcPr>
            <w:tcW w:w="1134" w:type="dxa"/>
            <w:vAlign w:val="top"/>
            <w:vMerge w:val="continue"/>
            <w:tcBorders>
              <w:top w:val="nil"/>
            </w:tcBorders>
          </w:tcPr>
          <w:p>
            <w:pPr>
              <w:pStyle w:val="TableText"/>
              <w:rPr/>
            </w:pPr>
            <w:r/>
          </w:p>
        </w:tc>
        <w:tc>
          <w:tcPr>
            <w:tcW w:w="1922" w:type="dxa"/>
            <w:vAlign w:val="top"/>
            <w:vMerge w:val="continue"/>
            <w:tcBorders>
              <w:top w:val="nil"/>
            </w:tcBorders>
          </w:tcPr>
          <w:p>
            <w:pPr>
              <w:pStyle w:val="TableText"/>
              <w:rPr/>
            </w:pPr>
            <w:r/>
          </w:p>
        </w:tc>
        <w:tc>
          <w:tcPr>
            <w:tcW w:w="1134" w:type="dxa"/>
            <w:vAlign w:val="top"/>
          </w:tcPr>
          <w:p>
            <w:pPr>
              <w:ind w:left="402"/>
              <w:spacing w:before="108"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position w:val="-1"/>
              </w:rPr>
              <w:t>小计</w:t>
            </w:r>
          </w:p>
        </w:tc>
        <w:tc>
          <w:tcPr>
            <w:tcW w:w="1156" w:type="dxa"/>
            <w:vAlign w:val="top"/>
          </w:tcPr>
          <w:p>
            <w:pPr>
              <w:ind w:left="85"/>
              <w:spacing w:before="107" w:line="157" w:lineRule="exact"/>
              <w:outlineLvl w:val="1"/>
              <w:rPr>
                <w:rFonts w:ascii="Microsoft YaHei" w:hAnsi="Microsoft YaHei" w:eastAsia="Microsoft YaHei" w:cs="Microsoft YaHei"/>
                <w:sz w:val="15"/>
                <w:szCs w:val="15"/>
              </w:rPr>
            </w:pPr>
            <w:bookmarkStart w:name="bookmark10" w:id="15"/>
            <w:bookmarkEnd w:id="15"/>
            <w:bookmarkStart w:name="bookmark9" w:id="16"/>
            <w:bookmarkEnd w:id="16"/>
            <w:r>
              <w:rPr>
                <w:rFonts w:ascii="Microsoft YaHei" w:hAnsi="Microsoft YaHei" w:eastAsia="Microsoft YaHei" w:cs="Microsoft YaHei"/>
                <w:sz w:val="15"/>
                <w:szCs w:val="15"/>
                <w:color w:val="212529"/>
                <w:spacing w:val="11"/>
              </w:rPr>
              <w:t>一般公共预算</w:t>
            </w:r>
          </w:p>
        </w:tc>
        <w:tc>
          <w:tcPr>
            <w:tcW w:w="864" w:type="dxa"/>
            <w:vAlign w:val="top"/>
          </w:tcPr>
          <w:p>
            <w:pPr>
              <w:ind w:left="262" w:right="26" w:hanging="240"/>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政府性基金</w:t>
            </w:r>
            <w:r>
              <w:rPr>
                <w:rFonts w:ascii="Microsoft YaHei" w:hAnsi="Microsoft YaHei" w:eastAsia="Microsoft YaHei" w:cs="Microsoft YaHei"/>
                <w:sz w:val="15"/>
                <w:szCs w:val="15"/>
                <w:color w:val="212529"/>
                <w:spacing w:val="11"/>
              </w:rPr>
              <w:t>预算</w:t>
            </w:r>
          </w:p>
        </w:tc>
        <w:tc>
          <w:tcPr>
            <w:tcW w:w="1085" w:type="dxa"/>
            <w:vAlign w:val="top"/>
          </w:tcPr>
          <w:p>
            <w:pPr>
              <w:ind w:left="368" w:right="62" w:hanging="304"/>
              <w:spacing w:before="21"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r>
      <w:tr>
        <w:trPr>
          <w:trHeight w:val="379" w:hRule="atLeast"/>
        </w:trPr>
        <w:tc>
          <w:tcPr>
            <w:tcW w:w="1863"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34" w:type="dxa"/>
            <w:vAlign w:val="top"/>
          </w:tcPr>
          <w:p>
            <w:pPr>
              <w:ind w:left="536"/>
              <w:spacing w:before="110" w:line="202" w:lineRule="exact"/>
              <w:rPr>
                <w:rFonts w:ascii="SimSun" w:hAnsi="SimSun" w:eastAsia="SimSun" w:cs="SimSun"/>
                <w:sz w:val="15"/>
                <w:szCs w:val="15"/>
              </w:rPr>
            </w:pPr>
            <w:r>
              <w:rPr>
                <w:rFonts w:ascii="SimSun" w:hAnsi="SimSun" w:eastAsia="SimSun" w:cs="SimSun"/>
                <w:sz w:val="15"/>
                <w:szCs w:val="15"/>
                <w:color w:val="212529"/>
                <w:spacing w:val="4"/>
                <w:position w:val="1"/>
              </w:rPr>
              <w:t>3855.59</w:t>
            </w:r>
          </w:p>
        </w:tc>
        <w:tc>
          <w:tcPr>
            <w:tcW w:w="1922" w:type="dxa"/>
            <w:vAlign w:val="top"/>
          </w:tcPr>
          <w:p>
            <w:pPr>
              <w:ind w:left="1"/>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一、一般公共服务支出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ind w:left="9"/>
              <w:spacing w:before="110"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34" w:type="dxa"/>
            <w:vAlign w:val="top"/>
          </w:tcPr>
          <w:p>
            <w:pPr>
              <w:pStyle w:val="TableText"/>
              <w:rPr/>
            </w:pPr>
            <w:r/>
          </w:p>
        </w:tc>
        <w:tc>
          <w:tcPr>
            <w:tcW w:w="1922" w:type="dxa"/>
            <w:vAlign w:val="top"/>
          </w:tcPr>
          <w:p>
            <w:pPr>
              <w:ind w:left="2"/>
              <w:spacing w:before="110" w:line="230" w:lineRule="auto"/>
              <w:rPr>
                <w:rFonts w:ascii="SimSun" w:hAnsi="SimSun" w:eastAsia="SimSun" w:cs="SimSun"/>
                <w:sz w:val="15"/>
                <w:szCs w:val="15"/>
              </w:rPr>
            </w:pPr>
            <w:r>
              <w:rPr>
                <w:rFonts w:ascii="SimSun" w:hAnsi="SimSun" w:eastAsia="SimSun" w:cs="SimSun"/>
                <w:sz w:val="15"/>
                <w:szCs w:val="15"/>
                <w:color w:val="212529"/>
                <w:spacing w:val="10"/>
              </w:rPr>
              <w:t>二、外交支出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ind w:left="6"/>
              <w:spacing w:before="110"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34" w:type="dxa"/>
            <w:vAlign w:val="top"/>
          </w:tcPr>
          <w:p>
            <w:pPr>
              <w:pStyle w:val="TableText"/>
              <w:rPr/>
            </w:pPr>
            <w:r/>
          </w:p>
        </w:tc>
        <w:tc>
          <w:tcPr>
            <w:tcW w:w="1922" w:type="dxa"/>
            <w:vAlign w:val="top"/>
          </w:tcPr>
          <w:p>
            <w:pPr>
              <w:spacing w:before="110" w:line="230" w:lineRule="auto"/>
              <w:rPr>
                <w:rFonts w:ascii="SimSun" w:hAnsi="SimSun" w:eastAsia="SimSun" w:cs="SimSun"/>
                <w:sz w:val="15"/>
                <w:szCs w:val="15"/>
              </w:rPr>
            </w:pPr>
            <w:r>
              <w:rPr>
                <w:rFonts w:ascii="SimSun" w:hAnsi="SimSun" w:eastAsia="SimSun" w:cs="SimSun"/>
                <w:sz w:val="15"/>
                <w:szCs w:val="15"/>
                <w:color w:val="212529"/>
                <w:spacing w:val="5"/>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5"/>
              </w:rPr>
              <w:t>国防支出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4"/>
              <w:spacing w:before="110" w:line="229" w:lineRule="auto"/>
              <w:rPr>
                <w:rFonts w:ascii="SimSun" w:hAnsi="SimSun" w:eastAsia="SimSun" w:cs="SimSun"/>
                <w:sz w:val="15"/>
                <w:szCs w:val="15"/>
              </w:rPr>
            </w:pPr>
            <w:r>
              <w:rPr>
                <w:rFonts w:ascii="SimSun" w:hAnsi="SimSun" w:eastAsia="SimSun" w:cs="SimSun"/>
                <w:sz w:val="15"/>
                <w:szCs w:val="15"/>
                <w:color w:val="212529"/>
                <w:spacing w:val="9"/>
              </w:rPr>
              <w:t>四、公共安全支出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1" w:line="229" w:lineRule="auto"/>
              <w:rPr>
                <w:rFonts w:ascii="SimSun" w:hAnsi="SimSun" w:eastAsia="SimSun" w:cs="SimSun"/>
                <w:sz w:val="15"/>
                <w:szCs w:val="15"/>
              </w:rPr>
            </w:pPr>
            <w:r>
              <w:rPr>
                <w:rFonts w:ascii="SimSun" w:hAnsi="SimSun" w:eastAsia="SimSun" w:cs="SimSun"/>
                <w:sz w:val="15"/>
                <w:szCs w:val="15"/>
                <w:color w:val="212529"/>
                <w:spacing w:val="10"/>
              </w:rPr>
              <w:t>五、教育支出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1" w:line="228" w:lineRule="auto"/>
              <w:rPr>
                <w:rFonts w:ascii="SimSun" w:hAnsi="SimSun" w:eastAsia="SimSun" w:cs="SimSun"/>
                <w:sz w:val="15"/>
                <w:szCs w:val="15"/>
              </w:rPr>
            </w:pPr>
            <w:r>
              <w:rPr>
                <w:rFonts w:ascii="SimSun" w:hAnsi="SimSun" w:eastAsia="SimSun" w:cs="SimSun"/>
                <w:sz w:val="15"/>
                <w:szCs w:val="15"/>
                <w:color w:val="212529"/>
                <w:spacing w:val="10"/>
              </w:rPr>
              <w:t>六、科学技术支出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spacing w:before="25" w:line="211" w:lineRule="auto"/>
              <w:rPr>
                <w:rFonts w:ascii="SimSun" w:hAnsi="SimSun" w:eastAsia="SimSun" w:cs="SimSun"/>
                <w:sz w:val="15"/>
                <w:szCs w:val="15"/>
              </w:rPr>
            </w:pPr>
            <w:r>
              <w:rPr>
                <w:rFonts w:ascii="SimSun" w:hAnsi="SimSun" w:eastAsia="SimSun" w:cs="SimSun"/>
                <w:sz w:val="15"/>
                <w:szCs w:val="15"/>
                <w:color w:val="212529"/>
                <w:spacing w:val="11"/>
              </w:rPr>
              <w:t>七、文化旅游体育与传媒</w:t>
            </w:r>
            <w:r>
              <w:rPr>
                <w:rFonts w:ascii="SimSun" w:hAnsi="SimSun" w:eastAsia="SimSun" w:cs="SimSun"/>
                <w:sz w:val="15"/>
                <w:szCs w:val="15"/>
                <w:color w:val="212529"/>
                <w:spacing w:val="6"/>
              </w:rPr>
              <w:t>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2" w:line="228" w:lineRule="auto"/>
              <w:rPr>
                <w:rFonts w:ascii="SimSun" w:hAnsi="SimSun" w:eastAsia="SimSun" w:cs="SimSun"/>
                <w:sz w:val="15"/>
                <w:szCs w:val="15"/>
              </w:rPr>
            </w:pPr>
            <w:r>
              <w:rPr>
                <w:rFonts w:ascii="SimSun" w:hAnsi="SimSun" w:eastAsia="SimSun" w:cs="SimSun"/>
                <w:sz w:val="15"/>
                <w:szCs w:val="15"/>
                <w:color w:val="212529"/>
                <w:spacing w:val="11"/>
              </w:rPr>
              <w:t>八、社会保障和就业支出</w:t>
            </w:r>
          </w:p>
        </w:tc>
        <w:tc>
          <w:tcPr>
            <w:tcW w:w="1134" w:type="dxa"/>
            <w:vAlign w:val="top"/>
          </w:tcPr>
          <w:p>
            <w:pPr>
              <w:ind w:right="19"/>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12.11</w:t>
            </w:r>
          </w:p>
        </w:tc>
        <w:tc>
          <w:tcPr>
            <w:tcW w:w="1156" w:type="dxa"/>
            <w:vAlign w:val="top"/>
          </w:tcPr>
          <w:p>
            <w:pPr>
              <w:ind w:right="1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12.11</w:t>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3" w:line="228" w:lineRule="auto"/>
              <w:rPr>
                <w:rFonts w:ascii="SimSun" w:hAnsi="SimSun" w:eastAsia="SimSun" w:cs="SimSun"/>
                <w:sz w:val="15"/>
                <w:szCs w:val="15"/>
              </w:rPr>
            </w:pPr>
            <w:r>
              <w:rPr>
                <w:rFonts w:ascii="SimSun" w:hAnsi="SimSun" w:eastAsia="SimSun" w:cs="SimSun"/>
                <w:sz w:val="15"/>
                <w:szCs w:val="15"/>
                <w:color w:val="212529"/>
                <w:spacing w:val="10"/>
              </w:rPr>
              <w:t>九、社会保险基金支出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3" w:line="229" w:lineRule="auto"/>
              <w:rPr>
                <w:rFonts w:ascii="SimSun" w:hAnsi="SimSun" w:eastAsia="SimSun" w:cs="SimSun"/>
                <w:sz w:val="15"/>
                <w:szCs w:val="15"/>
              </w:rPr>
            </w:pPr>
            <w:r>
              <w:rPr>
                <w:rFonts w:ascii="SimSun" w:hAnsi="SimSun" w:eastAsia="SimSun" w:cs="SimSun"/>
                <w:sz w:val="15"/>
                <w:szCs w:val="15"/>
                <w:color w:val="212529"/>
                <w:spacing w:val="10"/>
              </w:rPr>
              <w:t>十、卫生健康支出</w:t>
            </w:r>
          </w:p>
        </w:tc>
        <w:tc>
          <w:tcPr>
            <w:tcW w:w="1134" w:type="dxa"/>
            <w:vAlign w:val="top"/>
          </w:tcPr>
          <w:p>
            <w:pPr>
              <w:ind w:right="19"/>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w:t>
            </w:r>
          </w:p>
        </w:tc>
        <w:tc>
          <w:tcPr>
            <w:tcW w:w="1156" w:type="dxa"/>
            <w:vAlign w:val="top"/>
          </w:tcPr>
          <w:p>
            <w:pPr>
              <w:ind w:right="1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w:t>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3" w:line="230" w:lineRule="auto"/>
              <w:rPr>
                <w:rFonts w:ascii="SimSun" w:hAnsi="SimSun" w:eastAsia="SimSun" w:cs="SimSun"/>
                <w:sz w:val="15"/>
                <w:szCs w:val="15"/>
              </w:rPr>
            </w:pPr>
            <w:r>
              <w:rPr>
                <w:rFonts w:ascii="SimSun" w:hAnsi="SimSun" w:eastAsia="SimSun" w:cs="SimSun"/>
                <w:sz w:val="15"/>
                <w:szCs w:val="15"/>
                <w:color w:val="212529"/>
                <w:spacing w:val="11"/>
              </w:rPr>
              <w:t>十一、节能环保支出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4" w:line="229" w:lineRule="auto"/>
              <w:rPr>
                <w:rFonts w:ascii="SimSun" w:hAnsi="SimSun" w:eastAsia="SimSun" w:cs="SimSun"/>
                <w:sz w:val="15"/>
                <w:szCs w:val="15"/>
              </w:rPr>
            </w:pPr>
            <w:r>
              <w:rPr>
                <w:rFonts w:ascii="SimSun" w:hAnsi="SimSun" w:eastAsia="SimSun" w:cs="SimSun"/>
                <w:sz w:val="15"/>
                <w:szCs w:val="15"/>
                <w:color w:val="212529"/>
                <w:spacing w:val="11"/>
              </w:rPr>
              <w:t>十二、城乡社区支出</w:t>
            </w:r>
          </w:p>
        </w:tc>
        <w:tc>
          <w:tcPr>
            <w:tcW w:w="1134" w:type="dxa"/>
            <w:vAlign w:val="top"/>
          </w:tcPr>
          <w:p>
            <w:pPr>
              <w:ind w:right="19"/>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3831.27</w:t>
            </w:r>
          </w:p>
        </w:tc>
        <w:tc>
          <w:tcPr>
            <w:tcW w:w="1156" w:type="dxa"/>
            <w:vAlign w:val="top"/>
          </w:tcPr>
          <w:p>
            <w:pPr>
              <w:ind w:right="1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3831.27</w:t>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4" w:line="229" w:lineRule="auto"/>
              <w:rPr>
                <w:rFonts w:ascii="SimSun" w:hAnsi="SimSun" w:eastAsia="SimSun" w:cs="SimSun"/>
                <w:sz w:val="15"/>
                <w:szCs w:val="15"/>
              </w:rPr>
            </w:pPr>
            <w:r>
              <w:rPr>
                <w:rFonts w:ascii="SimSun" w:hAnsi="SimSun" w:eastAsia="SimSun" w:cs="SimSun"/>
                <w:sz w:val="15"/>
                <w:szCs w:val="15"/>
                <w:color w:val="212529"/>
                <w:spacing w:val="10"/>
              </w:rPr>
              <w:t>十三、农林水支出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十四、交通运输支出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spacing w:before="29" w:line="209" w:lineRule="auto"/>
              <w:rPr>
                <w:rFonts w:ascii="SimSun" w:hAnsi="SimSun" w:eastAsia="SimSun" w:cs="SimSun"/>
                <w:sz w:val="15"/>
                <w:szCs w:val="15"/>
              </w:rPr>
            </w:pPr>
            <w:r>
              <w:rPr>
                <w:rFonts w:ascii="SimSun" w:hAnsi="SimSun" w:eastAsia="SimSun" w:cs="SimSun"/>
                <w:sz w:val="15"/>
                <w:szCs w:val="15"/>
                <w:color w:val="212529"/>
                <w:spacing w:val="11"/>
              </w:rPr>
              <w:t>十五、资源勘探工业信息</w:t>
            </w:r>
            <w:r>
              <w:rPr>
                <w:rFonts w:ascii="SimSun" w:hAnsi="SimSun" w:eastAsia="SimSun" w:cs="SimSun"/>
                <w:sz w:val="15"/>
                <w:szCs w:val="15"/>
                <w:color w:val="212529"/>
                <w:spacing w:val="8"/>
              </w:rPr>
              <w:t>等支出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29" w:lineRule="auto"/>
              <w:rPr>
                <w:rFonts w:ascii="SimSun" w:hAnsi="SimSun" w:eastAsia="SimSun" w:cs="SimSun"/>
                <w:sz w:val="15"/>
                <w:szCs w:val="15"/>
              </w:rPr>
            </w:pPr>
            <w:r>
              <w:rPr>
                <w:rFonts w:ascii="SimSun" w:hAnsi="SimSun" w:eastAsia="SimSun" w:cs="SimSun"/>
                <w:sz w:val="15"/>
                <w:szCs w:val="15"/>
                <w:color w:val="212529"/>
                <w:spacing w:val="11"/>
              </w:rPr>
              <w:t>十六、商业服务业等支出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30" w:lineRule="auto"/>
              <w:rPr>
                <w:rFonts w:ascii="SimSun" w:hAnsi="SimSun" w:eastAsia="SimSun" w:cs="SimSun"/>
                <w:sz w:val="15"/>
                <w:szCs w:val="15"/>
              </w:rPr>
            </w:pPr>
            <w:r>
              <w:rPr>
                <w:rFonts w:ascii="SimSun" w:hAnsi="SimSun" w:eastAsia="SimSun" w:cs="SimSun"/>
                <w:sz w:val="15"/>
                <w:szCs w:val="15"/>
                <w:color w:val="212529"/>
                <w:spacing w:val="10"/>
              </w:rPr>
              <w:t>十七、金融支出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spacing w:before="115" w:line="230" w:lineRule="auto"/>
              <w:rPr>
                <w:rFonts w:ascii="SimSun" w:hAnsi="SimSun" w:eastAsia="SimSun" w:cs="SimSun"/>
                <w:sz w:val="15"/>
                <w:szCs w:val="15"/>
              </w:rPr>
            </w:pPr>
            <w:r>
              <w:rPr>
                <w:rFonts w:ascii="SimSun" w:hAnsi="SimSun" w:eastAsia="SimSun" w:cs="SimSun"/>
                <w:sz w:val="15"/>
                <w:szCs w:val="15"/>
                <w:color w:val="212529"/>
                <w:spacing w:val="11"/>
              </w:rPr>
              <w:t>十八、援助其他地区支出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spacing w:before="29" w:line="209" w:lineRule="auto"/>
              <w:rPr>
                <w:rFonts w:ascii="SimSun" w:hAnsi="SimSun" w:eastAsia="SimSun" w:cs="SimSun"/>
                <w:sz w:val="15"/>
                <w:szCs w:val="15"/>
              </w:rPr>
            </w:pPr>
            <w:r>
              <w:rPr>
                <w:rFonts w:ascii="SimSun" w:hAnsi="SimSun" w:eastAsia="SimSun" w:cs="SimSun"/>
                <w:sz w:val="15"/>
                <w:szCs w:val="15"/>
                <w:color w:val="212529"/>
                <w:spacing w:val="7"/>
              </w:rPr>
              <w:t>十九、</w:t>
            </w:r>
            <w:r>
              <w:rPr>
                <w:rFonts w:ascii="SimSun" w:hAnsi="SimSun" w:eastAsia="SimSun" w:cs="SimSun"/>
                <w:sz w:val="15"/>
                <w:szCs w:val="15"/>
                <w:color w:val="212529"/>
                <w:spacing w:val="-29"/>
              </w:rPr>
              <w:t xml:space="preserve"> </w:t>
            </w:r>
            <w:r>
              <w:rPr>
                <w:rFonts w:ascii="SimSun" w:hAnsi="SimSun" w:eastAsia="SimSun" w:cs="SimSun"/>
                <w:sz w:val="15"/>
                <w:szCs w:val="15"/>
                <w:color w:val="212529"/>
                <w:spacing w:val="7"/>
              </w:rPr>
              <w:t>自然资源海洋气象</w:t>
            </w:r>
            <w:r>
              <w:rPr>
                <w:rFonts w:ascii="SimSun" w:hAnsi="SimSun" w:eastAsia="SimSun" w:cs="SimSun"/>
                <w:sz w:val="15"/>
                <w:szCs w:val="15"/>
                <w:color w:val="212529"/>
                <w:spacing w:val="8"/>
              </w:rPr>
              <w:t>等支出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6" w:line="229" w:lineRule="auto"/>
              <w:rPr>
                <w:rFonts w:ascii="SimSun" w:hAnsi="SimSun" w:eastAsia="SimSun" w:cs="SimSun"/>
                <w:sz w:val="15"/>
                <w:szCs w:val="15"/>
              </w:rPr>
            </w:pPr>
            <w:r>
              <w:rPr>
                <w:rFonts w:ascii="SimSun" w:hAnsi="SimSun" w:eastAsia="SimSun" w:cs="SimSun"/>
                <w:sz w:val="15"/>
                <w:szCs w:val="15"/>
                <w:color w:val="212529"/>
                <w:spacing w:val="10"/>
              </w:rPr>
              <w:t>二十、住房保障支出</w:t>
            </w:r>
          </w:p>
        </w:tc>
        <w:tc>
          <w:tcPr>
            <w:tcW w:w="1134" w:type="dxa"/>
            <w:vAlign w:val="top"/>
          </w:tcPr>
          <w:p>
            <w:pPr>
              <w:ind w:right="19"/>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156" w:type="dxa"/>
            <w:vAlign w:val="top"/>
          </w:tcPr>
          <w:p>
            <w:pPr>
              <w:ind w:right="1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3" w:right="138" w:hanging="11"/>
              <w:spacing w:before="29" w:line="209" w:lineRule="auto"/>
              <w:rPr>
                <w:rFonts w:ascii="SimSun" w:hAnsi="SimSun" w:eastAsia="SimSun" w:cs="SimSun"/>
                <w:sz w:val="15"/>
                <w:szCs w:val="15"/>
              </w:rPr>
            </w:pPr>
            <w:r>
              <w:rPr>
                <w:rFonts w:ascii="SimSun" w:hAnsi="SimSun" w:eastAsia="SimSun" w:cs="SimSun"/>
                <w:sz w:val="15"/>
                <w:szCs w:val="15"/>
                <w:color w:val="212529"/>
                <w:spacing w:val="11"/>
              </w:rPr>
              <w:t>二十一、粮油物资储备支</w:t>
            </w:r>
            <w:r>
              <w:rPr>
                <w:rFonts w:ascii="SimSun" w:hAnsi="SimSun" w:eastAsia="SimSun" w:cs="SimSun"/>
                <w:sz w:val="15"/>
                <w:szCs w:val="15"/>
                <w:color w:val="212529"/>
              </w:rPr>
              <w:t>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right="138" w:firstLine="2"/>
              <w:spacing w:before="30" w:line="208" w:lineRule="auto"/>
              <w:rPr>
                <w:rFonts w:ascii="SimSun" w:hAnsi="SimSun" w:eastAsia="SimSun" w:cs="SimSun"/>
                <w:sz w:val="15"/>
                <w:szCs w:val="15"/>
              </w:rPr>
            </w:pPr>
            <w:r>
              <w:rPr>
                <w:rFonts w:ascii="SimSun" w:hAnsi="SimSun" w:eastAsia="SimSun" w:cs="SimSun"/>
                <w:sz w:val="15"/>
                <w:szCs w:val="15"/>
                <w:color w:val="212529"/>
                <w:spacing w:val="8"/>
              </w:rPr>
              <w:t>二十二、</w:t>
            </w:r>
            <w:r>
              <w:rPr>
                <w:rFonts w:ascii="SimSun" w:hAnsi="SimSun" w:eastAsia="SimSun" w:cs="SimSun"/>
                <w:sz w:val="15"/>
                <w:szCs w:val="15"/>
                <w:color w:val="212529"/>
                <w:spacing w:val="-43"/>
              </w:rPr>
              <w:t xml:space="preserve"> </w:t>
            </w:r>
            <w:r>
              <w:rPr>
                <w:rFonts w:ascii="SimSun" w:hAnsi="SimSun" w:eastAsia="SimSun" w:cs="SimSun"/>
                <w:sz w:val="15"/>
                <w:szCs w:val="15"/>
                <w:color w:val="212529"/>
                <w:spacing w:val="8"/>
              </w:rPr>
              <w:t>国有资本经营预</w:t>
            </w:r>
            <w:r>
              <w:rPr>
                <w:rFonts w:ascii="SimSun" w:hAnsi="SimSun" w:eastAsia="SimSun" w:cs="SimSun"/>
                <w:sz w:val="15"/>
                <w:szCs w:val="15"/>
                <w:color w:val="212529"/>
                <w:spacing w:val="8"/>
              </w:rPr>
              <w:t>算支出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right="138"/>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二十三、灾害防治及应急</w:t>
            </w:r>
            <w:r>
              <w:rPr>
                <w:rFonts w:ascii="SimSun" w:hAnsi="SimSun" w:eastAsia="SimSun" w:cs="SimSun"/>
                <w:sz w:val="15"/>
                <w:szCs w:val="15"/>
                <w:color w:val="212529"/>
                <w:spacing w:val="8"/>
              </w:rPr>
              <w:t>管理支出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6" w:line="230" w:lineRule="auto"/>
              <w:rPr>
                <w:rFonts w:ascii="SimSun" w:hAnsi="SimSun" w:eastAsia="SimSun" w:cs="SimSun"/>
                <w:sz w:val="15"/>
                <w:szCs w:val="15"/>
              </w:rPr>
            </w:pPr>
            <w:r>
              <w:rPr>
                <w:rFonts w:ascii="SimSun" w:hAnsi="SimSun" w:eastAsia="SimSun" w:cs="SimSun"/>
                <w:sz w:val="15"/>
                <w:szCs w:val="15"/>
                <w:color w:val="212529"/>
                <w:spacing w:val="10"/>
              </w:rPr>
              <w:t>二十四、预备费</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二十五、其他支出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7" w:line="230" w:lineRule="auto"/>
              <w:rPr>
                <w:rFonts w:ascii="SimSun" w:hAnsi="SimSun" w:eastAsia="SimSun" w:cs="SimSun"/>
                <w:sz w:val="15"/>
                <w:szCs w:val="15"/>
              </w:rPr>
            </w:pPr>
            <w:r>
              <w:rPr>
                <w:rFonts w:ascii="SimSun" w:hAnsi="SimSun" w:eastAsia="SimSun" w:cs="SimSun"/>
                <w:sz w:val="15"/>
                <w:szCs w:val="15"/>
                <w:color w:val="212529"/>
                <w:spacing w:val="10"/>
              </w:rPr>
              <w:t>二十六、转移性支出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8" w:line="228" w:lineRule="auto"/>
              <w:rPr>
                <w:rFonts w:ascii="SimSun" w:hAnsi="SimSun" w:eastAsia="SimSun" w:cs="SimSun"/>
                <w:sz w:val="15"/>
                <w:szCs w:val="15"/>
              </w:rPr>
            </w:pPr>
            <w:r>
              <w:rPr>
                <w:rFonts w:ascii="SimSun" w:hAnsi="SimSun" w:eastAsia="SimSun" w:cs="SimSun"/>
                <w:sz w:val="15"/>
                <w:szCs w:val="15"/>
                <w:color w:val="212529"/>
                <w:spacing w:val="10"/>
              </w:rPr>
              <w:t>二十七、债务还本支出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2"/>
              <w:spacing w:before="118" w:line="229" w:lineRule="auto"/>
              <w:rPr>
                <w:rFonts w:ascii="SimSun" w:hAnsi="SimSun" w:eastAsia="SimSun" w:cs="SimSun"/>
                <w:sz w:val="15"/>
                <w:szCs w:val="15"/>
              </w:rPr>
            </w:pPr>
            <w:r>
              <w:rPr>
                <w:rFonts w:ascii="SimSun" w:hAnsi="SimSun" w:eastAsia="SimSun" w:cs="SimSun"/>
                <w:sz w:val="15"/>
                <w:szCs w:val="15"/>
                <w:color w:val="212529"/>
                <w:spacing w:val="10"/>
              </w:rPr>
              <w:t>二十八、债务付息支出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3" w:right="138" w:hanging="11"/>
              <w:spacing w:before="30" w:line="208" w:lineRule="auto"/>
              <w:rPr>
                <w:rFonts w:ascii="SimSun" w:hAnsi="SimSun" w:eastAsia="SimSun" w:cs="SimSun"/>
                <w:sz w:val="15"/>
                <w:szCs w:val="15"/>
              </w:rPr>
            </w:pPr>
            <w:r>
              <w:rPr>
                <w:rFonts w:ascii="SimSun" w:hAnsi="SimSun" w:eastAsia="SimSun" w:cs="SimSun"/>
                <w:sz w:val="15"/>
                <w:szCs w:val="15"/>
                <w:color w:val="212529"/>
                <w:spacing w:val="11"/>
              </w:rPr>
              <w:t>二十九、债务发行费用支</w:t>
            </w:r>
            <w:r>
              <w:rPr>
                <w:rFonts w:ascii="SimSun" w:hAnsi="SimSun" w:eastAsia="SimSun" w:cs="SimSun"/>
                <w:sz w:val="15"/>
                <w:szCs w:val="15"/>
                <w:color w:val="212529"/>
              </w:rPr>
              <w:t>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ind w:left="12" w:right="138" w:hanging="13"/>
              <w:spacing w:before="32" w:line="207" w:lineRule="auto"/>
              <w:rPr>
                <w:rFonts w:ascii="SimSun" w:hAnsi="SimSun" w:eastAsia="SimSun" w:cs="SimSun"/>
                <w:sz w:val="15"/>
                <w:szCs w:val="15"/>
              </w:rPr>
            </w:pPr>
            <w:r>
              <w:rPr>
                <w:rFonts w:ascii="SimSun" w:hAnsi="SimSun" w:eastAsia="SimSun" w:cs="SimSun"/>
                <w:sz w:val="15"/>
                <w:szCs w:val="15"/>
                <w:color w:val="212529"/>
                <w:spacing w:val="11"/>
              </w:rPr>
              <w:t>三十、抗疫特别国债安排</w:t>
            </w:r>
            <w:r>
              <w:rPr>
                <w:rFonts w:ascii="SimSun" w:hAnsi="SimSun" w:eastAsia="SimSun" w:cs="SimSun"/>
                <w:sz w:val="15"/>
                <w:szCs w:val="15"/>
                <w:color w:val="212529"/>
                <w:spacing w:val="4"/>
              </w:rPr>
              <w:t>的支出</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9"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84" w:hRule="atLeast"/>
        </w:trPr>
        <w:tc>
          <w:tcPr>
            <w:tcW w:w="1863" w:type="dxa"/>
            <w:vAlign w:val="top"/>
          </w:tcPr>
          <w:p>
            <w:pPr>
              <w:ind w:left="431"/>
              <w:spacing w:before="11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本年收入合计</w:t>
            </w:r>
          </w:p>
        </w:tc>
        <w:tc>
          <w:tcPr>
            <w:tcW w:w="1134" w:type="dxa"/>
            <w:vAlign w:val="top"/>
          </w:tcPr>
          <w:p>
            <w:pPr>
              <w:pStyle w:val="TableText"/>
              <w:ind w:left="269"/>
              <w:spacing w:before="138" w:line="172" w:lineRule="auto"/>
              <w:rPr>
                <w:sz w:val="14"/>
                <w:szCs w:val="14"/>
              </w:rPr>
            </w:pPr>
            <w:r>
              <w:rPr>
                <w:sz w:val="14"/>
                <w:szCs w:val="14"/>
                <w:color w:val="212529"/>
              </w:rPr>
              <w:t>3855.</w:t>
            </w:r>
            <w:r>
              <w:rPr>
                <w:sz w:val="14"/>
                <w:szCs w:val="14"/>
                <w:color w:val="212529"/>
                <w:spacing w:val="8"/>
              </w:rPr>
              <w:t xml:space="preserve"> </w:t>
            </w:r>
            <w:r>
              <w:rPr>
                <w:sz w:val="14"/>
                <w:szCs w:val="14"/>
                <w:color w:val="212529"/>
              </w:rPr>
              <w:t>59</w:t>
            </w:r>
          </w:p>
        </w:tc>
        <w:tc>
          <w:tcPr>
            <w:tcW w:w="1922" w:type="dxa"/>
            <w:vAlign w:val="top"/>
          </w:tcPr>
          <w:p>
            <w:pPr>
              <w:ind w:left="463"/>
              <w:spacing w:before="116"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本年支出合计</w:t>
            </w:r>
          </w:p>
        </w:tc>
        <w:tc>
          <w:tcPr>
            <w:tcW w:w="1134" w:type="dxa"/>
            <w:vAlign w:val="top"/>
          </w:tcPr>
          <w:p>
            <w:pPr>
              <w:pStyle w:val="TableText"/>
              <w:ind w:left="280"/>
              <w:spacing w:before="138" w:line="172" w:lineRule="auto"/>
              <w:rPr>
                <w:sz w:val="14"/>
                <w:szCs w:val="14"/>
              </w:rPr>
            </w:pPr>
            <w:r>
              <w:rPr>
                <w:sz w:val="14"/>
                <w:szCs w:val="14"/>
                <w:color w:val="212529"/>
              </w:rPr>
              <w:t>3855.</w:t>
            </w:r>
            <w:r>
              <w:rPr>
                <w:sz w:val="14"/>
                <w:szCs w:val="14"/>
                <w:color w:val="212529"/>
                <w:spacing w:val="8"/>
              </w:rPr>
              <w:t xml:space="preserve"> </w:t>
            </w:r>
            <w:r>
              <w:rPr>
                <w:sz w:val="14"/>
                <w:szCs w:val="14"/>
                <w:color w:val="212529"/>
              </w:rPr>
              <w:t>59</w:t>
            </w:r>
          </w:p>
        </w:tc>
        <w:tc>
          <w:tcPr>
            <w:tcW w:w="1156" w:type="dxa"/>
            <w:vAlign w:val="top"/>
          </w:tcPr>
          <w:p>
            <w:pPr>
              <w:pStyle w:val="TableText"/>
              <w:ind w:left="293"/>
              <w:spacing w:before="138" w:line="172" w:lineRule="auto"/>
              <w:rPr>
                <w:sz w:val="14"/>
                <w:szCs w:val="14"/>
              </w:rPr>
            </w:pPr>
            <w:r>
              <w:rPr>
                <w:sz w:val="14"/>
                <w:szCs w:val="14"/>
                <w:color w:val="212529"/>
              </w:rPr>
              <w:t>3855.</w:t>
            </w:r>
            <w:r>
              <w:rPr>
                <w:sz w:val="14"/>
                <w:szCs w:val="14"/>
                <w:color w:val="212529"/>
                <w:spacing w:val="8"/>
              </w:rPr>
              <w:t xml:space="preserve"> </w:t>
            </w:r>
            <w:r>
              <w:rPr>
                <w:sz w:val="14"/>
                <w:szCs w:val="14"/>
                <w:color w:val="212529"/>
              </w:rPr>
              <w:t>59</w:t>
            </w:r>
          </w:p>
        </w:tc>
        <w:tc>
          <w:tcPr>
            <w:tcW w:w="864" w:type="dxa"/>
            <w:vAlign w:val="top"/>
          </w:tcPr>
          <w:p>
            <w:pPr>
              <w:pStyle w:val="TableText"/>
              <w:rPr/>
            </w:pPr>
            <w:r/>
          </w:p>
        </w:tc>
        <w:tc>
          <w:tcPr>
            <w:tcW w:w="1085" w:type="dxa"/>
            <w:vAlign w:val="top"/>
          </w:tcPr>
          <w:p>
            <w:pPr>
              <w:pStyle w:val="TableText"/>
              <w:rPr/>
            </w:pPr>
            <w:r/>
          </w:p>
        </w:tc>
      </w:tr>
    </w:tbl>
    <w:p>
      <w:pPr>
        <w:rPr>
          <w:rFonts w:ascii="Arial"/>
          <w:sz w:val="21"/>
        </w:rPr>
      </w:pPr>
      <w:r/>
    </w:p>
    <w:p>
      <w:pPr>
        <w:sectPr>
          <w:footerReference w:type="default" r:id="rId11"/>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863"/>
        <w:gridCol w:w="1134"/>
        <w:gridCol w:w="1922"/>
        <w:gridCol w:w="1134"/>
        <w:gridCol w:w="1156"/>
        <w:gridCol w:w="864"/>
        <w:gridCol w:w="1085"/>
      </w:tblGrid>
      <w:tr>
        <w:trPr>
          <w:trHeight w:val="383" w:hRule="atLeast"/>
        </w:trPr>
        <w:tc>
          <w:tcPr>
            <w:tcW w:w="1863" w:type="dxa"/>
            <w:vAlign w:val="top"/>
          </w:tcPr>
          <w:p>
            <w:pPr>
              <w:ind w:left="7"/>
              <w:spacing w:before="113" w:line="229" w:lineRule="auto"/>
              <w:rPr>
                <w:rFonts w:ascii="SimSun" w:hAnsi="SimSun" w:eastAsia="SimSun" w:cs="SimSun"/>
                <w:sz w:val="15"/>
                <w:szCs w:val="15"/>
              </w:rPr>
            </w:pPr>
            <w:bookmarkStart w:name="bookmark39" w:id="17"/>
            <w:bookmarkEnd w:id="17"/>
            <w:r>
              <w:rPr>
                <w:rFonts w:ascii="SimSun" w:hAnsi="SimSun" w:eastAsia="SimSun" w:cs="SimSun"/>
                <w:sz w:val="15"/>
                <w:szCs w:val="15"/>
                <w:color w:val="212529"/>
                <w:spacing w:val="10"/>
              </w:rPr>
              <w:t>上年财政拨款结转</w:t>
            </w:r>
          </w:p>
        </w:tc>
        <w:tc>
          <w:tcPr>
            <w:tcW w:w="1134" w:type="dxa"/>
            <w:vAlign w:val="top"/>
          </w:tcPr>
          <w:p>
            <w:pPr>
              <w:pStyle w:val="TableText"/>
              <w:rPr/>
            </w:pPr>
            <w:r/>
          </w:p>
        </w:tc>
        <w:tc>
          <w:tcPr>
            <w:tcW w:w="1922" w:type="dxa"/>
            <w:vAlign w:val="top"/>
          </w:tcPr>
          <w:p>
            <w:pPr>
              <w:spacing w:before="113" w:line="229" w:lineRule="auto"/>
              <w:rPr>
                <w:rFonts w:ascii="SimSun" w:hAnsi="SimSun" w:eastAsia="SimSun" w:cs="SimSun"/>
                <w:sz w:val="15"/>
                <w:szCs w:val="15"/>
              </w:rPr>
            </w:pPr>
            <w:r>
              <w:rPr>
                <w:rFonts w:ascii="SimSun" w:hAnsi="SimSun" w:eastAsia="SimSun" w:cs="SimSun"/>
                <w:sz w:val="15"/>
                <w:szCs w:val="15"/>
                <w:color w:val="212529"/>
                <w:spacing w:val="9"/>
              </w:rPr>
              <w:t>年终结转</w:t>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7" w:hRule="atLeast"/>
        </w:trPr>
        <w:tc>
          <w:tcPr>
            <w:tcW w:w="1863" w:type="dxa"/>
            <w:vAlign w:val="top"/>
          </w:tcPr>
          <w:p>
            <w:pPr>
              <w:ind w:left="8"/>
              <w:spacing w:before="110" w:line="229" w:lineRule="auto"/>
              <w:rPr>
                <w:rFonts w:ascii="SimSun" w:hAnsi="SimSun" w:eastAsia="SimSun" w:cs="SimSun"/>
                <w:sz w:val="15"/>
                <w:szCs w:val="15"/>
              </w:rPr>
            </w:pPr>
            <w:r>
              <w:rPr>
                <w:rFonts w:ascii="SimSun" w:hAnsi="SimSun" w:eastAsia="SimSun" w:cs="SimSun"/>
                <w:sz w:val="15"/>
                <w:szCs w:val="15"/>
                <w:color w:val="212529"/>
                <w:spacing w:val="10"/>
              </w:rPr>
              <w:t>一、一般公共预算</w:t>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7" w:hRule="atLeast"/>
        </w:trPr>
        <w:tc>
          <w:tcPr>
            <w:tcW w:w="1863" w:type="dxa"/>
            <w:vAlign w:val="top"/>
          </w:tcPr>
          <w:p>
            <w:pPr>
              <w:ind w:left="9"/>
              <w:spacing w:before="112" w:line="228" w:lineRule="auto"/>
              <w:rPr>
                <w:rFonts w:ascii="SimSun" w:hAnsi="SimSun" w:eastAsia="SimSun" w:cs="SimSun"/>
                <w:sz w:val="15"/>
                <w:szCs w:val="15"/>
              </w:rPr>
            </w:pPr>
            <w:r>
              <w:rPr>
                <w:rFonts w:ascii="SimSun" w:hAnsi="SimSun" w:eastAsia="SimSun" w:cs="SimSun"/>
                <w:sz w:val="15"/>
                <w:szCs w:val="15"/>
                <w:color w:val="212529"/>
                <w:spacing w:val="10"/>
              </w:rPr>
              <w:t>二、政府性基金预算</w:t>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ind w:left="6"/>
              <w:spacing w:before="114" w:line="228" w:lineRule="auto"/>
              <w:rPr>
                <w:rFonts w:ascii="SimSun" w:hAnsi="SimSun" w:eastAsia="SimSun" w:cs="SimSun"/>
                <w:sz w:val="15"/>
                <w:szCs w:val="15"/>
              </w:rPr>
            </w:pPr>
            <w:r>
              <w:rPr>
                <w:rFonts w:ascii="SimSun" w:hAnsi="SimSun" w:eastAsia="SimSun" w:cs="SimSun"/>
                <w:sz w:val="15"/>
                <w:szCs w:val="15"/>
                <w:color w:val="212529"/>
                <w:spacing w:val="8"/>
              </w:rPr>
              <w:t>三、</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8"/>
              </w:rPr>
              <w:t>国有资本经营预算</w:t>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78" w:hRule="atLeast"/>
        </w:trPr>
        <w:tc>
          <w:tcPr>
            <w:tcW w:w="1863" w:type="dxa"/>
            <w:vAlign w:val="top"/>
          </w:tcPr>
          <w:p>
            <w:pPr>
              <w:pStyle w:val="TableText"/>
              <w:rPr/>
            </w:pPr>
            <w:r/>
          </w:p>
        </w:tc>
        <w:tc>
          <w:tcPr>
            <w:tcW w:w="1134" w:type="dxa"/>
            <w:vAlign w:val="top"/>
          </w:tcPr>
          <w:p>
            <w:pPr>
              <w:pStyle w:val="TableText"/>
              <w:rPr/>
            </w:pPr>
            <w:r/>
          </w:p>
        </w:tc>
        <w:tc>
          <w:tcPr>
            <w:tcW w:w="1922" w:type="dxa"/>
            <w:vAlign w:val="top"/>
          </w:tcPr>
          <w:p>
            <w:pPr>
              <w:pStyle w:val="TableText"/>
              <w:rPr/>
            </w:pPr>
            <w:r/>
          </w:p>
        </w:tc>
        <w:tc>
          <w:tcPr>
            <w:tcW w:w="1134" w:type="dxa"/>
            <w:vAlign w:val="top"/>
          </w:tcPr>
          <w:p>
            <w:pPr>
              <w:pStyle w:val="TableText"/>
              <w:rPr/>
            </w:pPr>
            <w:r/>
          </w:p>
        </w:tc>
        <w:tc>
          <w:tcPr>
            <w:tcW w:w="1156" w:type="dxa"/>
            <w:vAlign w:val="top"/>
          </w:tcPr>
          <w:p>
            <w:pPr>
              <w:pStyle w:val="TableText"/>
              <w:rPr/>
            </w:pPr>
            <w:r/>
          </w:p>
        </w:tc>
        <w:tc>
          <w:tcPr>
            <w:tcW w:w="864" w:type="dxa"/>
            <w:vAlign w:val="top"/>
          </w:tcPr>
          <w:p>
            <w:pPr>
              <w:pStyle w:val="TableText"/>
              <w:rPr/>
            </w:pPr>
            <w:r/>
          </w:p>
        </w:tc>
        <w:tc>
          <w:tcPr>
            <w:tcW w:w="1085" w:type="dxa"/>
            <w:vAlign w:val="top"/>
          </w:tcPr>
          <w:p>
            <w:pPr>
              <w:pStyle w:val="TableText"/>
              <w:rPr/>
            </w:pPr>
            <w:r/>
          </w:p>
        </w:tc>
      </w:tr>
      <w:tr>
        <w:trPr>
          <w:trHeight w:val="383" w:hRule="atLeast"/>
        </w:trPr>
        <w:tc>
          <w:tcPr>
            <w:tcW w:w="1863" w:type="dxa"/>
            <w:vAlign w:val="top"/>
          </w:tcPr>
          <w:p>
            <w:pPr>
              <w:ind w:left="597"/>
              <w:spacing w:before="11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收入总计</w:t>
            </w:r>
          </w:p>
        </w:tc>
        <w:tc>
          <w:tcPr>
            <w:tcW w:w="1134" w:type="dxa"/>
            <w:vAlign w:val="top"/>
          </w:tcPr>
          <w:p>
            <w:pPr>
              <w:pStyle w:val="TableText"/>
              <w:ind w:left="269"/>
              <w:spacing w:before="136" w:line="172" w:lineRule="auto"/>
              <w:rPr>
                <w:sz w:val="14"/>
                <w:szCs w:val="14"/>
              </w:rPr>
            </w:pPr>
            <w:r>
              <w:rPr>
                <w:sz w:val="14"/>
                <w:szCs w:val="14"/>
                <w:color w:val="212529"/>
              </w:rPr>
              <w:t>3855.</w:t>
            </w:r>
            <w:r>
              <w:rPr>
                <w:sz w:val="14"/>
                <w:szCs w:val="14"/>
                <w:color w:val="212529"/>
                <w:spacing w:val="8"/>
              </w:rPr>
              <w:t xml:space="preserve"> </w:t>
            </w:r>
            <w:r>
              <w:rPr>
                <w:sz w:val="14"/>
                <w:szCs w:val="14"/>
                <w:color w:val="212529"/>
              </w:rPr>
              <w:t>59</w:t>
            </w:r>
          </w:p>
        </w:tc>
        <w:tc>
          <w:tcPr>
            <w:tcW w:w="1922" w:type="dxa"/>
            <w:vAlign w:val="top"/>
          </w:tcPr>
          <w:p>
            <w:pPr>
              <w:ind w:left="624"/>
              <w:spacing w:before="114"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支出总计</w:t>
            </w:r>
          </w:p>
        </w:tc>
        <w:tc>
          <w:tcPr>
            <w:tcW w:w="1134" w:type="dxa"/>
            <w:vAlign w:val="top"/>
          </w:tcPr>
          <w:p>
            <w:pPr>
              <w:pStyle w:val="TableText"/>
              <w:ind w:left="280"/>
              <w:spacing w:before="136" w:line="172" w:lineRule="auto"/>
              <w:rPr>
                <w:sz w:val="14"/>
                <w:szCs w:val="14"/>
              </w:rPr>
            </w:pPr>
            <w:r>
              <w:rPr>
                <w:sz w:val="14"/>
                <w:szCs w:val="14"/>
                <w:color w:val="212529"/>
              </w:rPr>
              <w:t>3855.</w:t>
            </w:r>
            <w:r>
              <w:rPr>
                <w:sz w:val="14"/>
                <w:szCs w:val="14"/>
                <w:color w:val="212529"/>
                <w:spacing w:val="8"/>
              </w:rPr>
              <w:t xml:space="preserve"> </w:t>
            </w:r>
            <w:r>
              <w:rPr>
                <w:sz w:val="14"/>
                <w:szCs w:val="14"/>
                <w:color w:val="212529"/>
              </w:rPr>
              <w:t>59</w:t>
            </w:r>
          </w:p>
        </w:tc>
        <w:tc>
          <w:tcPr>
            <w:tcW w:w="1156" w:type="dxa"/>
            <w:vAlign w:val="top"/>
          </w:tcPr>
          <w:p>
            <w:pPr>
              <w:pStyle w:val="TableText"/>
              <w:ind w:left="293"/>
              <w:spacing w:before="136" w:line="172" w:lineRule="auto"/>
              <w:rPr>
                <w:sz w:val="14"/>
                <w:szCs w:val="14"/>
              </w:rPr>
            </w:pPr>
            <w:r>
              <w:rPr>
                <w:sz w:val="14"/>
                <w:szCs w:val="14"/>
                <w:color w:val="212529"/>
              </w:rPr>
              <w:t>3855.</w:t>
            </w:r>
            <w:r>
              <w:rPr>
                <w:sz w:val="14"/>
                <w:szCs w:val="14"/>
                <w:color w:val="212529"/>
                <w:spacing w:val="8"/>
              </w:rPr>
              <w:t xml:space="preserve"> </w:t>
            </w:r>
            <w:r>
              <w:rPr>
                <w:sz w:val="14"/>
                <w:szCs w:val="14"/>
                <w:color w:val="212529"/>
              </w:rPr>
              <w:t>59</w:t>
            </w:r>
          </w:p>
        </w:tc>
        <w:tc>
          <w:tcPr>
            <w:tcW w:w="864" w:type="dxa"/>
            <w:vAlign w:val="top"/>
          </w:tcPr>
          <w:p>
            <w:pPr>
              <w:pStyle w:val="TableText"/>
              <w:rPr/>
            </w:pPr>
            <w:r/>
          </w:p>
        </w:tc>
        <w:tc>
          <w:tcPr>
            <w:tcW w:w="1085" w:type="dxa"/>
            <w:vAlign w:val="top"/>
          </w:tcPr>
          <w:p>
            <w:pPr>
              <w:pStyle w:val="TableText"/>
              <w:rPr/>
            </w:pPr>
            <w:r/>
          </w:p>
        </w:tc>
      </w:tr>
    </w:tbl>
    <w:p>
      <w:pPr>
        <w:rPr>
          <w:rFonts w:ascii="Arial"/>
          <w:sz w:val="21"/>
        </w:rPr>
      </w:pPr>
      <w:r/>
    </w:p>
    <w:p>
      <w:pPr>
        <w:sectPr>
          <w:footerReference w:type="default" r:id="rId12"/>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636"/>
        <w:gridCol w:w="3045"/>
        <w:gridCol w:w="1588"/>
        <w:gridCol w:w="1382"/>
        <w:gridCol w:w="1507"/>
      </w:tblGrid>
      <w:tr>
        <w:trPr>
          <w:trHeight w:val="298" w:hRule="atLeast"/>
        </w:trPr>
        <w:tc>
          <w:tcPr>
            <w:tcW w:w="9158" w:type="dxa"/>
            <w:vAlign w:val="top"/>
            <w:gridSpan w:val="5"/>
            <w:tcBorders>
              <w:bottom w:val="single" w:color="FFFFFF" w:sz="4" w:space="0"/>
              <w:top w:val="single" w:color="FFFFFF" w:sz="4" w:space="0"/>
              <w:left w:val="single" w:color="FFFFFF" w:sz="2" w:space="0"/>
              <w:right w:val="single" w:color="FFFFFF" w:sz="2" w:space="0"/>
            </w:tcBorders>
          </w:tcPr>
          <w:p>
            <w:pPr>
              <w:ind w:left="8419"/>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预算公开表5</w:t>
            </w:r>
          </w:p>
        </w:tc>
      </w:tr>
      <w:tr>
        <w:trPr>
          <w:trHeight w:val="292"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354"/>
              <w:spacing w:before="34" w:line="200" w:lineRule="exact"/>
              <w:outlineLvl w:val="1"/>
              <w:rPr>
                <w:rFonts w:ascii="Microsoft YaHei" w:hAnsi="Microsoft YaHei" w:eastAsia="Microsoft YaHei" w:cs="Microsoft YaHei"/>
                <w:sz w:val="20"/>
                <w:szCs w:val="20"/>
              </w:rPr>
            </w:pPr>
            <w:bookmarkStart w:name="bookmark40" w:id="18"/>
            <w:bookmarkEnd w:id="18"/>
            <w:bookmarkStart w:name="bookmark9" w:id="19"/>
            <w:bookmarkEnd w:id="19"/>
            <w:r>
              <w:rPr>
                <w:rFonts w:ascii="Microsoft YaHei" w:hAnsi="Microsoft YaHei" w:eastAsia="Microsoft YaHei" w:cs="Microsoft YaHei"/>
                <w:sz w:val="20"/>
                <w:szCs w:val="20"/>
                <w:color w:val="212529"/>
                <w:position w:val="-1"/>
              </w:rPr>
              <w:t>2025年一般公共预算支出预算表</w:t>
            </w:r>
            <w:r>
              <w:rPr>
                <w:rFonts w:ascii="Microsoft YaHei" w:hAnsi="Microsoft YaHei" w:eastAsia="Microsoft YaHei" w:cs="Microsoft YaHei"/>
                <w:sz w:val="20"/>
                <w:szCs w:val="20"/>
                <w:color w:val="212529"/>
                <w:spacing w:val="58"/>
                <w:position w:val="-1"/>
              </w:rPr>
              <w:t xml:space="preserve"> </w:t>
            </w:r>
            <w:r>
              <w:rPr>
                <w:rFonts w:ascii="Microsoft YaHei" w:hAnsi="Microsoft YaHei" w:eastAsia="Microsoft YaHei" w:cs="Microsoft YaHei"/>
                <w:sz w:val="20"/>
                <w:szCs w:val="20"/>
                <w:color w:val="212529"/>
                <w:position w:val="-1"/>
              </w:rPr>
              <w:t>(不含上年结转)</w:t>
            </w:r>
          </w:p>
        </w:tc>
      </w:tr>
      <w:tr>
        <w:trPr>
          <w:trHeight w:val="292" w:hRule="atLeast"/>
        </w:trPr>
        <w:tc>
          <w:tcPr>
            <w:tcW w:w="7651" w:type="dxa"/>
            <w:vAlign w:val="top"/>
            <w:gridSpan w:val="4"/>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507" w:type="dxa"/>
            <w:vAlign w:val="top"/>
            <w:tcBorders>
              <w:top w:val="single" w:color="FFFFFF" w:sz="4" w:space="0"/>
              <w:left w:val="single" w:color="FFFFFF" w:sz="2" w:space="0"/>
              <w:right w:val="single" w:color="FFFFFF" w:sz="2" w:space="0"/>
            </w:tcBorders>
          </w:tcPr>
          <w:p>
            <w:pPr>
              <w:ind w:left="834"/>
              <w:spacing w:before="79"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4681" w:type="dxa"/>
            <w:vAlign w:val="top"/>
            <w:gridSpan w:val="2"/>
          </w:tcPr>
          <w:p>
            <w:pPr>
              <w:ind w:left="2169"/>
              <w:spacing w:before="67"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4477" w:type="dxa"/>
            <w:vAlign w:val="top"/>
            <w:gridSpan w:val="3"/>
          </w:tcPr>
          <w:p>
            <w:pPr>
              <w:ind w:left="1747"/>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1636" w:type="dxa"/>
            <w:vAlign w:val="top"/>
          </w:tcPr>
          <w:p>
            <w:pPr>
              <w:ind w:left="479"/>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045" w:type="dxa"/>
            <w:vAlign w:val="top"/>
          </w:tcPr>
          <w:p>
            <w:pPr>
              <w:ind w:left="1187"/>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588" w:type="dxa"/>
            <w:vAlign w:val="top"/>
          </w:tcPr>
          <w:p>
            <w:pPr>
              <w:ind w:left="626"/>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82" w:type="dxa"/>
            <w:vAlign w:val="top"/>
          </w:tcPr>
          <w:p>
            <w:pPr>
              <w:ind w:left="355"/>
              <w:spacing w:before="64" w:line="157" w:lineRule="exact"/>
              <w:outlineLvl w:val="1"/>
              <w:rPr>
                <w:rFonts w:ascii="Microsoft YaHei" w:hAnsi="Microsoft YaHei" w:eastAsia="Microsoft YaHei" w:cs="Microsoft YaHei"/>
                <w:sz w:val="15"/>
                <w:szCs w:val="15"/>
              </w:rPr>
            </w:pPr>
            <w:bookmarkStart w:name="bookmark10" w:id="20"/>
            <w:bookmarkEnd w:id="20"/>
            <w:r>
              <w:rPr>
                <w:rFonts w:ascii="Microsoft YaHei" w:hAnsi="Microsoft YaHei" w:eastAsia="Microsoft YaHei" w:cs="Microsoft YaHei"/>
                <w:sz w:val="15"/>
                <w:szCs w:val="15"/>
                <w:color w:val="212529"/>
                <w:spacing w:val="8"/>
                <w:position w:val="-1"/>
              </w:rPr>
              <w:t>基本支出</w:t>
            </w:r>
          </w:p>
        </w:tc>
        <w:tc>
          <w:tcPr>
            <w:tcW w:w="1507" w:type="dxa"/>
            <w:vAlign w:val="top"/>
          </w:tcPr>
          <w:p>
            <w:pPr>
              <w:ind w:left="418"/>
              <w:spacing w:before="6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292" w:hRule="atLeast"/>
        </w:trPr>
        <w:tc>
          <w:tcPr>
            <w:tcW w:w="4681" w:type="dxa"/>
            <w:vAlign w:val="top"/>
            <w:gridSpan w:val="2"/>
          </w:tcPr>
          <w:p>
            <w:pPr>
              <w:ind w:left="2171"/>
              <w:spacing w:before="66" w:line="155"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588" w:type="dxa"/>
            <w:vAlign w:val="top"/>
          </w:tcPr>
          <w:p>
            <w:pPr>
              <w:pStyle w:val="TableText"/>
              <w:ind w:left="1000"/>
              <w:spacing w:before="87" w:line="172" w:lineRule="auto"/>
              <w:rPr>
                <w:sz w:val="14"/>
                <w:szCs w:val="14"/>
              </w:rPr>
            </w:pPr>
            <w:r>
              <w:rPr>
                <w:sz w:val="14"/>
                <w:szCs w:val="14"/>
                <w:color w:val="212529"/>
              </w:rPr>
              <w:t>3855.</w:t>
            </w:r>
            <w:r>
              <w:rPr>
                <w:sz w:val="14"/>
                <w:szCs w:val="14"/>
                <w:color w:val="212529"/>
                <w:spacing w:val="8"/>
              </w:rPr>
              <w:t xml:space="preserve"> </w:t>
            </w:r>
            <w:r>
              <w:rPr>
                <w:sz w:val="14"/>
                <w:szCs w:val="14"/>
                <w:color w:val="212529"/>
              </w:rPr>
              <w:t>59</w:t>
            </w:r>
          </w:p>
        </w:tc>
        <w:tc>
          <w:tcPr>
            <w:tcW w:w="1382" w:type="dxa"/>
            <w:vAlign w:val="top"/>
          </w:tcPr>
          <w:p>
            <w:pPr>
              <w:pStyle w:val="TableText"/>
              <w:ind w:left="884"/>
              <w:spacing w:before="87" w:line="186" w:lineRule="auto"/>
              <w:rPr>
                <w:sz w:val="13"/>
                <w:szCs w:val="13"/>
              </w:rPr>
            </w:pPr>
            <w:r>
              <w:rPr>
                <w:sz w:val="13"/>
                <w:szCs w:val="13"/>
                <w:color w:val="212529"/>
                <w:spacing w:val="4"/>
              </w:rPr>
              <w:t>105.</w:t>
            </w:r>
            <w:r>
              <w:rPr>
                <w:sz w:val="13"/>
                <w:szCs w:val="13"/>
                <w:color w:val="212529"/>
                <w:spacing w:val="4"/>
              </w:rPr>
              <w:t xml:space="preserve"> </w:t>
            </w:r>
            <w:r>
              <w:rPr>
                <w:sz w:val="13"/>
                <w:szCs w:val="13"/>
                <w:color w:val="212529"/>
                <w:spacing w:val="4"/>
              </w:rPr>
              <w:t>45</w:t>
            </w:r>
          </w:p>
        </w:tc>
        <w:tc>
          <w:tcPr>
            <w:tcW w:w="1507" w:type="dxa"/>
            <w:vAlign w:val="top"/>
          </w:tcPr>
          <w:p>
            <w:pPr>
              <w:pStyle w:val="TableText"/>
              <w:ind w:left="916"/>
              <w:spacing w:before="87" w:line="173" w:lineRule="auto"/>
              <w:rPr>
                <w:sz w:val="14"/>
                <w:szCs w:val="14"/>
              </w:rPr>
            </w:pPr>
            <w:r>
              <w:rPr>
                <w:sz w:val="14"/>
                <w:szCs w:val="14"/>
                <w:color w:val="212529"/>
              </w:rPr>
              <w:t>3750.</w:t>
            </w:r>
            <w:r>
              <w:rPr>
                <w:sz w:val="14"/>
                <w:szCs w:val="14"/>
                <w:color w:val="212529"/>
                <w:spacing w:val="11"/>
                <w:w w:val="101"/>
              </w:rPr>
              <w:t xml:space="preserve"> </w:t>
            </w:r>
            <w:r>
              <w:rPr>
                <w:sz w:val="14"/>
                <w:szCs w:val="14"/>
                <w:color w:val="212529"/>
              </w:rPr>
              <w:t>14</w:t>
            </w:r>
          </w:p>
        </w:tc>
      </w:tr>
      <w:tr>
        <w:trPr>
          <w:trHeight w:val="292" w:hRule="atLeast"/>
        </w:trPr>
        <w:tc>
          <w:tcPr>
            <w:tcW w:w="1636" w:type="dxa"/>
            <w:vAlign w:val="top"/>
          </w:tcPr>
          <w:p>
            <w:pPr>
              <w:ind w:left="8"/>
              <w:spacing w:before="69" w:line="202" w:lineRule="exact"/>
              <w:rPr>
                <w:rFonts w:ascii="SimSun" w:hAnsi="SimSun" w:eastAsia="SimSun" w:cs="SimSun"/>
                <w:sz w:val="15"/>
                <w:szCs w:val="15"/>
              </w:rPr>
            </w:pPr>
            <w:r>
              <w:rPr>
                <w:rFonts w:ascii="SimSun" w:hAnsi="SimSun" w:eastAsia="SimSun" w:cs="SimSun"/>
                <w:sz w:val="15"/>
                <w:szCs w:val="15"/>
                <w:color w:val="212529"/>
                <w:spacing w:val="2"/>
                <w:position w:val="1"/>
              </w:rPr>
              <w:t>208</w:t>
            </w:r>
          </w:p>
        </w:tc>
        <w:tc>
          <w:tcPr>
            <w:tcW w:w="3045" w:type="dxa"/>
            <w:vAlign w:val="top"/>
          </w:tcPr>
          <w:p>
            <w:pPr>
              <w:ind w:left="6"/>
              <w:spacing w:before="69" w:line="228" w:lineRule="auto"/>
              <w:rPr>
                <w:rFonts w:ascii="SimSun" w:hAnsi="SimSun" w:eastAsia="SimSun" w:cs="SimSun"/>
                <w:sz w:val="15"/>
                <w:szCs w:val="15"/>
              </w:rPr>
            </w:pPr>
            <w:r>
              <w:rPr>
                <w:rFonts w:ascii="SimSun" w:hAnsi="SimSun" w:eastAsia="SimSun" w:cs="SimSun"/>
                <w:sz w:val="15"/>
                <w:szCs w:val="15"/>
                <w:color w:val="212529"/>
                <w:spacing w:val="10"/>
              </w:rPr>
              <w:t>社会保障和就业支出</w:t>
            </w:r>
          </w:p>
        </w:tc>
        <w:tc>
          <w:tcPr>
            <w:tcW w:w="1588"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12.11</w:t>
            </w:r>
          </w:p>
        </w:tc>
        <w:tc>
          <w:tcPr>
            <w:tcW w:w="1382" w:type="dxa"/>
            <w:vAlign w:val="top"/>
          </w:tcPr>
          <w:p>
            <w:pPr>
              <w:ind w:right="20"/>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12.11</w:t>
            </w:r>
          </w:p>
        </w:tc>
        <w:tc>
          <w:tcPr>
            <w:tcW w:w="1507" w:type="dxa"/>
            <w:vAlign w:val="top"/>
          </w:tcPr>
          <w:p>
            <w:pPr>
              <w:pStyle w:val="TableText"/>
              <w:rPr/>
            </w:pPr>
            <w:r/>
          </w:p>
        </w:tc>
      </w:tr>
      <w:tr>
        <w:trPr>
          <w:trHeight w:val="292" w:hRule="atLeast"/>
        </w:trPr>
        <w:tc>
          <w:tcPr>
            <w:tcW w:w="1636" w:type="dxa"/>
            <w:vAlign w:val="top"/>
          </w:tcPr>
          <w:p>
            <w:pPr>
              <w:ind w:left="8"/>
              <w:spacing w:before="69" w:line="203" w:lineRule="exact"/>
              <w:rPr>
                <w:rFonts w:ascii="SimSun" w:hAnsi="SimSun" w:eastAsia="SimSun" w:cs="SimSun"/>
                <w:sz w:val="15"/>
                <w:szCs w:val="15"/>
              </w:rPr>
            </w:pPr>
            <w:r>
              <w:rPr>
                <w:rFonts w:ascii="SimSun" w:hAnsi="SimSun" w:eastAsia="SimSun" w:cs="SimSun"/>
                <w:sz w:val="15"/>
                <w:szCs w:val="15"/>
                <w:color w:val="212529"/>
                <w:spacing w:val="4"/>
                <w:position w:val="1"/>
              </w:rPr>
              <w:t>20805</w:t>
            </w:r>
          </w:p>
        </w:tc>
        <w:tc>
          <w:tcPr>
            <w:tcW w:w="3045" w:type="dxa"/>
            <w:vAlign w:val="top"/>
          </w:tcPr>
          <w:p>
            <w:pPr>
              <w:ind w:left="4"/>
              <w:spacing w:before="69" w:line="229" w:lineRule="auto"/>
              <w:rPr>
                <w:rFonts w:ascii="SimSun" w:hAnsi="SimSun" w:eastAsia="SimSun" w:cs="SimSun"/>
                <w:sz w:val="15"/>
                <w:szCs w:val="15"/>
              </w:rPr>
            </w:pPr>
            <w:r>
              <w:rPr>
                <w:rFonts w:ascii="SimSun" w:hAnsi="SimSun" w:eastAsia="SimSun" w:cs="SimSun"/>
                <w:sz w:val="15"/>
                <w:szCs w:val="15"/>
                <w:color w:val="212529"/>
                <w:spacing w:val="11"/>
              </w:rPr>
              <w:t>行政事业单位养老支出</w:t>
            </w:r>
          </w:p>
        </w:tc>
        <w:tc>
          <w:tcPr>
            <w:tcW w:w="1588"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12.11</w:t>
            </w:r>
          </w:p>
        </w:tc>
        <w:tc>
          <w:tcPr>
            <w:tcW w:w="1382" w:type="dxa"/>
            <w:vAlign w:val="top"/>
          </w:tcPr>
          <w:p>
            <w:pPr>
              <w:ind w:right="20"/>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12.11</w:t>
            </w:r>
          </w:p>
        </w:tc>
        <w:tc>
          <w:tcPr>
            <w:tcW w:w="1507" w:type="dxa"/>
            <w:vAlign w:val="top"/>
          </w:tcPr>
          <w:p>
            <w:pPr>
              <w:pStyle w:val="TableText"/>
              <w:rPr/>
            </w:pPr>
            <w:r/>
          </w:p>
        </w:tc>
      </w:tr>
      <w:tr>
        <w:trPr>
          <w:trHeight w:val="292" w:hRule="atLeast"/>
        </w:trPr>
        <w:tc>
          <w:tcPr>
            <w:tcW w:w="1636" w:type="dxa"/>
            <w:vAlign w:val="top"/>
          </w:tcPr>
          <w:p>
            <w:pPr>
              <w:ind w:left="8"/>
              <w:spacing w:before="70" w:line="202" w:lineRule="exact"/>
              <w:rPr>
                <w:rFonts w:ascii="SimSun" w:hAnsi="SimSun" w:eastAsia="SimSun" w:cs="SimSun"/>
                <w:sz w:val="15"/>
                <w:szCs w:val="15"/>
              </w:rPr>
            </w:pPr>
            <w:r>
              <w:rPr>
                <w:rFonts w:ascii="SimSun" w:hAnsi="SimSun" w:eastAsia="SimSun" w:cs="SimSun"/>
                <w:sz w:val="15"/>
                <w:szCs w:val="15"/>
                <w:color w:val="212529"/>
                <w:spacing w:val="4"/>
                <w:position w:val="1"/>
              </w:rPr>
              <w:t>2080505</w:t>
            </w:r>
          </w:p>
        </w:tc>
        <w:tc>
          <w:tcPr>
            <w:tcW w:w="3045" w:type="dxa"/>
            <w:vAlign w:val="top"/>
          </w:tcPr>
          <w:p>
            <w:pPr>
              <w:ind w:left="4"/>
              <w:spacing w:before="70"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机关事业单位基本养老保险缴费支出</w:t>
            </w:r>
          </w:p>
        </w:tc>
        <w:tc>
          <w:tcPr>
            <w:tcW w:w="1588"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9.71</w:t>
            </w:r>
          </w:p>
        </w:tc>
        <w:tc>
          <w:tcPr>
            <w:tcW w:w="1382" w:type="dxa"/>
            <w:vAlign w:val="top"/>
          </w:tcPr>
          <w:p>
            <w:pPr>
              <w:ind w:right="20"/>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9.71</w:t>
            </w:r>
          </w:p>
        </w:tc>
        <w:tc>
          <w:tcPr>
            <w:tcW w:w="1507" w:type="dxa"/>
            <w:vAlign w:val="top"/>
          </w:tcPr>
          <w:p>
            <w:pPr>
              <w:pStyle w:val="TableText"/>
              <w:rPr/>
            </w:pPr>
            <w:r/>
          </w:p>
        </w:tc>
      </w:tr>
      <w:tr>
        <w:trPr>
          <w:trHeight w:val="292" w:hRule="atLeast"/>
        </w:trPr>
        <w:tc>
          <w:tcPr>
            <w:tcW w:w="1636" w:type="dxa"/>
            <w:vAlign w:val="top"/>
          </w:tcPr>
          <w:p>
            <w:pPr>
              <w:ind w:left="8"/>
              <w:spacing w:before="71" w:line="202" w:lineRule="exact"/>
              <w:rPr>
                <w:rFonts w:ascii="SimSun" w:hAnsi="SimSun" w:eastAsia="SimSun" w:cs="SimSun"/>
                <w:sz w:val="15"/>
                <w:szCs w:val="15"/>
              </w:rPr>
            </w:pPr>
            <w:r>
              <w:rPr>
                <w:rFonts w:ascii="SimSun" w:hAnsi="SimSun" w:eastAsia="SimSun" w:cs="SimSun"/>
                <w:sz w:val="15"/>
                <w:szCs w:val="15"/>
                <w:color w:val="212529"/>
                <w:spacing w:val="4"/>
                <w:position w:val="1"/>
              </w:rPr>
              <w:t>2080506</w:t>
            </w:r>
          </w:p>
        </w:tc>
        <w:tc>
          <w:tcPr>
            <w:tcW w:w="3045" w:type="dxa"/>
            <w:vAlign w:val="top"/>
          </w:tcPr>
          <w:p>
            <w:pPr>
              <w:ind w:left="4"/>
              <w:spacing w:before="71" w:line="228" w:lineRule="auto"/>
              <w:rPr>
                <w:rFonts w:ascii="SimSun" w:hAnsi="SimSun" w:eastAsia="SimSun" w:cs="SimSun"/>
                <w:sz w:val="15"/>
                <w:szCs w:val="15"/>
              </w:rPr>
            </w:pPr>
            <w:r>
              <w:rPr>
                <w:rFonts w:ascii="SimSun" w:hAnsi="SimSun" w:eastAsia="SimSun" w:cs="SimSun"/>
                <w:sz w:val="15"/>
                <w:szCs w:val="15"/>
                <w:color w:val="212529"/>
                <w:spacing w:val="11"/>
              </w:rPr>
              <w:t>机关事业单位职业年金缴费支出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2.40</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2.40</w:t>
            </w:r>
          </w:p>
        </w:tc>
        <w:tc>
          <w:tcPr>
            <w:tcW w:w="1507" w:type="dxa"/>
            <w:vAlign w:val="top"/>
          </w:tcPr>
          <w:p>
            <w:pPr>
              <w:pStyle w:val="TableText"/>
              <w:rPr/>
            </w:pPr>
            <w:r/>
          </w:p>
        </w:tc>
      </w:tr>
      <w:tr>
        <w:trPr>
          <w:trHeight w:val="292" w:hRule="atLeast"/>
        </w:trPr>
        <w:tc>
          <w:tcPr>
            <w:tcW w:w="1636" w:type="dxa"/>
            <w:vAlign w:val="top"/>
          </w:tcPr>
          <w:p>
            <w:pPr>
              <w:ind w:left="8"/>
              <w:spacing w:before="71" w:line="203" w:lineRule="exact"/>
              <w:rPr>
                <w:rFonts w:ascii="SimSun" w:hAnsi="SimSun" w:eastAsia="SimSun" w:cs="SimSun"/>
                <w:sz w:val="15"/>
                <w:szCs w:val="15"/>
              </w:rPr>
            </w:pPr>
            <w:r>
              <w:rPr>
                <w:rFonts w:ascii="SimSun" w:hAnsi="SimSun" w:eastAsia="SimSun" w:cs="SimSun"/>
                <w:sz w:val="15"/>
                <w:szCs w:val="15"/>
                <w:color w:val="212529"/>
                <w:spacing w:val="2"/>
                <w:position w:val="1"/>
              </w:rPr>
              <w:t>210</w:t>
            </w:r>
          </w:p>
        </w:tc>
        <w:tc>
          <w:tcPr>
            <w:tcW w:w="3045" w:type="dxa"/>
            <w:vAlign w:val="top"/>
          </w:tcPr>
          <w:p>
            <w:pPr>
              <w:ind w:left="6"/>
              <w:spacing w:before="71" w:line="229" w:lineRule="auto"/>
              <w:rPr>
                <w:rFonts w:ascii="SimSun" w:hAnsi="SimSun" w:eastAsia="SimSun" w:cs="SimSun"/>
                <w:sz w:val="15"/>
                <w:szCs w:val="15"/>
              </w:rPr>
            </w:pPr>
            <w:r>
              <w:rPr>
                <w:rFonts w:ascii="SimSun" w:hAnsi="SimSun" w:eastAsia="SimSun" w:cs="SimSun"/>
                <w:sz w:val="15"/>
                <w:szCs w:val="15"/>
                <w:color w:val="212529"/>
                <w:spacing w:val="10"/>
              </w:rPr>
              <w:t>卫生健康支出</w:t>
            </w:r>
          </w:p>
        </w:tc>
        <w:tc>
          <w:tcPr>
            <w:tcW w:w="1588"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w:t>
            </w:r>
          </w:p>
        </w:tc>
        <w:tc>
          <w:tcPr>
            <w:tcW w:w="1382" w:type="dxa"/>
            <w:vAlign w:val="top"/>
          </w:tcPr>
          <w:p>
            <w:pPr>
              <w:ind w:right="20"/>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w:t>
            </w:r>
          </w:p>
        </w:tc>
        <w:tc>
          <w:tcPr>
            <w:tcW w:w="1507" w:type="dxa"/>
            <w:vAlign w:val="top"/>
          </w:tcPr>
          <w:p>
            <w:pPr>
              <w:pStyle w:val="TableText"/>
              <w:rPr/>
            </w:pPr>
            <w:r/>
          </w:p>
        </w:tc>
      </w:tr>
      <w:tr>
        <w:trPr>
          <w:trHeight w:val="292" w:hRule="atLeast"/>
        </w:trPr>
        <w:tc>
          <w:tcPr>
            <w:tcW w:w="1636" w:type="dxa"/>
            <w:vAlign w:val="top"/>
          </w:tcPr>
          <w:p>
            <w:pPr>
              <w:ind w:left="8"/>
              <w:spacing w:before="72" w:line="203" w:lineRule="exact"/>
              <w:rPr>
                <w:rFonts w:ascii="SimSun" w:hAnsi="SimSun" w:eastAsia="SimSun" w:cs="SimSun"/>
                <w:sz w:val="15"/>
                <w:szCs w:val="15"/>
              </w:rPr>
            </w:pPr>
            <w:r>
              <w:rPr>
                <w:rFonts w:ascii="SimSun" w:hAnsi="SimSun" w:eastAsia="SimSun" w:cs="SimSun"/>
                <w:sz w:val="15"/>
                <w:szCs w:val="15"/>
                <w:color w:val="212529"/>
                <w:spacing w:val="4"/>
                <w:position w:val="1"/>
              </w:rPr>
              <w:t>21011</w:t>
            </w:r>
          </w:p>
        </w:tc>
        <w:tc>
          <w:tcPr>
            <w:tcW w:w="3045" w:type="dxa"/>
            <w:vAlign w:val="top"/>
          </w:tcPr>
          <w:p>
            <w:pPr>
              <w:ind w:left="4"/>
              <w:spacing w:before="72" w:line="230" w:lineRule="auto"/>
              <w:rPr>
                <w:rFonts w:ascii="SimSun" w:hAnsi="SimSun" w:eastAsia="SimSun" w:cs="SimSun"/>
                <w:sz w:val="15"/>
                <w:szCs w:val="15"/>
              </w:rPr>
            </w:pPr>
            <w:r>
              <w:rPr>
                <w:rFonts w:ascii="SimSun" w:hAnsi="SimSun" w:eastAsia="SimSun" w:cs="SimSun"/>
                <w:sz w:val="15"/>
                <w:szCs w:val="15"/>
                <w:color w:val="212529"/>
                <w:spacing w:val="10"/>
              </w:rPr>
              <w:t>行政事业单位医疗</w:t>
            </w:r>
          </w:p>
        </w:tc>
        <w:tc>
          <w:tcPr>
            <w:tcW w:w="1588"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w:t>
            </w:r>
          </w:p>
        </w:tc>
        <w:tc>
          <w:tcPr>
            <w:tcW w:w="1382" w:type="dxa"/>
            <w:vAlign w:val="top"/>
          </w:tcPr>
          <w:p>
            <w:pPr>
              <w:ind w:right="20"/>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4.20</w:t>
            </w:r>
          </w:p>
        </w:tc>
        <w:tc>
          <w:tcPr>
            <w:tcW w:w="1507" w:type="dxa"/>
            <w:vAlign w:val="top"/>
          </w:tcPr>
          <w:p>
            <w:pPr>
              <w:pStyle w:val="TableText"/>
              <w:rPr/>
            </w:pPr>
            <w:r/>
          </w:p>
        </w:tc>
      </w:tr>
      <w:tr>
        <w:trPr>
          <w:trHeight w:val="292" w:hRule="atLeast"/>
        </w:trPr>
        <w:tc>
          <w:tcPr>
            <w:tcW w:w="1636" w:type="dxa"/>
            <w:vAlign w:val="top"/>
          </w:tcPr>
          <w:p>
            <w:pPr>
              <w:ind w:left="8"/>
              <w:spacing w:before="73" w:line="202" w:lineRule="exact"/>
              <w:rPr>
                <w:rFonts w:ascii="SimSun" w:hAnsi="SimSun" w:eastAsia="SimSun" w:cs="SimSun"/>
                <w:sz w:val="15"/>
                <w:szCs w:val="15"/>
              </w:rPr>
            </w:pPr>
            <w:r>
              <w:rPr>
                <w:rFonts w:ascii="SimSun" w:hAnsi="SimSun" w:eastAsia="SimSun" w:cs="SimSun"/>
                <w:sz w:val="15"/>
                <w:szCs w:val="15"/>
                <w:color w:val="212529"/>
                <w:spacing w:val="4"/>
                <w:position w:val="1"/>
              </w:rPr>
              <w:t>2101101</w:t>
            </w:r>
          </w:p>
        </w:tc>
        <w:tc>
          <w:tcPr>
            <w:tcW w:w="3045" w:type="dxa"/>
            <w:vAlign w:val="top"/>
          </w:tcPr>
          <w:p>
            <w:pPr>
              <w:ind w:left="4"/>
              <w:spacing w:before="73" w:line="230" w:lineRule="auto"/>
              <w:rPr>
                <w:rFonts w:ascii="SimSun" w:hAnsi="SimSun" w:eastAsia="SimSun" w:cs="SimSun"/>
                <w:sz w:val="15"/>
                <w:szCs w:val="15"/>
              </w:rPr>
            </w:pPr>
            <w:r>
              <w:rPr>
                <w:rFonts w:ascii="SimSun" w:hAnsi="SimSun" w:eastAsia="SimSun" w:cs="SimSun"/>
                <w:sz w:val="15"/>
                <w:szCs w:val="15"/>
                <w:color w:val="212529"/>
                <w:spacing w:val="10"/>
              </w:rPr>
              <w:t>行政单位医疗</w:t>
            </w:r>
          </w:p>
        </w:tc>
        <w:tc>
          <w:tcPr>
            <w:tcW w:w="1588"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0.48</w:t>
            </w:r>
          </w:p>
        </w:tc>
        <w:tc>
          <w:tcPr>
            <w:tcW w:w="1382" w:type="dxa"/>
            <w:vAlign w:val="top"/>
          </w:tcPr>
          <w:p>
            <w:pPr>
              <w:ind w:right="20"/>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0.48</w:t>
            </w:r>
          </w:p>
        </w:tc>
        <w:tc>
          <w:tcPr>
            <w:tcW w:w="1507" w:type="dxa"/>
            <w:vAlign w:val="top"/>
          </w:tcPr>
          <w:p>
            <w:pPr>
              <w:pStyle w:val="TableText"/>
              <w:rPr/>
            </w:pPr>
            <w:r/>
          </w:p>
        </w:tc>
      </w:tr>
      <w:tr>
        <w:trPr>
          <w:trHeight w:val="292" w:hRule="atLeast"/>
        </w:trPr>
        <w:tc>
          <w:tcPr>
            <w:tcW w:w="1636" w:type="dxa"/>
            <w:vAlign w:val="top"/>
          </w:tcPr>
          <w:p>
            <w:pPr>
              <w:ind w:left="8"/>
              <w:spacing w:before="74" w:line="202" w:lineRule="exact"/>
              <w:rPr>
                <w:rFonts w:ascii="SimSun" w:hAnsi="SimSun" w:eastAsia="SimSun" w:cs="SimSun"/>
                <w:sz w:val="15"/>
                <w:szCs w:val="15"/>
              </w:rPr>
            </w:pPr>
            <w:r>
              <w:rPr>
                <w:rFonts w:ascii="SimSun" w:hAnsi="SimSun" w:eastAsia="SimSun" w:cs="SimSun"/>
                <w:sz w:val="15"/>
                <w:szCs w:val="15"/>
                <w:color w:val="212529"/>
                <w:spacing w:val="4"/>
                <w:position w:val="1"/>
              </w:rPr>
              <w:t>2101102</w:t>
            </w:r>
          </w:p>
        </w:tc>
        <w:tc>
          <w:tcPr>
            <w:tcW w:w="3045" w:type="dxa"/>
            <w:vAlign w:val="top"/>
          </w:tcPr>
          <w:p>
            <w:pPr>
              <w:ind w:left="6"/>
              <w:spacing w:before="73" w:line="230" w:lineRule="auto"/>
              <w:rPr>
                <w:rFonts w:ascii="SimSun" w:hAnsi="SimSun" w:eastAsia="SimSun" w:cs="SimSun"/>
                <w:sz w:val="15"/>
                <w:szCs w:val="15"/>
              </w:rPr>
            </w:pPr>
            <w:r>
              <w:rPr>
                <w:rFonts w:ascii="SimSun" w:hAnsi="SimSun" w:eastAsia="SimSun" w:cs="SimSun"/>
                <w:sz w:val="15"/>
                <w:szCs w:val="15"/>
                <w:color w:val="212529"/>
                <w:spacing w:val="10"/>
              </w:rPr>
              <w:t>事业单位医疗</w:t>
            </w:r>
          </w:p>
        </w:tc>
        <w:tc>
          <w:tcPr>
            <w:tcW w:w="1588" w:type="dxa"/>
            <w:vAlign w:val="top"/>
          </w:tcPr>
          <w:p>
            <w:pPr>
              <w:ind w:right="20"/>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3.50</w:t>
            </w:r>
          </w:p>
        </w:tc>
        <w:tc>
          <w:tcPr>
            <w:tcW w:w="1382" w:type="dxa"/>
            <w:vAlign w:val="top"/>
          </w:tcPr>
          <w:p>
            <w:pPr>
              <w:ind w:right="20"/>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3.50</w:t>
            </w:r>
          </w:p>
        </w:tc>
        <w:tc>
          <w:tcPr>
            <w:tcW w:w="1507" w:type="dxa"/>
            <w:vAlign w:val="top"/>
          </w:tcPr>
          <w:p>
            <w:pPr>
              <w:pStyle w:val="TableText"/>
              <w:rPr/>
            </w:pPr>
            <w:r/>
          </w:p>
        </w:tc>
      </w:tr>
      <w:tr>
        <w:trPr>
          <w:trHeight w:val="292" w:hRule="atLeast"/>
        </w:trPr>
        <w:tc>
          <w:tcPr>
            <w:tcW w:w="1636"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2101103</w:t>
            </w:r>
          </w:p>
        </w:tc>
        <w:tc>
          <w:tcPr>
            <w:tcW w:w="3045" w:type="dxa"/>
            <w:vAlign w:val="top"/>
          </w:tcPr>
          <w:p>
            <w:pPr>
              <w:ind w:left="9"/>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公务员医疗补助</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0.22</w:t>
            </w:r>
          </w:p>
        </w:tc>
        <w:tc>
          <w:tcPr>
            <w:tcW w:w="1382"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0.22</w:t>
            </w:r>
          </w:p>
        </w:tc>
        <w:tc>
          <w:tcPr>
            <w:tcW w:w="1507" w:type="dxa"/>
            <w:vAlign w:val="top"/>
          </w:tcPr>
          <w:p>
            <w:pPr>
              <w:pStyle w:val="TableText"/>
              <w:rPr/>
            </w:pPr>
            <w:r/>
          </w:p>
        </w:tc>
      </w:tr>
      <w:tr>
        <w:trPr>
          <w:trHeight w:val="293" w:hRule="atLeast"/>
        </w:trPr>
        <w:tc>
          <w:tcPr>
            <w:tcW w:w="1636" w:type="dxa"/>
            <w:vAlign w:val="top"/>
          </w:tcPr>
          <w:p>
            <w:pPr>
              <w:ind w:left="8"/>
              <w:spacing w:before="75" w:line="204" w:lineRule="exact"/>
              <w:rPr>
                <w:rFonts w:ascii="SimSun" w:hAnsi="SimSun" w:eastAsia="SimSun" w:cs="SimSun"/>
                <w:sz w:val="15"/>
                <w:szCs w:val="15"/>
              </w:rPr>
            </w:pPr>
            <w:r>
              <w:rPr>
                <w:rFonts w:ascii="SimSun" w:hAnsi="SimSun" w:eastAsia="SimSun" w:cs="SimSun"/>
                <w:sz w:val="15"/>
                <w:szCs w:val="15"/>
                <w:color w:val="212529"/>
                <w:spacing w:val="2"/>
                <w:position w:val="1"/>
              </w:rPr>
              <w:t>212</w:t>
            </w:r>
          </w:p>
        </w:tc>
        <w:tc>
          <w:tcPr>
            <w:tcW w:w="3045" w:type="dxa"/>
            <w:vAlign w:val="top"/>
          </w:tcPr>
          <w:p>
            <w:pPr>
              <w:ind w:left="4"/>
              <w:spacing w:before="75" w:line="229" w:lineRule="auto"/>
              <w:rPr>
                <w:rFonts w:ascii="SimSun" w:hAnsi="SimSun" w:eastAsia="SimSun" w:cs="SimSun"/>
                <w:sz w:val="15"/>
                <w:szCs w:val="15"/>
              </w:rPr>
            </w:pPr>
            <w:r>
              <w:rPr>
                <w:rFonts w:ascii="SimSun" w:hAnsi="SimSun" w:eastAsia="SimSun" w:cs="SimSun"/>
                <w:sz w:val="15"/>
                <w:szCs w:val="15"/>
                <w:color w:val="212529"/>
                <w:spacing w:val="10"/>
              </w:rPr>
              <w:t>城乡社区支出</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3831.27</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81.14</w:t>
            </w:r>
          </w:p>
        </w:tc>
        <w:tc>
          <w:tcPr>
            <w:tcW w:w="1507"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3750.14</w:t>
            </w:r>
          </w:p>
        </w:tc>
      </w:tr>
      <w:tr>
        <w:trPr>
          <w:trHeight w:val="293" w:hRule="atLeast"/>
        </w:trPr>
        <w:tc>
          <w:tcPr>
            <w:tcW w:w="1636"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21203</w:t>
            </w:r>
          </w:p>
        </w:tc>
        <w:tc>
          <w:tcPr>
            <w:tcW w:w="3045" w:type="dxa"/>
            <w:vAlign w:val="top"/>
          </w:tcPr>
          <w:p>
            <w:pPr>
              <w:ind w:left="4"/>
              <w:spacing w:before="75" w:line="229" w:lineRule="auto"/>
              <w:rPr>
                <w:rFonts w:ascii="SimSun" w:hAnsi="SimSun" w:eastAsia="SimSun" w:cs="SimSun"/>
                <w:sz w:val="15"/>
                <w:szCs w:val="15"/>
              </w:rPr>
            </w:pPr>
            <w:r>
              <w:rPr>
                <w:rFonts w:ascii="SimSun" w:hAnsi="SimSun" w:eastAsia="SimSun" w:cs="SimSun"/>
                <w:sz w:val="15"/>
                <w:szCs w:val="15"/>
                <w:color w:val="212529"/>
                <w:spacing w:val="10"/>
              </w:rPr>
              <w:t>城乡社区公共设施</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182.88</w:t>
            </w:r>
          </w:p>
        </w:tc>
        <w:tc>
          <w:tcPr>
            <w:tcW w:w="1382" w:type="dxa"/>
            <w:vAlign w:val="top"/>
          </w:tcPr>
          <w:p>
            <w:pPr>
              <w:pStyle w:val="TableText"/>
              <w:rPr/>
            </w:pPr>
            <w:r/>
          </w:p>
        </w:tc>
        <w:tc>
          <w:tcPr>
            <w:tcW w:w="1507"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182.88</w:t>
            </w:r>
          </w:p>
        </w:tc>
      </w:tr>
      <w:tr>
        <w:trPr>
          <w:trHeight w:val="292" w:hRule="atLeast"/>
        </w:trPr>
        <w:tc>
          <w:tcPr>
            <w:tcW w:w="1636" w:type="dxa"/>
            <w:vAlign w:val="top"/>
          </w:tcPr>
          <w:p>
            <w:pPr>
              <w:ind w:left="8"/>
              <w:spacing w:before="74" w:line="203" w:lineRule="exact"/>
              <w:rPr>
                <w:rFonts w:ascii="SimSun" w:hAnsi="SimSun" w:eastAsia="SimSun" w:cs="SimSun"/>
                <w:sz w:val="15"/>
                <w:szCs w:val="15"/>
              </w:rPr>
            </w:pPr>
            <w:r>
              <w:rPr>
                <w:rFonts w:ascii="SimSun" w:hAnsi="SimSun" w:eastAsia="SimSun" w:cs="SimSun"/>
                <w:sz w:val="15"/>
                <w:szCs w:val="15"/>
                <w:color w:val="212529"/>
                <w:spacing w:val="4"/>
                <w:position w:val="1"/>
              </w:rPr>
              <w:t>2120399</w:t>
            </w:r>
          </w:p>
        </w:tc>
        <w:tc>
          <w:tcPr>
            <w:tcW w:w="3045" w:type="dxa"/>
            <w:vAlign w:val="top"/>
          </w:tcPr>
          <w:p>
            <w:pPr>
              <w:ind w:left="4"/>
              <w:spacing w:before="74" w:line="229" w:lineRule="auto"/>
              <w:rPr>
                <w:rFonts w:ascii="SimSun" w:hAnsi="SimSun" w:eastAsia="SimSun" w:cs="SimSun"/>
                <w:sz w:val="15"/>
                <w:szCs w:val="15"/>
              </w:rPr>
            </w:pPr>
            <w:r>
              <w:rPr>
                <w:rFonts w:ascii="SimSun" w:hAnsi="SimSun" w:eastAsia="SimSun" w:cs="SimSun"/>
                <w:sz w:val="15"/>
                <w:szCs w:val="15"/>
                <w:color w:val="212529"/>
                <w:spacing w:val="11"/>
              </w:rPr>
              <w:t>其他城乡社区公共设施支出</w:t>
            </w:r>
          </w:p>
        </w:tc>
        <w:tc>
          <w:tcPr>
            <w:tcW w:w="1588" w:type="dxa"/>
            <w:vAlign w:val="top"/>
          </w:tcPr>
          <w:p>
            <w:pPr>
              <w:ind w:right="20"/>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182.88</w:t>
            </w:r>
          </w:p>
        </w:tc>
        <w:tc>
          <w:tcPr>
            <w:tcW w:w="1382" w:type="dxa"/>
            <w:vAlign w:val="top"/>
          </w:tcPr>
          <w:p>
            <w:pPr>
              <w:pStyle w:val="TableText"/>
              <w:rPr/>
            </w:pPr>
            <w:r/>
          </w:p>
        </w:tc>
        <w:tc>
          <w:tcPr>
            <w:tcW w:w="1507" w:type="dxa"/>
            <w:vAlign w:val="top"/>
          </w:tcPr>
          <w:p>
            <w:pPr>
              <w:ind w:right="24"/>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182.88</w:t>
            </w:r>
          </w:p>
        </w:tc>
      </w:tr>
      <w:tr>
        <w:trPr>
          <w:trHeight w:val="293" w:hRule="atLeast"/>
        </w:trPr>
        <w:tc>
          <w:tcPr>
            <w:tcW w:w="1636"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21205</w:t>
            </w:r>
          </w:p>
        </w:tc>
        <w:tc>
          <w:tcPr>
            <w:tcW w:w="3045" w:type="dxa"/>
            <w:vAlign w:val="top"/>
          </w:tcPr>
          <w:p>
            <w:pPr>
              <w:ind w:left="4"/>
              <w:spacing w:before="75" w:line="229" w:lineRule="auto"/>
              <w:rPr>
                <w:rFonts w:ascii="SimSun" w:hAnsi="SimSun" w:eastAsia="SimSun" w:cs="SimSun"/>
                <w:sz w:val="15"/>
                <w:szCs w:val="15"/>
              </w:rPr>
            </w:pPr>
            <w:r>
              <w:rPr>
                <w:rFonts w:ascii="SimSun" w:hAnsi="SimSun" w:eastAsia="SimSun" w:cs="SimSun"/>
                <w:sz w:val="15"/>
                <w:szCs w:val="15"/>
                <w:color w:val="212529"/>
                <w:spacing w:val="10"/>
              </w:rPr>
              <w:t>城乡社区环境卫生</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3648.39</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81.14</w:t>
            </w:r>
          </w:p>
        </w:tc>
        <w:tc>
          <w:tcPr>
            <w:tcW w:w="1507"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3567.26</w:t>
            </w:r>
          </w:p>
        </w:tc>
      </w:tr>
      <w:tr>
        <w:trPr>
          <w:trHeight w:val="292" w:hRule="atLeast"/>
        </w:trPr>
        <w:tc>
          <w:tcPr>
            <w:tcW w:w="1636" w:type="dxa"/>
            <w:vAlign w:val="top"/>
          </w:tcPr>
          <w:p>
            <w:pPr>
              <w:ind w:left="8"/>
              <w:spacing w:before="75" w:line="202" w:lineRule="exact"/>
              <w:rPr>
                <w:rFonts w:ascii="SimSun" w:hAnsi="SimSun" w:eastAsia="SimSun" w:cs="SimSun"/>
                <w:sz w:val="15"/>
                <w:szCs w:val="15"/>
              </w:rPr>
            </w:pPr>
            <w:r>
              <w:rPr>
                <w:rFonts w:ascii="SimSun" w:hAnsi="SimSun" w:eastAsia="SimSun" w:cs="SimSun"/>
                <w:sz w:val="15"/>
                <w:szCs w:val="15"/>
                <w:color w:val="212529"/>
                <w:spacing w:val="4"/>
                <w:position w:val="1"/>
              </w:rPr>
              <w:t>2120501</w:t>
            </w:r>
          </w:p>
        </w:tc>
        <w:tc>
          <w:tcPr>
            <w:tcW w:w="3045" w:type="dxa"/>
            <w:vAlign w:val="top"/>
          </w:tcPr>
          <w:p>
            <w:pPr>
              <w:ind w:left="4"/>
              <w:spacing w:before="75" w:line="229" w:lineRule="auto"/>
              <w:rPr>
                <w:rFonts w:ascii="SimSun" w:hAnsi="SimSun" w:eastAsia="SimSun" w:cs="SimSun"/>
                <w:sz w:val="15"/>
                <w:szCs w:val="15"/>
              </w:rPr>
            </w:pPr>
            <w:r>
              <w:rPr>
                <w:rFonts w:ascii="SimSun" w:hAnsi="SimSun" w:eastAsia="SimSun" w:cs="SimSun"/>
                <w:sz w:val="15"/>
                <w:szCs w:val="15"/>
                <w:color w:val="212529"/>
                <w:spacing w:val="10"/>
              </w:rPr>
              <w:t>城乡社区环境卫生</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3648.39</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81.14</w:t>
            </w:r>
          </w:p>
        </w:tc>
        <w:tc>
          <w:tcPr>
            <w:tcW w:w="1507" w:type="dxa"/>
            <w:vAlign w:val="top"/>
          </w:tcPr>
          <w:p>
            <w:pPr>
              <w:ind w:right="24"/>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3567.26</w:t>
            </w:r>
          </w:p>
        </w:tc>
      </w:tr>
      <w:tr>
        <w:trPr>
          <w:trHeight w:val="293" w:hRule="atLeast"/>
        </w:trPr>
        <w:tc>
          <w:tcPr>
            <w:tcW w:w="1636" w:type="dxa"/>
            <w:vAlign w:val="top"/>
          </w:tcPr>
          <w:p>
            <w:pPr>
              <w:ind w:left="8"/>
              <w:spacing w:before="76" w:line="203" w:lineRule="exact"/>
              <w:rPr>
                <w:rFonts w:ascii="SimSun" w:hAnsi="SimSun" w:eastAsia="SimSun" w:cs="SimSun"/>
                <w:sz w:val="15"/>
                <w:szCs w:val="15"/>
              </w:rPr>
            </w:pPr>
            <w:r>
              <w:rPr>
                <w:rFonts w:ascii="SimSun" w:hAnsi="SimSun" w:eastAsia="SimSun" w:cs="SimSun"/>
                <w:sz w:val="15"/>
                <w:szCs w:val="15"/>
                <w:color w:val="212529"/>
                <w:spacing w:val="2"/>
                <w:position w:val="1"/>
              </w:rPr>
              <w:t>221</w:t>
            </w:r>
          </w:p>
        </w:tc>
        <w:tc>
          <w:tcPr>
            <w:tcW w:w="3045" w:type="dxa"/>
            <w:vAlign w:val="top"/>
          </w:tcPr>
          <w:p>
            <w:pPr>
              <w:ind w:left="5"/>
              <w:spacing w:before="76" w:line="229" w:lineRule="auto"/>
              <w:rPr>
                <w:rFonts w:ascii="SimSun" w:hAnsi="SimSun" w:eastAsia="SimSun" w:cs="SimSun"/>
                <w:sz w:val="15"/>
                <w:szCs w:val="15"/>
              </w:rPr>
            </w:pPr>
            <w:r>
              <w:rPr>
                <w:rFonts w:ascii="SimSun" w:hAnsi="SimSun" w:eastAsia="SimSun" w:cs="SimSun"/>
                <w:sz w:val="15"/>
                <w:szCs w:val="15"/>
                <w:color w:val="212529"/>
                <w:spacing w:val="10"/>
              </w:rPr>
              <w:t>住房保障支出</w:t>
            </w:r>
          </w:p>
        </w:tc>
        <w:tc>
          <w:tcPr>
            <w:tcW w:w="1588" w:type="dxa"/>
            <w:vAlign w:val="top"/>
          </w:tcPr>
          <w:p>
            <w:pPr>
              <w:ind w:right="20"/>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382" w:type="dxa"/>
            <w:vAlign w:val="top"/>
          </w:tcPr>
          <w:p>
            <w:pPr>
              <w:ind w:right="20"/>
              <w:spacing w:before="7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507" w:type="dxa"/>
            <w:vAlign w:val="top"/>
          </w:tcPr>
          <w:p>
            <w:pPr>
              <w:pStyle w:val="TableText"/>
              <w:rPr/>
            </w:pPr>
            <w:r/>
          </w:p>
        </w:tc>
      </w:tr>
      <w:tr>
        <w:trPr>
          <w:trHeight w:val="293" w:hRule="atLeast"/>
        </w:trPr>
        <w:tc>
          <w:tcPr>
            <w:tcW w:w="1636"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22102</w:t>
            </w:r>
          </w:p>
        </w:tc>
        <w:tc>
          <w:tcPr>
            <w:tcW w:w="3045" w:type="dxa"/>
            <w:vAlign w:val="top"/>
          </w:tcPr>
          <w:p>
            <w:pPr>
              <w:ind w:left="5"/>
              <w:spacing w:before="75" w:line="229" w:lineRule="auto"/>
              <w:rPr>
                <w:rFonts w:ascii="SimSun" w:hAnsi="SimSun" w:eastAsia="SimSun" w:cs="SimSun"/>
                <w:sz w:val="15"/>
                <w:szCs w:val="15"/>
              </w:rPr>
            </w:pPr>
            <w:r>
              <w:rPr>
                <w:rFonts w:ascii="SimSun" w:hAnsi="SimSun" w:eastAsia="SimSun" w:cs="SimSun"/>
                <w:sz w:val="15"/>
                <w:szCs w:val="15"/>
                <w:color w:val="212529"/>
                <w:spacing w:val="10"/>
              </w:rPr>
              <w:t>住房改革支出</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507" w:type="dxa"/>
            <w:vAlign w:val="top"/>
          </w:tcPr>
          <w:p>
            <w:pPr>
              <w:pStyle w:val="TableText"/>
              <w:rPr/>
            </w:pPr>
            <w:r/>
          </w:p>
        </w:tc>
      </w:tr>
      <w:tr>
        <w:trPr>
          <w:trHeight w:val="298" w:hRule="atLeast"/>
        </w:trPr>
        <w:tc>
          <w:tcPr>
            <w:tcW w:w="1636" w:type="dxa"/>
            <w:vAlign w:val="top"/>
          </w:tcPr>
          <w:p>
            <w:pPr>
              <w:ind w:left="8"/>
              <w:spacing w:before="75" w:line="203" w:lineRule="exact"/>
              <w:rPr>
                <w:rFonts w:ascii="SimSun" w:hAnsi="SimSun" w:eastAsia="SimSun" w:cs="SimSun"/>
                <w:sz w:val="15"/>
                <w:szCs w:val="15"/>
              </w:rPr>
            </w:pPr>
            <w:r>
              <w:rPr>
                <w:rFonts w:ascii="SimSun" w:hAnsi="SimSun" w:eastAsia="SimSun" w:cs="SimSun"/>
                <w:sz w:val="15"/>
                <w:szCs w:val="15"/>
                <w:color w:val="212529"/>
                <w:spacing w:val="4"/>
                <w:position w:val="1"/>
              </w:rPr>
              <w:t>2210201</w:t>
            </w:r>
          </w:p>
        </w:tc>
        <w:tc>
          <w:tcPr>
            <w:tcW w:w="3045" w:type="dxa"/>
            <w:vAlign w:val="top"/>
          </w:tcPr>
          <w:p>
            <w:pPr>
              <w:ind w:left="5"/>
              <w:spacing w:before="75"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1588"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382" w:type="dxa"/>
            <w:vAlign w:val="top"/>
          </w:tcPr>
          <w:p>
            <w:pPr>
              <w:ind w:right="20"/>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507" w:type="dxa"/>
            <w:vAlign w:val="top"/>
          </w:tcPr>
          <w:p>
            <w:pPr>
              <w:pStyle w:val="TableText"/>
              <w:rPr/>
            </w:pPr>
            <w:r/>
          </w:p>
        </w:tc>
      </w:tr>
    </w:tbl>
    <w:p>
      <w:pPr>
        <w:rPr>
          <w:rFonts w:ascii="Arial"/>
          <w:sz w:val="21"/>
        </w:rPr>
      </w:pPr>
      <w:r/>
    </w:p>
    <w:p>
      <w:pPr>
        <w:sectPr>
          <w:footerReference w:type="default" r:id="rId13"/>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082"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75"/>
        <w:gridCol w:w="2322"/>
        <w:gridCol w:w="1209"/>
        <w:gridCol w:w="1123"/>
        <w:gridCol w:w="1053"/>
      </w:tblGrid>
      <w:tr>
        <w:trPr>
          <w:trHeight w:val="298" w:hRule="atLeast"/>
        </w:trPr>
        <w:tc>
          <w:tcPr>
            <w:tcW w:w="9082" w:type="dxa"/>
            <w:vAlign w:val="top"/>
            <w:gridSpan w:val="5"/>
            <w:tcBorders>
              <w:bottom w:val="single" w:color="FFFFFF" w:sz="4" w:space="0"/>
              <w:top w:val="single" w:color="FFFFFF" w:sz="4" w:space="0"/>
              <w:left w:val="single" w:color="FFFFFF" w:sz="2" w:space="0"/>
              <w:right w:val="single" w:color="FFFFFF" w:sz="2" w:space="0"/>
            </w:tcBorders>
          </w:tcPr>
          <w:p>
            <w:pPr>
              <w:ind w:left="8345"/>
              <w:spacing w:before="84" w:line="234" w:lineRule="auto"/>
              <w:rPr>
                <w:rFonts w:ascii="SimSun" w:hAnsi="SimSun" w:eastAsia="SimSun" w:cs="SimSun"/>
                <w:sz w:val="12"/>
                <w:szCs w:val="12"/>
              </w:rPr>
            </w:pPr>
            <w:r>
              <w:rPr>
                <w:rFonts w:ascii="SimSun" w:hAnsi="SimSun" w:eastAsia="SimSun" w:cs="SimSun"/>
                <w:sz w:val="12"/>
                <w:szCs w:val="12"/>
                <w:color w:val="212529"/>
                <w:spacing w:val="8"/>
              </w:rPr>
              <w:t>预算公开表6</w:t>
            </w:r>
          </w:p>
        </w:tc>
      </w:tr>
      <w:tr>
        <w:trPr>
          <w:trHeight w:val="292" w:hRule="atLeast"/>
        </w:trPr>
        <w:tc>
          <w:tcPr>
            <w:tcW w:w="9082" w:type="dxa"/>
            <w:vAlign w:val="top"/>
            <w:gridSpan w:val="5"/>
            <w:tcBorders>
              <w:left w:val="single" w:color="FFFFFF" w:sz="4" w:space="0"/>
              <w:bottom w:val="single" w:color="FFFFFF" w:sz="4" w:space="0"/>
              <w:right w:val="single" w:color="FFFFFF" w:sz="4" w:space="0"/>
              <w:top w:val="single" w:color="FFFFFF" w:sz="4" w:space="0"/>
            </w:tcBorders>
          </w:tcPr>
          <w:p>
            <w:pPr>
              <w:ind w:left="1611"/>
              <w:spacing w:before="35" w:line="201" w:lineRule="exact"/>
              <w:outlineLvl w:val="1"/>
              <w:rPr>
                <w:rFonts w:ascii="Microsoft YaHei" w:hAnsi="Microsoft YaHei" w:eastAsia="Microsoft YaHei" w:cs="Microsoft YaHei"/>
                <w:sz w:val="20"/>
                <w:szCs w:val="20"/>
              </w:rPr>
            </w:pPr>
            <w:bookmarkStart w:name="bookmark41" w:id="21"/>
            <w:bookmarkEnd w:id="21"/>
            <w:bookmarkStart w:name="bookmark10" w:id="22"/>
            <w:bookmarkEnd w:id="22"/>
            <w:bookmarkStart w:name="bookmark11" w:id="23"/>
            <w:bookmarkEnd w:id="23"/>
            <w:r>
              <w:rPr>
                <w:rFonts w:ascii="Microsoft YaHei" w:hAnsi="Microsoft YaHei" w:eastAsia="Microsoft YaHei" w:cs="Microsoft YaHei"/>
                <w:sz w:val="20"/>
                <w:szCs w:val="20"/>
                <w:color w:val="212529"/>
                <w:spacing w:val="1"/>
                <w:position w:val="-1"/>
              </w:rPr>
              <w:t>2025年一般公共预算安排基本支出分经济科目表</w:t>
            </w:r>
            <w:r>
              <w:rPr>
                <w:rFonts w:ascii="Microsoft YaHei" w:hAnsi="Microsoft YaHei" w:eastAsia="Microsoft YaHei" w:cs="Microsoft YaHei"/>
                <w:sz w:val="20"/>
                <w:szCs w:val="20"/>
                <w:color w:val="212529"/>
                <w:spacing w:val="46"/>
                <w:position w:val="-1"/>
              </w:rPr>
              <w:t xml:space="preserve"> </w:t>
            </w:r>
            <w:r>
              <w:rPr>
                <w:rFonts w:ascii="Microsoft YaHei" w:hAnsi="Microsoft YaHei" w:eastAsia="Microsoft YaHei" w:cs="Microsoft YaHei"/>
                <w:sz w:val="20"/>
                <w:szCs w:val="20"/>
                <w:color w:val="212529"/>
                <w:spacing w:val="1"/>
                <w:position w:val="-1"/>
              </w:rPr>
              <w:t>(</w:t>
            </w:r>
            <w:r>
              <w:rPr>
                <w:rFonts w:ascii="Microsoft YaHei" w:hAnsi="Microsoft YaHei" w:eastAsia="Microsoft YaHei" w:cs="Microsoft YaHei"/>
                <w:sz w:val="20"/>
                <w:szCs w:val="20"/>
                <w:color w:val="212529"/>
                <w:position w:val="-1"/>
              </w:rPr>
              <w:t>不含上年结转)</w:t>
            </w:r>
          </w:p>
        </w:tc>
      </w:tr>
      <w:tr>
        <w:trPr>
          <w:trHeight w:val="292" w:hRule="atLeast"/>
        </w:trPr>
        <w:tc>
          <w:tcPr>
            <w:tcW w:w="6906" w:type="dxa"/>
            <w:vAlign w:val="top"/>
            <w:gridSpan w:val="3"/>
            <w:tcBorders>
              <w:top w:val="single" w:color="FFFFFF" w:sz="4" w:space="0"/>
              <w:left w:val="single" w:color="FFFFFF" w:sz="2" w:space="0"/>
              <w:right w:val="single" w:color="FFFFFF" w:sz="2" w:space="0"/>
            </w:tcBorders>
          </w:tcPr>
          <w:p>
            <w:pPr>
              <w:ind w:left="9"/>
              <w:spacing w:before="79"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123" w:type="dxa"/>
            <w:vAlign w:val="top"/>
            <w:tcBorders>
              <w:top w:val="single" w:color="FFFFFF" w:sz="4" w:space="0"/>
              <w:left w:val="single" w:color="FFFFFF" w:sz="2" w:space="0"/>
              <w:right w:val="single" w:color="FFFFFF" w:sz="2" w:space="0"/>
            </w:tcBorders>
          </w:tcPr>
          <w:p>
            <w:pPr>
              <w:pStyle w:val="TableText"/>
              <w:rPr/>
            </w:pPr>
            <w:r/>
          </w:p>
        </w:tc>
        <w:tc>
          <w:tcPr>
            <w:tcW w:w="1053" w:type="dxa"/>
            <w:vAlign w:val="top"/>
            <w:tcBorders>
              <w:top w:val="single" w:color="FFFFFF" w:sz="4" w:space="0"/>
              <w:left w:val="single" w:color="FFFFFF" w:sz="2" w:space="0"/>
              <w:right w:val="single" w:color="FFFFFF" w:sz="2" w:space="0"/>
            </w:tcBorders>
          </w:tcPr>
          <w:p>
            <w:pPr>
              <w:ind w:left="382"/>
              <w:spacing w:before="80" w:line="234"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292" w:hRule="atLeast"/>
        </w:trPr>
        <w:tc>
          <w:tcPr>
            <w:tcW w:w="3375" w:type="dxa"/>
            <w:vAlign w:val="top"/>
            <w:vMerge w:val="restart"/>
            <w:tcBorders>
              <w:bottom w:val="nil"/>
            </w:tcBorders>
          </w:tcPr>
          <w:p>
            <w:pPr>
              <w:ind w:left="700"/>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部门预算支出经济科目名称</w:t>
            </w:r>
          </w:p>
        </w:tc>
        <w:tc>
          <w:tcPr>
            <w:tcW w:w="2322" w:type="dxa"/>
            <w:vAlign w:val="top"/>
            <w:vMerge w:val="restart"/>
            <w:tcBorders>
              <w:bottom w:val="nil"/>
            </w:tcBorders>
          </w:tcPr>
          <w:p>
            <w:pPr>
              <w:ind w:left="176"/>
              <w:spacing w:before="21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政府预算支出经济科目名称</w:t>
            </w:r>
          </w:p>
        </w:tc>
        <w:tc>
          <w:tcPr>
            <w:tcW w:w="3385" w:type="dxa"/>
            <w:vAlign w:val="top"/>
            <w:gridSpan w:val="3"/>
          </w:tcPr>
          <w:p>
            <w:pPr>
              <w:ind w:left="1199"/>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292" w:hRule="atLeast"/>
        </w:trPr>
        <w:tc>
          <w:tcPr>
            <w:tcW w:w="3375" w:type="dxa"/>
            <w:vAlign w:val="top"/>
            <w:vMerge w:val="continue"/>
            <w:tcBorders>
              <w:top w:val="nil"/>
            </w:tcBorders>
          </w:tcPr>
          <w:p>
            <w:pPr>
              <w:pStyle w:val="TableText"/>
              <w:rPr/>
            </w:pPr>
            <w:r/>
          </w:p>
        </w:tc>
        <w:tc>
          <w:tcPr>
            <w:tcW w:w="2322" w:type="dxa"/>
            <w:vAlign w:val="top"/>
            <w:vMerge w:val="continue"/>
            <w:tcBorders>
              <w:top w:val="nil"/>
            </w:tcBorders>
          </w:tcPr>
          <w:p>
            <w:pPr>
              <w:pStyle w:val="TableText"/>
              <w:rPr/>
            </w:pPr>
            <w:r/>
          </w:p>
        </w:tc>
        <w:tc>
          <w:tcPr>
            <w:tcW w:w="1209" w:type="dxa"/>
            <w:vAlign w:val="top"/>
          </w:tcPr>
          <w:p>
            <w:pPr>
              <w:ind w:left="433"/>
              <w:spacing w:before="66"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23" w:type="dxa"/>
            <w:vAlign w:val="top"/>
          </w:tcPr>
          <w:p>
            <w:pPr>
              <w:ind w:left="229"/>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人员经费</w:t>
            </w:r>
          </w:p>
        </w:tc>
        <w:tc>
          <w:tcPr>
            <w:tcW w:w="1053" w:type="dxa"/>
            <w:vAlign w:val="top"/>
          </w:tcPr>
          <w:p>
            <w:pPr>
              <w:ind w:left="199"/>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公用经费</w:t>
            </w:r>
          </w:p>
        </w:tc>
      </w:tr>
      <w:tr>
        <w:trPr>
          <w:trHeight w:val="292" w:hRule="atLeast"/>
        </w:trPr>
        <w:tc>
          <w:tcPr>
            <w:tcW w:w="5697" w:type="dxa"/>
            <w:vAlign w:val="top"/>
            <w:gridSpan w:val="2"/>
          </w:tcPr>
          <w:p>
            <w:pPr>
              <w:ind w:left="2689"/>
              <w:spacing w:before="65"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合计</w:t>
            </w:r>
          </w:p>
        </w:tc>
        <w:tc>
          <w:tcPr>
            <w:tcW w:w="1209" w:type="dxa"/>
            <w:vAlign w:val="top"/>
          </w:tcPr>
          <w:p>
            <w:pPr>
              <w:pStyle w:val="TableText"/>
              <w:ind w:left="708"/>
              <w:spacing w:before="86" w:line="162" w:lineRule="auto"/>
              <w:rPr>
                <w:sz w:val="15"/>
                <w:szCs w:val="15"/>
              </w:rPr>
            </w:pPr>
            <w:r>
              <w:rPr>
                <w:sz w:val="15"/>
                <w:szCs w:val="15"/>
                <w:color w:val="212529"/>
              </w:rPr>
              <w:t>105.45</w:t>
            </w:r>
          </w:p>
        </w:tc>
        <w:tc>
          <w:tcPr>
            <w:tcW w:w="1123" w:type="dxa"/>
            <w:vAlign w:val="top"/>
          </w:tcPr>
          <w:p>
            <w:pPr>
              <w:pStyle w:val="TableText"/>
              <w:ind w:left="697"/>
              <w:spacing w:before="87" w:line="186" w:lineRule="auto"/>
              <w:rPr>
                <w:sz w:val="13"/>
                <w:szCs w:val="13"/>
              </w:rPr>
            </w:pPr>
            <w:r>
              <w:rPr>
                <w:sz w:val="13"/>
                <w:szCs w:val="13"/>
                <w:color w:val="212529"/>
                <w:spacing w:val="4"/>
              </w:rPr>
              <w:t>99.</w:t>
            </w:r>
            <w:r>
              <w:rPr>
                <w:sz w:val="13"/>
                <w:szCs w:val="13"/>
                <w:color w:val="212529"/>
                <w:spacing w:val="11"/>
              </w:rPr>
              <w:t xml:space="preserve"> </w:t>
            </w:r>
            <w:r>
              <w:rPr>
                <w:sz w:val="13"/>
                <w:szCs w:val="13"/>
                <w:color w:val="212529"/>
                <w:spacing w:val="4"/>
              </w:rPr>
              <w:t>35</w:t>
            </w:r>
          </w:p>
        </w:tc>
        <w:tc>
          <w:tcPr>
            <w:tcW w:w="1053" w:type="dxa"/>
            <w:vAlign w:val="top"/>
          </w:tcPr>
          <w:p>
            <w:pPr>
              <w:pStyle w:val="TableText"/>
              <w:ind w:left="705"/>
              <w:spacing w:before="87" w:line="186" w:lineRule="auto"/>
              <w:rPr>
                <w:sz w:val="13"/>
                <w:szCs w:val="13"/>
              </w:rPr>
            </w:pPr>
            <w:r>
              <w:rPr>
                <w:sz w:val="13"/>
                <w:szCs w:val="13"/>
                <w:color w:val="212529"/>
                <w:spacing w:val="2"/>
              </w:rPr>
              <w:t>6.</w:t>
            </w:r>
            <w:r>
              <w:rPr>
                <w:sz w:val="13"/>
                <w:szCs w:val="13"/>
                <w:color w:val="212529"/>
                <w:spacing w:val="15"/>
                <w:w w:val="101"/>
              </w:rPr>
              <w:t xml:space="preserve"> </w:t>
            </w:r>
            <w:r>
              <w:rPr>
                <w:sz w:val="13"/>
                <w:szCs w:val="13"/>
                <w:color w:val="212529"/>
                <w:spacing w:val="2"/>
              </w:rPr>
              <w:t>10</w:t>
            </w:r>
          </w:p>
        </w:tc>
      </w:tr>
      <w:tr>
        <w:trPr>
          <w:trHeight w:val="292" w:hRule="atLeast"/>
        </w:trPr>
        <w:tc>
          <w:tcPr>
            <w:tcW w:w="3375" w:type="dxa"/>
            <w:vAlign w:val="top"/>
          </w:tcPr>
          <w:p>
            <w:pPr>
              <w:ind w:left="8"/>
              <w:spacing w:before="68"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2322" w:type="dxa"/>
            <w:vAlign w:val="top"/>
          </w:tcPr>
          <w:p>
            <w:pPr>
              <w:pStyle w:val="TableText"/>
              <w:rPr/>
            </w:pPr>
            <w:r/>
          </w:p>
        </w:tc>
        <w:tc>
          <w:tcPr>
            <w:tcW w:w="1209" w:type="dxa"/>
            <w:vAlign w:val="top"/>
          </w:tcPr>
          <w:p>
            <w:pPr>
              <w:ind w:right="23"/>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99.35</w:t>
            </w:r>
          </w:p>
        </w:tc>
        <w:tc>
          <w:tcPr>
            <w:tcW w:w="1123" w:type="dxa"/>
            <w:vAlign w:val="top"/>
          </w:tcPr>
          <w:p>
            <w:pPr>
              <w:ind w:right="18"/>
              <w:spacing w:before="69"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99.35</w:t>
            </w:r>
          </w:p>
        </w:tc>
        <w:tc>
          <w:tcPr>
            <w:tcW w:w="1053" w:type="dxa"/>
            <w:vAlign w:val="top"/>
          </w:tcPr>
          <w:p>
            <w:pPr>
              <w:pStyle w:val="TableText"/>
              <w:rPr/>
            </w:pPr>
            <w:r/>
          </w:p>
        </w:tc>
      </w:tr>
      <w:tr>
        <w:trPr>
          <w:trHeight w:val="292" w:hRule="atLeast"/>
        </w:trPr>
        <w:tc>
          <w:tcPr>
            <w:tcW w:w="3375" w:type="dxa"/>
            <w:vAlign w:val="top"/>
          </w:tcPr>
          <w:p>
            <w:pPr>
              <w:ind w:left="330"/>
              <w:spacing w:before="69" w:line="228" w:lineRule="auto"/>
              <w:rPr>
                <w:rFonts w:ascii="SimSun" w:hAnsi="SimSun" w:eastAsia="SimSun" w:cs="SimSun"/>
                <w:sz w:val="15"/>
                <w:szCs w:val="15"/>
              </w:rPr>
            </w:pPr>
            <w:r>
              <w:rPr>
                <w:rFonts w:ascii="SimSun" w:hAnsi="SimSun" w:eastAsia="SimSun" w:cs="SimSun"/>
                <w:sz w:val="15"/>
                <w:szCs w:val="15"/>
                <w:color w:val="212529"/>
                <w:spacing w:val="9"/>
              </w:rPr>
              <w:t>基本工资</w:t>
            </w:r>
          </w:p>
        </w:tc>
        <w:tc>
          <w:tcPr>
            <w:tcW w:w="2322" w:type="dxa"/>
            <w:vAlign w:val="top"/>
          </w:tcPr>
          <w:p>
            <w:pPr>
              <w:ind w:left="330"/>
              <w:spacing w:before="69"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35.74</w:t>
            </w:r>
          </w:p>
        </w:tc>
        <w:tc>
          <w:tcPr>
            <w:tcW w:w="1123" w:type="dxa"/>
            <w:vAlign w:val="top"/>
          </w:tcPr>
          <w:p>
            <w:pPr>
              <w:ind w:right="18"/>
              <w:spacing w:before="69"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35.74</w:t>
            </w:r>
          </w:p>
        </w:tc>
        <w:tc>
          <w:tcPr>
            <w:tcW w:w="1053" w:type="dxa"/>
            <w:vAlign w:val="top"/>
          </w:tcPr>
          <w:p>
            <w:pPr>
              <w:pStyle w:val="TableText"/>
              <w:rPr/>
            </w:pPr>
            <w:r/>
          </w:p>
        </w:tc>
      </w:tr>
      <w:tr>
        <w:trPr>
          <w:trHeight w:val="292" w:hRule="atLeast"/>
        </w:trPr>
        <w:tc>
          <w:tcPr>
            <w:tcW w:w="3375" w:type="dxa"/>
            <w:vAlign w:val="top"/>
          </w:tcPr>
          <w:p>
            <w:pPr>
              <w:ind w:left="330"/>
              <w:spacing w:before="70" w:line="229" w:lineRule="auto"/>
              <w:rPr>
                <w:rFonts w:ascii="SimSun" w:hAnsi="SimSun" w:eastAsia="SimSun" w:cs="SimSun"/>
                <w:sz w:val="15"/>
                <w:szCs w:val="15"/>
              </w:rPr>
            </w:pPr>
            <w:r>
              <w:rPr>
                <w:rFonts w:ascii="SimSun" w:hAnsi="SimSun" w:eastAsia="SimSun" w:cs="SimSun"/>
                <w:sz w:val="15"/>
                <w:szCs w:val="15"/>
                <w:color w:val="212529"/>
                <w:spacing w:val="9"/>
              </w:rPr>
              <w:t>津贴补贴</w:t>
            </w:r>
          </w:p>
        </w:tc>
        <w:tc>
          <w:tcPr>
            <w:tcW w:w="2322" w:type="dxa"/>
            <w:vAlign w:val="top"/>
          </w:tcPr>
          <w:p>
            <w:pPr>
              <w:ind w:left="330"/>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8.33</w:t>
            </w:r>
          </w:p>
        </w:tc>
        <w:tc>
          <w:tcPr>
            <w:tcW w:w="1123" w:type="dxa"/>
            <w:vAlign w:val="top"/>
          </w:tcPr>
          <w:p>
            <w:pPr>
              <w:ind w:right="18"/>
              <w:spacing w:before="70"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8.33</w:t>
            </w:r>
          </w:p>
        </w:tc>
        <w:tc>
          <w:tcPr>
            <w:tcW w:w="1053" w:type="dxa"/>
            <w:vAlign w:val="top"/>
          </w:tcPr>
          <w:p>
            <w:pPr>
              <w:pStyle w:val="TableText"/>
              <w:rPr/>
            </w:pPr>
            <w:r/>
          </w:p>
        </w:tc>
      </w:tr>
      <w:tr>
        <w:trPr>
          <w:trHeight w:val="292" w:hRule="atLeast"/>
        </w:trPr>
        <w:tc>
          <w:tcPr>
            <w:tcW w:w="3375" w:type="dxa"/>
            <w:vAlign w:val="top"/>
          </w:tcPr>
          <w:p>
            <w:pPr>
              <w:ind w:left="332"/>
              <w:spacing w:before="70" w:line="230" w:lineRule="auto"/>
              <w:rPr>
                <w:rFonts w:ascii="SimSun" w:hAnsi="SimSun" w:eastAsia="SimSun" w:cs="SimSun"/>
                <w:sz w:val="15"/>
                <w:szCs w:val="15"/>
              </w:rPr>
            </w:pPr>
            <w:r>
              <w:rPr>
                <w:rFonts w:ascii="SimSun" w:hAnsi="SimSun" w:eastAsia="SimSun" w:cs="SimSun"/>
                <w:sz w:val="15"/>
                <w:szCs w:val="15"/>
                <w:color w:val="212529"/>
                <w:spacing w:val="6"/>
              </w:rPr>
              <w:t>奖金</w:t>
            </w:r>
          </w:p>
        </w:tc>
        <w:tc>
          <w:tcPr>
            <w:tcW w:w="2322" w:type="dxa"/>
            <w:vAlign w:val="top"/>
          </w:tcPr>
          <w:p>
            <w:pPr>
              <w:ind w:left="330"/>
              <w:spacing w:before="70"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0.78</w:t>
            </w:r>
          </w:p>
        </w:tc>
        <w:tc>
          <w:tcPr>
            <w:tcW w:w="1123" w:type="dxa"/>
            <w:vAlign w:val="top"/>
          </w:tcPr>
          <w:p>
            <w:pPr>
              <w:ind w:right="18"/>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0.78</w:t>
            </w:r>
          </w:p>
        </w:tc>
        <w:tc>
          <w:tcPr>
            <w:tcW w:w="1053" w:type="dxa"/>
            <w:vAlign w:val="top"/>
          </w:tcPr>
          <w:p>
            <w:pPr>
              <w:pStyle w:val="TableText"/>
              <w:rPr/>
            </w:pPr>
            <w:r/>
          </w:p>
        </w:tc>
      </w:tr>
      <w:tr>
        <w:trPr>
          <w:trHeight w:val="292" w:hRule="atLeast"/>
        </w:trPr>
        <w:tc>
          <w:tcPr>
            <w:tcW w:w="3375" w:type="dxa"/>
            <w:vAlign w:val="top"/>
          </w:tcPr>
          <w:p>
            <w:pPr>
              <w:ind w:left="333"/>
              <w:spacing w:before="71" w:line="230" w:lineRule="auto"/>
              <w:rPr>
                <w:rFonts w:ascii="SimSun" w:hAnsi="SimSun" w:eastAsia="SimSun" w:cs="SimSun"/>
                <w:sz w:val="15"/>
                <w:szCs w:val="15"/>
              </w:rPr>
            </w:pPr>
            <w:r>
              <w:rPr>
                <w:rFonts w:ascii="SimSun" w:hAnsi="SimSun" w:eastAsia="SimSun" w:cs="SimSun"/>
                <w:sz w:val="15"/>
                <w:szCs w:val="15"/>
                <w:color w:val="212529"/>
                <w:spacing w:val="9"/>
              </w:rPr>
              <w:t>绩效工资</w:t>
            </w:r>
          </w:p>
        </w:tc>
        <w:tc>
          <w:tcPr>
            <w:tcW w:w="2322" w:type="dxa"/>
            <w:vAlign w:val="top"/>
          </w:tcPr>
          <w:p>
            <w:pPr>
              <w:ind w:left="330"/>
              <w:spacing w:before="71"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20.72</w:t>
            </w:r>
          </w:p>
        </w:tc>
        <w:tc>
          <w:tcPr>
            <w:tcW w:w="1123" w:type="dxa"/>
            <w:vAlign w:val="top"/>
          </w:tcPr>
          <w:p>
            <w:pPr>
              <w:ind w:right="18"/>
              <w:spacing w:before="7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20.72</w:t>
            </w:r>
          </w:p>
        </w:tc>
        <w:tc>
          <w:tcPr>
            <w:tcW w:w="1053" w:type="dxa"/>
            <w:vAlign w:val="top"/>
          </w:tcPr>
          <w:p>
            <w:pPr>
              <w:pStyle w:val="TableText"/>
              <w:rPr/>
            </w:pPr>
            <w:r/>
          </w:p>
        </w:tc>
      </w:tr>
      <w:tr>
        <w:trPr>
          <w:trHeight w:val="292" w:hRule="atLeast"/>
        </w:trPr>
        <w:tc>
          <w:tcPr>
            <w:tcW w:w="3375" w:type="dxa"/>
            <w:vAlign w:val="top"/>
          </w:tcPr>
          <w:p>
            <w:pPr>
              <w:ind w:left="330"/>
              <w:spacing w:before="72" w:line="228" w:lineRule="auto"/>
              <w:rPr>
                <w:rFonts w:ascii="SimSun" w:hAnsi="SimSun" w:eastAsia="SimSun" w:cs="SimSun"/>
                <w:sz w:val="15"/>
                <w:szCs w:val="15"/>
              </w:rPr>
            </w:pPr>
            <w:r>
              <w:rPr>
                <w:rFonts w:ascii="SimSun" w:hAnsi="SimSun" w:eastAsia="SimSun" w:cs="SimSun"/>
                <w:sz w:val="15"/>
                <w:szCs w:val="15"/>
                <w:color w:val="212529"/>
                <w:spacing w:val="11"/>
              </w:rPr>
              <w:t>机关事业单位基本养老保险缴费</w:t>
            </w:r>
          </w:p>
        </w:tc>
        <w:tc>
          <w:tcPr>
            <w:tcW w:w="2322" w:type="dxa"/>
            <w:vAlign w:val="top"/>
          </w:tcPr>
          <w:p>
            <w:pPr>
              <w:ind w:left="330"/>
              <w:spacing w:before="72"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9.71</w:t>
            </w:r>
          </w:p>
        </w:tc>
        <w:tc>
          <w:tcPr>
            <w:tcW w:w="1123" w:type="dxa"/>
            <w:vAlign w:val="top"/>
          </w:tcPr>
          <w:p>
            <w:pPr>
              <w:ind w:right="18"/>
              <w:spacing w:before="7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9.71</w:t>
            </w:r>
          </w:p>
        </w:tc>
        <w:tc>
          <w:tcPr>
            <w:tcW w:w="1053" w:type="dxa"/>
            <w:vAlign w:val="top"/>
          </w:tcPr>
          <w:p>
            <w:pPr>
              <w:pStyle w:val="TableText"/>
              <w:rPr/>
            </w:pPr>
            <w:r/>
          </w:p>
        </w:tc>
      </w:tr>
      <w:tr>
        <w:trPr>
          <w:trHeight w:val="292" w:hRule="atLeast"/>
        </w:trPr>
        <w:tc>
          <w:tcPr>
            <w:tcW w:w="3375" w:type="dxa"/>
            <w:vAlign w:val="top"/>
          </w:tcPr>
          <w:p>
            <w:pPr>
              <w:ind w:left="330"/>
              <w:spacing w:before="73" w:line="229" w:lineRule="auto"/>
              <w:rPr>
                <w:rFonts w:ascii="SimSun" w:hAnsi="SimSun" w:eastAsia="SimSun" w:cs="SimSun"/>
                <w:sz w:val="15"/>
                <w:szCs w:val="15"/>
              </w:rPr>
            </w:pPr>
            <w:r>
              <w:rPr>
                <w:rFonts w:ascii="SimSun" w:hAnsi="SimSun" w:eastAsia="SimSun" w:cs="SimSun"/>
                <w:sz w:val="15"/>
                <w:szCs w:val="15"/>
                <w:color w:val="212529"/>
                <w:spacing w:val="10"/>
              </w:rPr>
              <w:t>职业年金缴费</w:t>
            </w:r>
          </w:p>
        </w:tc>
        <w:tc>
          <w:tcPr>
            <w:tcW w:w="2322"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2.40</w:t>
            </w:r>
          </w:p>
        </w:tc>
        <w:tc>
          <w:tcPr>
            <w:tcW w:w="1123" w:type="dxa"/>
            <w:vAlign w:val="top"/>
          </w:tcPr>
          <w:p>
            <w:pPr>
              <w:ind w:right="18"/>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2.40</w:t>
            </w:r>
          </w:p>
        </w:tc>
        <w:tc>
          <w:tcPr>
            <w:tcW w:w="1053" w:type="dxa"/>
            <w:vAlign w:val="top"/>
          </w:tcPr>
          <w:p>
            <w:pPr>
              <w:pStyle w:val="TableText"/>
              <w:rPr/>
            </w:pPr>
            <w:r/>
          </w:p>
        </w:tc>
      </w:tr>
      <w:tr>
        <w:trPr>
          <w:trHeight w:val="292" w:hRule="atLeast"/>
        </w:trPr>
        <w:tc>
          <w:tcPr>
            <w:tcW w:w="3375" w:type="dxa"/>
            <w:vAlign w:val="top"/>
          </w:tcPr>
          <w:p>
            <w:pPr>
              <w:ind w:left="330"/>
              <w:spacing w:before="74" w:line="228" w:lineRule="auto"/>
              <w:rPr>
                <w:rFonts w:ascii="SimSun" w:hAnsi="SimSun" w:eastAsia="SimSun" w:cs="SimSun"/>
                <w:sz w:val="15"/>
                <w:szCs w:val="15"/>
              </w:rPr>
            </w:pPr>
            <w:r>
              <w:rPr>
                <w:rFonts w:ascii="SimSun" w:hAnsi="SimSun" w:eastAsia="SimSun" w:cs="SimSun"/>
                <w:sz w:val="15"/>
                <w:szCs w:val="15"/>
                <w:color w:val="212529"/>
                <w:spacing w:val="11"/>
              </w:rPr>
              <w:t>职工基本医疗保险缴费</w:t>
            </w:r>
          </w:p>
        </w:tc>
        <w:tc>
          <w:tcPr>
            <w:tcW w:w="2322"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w:t>
            </w:r>
          </w:p>
        </w:tc>
        <w:tc>
          <w:tcPr>
            <w:tcW w:w="1123" w:type="dxa"/>
            <w:vAlign w:val="top"/>
          </w:tcPr>
          <w:p>
            <w:pPr>
              <w:ind w:right="18"/>
              <w:spacing w:before="74" w:line="201" w:lineRule="exact"/>
              <w:jc w:val="right"/>
              <w:rPr>
                <w:rFonts w:ascii="SimSun" w:hAnsi="SimSun" w:eastAsia="SimSun" w:cs="SimSun"/>
                <w:sz w:val="15"/>
                <w:szCs w:val="15"/>
              </w:rPr>
            </w:pPr>
            <w:r>
              <w:rPr>
                <w:rFonts w:ascii="SimSun" w:hAnsi="SimSun" w:eastAsia="SimSun" w:cs="SimSun"/>
                <w:sz w:val="15"/>
                <w:szCs w:val="15"/>
                <w:color w:val="212529"/>
                <w:spacing w:val="3"/>
                <w:position w:val="1"/>
              </w:rPr>
              <w:t>3.94</w:t>
            </w:r>
          </w:p>
        </w:tc>
        <w:tc>
          <w:tcPr>
            <w:tcW w:w="1053" w:type="dxa"/>
            <w:vAlign w:val="top"/>
          </w:tcPr>
          <w:p>
            <w:pPr>
              <w:pStyle w:val="TableText"/>
              <w:rPr/>
            </w:pPr>
            <w:r/>
          </w:p>
        </w:tc>
      </w:tr>
      <w:tr>
        <w:trPr>
          <w:trHeight w:val="293" w:hRule="atLeast"/>
        </w:trPr>
        <w:tc>
          <w:tcPr>
            <w:tcW w:w="3375" w:type="dxa"/>
            <w:vAlign w:val="top"/>
          </w:tcPr>
          <w:p>
            <w:pPr>
              <w:ind w:left="336"/>
              <w:spacing w:before="74" w:line="229" w:lineRule="auto"/>
              <w:rPr>
                <w:rFonts w:ascii="SimSun" w:hAnsi="SimSun" w:eastAsia="SimSun" w:cs="SimSun"/>
                <w:sz w:val="15"/>
                <w:szCs w:val="15"/>
              </w:rPr>
            </w:pPr>
            <w:r>
              <w:rPr>
                <w:rFonts w:ascii="SimSun" w:hAnsi="SimSun" w:eastAsia="SimSun" w:cs="SimSun"/>
                <w:sz w:val="15"/>
                <w:szCs w:val="15"/>
                <w:color w:val="212529"/>
                <w:spacing w:val="10"/>
              </w:rPr>
              <w:t>公务员医疗补助缴费</w:t>
            </w:r>
          </w:p>
        </w:tc>
        <w:tc>
          <w:tcPr>
            <w:tcW w:w="2322"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0.22</w:t>
            </w:r>
          </w:p>
        </w:tc>
        <w:tc>
          <w:tcPr>
            <w:tcW w:w="1123" w:type="dxa"/>
            <w:vAlign w:val="top"/>
          </w:tcPr>
          <w:p>
            <w:pPr>
              <w:ind w:right="18"/>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0.22</w:t>
            </w:r>
          </w:p>
        </w:tc>
        <w:tc>
          <w:tcPr>
            <w:tcW w:w="1053" w:type="dxa"/>
            <w:vAlign w:val="top"/>
          </w:tcPr>
          <w:p>
            <w:pPr>
              <w:pStyle w:val="TableText"/>
              <w:rPr/>
            </w:pPr>
            <w:r/>
          </w:p>
        </w:tc>
      </w:tr>
      <w:tr>
        <w:trPr>
          <w:trHeight w:val="293" w:hRule="atLeast"/>
        </w:trPr>
        <w:tc>
          <w:tcPr>
            <w:tcW w:w="3375" w:type="dxa"/>
            <w:vAlign w:val="top"/>
          </w:tcPr>
          <w:p>
            <w:pPr>
              <w:ind w:left="330"/>
              <w:spacing w:before="74" w:line="228" w:lineRule="auto"/>
              <w:rPr>
                <w:rFonts w:ascii="SimSun" w:hAnsi="SimSun" w:eastAsia="SimSun" w:cs="SimSun"/>
                <w:sz w:val="15"/>
                <w:szCs w:val="15"/>
              </w:rPr>
            </w:pPr>
            <w:r>
              <w:rPr>
                <w:rFonts w:ascii="SimSun" w:hAnsi="SimSun" w:eastAsia="SimSun" w:cs="SimSun"/>
                <w:sz w:val="15"/>
                <w:szCs w:val="15"/>
                <w:color w:val="212529"/>
                <w:spacing w:val="11"/>
              </w:rPr>
              <w:t>其他社会保障缴费</w:t>
            </w:r>
          </w:p>
        </w:tc>
        <w:tc>
          <w:tcPr>
            <w:tcW w:w="2322"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0.22</w:t>
            </w:r>
          </w:p>
        </w:tc>
        <w:tc>
          <w:tcPr>
            <w:tcW w:w="1123" w:type="dxa"/>
            <w:vAlign w:val="top"/>
          </w:tcPr>
          <w:p>
            <w:pPr>
              <w:ind w:right="18"/>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0.22</w:t>
            </w:r>
          </w:p>
        </w:tc>
        <w:tc>
          <w:tcPr>
            <w:tcW w:w="1053" w:type="dxa"/>
            <w:vAlign w:val="top"/>
          </w:tcPr>
          <w:p>
            <w:pPr>
              <w:pStyle w:val="TableText"/>
              <w:rPr/>
            </w:pPr>
            <w:r/>
          </w:p>
        </w:tc>
      </w:tr>
      <w:tr>
        <w:trPr>
          <w:trHeight w:val="293" w:hRule="atLeast"/>
        </w:trPr>
        <w:tc>
          <w:tcPr>
            <w:tcW w:w="3375" w:type="dxa"/>
            <w:vAlign w:val="top"/>
          </w:tcPr>
          <w:p>
            <w:pPr>
              <w:ind w:left="331"/>
              <w:spacing w:before="74" w:line="230" w:lineRule="auto"/>
              <w:rPr>
                <w:rFonts w:ascii="SimSun" w:hAnsi="SimSun" w:eastAsia="SimSun" w:cs="SimSun"/>
                <w:sz w:val="15"/>
                <w:szCs w:val="15"/>
              </w:rPr>
            </w:pPr>
            <w:r>
              <w:rPr>
                <w:rFonts w:ascii="SimSun" w:hAnsi="SimSun" w:eastAsia="SimSun" w:cs="SimSun"/>
                <w:sz w:val="15"/>
                <w:szCs w:val="15"/>
                <w:color w:val="212529"/>
                <w:spacing w:val="10"/>
              </w:rPr>
              <w:t>住房公积金</w:t>
            </w:r>
          </w:p>
        </w:tc>
        <w:tc>
          <w:tcPr>
            <w:tcW w:w="2322"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123" w:type="dxa"/>
            <w:vAlign w:val="top"/>
          </w:tcPr>
          <w:p>
            <w:pPr>
              <w:ind w:right="18"/>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8.01</w:t>
            </w:r>
          </w:p>
        </w:tc>
        <w:tc>
          <w:tcPr>
            <w:tcW w:w="1053" w:type="dxa"/>
            <w:vAlign w:val="top"/>
          </w:tcPr>
          <w:p>
            <w:pPr>
              <w:pStyle w:val="TableText"/>
              <w:rPr/>
            </w:pPr>
            <w:r/>
          </w:p>
        </w:tc>
      </w:tr>
      <w:tr>
        <w:trPr>
          <w:trHeight w:val="292" w:hRule="atLeast"/>
        </w:trPr>
        <w:tc>
          <w:tcPr>
            <w:tcW w:w="3375"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11"/>
              </w:rPr>
              <w:t>其他工资福利支出</w:t>
            </w:r>
          </w:p>
        </w:tc>
        <w:tc>
          <w:tcPr>
            <w:tcW w:w="2322" w:type="dxa"/>
            <w:vAlign w:val="top"/>
          </w:tcPr>
          <w:p>
            <w:pPr>
              <w:ind w:left="330"/>
              <w:spacing w:before="73" w:line="230" w:lineRule="auto"/>
              <w:rPr>
                <w:rFonts w:ascii="SimSun" w:hAnsi="SimSun" w:eastAsia="SimSun" w:cs="SimSun"/>
                <w:sz w:val="15"/>
                <w:szCs w:val="15"/>
              </w:rPr>
            </w:pPr>
            <w:r>
              <w:rPr>
                <w:rFonts w:ascii="SimSun" w:hAnsi="SimSun" w:eastAsia="SimSun" w:cs="SimSun"/>
                <w:sz w:val="15"/>
                <w:szCs w:val="15"/>
                <w:color w:val="212529"/>
                <w:spacing w:val="10"/>
              </w:rPr>
              <w:t>工资福利支出</w:t>
            </w:r>
          </w:p>
        </w:tc>
        <w:tc>
          <w:tcPr>
            <w:tcW w:w="1209" w:type="dxa"/>
            <w:vAlign w:val="top"/>
          </w:tcPr>
          <w:p>
            <w:pPr>
              <w:ind w:right="23"/>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9.28</w:t>
            </w:r>
          </w:p>
        </w:tc>
        <w:tc>
          <w:tcPr>
            <w:tcW w:w="1123" w:type="dxa"/>
            <w:vAlign w:val="top"/>
          </w:tcPr>
          <w:p>
            <w:pPr>
              <w:ind w:right="18"/>
              <w:spacing w:before="7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9.28</w:t>
            </w:r>
          </w:p>
        </w:tc>
        <w:tc>
          <w:tcPr>
            <w:tcW w:w="1053" w:type="dxa"/>
            <w:vAlign w:val="top"/>
          </w:tcPr>
          <w:p>
            <w:pPr>
              <w:pStyle w:val="TableText"/>
              <w:rPr/>
            </w:pPr>
            <w:r/>
          </w:p>
        </w:tc>
      </w:tr>
      <w:tr>
        <w:trPr>
          <w:trHeight w:val="293" w:hRule="atLeast"/>
        </w:trPr>
        <w:tc>
          <w:tcPr>
            <w:tcW w:w="3375" w:type="dxa"/>
            <w:vAlign w:val="top"/>
          </w:tcPr>
          <w:p>
            <w:pPr>
              <w:ind w:left="9"/>
              <w:spacing w:before="74"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2322" w:type="dxa"/>
            <w:vAlign w:val="top"/>
          </w:tcPr>
          <w:p>
            <w:pPr>
              <w:pStyle w:val="TableText"/>
              <w:rPr/>
            </w:pPr>
            <w:r/>
          </w:p>
        </w:tc>
        <w:tc>
          <w:tcPr>
            <w:tcW w:w="1209" w:type="dxa"/>
            <w:vAlign w:val="top"/>
          </w:tcPr>
          <w:p>
            <w:pPr>
              <w:ind w:right="23"/>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6.10</w:t>
            </w:r>
          </w:p>
        </w:tc>
        <w:tc>
          <w:tcPr>
            <w:tcW w:w="1123" w:type="dxa"/>
            <w:vAlign w:val="top"/>
          </w:tcPr>
          <w:p>
            <w:pPr>
              <w:pStyle w:val="TableText"/>
              <w:rPr/>
            </w:pPr>
            <w:r/>
          </w:p>
        </w:tc>
        <w:tc>
          <w:tcPr>
            <w:tcW w:w="1053"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6.10</w:t>
            </w:r>
          </w:p>
        </w:tc>
      </w:tr>
      <w:tr>
        <w:trPr>
          <w:trHeight w:val="292" w:hRule="atLeast"/>
        </w:trPr>
        <w:tc>
          <w:tcPr>
            <w:tcW w:w="3375" w:type="dxa"/>
            <w:vAlign w:val="top"/>
          </w:tcPr>
          <w:p>
            <w:pPr>
              <w:ind w:left="334"/>
              <w:spacing w:before="74" w:line="229" w:lineRule="auto"/>
              <w:rPr>
                <w:rFonts w:ascii="SimSun" w:hAnsi="SimSun" w:eastAsia="SimSun" w:cs="SimSun"/>
                <w:sz w:val="15"/>
                <w:szCs w:val="15"/>
              </w:rPr>
            </w:pPr>
            <w:r>
              <w:rPr>
                <w:rFonts w:ascii="SimSun" w:hAnsi="SimSun" w:eastAsia="SimSun" w:cs="SimSun"/>
                <w:sz w:val="15"/>
                <w:szCs w:val="15"/>
                <w:color w:val="212529"/>
                <w:spacing w:val="7"/>
              </w:rPr>
              <w:t>办公费</w:t>
            </w:r>
          </w:p>
        </w:tc>
        <w:tc>
          <w:tcPr>
            <w:tcW w:w="2322" w:type="dxa"/>
            <w:vAlign w:val="top"/>
          </w:tcPr>
          <w:p>
            <w:pPr>
              <w:ind w:left="330"/>
              <w:spacing w:before="74"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209" w:type="dxa"/>
            <w:vAlign w:val="top"/>
          </w:tcPr>
          <w:p>
            <w:pPr>
              <w:ind w:right="23"/>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c>
          <w:tcPr>
            <w:tcW w:w="1123" w:type="dxa"/>
            <w:vAlign w:val="top"/>
          </w:tcPr>
          <w:p>
            <w:pPr>
              <w:pStyle w:val="TableText"/>
              <w:rPr/>
            </w:pPr>
            <w:r/>
          </w:p>
        </w:tc>
        <w:tc>
          <w:tcPr>
            <w:tcW w:w="1053"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1.00</w:t>
            </w:r>
          </w:p>
        </w:tc>
      </w:tr>
      <w:tr>
        <w:trPr>
          <w:trHeight w:val="293" w:hRule="atLeast"/>
        </w:trPr>
        <w:tc>
          <w:tcPr>
            <w:tcW w:w="3375" w:type="dxa"/>
            <w:vAlign w:val="top"/>
          </w:tcPr>
          <w:p>
            <w:pPr>
              <w:ind w:left="333"/>
              <w:spacing w:before="75" w:line="228" w:lineRule="auto"/>
              <w:rPr>
                <w:rFonts w:ascii="SimSun" w:hAnsi="SimSun" w:eastAsia="SimSun" w:cs="SimSun"/>
                <w:sz w:val="15"/>
                <w:szCs w:val="15"/>
              </w:rPr>
            </w:pPr>
            <w:r>
              <w:rPr>
                <w:rFonts w:ascii="SimSun" w:hAnsi="SimSun" w:eastAsia="SimSun" w:cs="SimSun"/>
                <w:sz w:val="15"/>
                <w:szCs w:val="15"/>
                <w:color w:val="212529"/>
                <w:spacing w:val="9"/>
              </w:rPr>
              <w:t>工会经费</w:t>
            </w:r>
          </w:p>
        </w:tc>
        <w:tc>
          <w:tcPr>
            <w:tcW w:w="2322"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209" w:type="dxa"/>
            <w:vAlign w:val="top"/>
          </w:tcPr>
          <w:p>
            <w:pPr>
              <w:ind w:right="23"/>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1.21</w:t>
            </w:r>
          </w:p>
        </w:tc>
        <w:tc>
          <w:tcPr>
            <w:tcW w:w="1123" w:type="dxa"/>
            <w:vAlign w:val="top"/>
          </w:tcPr>
          <w:p>
            <w:pPr>
              <w:pStyle w:val="TableText"/>
              <w:rPr/>
            </w:pPr>
            <w:r/>
          </w:p>
        </w:tc>
        <w:tc>
          <w:tcPr>
            <w:tcW w:w="1053"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1.21</w:t>
            </w:r>
          </w:p>
        </w:tc>
      </w:tr>
      <w:tr>
        <w:trPr>
          <w:trHeight w:val="293" w:hRule="atLeast"/>
        </w:trPr>
        <w:tc>
          <w:tcPr>
            <w:tcW w:w="3375"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9"/>
              </w:rPr>
              <w:t>福利费</w:t>
            </w:r>
          </w:p>
        </w:tc>
        <w:tc>
          <w:tcPr>
            <w:tcW w:w="2322" w:type="dxa"/>
            <w:vAlign w:val="top"/>
          </w:tcPr>
          <w:p>
            <w:pPr>
              <w:ind w:left="330"/>
              <w:spacing w:before="74"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209" w:type="dxa"/>
            <w:vAlign w:val="top"/>
          </w:tcPr>
          <w:p>
            <w:pPr>
              <w:ind w:right="23"/>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2.12</w:t>
            </w:r>
          </w:p>
        </w:tc>
        <w:tc>
          <w:tcPr>
            <w:tcW w:w="1123" w:type="dxa"/>
            <w:vAlign w:val="top"/>
          </w:tcPr>
          <w:p>
            <w:pPr>
              <w:pStyle w:val="TableText"/>
              <w:rPr/>
            </w:pPr>
            <w:r/>
          </w:p>
        </w:tc>
        <w:tc>
          <w:tcPr>
            <w:tcW w:w="1053"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2.12</w:t>
            </w:r>
          </w:p>
        </w:tc>
      </w:tr>
      <w:tr>
        <w:trPr>
          <w:trHeight w:val="292" w:hRule="atLeast"/>
        </w:trPr>
        <w:tc>
          <w:tcPr>
            <w:tcW w:w="3375" w:type="dxa"/>
            <w:vAlign w:val="top"/>
          </w:tcPr>
          <w:p>
            <w:pPr>
              <w:ind w:left="330"/>
              <w:spacing w:before="74" w:line="230" w:lineRule="auto"/>
              <w:rPr>
                <w:rFonts w:ascii="SimSun" w:hAnsi="SimSun" w:eastAsia="SimSun" w:cs="SimSun"/>
                <w:sz w:val="15"/>
                <w:szCs w:val="15"/>
              </w:rPr>
            </w:pPr>
            <w:r>
              <w:rPr>
                <w:rFonts w:ascii="SimSun" w:hAnsi="SimSun" w:eastAsia="SimSun" w:cs="SimSun"/>
                <w:sz w:val="15"/>
                <w:szCs w:val="15"/>
                <w:color w:val="212529"/>
                <w:spacing w:val="10"/>
              </w:rPr>
              <w:t>其他交通费用</w:t>
            </w:r>
          </w:p>
        </w:tc>
        <w:tc>
          <w:tcPr>
            <w:tcW w:w="2322" w:type="dxa"/>
            <w:vAlign w:val="top"/>
          </w:tcPr>
          <w:p>
            <w:pPr>
              <w:ind w:left="330"/>
              <w:spacing w:before="74"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209" w:type="dxa"/>
            <w:vAlign w:val="top"/>
          </w:tcPr>
          <w:p>
            <w:pPr>
              <w:ind w:right="23"/>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0.66</w:t>
            </w:r>
          </w:p>
        </w:tc>
        <w:tc>
          <w:tcPr>
            <w:tcW w:w="1123" w:type="dxa"/>
            <w:vAlign w:val="top"/>
          </w:tcPr>
          <w:p>
            <w:pPr>
              <w:pStyle w:val="TableText"/>
              <w:rPr/>
            </w:pPr>
            <w:r/>
          </w:p>
        </w:tc>
        <w:tc>
          <w:tcPr>
            <w:tcW w:w="1053" w:type="dxa"/>
            <w:vAlign w:val="top"/>
          </w:tcPr>
          <w:p>
            <w:pPr>
              <w:ind w:right="22"/>
              <w:spacing w:before="74"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0.66</w:t>
            </w:r>
          </w:p>
        </w:tc>
      </w:tr>
      <w:tr>
        <w:trPr>
          <w:trHeight w:val="298" w:hRule="atLeast"/>
        </w:trPr>
        <w:tc>
          <w:tcPr>
            <w:tcW w:w="3375"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1"/>
              </w:rPr>
              <w:t>其他商品和服务支出</w:t>
            </w:r>
          </w:p>
        </w:tc>
        <w:tc>
          <w:tcPr>
            <w:tcW w:w="2322" w:type="dxa"/>
            <w:vAlign w:val="top"/>
          </w:tcPr>
          <w:p>
            <w:pPr>
              <w:ind w:left="330"/>
              <w:spacing w:before="75" w:line="229" w:lineRule="auto"/>
              <w:rPr>
                <w:rFonts w:ascii="SimSun" w:hAnsi="SimSun" w:eastAsia="SimSun" w:cs="SimSun"/>
                <w:sz w:val="15"/>
                <w:szCs w:val="15"/>
              </w:rPr>
            </w:pPr>
            <w:r>
              <w:rPr>
                <w:rFonts w:ascii="SimSun" w:hAnsi="SimSun" w:eastAsia="SimSun" w:cs="SimSun"/>
                <w:sz w:val="15"/>
                <w:szCs w:val="15"/>
                <w:color w:val="212529"/>
                <w:spacing w:val="10"/>
              </w:rPr>
              <w:t>商品和服务支出</w:t>
            </w:r>
          </w:p>
        </w:tc>
        <w:tc>
          <w:tcPr>
            <w:tcW w:w="1209" w:type="dxa"/>
            <w:vAlign w:val="top"/>
          </w:tcPr>
          <w:p>
            <w:pPr>
              <w:ind w:right="23"/>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1.10</w:t>
            </w:r>
          </w:p>
        </w:tc>
        <w:tc>
          <w:tcPr>
            <w:tcW w:w="1123" w:type="dxa"/>
            <w:vAlign w:val="top"/>
          </w:tcPr>
          <w:p>
            <w:pPr>
              <w:pStyle w:val="TableText"/>
              <w:rPr/>
            </w:pPr>
            <w:r/>
          </w:p>
        </w:tc>
        <w:tc>
          <w:tcPr>
            <w:tcW w:w="1053" w:type="dxa"/>
            <w:vAlign w:val="top"/>
          </w:tcPr>
          <w:p>
            <w:pPr>
              <w:ind w:right="22"/>
              <w:spacing w:before="75" w:line="202" w:lineRule="exact"/>
              <w:jc w:val="right"/>
              <w:rPr>
                <w:rFonts w:ascii="SimSun" w:hAnsi="SimSun" w:eastAsia="SimSun" w:cs="SimSun"/>
                <w:sz w:val="15"/>
                <w:szCs w:val="15"/>
              </w:rPr>
            </w:pPr>
            <w:r>
              <w:rPr>
                <w:rFonts w:ascii="SimSun" w:hAnsi="SimSun" w:eastAsia="SimSun" w:cs="SimSun"/>
                <w:sz w:val="15"/>
                <w:szCs w:val="15"/>
                <w:color w:val="212529"/>
                <w:spacing w:val="1"/>
                <w:position w:val="1"/>
              </w:rPr>
              <w:t>1.10</w:t>
            </w:r>
          </w:p>
        </w:tc>
      </w:tr>
    </w:tbl>
    <w:p>
      <w:pPr>
        <w:rPr>
          <w:rFonts w:ascii="Arial"/>
          <w:sz w:val="21"/>
        </w:rPr>
      </w:pPr>
      <w:r/>
    </w:p>
    <w:p>
      <w:pPr>
        <w:sectPr>
          <w:footerReference w:type="default" r:id="rId14"/>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360"/>
        <w:gridCol w:w="4838"/>
        <w:gridCol w:w="1960"/>
      </w:tblGrid>
      <w:tr>
        <w:trPr>
          <w:trHeight w:val="383" w:hRule="atLeast"/>
        </w:trPr>
        <w:tc>
          <w:tcPr>
            <w:tcW w:w="23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4838"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960" w:type="dxa"/>
            <w:vAlign w:val="top"/>
            <w:tcBorders>
              <w:bottom w:val="single" w:color="FFFFFF" w:sz="4" w:space="0"/>
              <w:top w:val="single" w:color="FFFFFF" w:sz="4" w:space="0"/>
              <w:left w:val="single" w:color="FFFFFF" w:sz="2" w:space="0"/>
              <w:right w:val="single" w:color="FFFFFF" w:sz="2" w:space="0"/>
            </w:tcBorders>
          </w:tcPr>
          <w:p>
            <w:pPr>
              <w:ind w:left="1222"/>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预算公开表7</w:t>
            </w:r>
          </w:p>
        </w:tc>
      </w:tr>
      <w:tr>
        <w:trPr>
          <w:trHeight w:val="378" w:hRule="atLeast"/>
        </w:trPr>
        <w:tc>
          <w:tcPr>
            <w:tcW w:w="9158" w:type="dxa"/>
            <w:vAlign w:val="top"/>
            <w:gridSpan w:val="3"/>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2" w:id="24"/>
            <w:bookmarkEnd w:id="24"/>
            <w:bookmarkStart w:name="bookmark12" w:id="25"/>
            <w:bookmarkEnd w:id="25"/>
            <w:r>
              <w:rPr>
                <w:rFonts w:ascii="Microsoft YaHei" w:hAnsi="Microsoft YaHei" w:eastAsia="Microsoft YaHei" w:cs="Microsoft YaHei"/>
                <w:sz w:val="20"/>
                <w:szCs w:val="20"/>
                <w:color w:val="212529"/>
                <w:position w:val="-1"/>
              </w:rPr>
              <w:t>2025年政府性基金预算收入表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7198" w:type="dxa"/>
            <w:vAlign w:val="top"/>
            <w:gridSpan w:val="2"/>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960" w:type="dxa"/>
            <w:vAlign w:val="top"/>
            <w:tcBorders>
              <w:top w:val="single" w:color="FFFFFF" w:sz="4" w:space="0"/>
              <w:left w:val="single" w:color="FFFFFF" w:sz="2" w:space="0"/>
              <w:right w:val="single" w:color="FFFFFF" w:sz="2" w:space="0"/>
            </w:tcBorders>
          </w:tcPr>
          <w:p>
            <w:pPr>
              <w:ind w:left="1352"/>
              <w:spacing w:before="124"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7198" w:type="dxa"/>
            <w:vAlign w:val="top"/>
            <w:gridSpan w:val="2"/>
          </w:tcPr>
          <w:p>
            <w:pPr>
              <w:ind w:left="3423"/>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1960" w:type="dxa"/>
            <w:vAlign w:val="top"/>
            <w:vMerge w:val="restart"/>
            <w:tcBorders>
              <w:bottom w:val="nil"/>
            </w:tcBorders>
          </w:tcPr>
          <w:p>
            <w:pPr>
              <w:ind w:left="237"/>
              <w:spacing w:before="304"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政府性基金收入预算</w:t>
            </w:r>
          </w:p>
        </w:tc>
      </w:tr>
      <w:tr>
        <w:trPr>
          <w:trHeight w:val="378" w:hRule="atLeast"/>
        </w:trPr>
        <w:tc>
          <w:tcPr>
            <w:tcW w:w="2360" w:type="dxa"/>
            <w:vAlign w:val="top"/>
          </w:tcPr>
          <w:p>
            <w:pPr>
              <w:ind w:left="684"/>
              <w:spacing w:before="111"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4838" w:type="dxa"/>
            <w:vAlign w:val="top"/>
          </w:tcPr>
          <w:p>
            <w:pPr>
              <w:ind w:left="2076"/>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960" w:type="dxa"/>
            <w:vAlign w:val="top"/>
            <w:vMerge w:val="continue"/>
            <w:tcBorders>
              <w:top w:val="nil"/>
            </w:tcBorders>
          </w:tcPr>
          <w:p>
            <w:pPr>
              <w:pStyle w:val="TableText"/>
              <w:rPr/>
            </w:pPr>
            <w:r/>
          </w:p>
        </w:tc>
      </w:tr>
      <w:tr>
        <w:trPr>
          <w:trHeight w:val="378" w:hRule="atLeast"/>
        </w:trPr>
        <w:tc>
          <w:tcPr>
            <w:tcW w:w="7198" w:type="dxa"/>
            <w:vAlign w:val="top"/>
            <w:gridSpan w:val="2"/>
          </w:tcPr>
          <w:p>
            <w:pPr>
              <w:ind w:left="342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960" w:type="dxa"/>
            <w:vAlign w:val="top"/>
          </w:tcPr>
          <w:p>
            <w:pPr>
              <w:pStyle w:val="TableText"/>
              <w:rPr/>
            </w:pPr>
            <w:r/>
          </w:p>
        </w:tc>
      </w:tr>
      <w:tr>
        <w:trPr>
          <w:trHeight w:val="378" w:hRule="atLeast"/>
        </w:trPr>
        <w:tc>
          <w:tcPr>
            <w:tcW w:w="2360" w:type="dxa"/>
            <w:vAlign w:val="top"/>
          </w:tcPr>
          <w:p>
            <w:pPr>
              <w:pStyle w:val="TableText"/>
              <w:rPr/>
            </w:pPr>
            <w:r/>
          </w:p>
        </w:tc>
        <w:tc>
          <w:tcPr>
            <w:tcW w:w="4838" w:type="dxa"/>
            <w:vAlign w:val="top"/>
          </w:tcPr>
          <w:p>
            <w:pPr>
              <w:pStyle w:val="TableText"/>
              <w:rPr/>
            </w:pPr>
            <w:r/>
          </w:p>
        </w:tc>
        <w:tc>
          <w:tcPr>
            <w:tcW w:w="1960" w:type="dxa"/>
            <w:vAlign w:val="top"/>
          </w:tcPr>
          <w:p>
            <w:pPr>
              <w:pStyle w:val="TableText"/>
              <w:rPr/>
            </w:pPr>
            <w:r/>
          </w:p>
        </w:tc>
      </w:tr>
      <w:tr>
        <w:trPr>
          <w:trHeight w:val="383" w:hRule="atLeast"/>
        </w:trPr>
        <w:tc>
          <w:tcPr>
            <w:tcW w:w="9158" w:type="dxa"/>
            <w:vAlign w:val="top"/>
            <w:gridSpan w:val="3"/>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rPr>
          <w:rFonts w:ascii="Arial"/>
          <w:sz w:val="21"/>
        </w:rPr>
      </w:pPr>
      <w:r/>
    </w:p>
    <w:p>
      <w:pPr>
        <w:sectPr>
          <w:footerReference w:type="default" r:id="rId15"/>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2122"/>
        <w:gridCol w:w="3553"/>
        <w:gridCol w:w="1145"/>
        <w:gridCol w:w="1156"/>
        <w:gridCol w:w="1182"/>
      </w:tblGrid>
      <w:tr>
        <w:trPr>
          <w:trHeight w:val="383" w:hRule="atLeast"/>
        </w:trPr>
        <w:tc>
          <w:tcPr>
            <w:tcW w:w="2122"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355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4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5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182" w:type="dxa"/>
            <w:vAlign w:val="top"/>
            <w:tcBorders>
              <w:bottom w:val="single" w:color="FFFFFF" w:sz="4" w:space="0"/>
              <w:top w:val="single" w:color="FFFFFF" w:sz="4" w:space="0"/>
              <w:left w:val="single" w:color="FFFFFF" w:sz="2" w:space="0"/>
              <w:right w:val="single" w:color="FFFFFF" w:sz="2" w:space="0"/>
            </w:tcBorders>
          </w:tcPr>
          <w:p>
            <w:pPr>
              <w:ind w:left="443"/>
              <w:spacing w:before="127" w:line="234" w:lineRule="auto"/>
              <w:rPr>
                <w:rFonts w:ascii="SimSun" w:hAnsi="SimSun" w:eastAsia="SimSun" w:cs="SimSun"/>
                <w:sz w:val="12"/>
                <w:szCs w:val="12"/>
              </w:rPr>
            </w:pPr>
            <w:r>
              <w:rPr>
                <w:rFonts w:ascii="SimSun" w:hAnsi="SimSun" w:eastAsia="SimSun" w:cs="SimSun"/>
                <w:sz w:val="12"/>
                <w:szCs w:val="12"/>
                <w:color w:val="212529"/>
                <w:spacing w:val="8"/>
              </w:rPr>
              <w:t>预算公开表8</w:t>
            </w:r>
          </w:p>
        </w:tc>
      </w:tr>
      <w:tr>
        <w:trPr>
          <w:trHeight w:val="377"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455"/>
              <w:spacing w:before="79" w:line="201" w:lineRule="exact"/>
              <w:outlineLvl w:val="1"/>
              <w:rPr>
                <w:rFonts w:ascii="Microsoft YaHei" w:hAnsi="Microsoft YaHei" w:eastAsia="Microsoft YaHei" w:cs="Microsoft YaHei"/>
                <w:sz w:val="20"/>
                <w:szCs w:val="20"/>
              </w:rPr>
            </w:pPr>
            <w:bookmarkStart w:name="bookmark43" w:id="26"/>
            <w:bookmarkEnd w:id="26"/>
            <w:bookmarkStart w:name="bookmark13" w:id="27"/>
            <w:bookmarkEnd w:id="27"/>
            <w:r>
              <w:rPr>
                <w:rFonts w:ascii="Microsoft YaHei" w:hAnsi="Microsoft YaHei" w:eastAsia="Microsoft YaHei" w:cs="Microsoft YaHei"/>
                <w:sz w:val="20"/>
                <w:szCs w:val="20"/>
                <w:color w:val="212529"/>
                <w:position w:val="-1"/>
              </w:rPr>
              <w:t>2025年政府性基金预算支出表</w:t>
            </w:r>
            <w:r>
              <w:rPr>
                <w:rFonts w:ascii="Microsoft YaHei" w:hAnsi="Microsoft YaHei" w:eastAsia="Microsoft YaHei" w:cs="Microsoft YaHei"/>
                <w:sz w:val="20"/>
                <w:szCs w:val="20"/>
                <w:color w:val="212529"/>
                <w:spacing w:val="56"/>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5675" w:type="dxa"/>
            <w:vAlign w:val="top"/>
            <w:gridSpan w:val="2"/>
            <w:tcBorders>
              <w:top w:val="single" w:color="FFFFFF" w:sz="4" w:space="0"/>
              <w:left w:val="single" w:color="FFFFFF" w:sz="2" w:space="0"/>
              <w:right w:val="single" w:color="FFFFFF" w:sz="2" w:space="0"/>
            </w:tcBorders>
          </w:tcPr>
          <w:p>
            <w:pPr>
              <w:ind w:left="9"/>
              <w:spacing w:before="125"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145" w:type="dxa"/>
            <w:vAlign w:val="top"/>
            <w:tcBorders>
              <w:top w:val="single" w:color="FFFFFF" w:sz="4" w:space="0"/>
              <w:left w:val="single" w:color="FFFFFF" w:sz="2" w:space="0"/>
              <w:right w:val="single" w:color="FFFFFF" w:sz="2" w:space="0"/>
            </w:tcBorders>
          </w:tcPr>
          <w:p>
            <w:pPr>
              <w:pStyle w:val="TableText"/>
              <w:rPr/>
            </w:pPr>
            <w:r/>
          </w:p>
        </w:tc>
        <w:tc>
          <w:tcPr>
            <w:tcW w:w="1156" w:type="dxa"/>
            <w:vAlign w:val="top"/>
            <w:tcBorders>
              <w:top w:val="single" w:color="FFFFFF" w:sz="4" w:space="0"/>
              <w:left w:val="single" w:color="FFFFFF" w:sz="2" w:space="0"/>
              <w:right w:val="single" w:color="FFFFFF" w:sz="2" w:space="0"/>
            </w:tcBorders>
          </w:tcPr>
          <w:p>
            <w:pPr>
              <w:pStyle w:val="TableText"/>
              <w:rPr/>
            </w:pPr>
            <w:r/>
          </w:p>
        </w:tc>
        <w:tc>
          <w:tcPr>
            <w:tcW w:w="1182" w:type="dxa"/>
            <w:vAlign w:val="top"/>
            <w:tcBorders>
              <w:top w:val="single" w:color="FFFFFF" w:sz="4" w:space="0"/>
              <w:left w:val="single" w:color="FFFFFF" w:sz="2" w:space="0"/>
              <w:right w:val="single" w:color="FFFFFF" w:sz="2" w:space="0"/>
            </w:tcBorders>
          </w:tcPr>
          <w:p>
            <w:pPr>
              <w:ind w:left="574"/>
              <w:spacing w:before="125" w:line="235"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2122" w:type="dxa"/>
            <w:vAlign w:val="top"/>
          </w:tcPr>
          <w:p>
            <w:pPr>
              <w:ind w:left="721"/>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3553" w:type="dxa"/>
            <w:vAlign w:val="top"/>
          </w:tcPr>
          <w:p>
            <w:pPr>
              <w:ind w:left="1437"/>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1145" w:type="dxa"/>
            <w:vAlign w:val="top"/>
          </w:tcPr>
          <w:p>
            <w:pPr>
              <w:ind w:left="404"/>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56" w:type="dxa"/>
            <w:vAlign w:val="top"/>
          </w:tcPr>
          <w:p>
            <w:pPr>
              <w:ind w:left="241"/>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1182" w:type="dxa"/>
            <w:vAlign w:val="top"/>
          </w:tcPr>
          <w:p>
            <w:pPr>
              <w:ind w:left="254"/>
              <w:spacing w:before="111"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5675" w:type="dxa"/>
            <w:vAlign w:val="top"/>
            <w:gridSpan w:val="2"/>
          </w:tcPr>
          <w:p>
            <w:pPr>
              <w:ind w:left="2666"/>
              <w:spacing w:before="113"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78" w:hRule="atLeast"/>
        </w:trPr>
        <w:tc>
          <w:tcPr>
            <w:tcW w:w="2122" w:type="dxa"/>
            <w:vAlign w:val="top"/>
          </w:tcPr>
          <w:p>
            <w:pPr>
              <w:pStyle w:val="TableText"/>
              <w:rPr/>
            </w:pPr>
            <w:r/>
          </w:p>
        </w:tc>
        <w:tc>
          <w:tcPr>
            <w:tcW w:w="3553" w:type="dxa"/>
            <w:vAlign w:val="top"/>
          </w:tcPr>
          <w:p>
            <w:pPr>
              <w:pStyle w:val="TableText"/>
              <w:rPr/>
            </w:pPr>
            <w:r/>
          </w:p>
        </w:tc>
        <w:tc>
          <w:tcPr>
            <w:tcW w:w="1145" w:type="dxa"/>
            <w:vAlign w:val="top"/>
          </w:tcPr>
          <w:p>
            <w:pPr>
              <w:pStyle w:val="TableText"/>
              <w:rPr/>
            </w:pPr>
            <w:r/>
          </w:p>
        </w:tc>
        <w:tc>
          <w:tcPr>
            <w:tcW w:w="1156" w:type="dxa"/>
            <w:vAlign w:val="top"/>
          </w:tcPr>
          <w:p>
            <w:pPr>
              <w:pStyle w:val="TableText"/>
              <w:rPr/>
            </w:pPr>
            <w:r/>
          </w:p>
        </w:tc>
        <w:tc>
          <w:tcPr>
            <w:tcW w:w="1182" w:type="dxa"/>
            <w:vAlign w:val="top"/>
          </w:tcPr>
          <w:p>
            <w:pPr>
              <w:pStyle w:val="TableText"/>
              <w:rPr/>
            </w:pPr>
            <w:r/>
          </w:p>
        </w:tc>
      </w:tr>
      <w:tr>
        <w:trPr>
          <w:trHeight w:val="383" w:hRule="atLeast"/>
        </w:trPr>
        <w:tc>
          <w:tcPr>
            <w:tcW w:w="9158" w:type="dxa"/>
            <w:vAlign w:val="top"/>
            <w:gridSpan w:val="5"/>
            <w:tcBorders>
              <w:left w:val="single" w:color="FFFFFF" w:sz="4" w:space="0"/>
              <w:bottom w:val="single" w:color="FFFFFF" w:sz="4" w:space="0"/>
              <w:right w:val="single" w:color="FFFFFF" w:sz="4"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r>
    </w:tbl>
    <w:p>
      <w:pPr>
        <w:rPr>
          <w:rFonts w:ascii="Arial"/>
          <w:sz w:val="21"/>
        </w:rPr>
      </w:pPr>
      <w:r/>
    </w:p>
    <w:p>
      <w:pPr>
        <w:sectPr>
          <w:footerReference w:type="default" r:id="rId16"/>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1139"/>
        <w:gridCol w:w="1760"/>
        <w:gridCol w:w="951"/>
        <w:gridCol w:w="961"/>
        <w:gridCol w:w="1436"/>
        <w:gridCol w:w="983"/>
        <w:gridCol w:w="940"/>
        <w:gridCol w:w="988"/>
      </w:tblGrid>
      <w:tr>
        <w:trPr>
          <w:trHeight w:val="383" w:hRule="atLeast"/>
        </w:trPr>
        <w:tc>
          <w:tcPr>
            <w:tcW w:w="113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76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5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61"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43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3"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4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988" w:type="dxa"/>
            <w:vAlign w:val="top"/>
            <w:tcBorders>
              <w:bottom w:val="single" w:color="FFFFFF" w:sz="4" w:space="0"/>
              <w:top w:val="single" w:color="FFFFFF" w:sz="4" w:space="0"/>
              <w:left w:val="single" w:color="FFFFFF" w:sz="2" w:space="0"/>
              <w:right w:val="single" w:color="FFFFFF" w:sz="2" w:space="0"/>
            </w:tcBorders>
          </w:tcPr>
          <w:p>
            <w:pPr>
              <w:ind w:left="251"/>
              <w:spacing w:before="235" w:line="211" w:lineRule="auto"/>
              <w:rPr>
                <w:rFonts w:ascii="SimSun" w:hAnsi="SimSun" w:eastAsia="SimSun" w:cs="SimSun"/>
                <w:sz w:val="12"/>
                <w:szCs w:val="12"/>
              </w:rPr>
            </w:pPr>
            <w:r>
              <w:rPr>
                <w:rFonts w:ascii="SimSun" w:hAnsi="SimSun" w:eastAsia="SimSun" w:cs="SimSun"/>
                <w:sz w:val="12"/>
                <w:szCs w:val="12"/>
                <w:color w:val="212529"/>
                <w:spacing w:val="7"/>
              </w:rPr>
              <w:t>部门公开表9</w:t>
            </w:r>
          </w:p>
        </w:tc>
      </w:tr>
      <w:tr>
        <w:trPr>
          <w:trHeight w:val="378" w:hRule="atLeast"/>
        </w:trPr>
        <w:tc>
          <w:tcPr>
            <w:tcW w:w="9158" w:type="dxa"/>
            <w:vAlign w:val="top"/>
            <w:gridSpan w:val="8"/>
            <w:tcBorders>
              <w:left w:val="single" w:color="FFFFFF" w:sz="4" w:space="0"/>
              <w:bottom w:val="single" w:color="FFFFFF" w:sz="4" w:space="0"/>
              <w:right w:val="single" w:color="FFFFFF" w:sz="4" w:space="0"/>
              <w:top w:val="single" w:color="FFFFFF" w:sz="4" w:space="0"/>
            </w:tcBorders>
          </w:tcPr>
          <w:p>
            <w:pPr>
              <w:ind w:left="2153"/>
              <w:spacing w:before="80" w:line="201" w:lineRule="exact"/>
              <w:rPr>
                <w:rFonts w:ascii="Microsoft YaHei" w:hAnsi="Microsoft YaHei" w:eastAsia="Microsoft YaHei" w:cs="Microsoft YaHei"/>
                <w:sz w:val="20"/>
                <w:szCs w:val="20"/>
              </w:rPr>
            </w:pPr>
            <w:r>
              <w:rPr>
                <w:rFonts w:ascii="Microsoft YaHei" w:hAnsi="Microsoft YaHei" w:eastAsia="Microsoft YaHei" w:cs="Microsoft YaHei"/>
                <w:sz w:val="20"/>
                <w:szCs w:val="20"/>
                <w:color w:val="212529"/>
                <w:position w:val="-1"/>
              </w:rPr>
              <w:t>2025年国有资本经营预算收支预算表</w:t>
            </w:r>
            <w:r>
              <w:rPr>
                <w:rFonts w:ascii="Microsoft YaHei" w:hAnsi="Microsoft YaHei" w:eastAsia="Microsoft YaHei" w:cs="Microsoft YaHei"/>
                <w:sz w:val="20"/>
                <w:szCs w:val="20"/>
                <w:color w:val="212529"/>
                <w:spacing w:val="61"/>
                <w:w w:val="101"/>
                <w:position w:val="-1"/>
              </w:rPr>
              <w:t xml:space="preserve"> </w:t>
            </w:r>
            <w:r>
              <w:rPr>
                <w:rFonts w:ascii="Microsoft YaHei" w:hAnsi="Microsoft YaHei" w:eastAsia="Microsoft YaHei" w:cs="Microsoft YaHei"/>
                <w:sz w:val="20"/>
                <w:szCs w:val="20"/>
                <w:color w:val="212529"/>
                <w:position w:val="-1"/>
              </w:rPr>
              <w:t>(不含上年结转)</w:t>
            </w:r>
          </w:p>
        </w:tc>
      </w:tr>
      <w:tr>
        <w:trPr>
          <w:trHeight w:val="378" w:hRule="atLeast"/>
        </w:trPr>
        <w:tc>
          <w:tcPr>
            <w:tcW w:w="8170" w:type="dxa"/>
            <w:vAlign w:val="top"/>
            <w:gridSpan w:val="7"/>
            <w:tcBorders>
              <w:top w:val="single" w:color="FFFFFF" w:sz="4" w:space="0"/>
              <w:left w:val="single" w:color="FFFFFF" w:sz="2" w:space="0"/>
              <w:right w:val="single" w:color="FFFFFF" w:sz="2"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988" w:type="dxa"/>
            <w:vAlign w:val="top"/>
            <w:tcBorders>
              <w:top w:val="single" w:color="FFFFFF" w:sz="4" w:space="0"/>
              <w:left w:val="single" w:color="FFFFFF" w:sz="2" w:space="0"/>
              <w:right w:val="single" w:color="FFFFFF" w:sz="2" w:space="0"/>
            </w:tcBorders>
          </w:tcPr>
          <w:p>
            <w:pPr>
              <w:ind w:left="315"/>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3850" w:type="dxa"/>
            <w:vAlign w:val="top"/>
            <w:gridSpan w:val="3"/>
          </w:tcPr>
          <w:p>
            <w:pPr>
              <w:ind w:left="1120"/>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国有资本经营预算收入</w:t>
            </w:r>
          </w:p>
        </w:tc>
        <w:tc>
          <w:tcPr>
            <w:tcW w:w="5308" w:type="dxa"/>
            <w:vAlign w:val="top"/>
            <w:gridSpan w:val="5"/>
          </w:tcPr>
          <w:p>
            <w:pPr>
              <w:ind w:left="1849"/>
              <w:spacing w:before="109"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国有资本经营预算支出</w:t>
            </w:r>
          </w:p>
        </w:tc>
      </w:tr>
      <w:tr>
        <w:trPr>
          <w:trHeight w:val="378" w:hRule="atLeast"/>
        </w:trPr>
        <w:tc>
          <w:tcPr>
            <w:tcW w:w="2899" w:type="dxa"/>
            <w:vAlign w:val="top"/>
            <w:gridSpan w:val="2"/>
          </w:tcPr>
          <w:p>
            <w:pPr>
              <w:ind w:left="1273"/>
              <w:spacing w:before="114" w:line="153"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951" w:type="dxa"/>
            <w:vAlign w:val="top"/>
            <w:vMerge w:val="restart"/>
            <w:tcBorders>
              <w:bottom w:val="nil"/>
            </w:tcBorders>
          </w:tcPr>
          <w:p>
            <w:pPr>
              <w:ind w:left="58" w:right="77" w:firstLine="15"/>
              <w:spacing w:before="218" w:line="160"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w:t>
            </w:r>
            <w:r>
              <w:rPr>
                <w:rFonts w:ascii="Microsoft YaHei" w:hAnsi="Microsoft YaHei" w:eastAsia="Microsoft YaHei" w:cs="Microsoft YaHei"/>
                <w:sz w:val="15"/>
                <w:szCs w:val="15"/>
                <w:color w:val="212529"/>
                <w:spacing w:val="10"/>
              </w:rPr>
              <w:t>营收入预算</w:t>
            </w:r>
          </w:p>
        </w:tc>
        <w:tc>
          <w:tcPr>
            <w:tcW w:w="961" w:type="dxa"/>
            <w:vAlign w:val="top"/>
            <w:vMerge w:val="restart"/>
            <w:tcBorders>
              <w:bottom w:val="nil"/>
            </w:tcBorders>
          </w:tcPr>
          <w:p>
            <w:pPr>
              <w:pStyle w:val="TableText"/>
              <w:rPr/>
            </w:pPr>
            <w:r/>
          </w:p>
          <w:p>
            <w:pPr>
              <w:ind w:left="142"/>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科目编码</w:t>
            </w:r>
          </w:p>
        </w:tc>
        <w:tc>
          <w:tcPr>
            <w:tcW w:w="1436" w:type="dxa"/>
            <w:vAlign w:val="top"/>
            <w:vMerge w:val="restart"/>
            <w:tcBorders>
              <w:bottom w:val="nil"/>
            </w:tcBorders>
          </w:tcPr>
          <w:p>
            <w:pPr>
              <w:pStyle w:val="TableText"/>
              <w:rPr/>
            </w:pPr>
            <w:r/>
          </w:p>
          <w:p>
            <w:pPr>
              <w:ind w:left="381"/>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83" w:type="dxa"/>
            <w:vAlign w:val="top"/>
            <w:vMerge w:val="restart"/>
            <w:tcBorders>
              <w:bottom w:val="nil"/>
            </w:tcBorders>
          </w:tcPr>
          <w:p>
            <w:pPr>
              <w:pStyle w:val="TableText"/>
              <w:spacing w:line="241" w:lineRule="auto"/>
              <w:rPr/>
            </w:pPr>
            <w:r/>
          </w:p>
          <w:p>
            <w:pPr>
              <w:ind w:left="32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40" w:type="dxa"/>
            <w:vAlign w:val="top"/>
            <w:vMerge w:val="restart"/>
            <w:tcBorders>
              <w:bottom w:val="nil"/>
            </w:tcBorders>
          </w:tcPr>
          <w:p>
            <w:pPr>
              <w:ind w:left="136"/>
              <w:spacing w:before="305"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8"/>
                <w:position w:val="-1"/>
              </w:rPr>
              <w:t>基本支出</w:t>
            </w:r>
          </w:p>
        </w:tc>
        <w:tc>
          <w:tcPr>
            <w:tcW w:w="988" w:type="dxa"/>
            <w:vAlign w:val="top"/>
            <w:vMerge w:val="restart"/>
            <w:tcBorders>
              <w:bottom w:val="nil"/>
            </w:tcBorders>
          </w:tcPr>
          <w:p>
            <w:pPr>
              <w:pStyle w:val="TableText"/>
              <w:rPr/>
            </w:pPr>
            <w:r/>
          </w:p>
          <w:p>
            <w:pPr>
              <w:ind w:left="159"/>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项目支出</w:t>
            </w:r>
          </w:p>
        </w:tc>
      </w:tr>
      <w:tr>
        <w:trPr>
          <w:trHeight w:val="378" w:hRule="atLeast"/>
        </w:trPr>
        <w:tc>
          <w:tcPr>
            <w:tcW w:w="1139" w:type="dxa"/>
            <w:vAlign w:val="top"/>
          </w:tcPr>
          <w:p>
            <w:pPr>
              <w:ind w:left="73"/>
              <w:spacing w:before="112"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收入科目编码</w:t>
            </w:r>
          </w:p>
        </w:tc>
        <w:tc>
          <w:tcPr>
            <w:tcW w:w="1760" w:type="dxa"/>
            <w:vAlign w:val="top"/>
          </w:tcPr>
          <w:p>
            <w:pPr>
              <w:ind w:left="536"/>
              <w:spacing w:before="112"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科目名称</w:t>
            </w:r>
          </w:p>
        </w:tc>
        <w:tc>
          <w:tcPr>
            <w:tcW w:w="951" w:type="dxa"/>
            <w:vAlign w:val="top"/>
            <w:vMerge w:val="continue"/>
            <w:tcBorders>
              <w:top w:val="nil"/>
            </w:tcBorders>
          </w:tcPr>
          <w:p>
            <w:pPr>
              <w:pStyle w:val="TableText"/>
              <w:rPr/>
            </w:pPr>
            <w:r/>
          </w:p>
        </w:tc>
        <w:tc>
          <w:tcPr>
            <w:tcW w:w="961" w:type="dxa"/>
            <w:vAlign w:val="top"/>
            <w:vMerge w:val="continue"/>
            <w:tcBorders>
              <w:top w:val="nil"/>
            </w:tcBorders>
          </w:tcPr>
          <w:p>
            <w:pPr>
              <w:pStyle w:val="TableText"/>
              <w:rPr/>
            </w:pPr>
            <w:r/>
          </w:p>
        </w:tc>
        <w:tc>
          <w:tcPr>
            <w:tcW w:w="1436" w:type="dxa"/>
            <w:vAlign w:val="top"/>
            <w:vMerge w:val="continue"/>
            <w:tcBorders>
              <w:top w:val="nil"/>
            </w:tcBorders>
          </w:tcPr>
          <w:p>
            <w:pPr>
              <w:pStyle w:val="TableText"/>
              <w:rPr/>
            </w:pPr>
            <w:r/>
          </w:p>
        </w:tc>
        <w:tc>
          <w:tcPr>
            <w:tcW w:w="983" w:type="dxa"/>
            <w:vAlign w:val="top"/>
            <w:vMerge w:val="continue"/>
            <w:tcBorders>
              <w:top w:val="nil"/>
            </w:tcBorders>
          </w:tcPr>
          <w:p>
            <w:pPr>
              <w:pStyle w:val="TableText"/>
              <w:rPr/>
            </w:pPr>
            <w:r/>
          </w:p>
        </w:tc>
        <w:tc>
          <w:tcPr>
            <w:tcW w:w="940" w:type="dxa"/>
            <w:vAlign w:val="top"/>
            <w:vMerge w:val="continue"/>
            <w:tcBorders>
              <w:top w:val="nil"/>
            </w:tcBorders>
          </w:tcPr>
          <w:p>
            <w:pPr>
              <w:pStyle w:val="TableText"/>
              <w:rPr/>
            </w:pPr>
            <w:r/>
          </w:p>
        </w:tc>
        <w:tc>
          <w:tcPr>
            <w:tcW w:w="988" w:type="dxa"/>
            <w:vAlign w:val="top"/>
            <w:vMerge w:val="continue"/>
            <w:tcBorders>
              <w:top w:val="nil"/>
            </w:tcBorders>
          </w:tcPr>
          <w:p>
            <w:pPr>
              <w:pStyle w:val="TableText"/>
              <w:rPr/>
            </w:pPr>
            <w:r/>
          </w:p>
        </w:tc>
      </w:tr>
      <w:tr>
        <w:trPr>
          <w:trHeight w:val="378" w:hRule="atLeast"/>
        </w:trPr>
        <w:tc>
          <w:tcPr>
            <w:tcW w:w="2899" w:type="dxa"/>
            <w:vAlign w:val="top"/>
            <w:gridSpan w:val="2"/>
          </w:tcPr>
          <w:p>
            <w:pPr>
              <w:ind w:left="1275"/>
              <w:spacing w:before="11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78" w:hRule="atLeast"/>
        </w:trPr>
        <w:tc>
          <w:tcPr>
            <w:tcW w:w="1139" w:type="dxa"/>
            <w:vAlign w:val="top"/>
          </w:tcPr>
          <w:p>
            <w:pPr>
              <w:pStyle w:val="TableText"/>
              <w:rPr/>
            </w:pPr>
            <w:r/>
          </w:p>
        </w:tc>
        <w:tc>
          <w:tcPr>
            <w:tcW w:w="1760" w:type="dxa"/>
            <w:vAlign w:val="top"/>
          </w:tcPr>
          <w:p>
            <w:pPr>
              <w:pStyle w:val="TableText"/>
              <w:rPr/>
            </w:pPr>
            <w:r/>
          </w:p>
        </w:tc>
        <w:tc>
          <w:tcPr>
            <w:tcW w:w="951" w:type="dxa"/>
            <w:vAlign w:val="top"/>
          </w:tcPr>
          <w:p>
            <w:pPr>
              <w:pStyle w:val="TableText"/>
              <w:rPr/>
            </w:pPr>
            <w:r/>
          </w:p>
        </w:tc>
        <w:tc>
          <w:tcPr>
            <w:tcW w:w="961" w:type="dxa"/>
            <w:vAlign w:val="top"/>
          </w:tcPr>
          <w:p>
            <w:pPr>
              <w:pStyle w:val="TableText"/>
              <w:rPr/>
            </w:pPr>
            <w:r/>
          </w:p>
        </w:tc>
        <w:tc>
          <w:tcPr>
            <w:tcW w:w="1436" w:type="dxa"/>
            <w:vAlign w:val="top"/>
          </w:tcPr>
          <w:p>
            <w:pPr>
              <w:pStyle w:val="TableText"/>
              <w:rPr/>
            </w:pPr>
            <w:r/>
          </w:p>
        </w:tc>
        <w:tc>
          <w:tcPr>
            <w:tcW w:w="983" w:type="dxa"/>
            <w:vAlign w:val="top"/>
          </w:tcPr>
          <w:p>
            <w:pPr>
              <w:pStyle w:val="TableText"/>
              <w:rPr/>
            </w:pPr>
            <w:r/>
          </w:p>
        </w:tc>
        <w:tc>
          <w:tcPr>
            <w:tcW w:w="940" w:type="dxa"/>
            <w:vAlign w:val="top"/>
          </w:tcPr>
          <w:p>
            <w:pPr>
              <w:pStyle w:val="TableText"/>
              <w:rPr/>
            </w:pPr>
            <w:r/>
          </w:p>
        </w:tc>
        <w:tc>
          <w:tcPr>
            <w:tcW w:w="988" w:type="dxa"/>
            <w:vAlign w:val="top"/>
          </w:tcPr>
          <w:p>
            <w:pPr>
              <w:pStyle w:val="TableText"/>
              <w:rPr/>
            </w:pPr>
            <w:r/>
          </w:p>
        </w:tc>
      </w:tr>
      <w:tr>
        <w:trPr>
          <w:trHeight w:val="384" w:hRule="atLeast"/>
        </w:trPr>
        <w:tc>
          <w:tcPr>
            <w:tcW w:w="9158" w:type="dxa"/>
            <w:vAlign w:val="top"/>
            <w:gridSpan w:val="8"/>
            <w:tcBorders>
              <w:bottom w:val="single" w:color="FFFFFF" w:sz="4" w:space="0"/>
              <w:left w:val="single" w:color="FFFFFF" w:sz="2" w:space="0"/>
              <w:right w:val="single" w:color="FFFFFF" w:sz="2" w:space="0"/>
            </w:tcBorders>
          </w:tcPr>
          <w:p>
            <w:pPr>
              <w:ind w:left="8"/>
              <w:spacing w:before="118" w:line="228" w:lineRule="auto"/>
              <w:rPr>
                <w:rFonts w:ascii="SimSun" w:hAnsi="SimSun" w:eastAsia="SimSun" w:cs="SimSun"/>
                <w:sz w:val="15"/>
                <w:szCs w:val="15"/>
              </w:rPr>
            </w:pPr>
            <w:r>
              <w:rPr>
                <w:rFonts w:ascii="SimSun" w:hAnsi="SimSun" w:eastAsia="SimSun" w:cs="SimSun"/>
                <w:sz w:val="15"/>
                <w:szCs w:val="15"/>
                <w:color w:val="212529"/>
                <w:spacing w:val="10"/>
              </w:rPr>
              <w:t>注：本表无数据</w:t>
            </w:r>
          </w:p>
        </w:tc>
      </w:tr>
    </w:tbl>
    <w:p>
      <w:pPr>
        <w:spacing w:before="17"/>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677"/>
        <w:gridCol w:w="1372"/>
        <w:gridCol w:w="1296"/>
        <w:gridCol w:w="1371"/>
        <w:gridCol w:w="1442"/>
      </w:tblGrid>
      <w:tr>
        <w:trPr>
          <w:trHeight w:val="384" w:hRule="atLeast"/>
        </w:trPr>
        <w:tc>
          <w:tcPr>
            <w:tcW w:w="3677"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op w:val="single" w:color="FFFFFF" w:sz="4" w:space="0"/>
            </w:tcBorders>
          </w:tcPr>
          <w:p>
            <w:pPr>
              <w:ind w:left="638"/>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预算公开表10</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556"/>
              <w:spacing w:before="78" w:line="200"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color w:val="212529"/>
                <w:spacing w:val="9"/>
                <w:position w:val="-1"/>
              </w:rPr>
              <w:t>2025年财政拨款安排</w:t>
            </w:r>
            <w:r>
              <w:rPr>
                <w:rFonts w:ascii="Microsoft YaHei" w:hAnsi="Microsoft YaHei" w:eastAsia="Microsoft YaHei" w:cs="Microsoft YaHei"/>
                <w:sz w:val="19"/>
                <w:szCs w:val="19"/>
                <w:color w:val="212529"/>
                <w:spacing w:val="23"/>
                <w:w w:val="101"/>
                <w:position w:val="-1"/>
              </w:rPr>
              <w:t xml:space="preserve"> </w:t>
            </w:r>
            <w:r>
              <w:rPr>
                <w:rFonts w:ascii="Microsoft YaHei" w:hAnsi="Microsoft YaHei" w:eastAsia="Microsoft YaHei" w:cs="Microsoft YaHei"/>
                <w:sz w:val="19"/>
                <w:szCs w:val="19"/>
                <w:color w:val="212529"/>
                <w:spacing w:val="9"/>
                <w:position w:val="-1"/>
              </w:rPr>
              <w:t>"三公"</w:t>
            </w:r>
            <w:r>
              <w:rPr>
                <w:rFonts w:ascii="Microsoft YaHei" w:hAnsi="Microsoft YaHei" w:eastAsia="Microsoft YaHei" w:cs="Microsoft YaHei"/>
                <w:sz w:val="19"/>
                <w:szCs w:val="19"/>
                <w:color w:val="212529"/>
                <w:spacing w:val="39"/>
                <w:w w:val="101"/>
                <w:position w:val="-1"/>
              </w:rPr>
              <w:t xml:space="preserve"> </w:t>
            </w:r>
            <w:r>
              <w:rPr>
                <w:rFonts w:ascii="Microsoft YaHei" w:hAnsi="Microsoft YaHei" w:eastAsia="Microsoft YaHei" w:cs="Microsoft YaHei"/>
                <w:sz w:val="19"/>
                <w:szCs w:val="19"/>
                <w:color w:val="212529"/>
                <w:spacing w:val="9"/>
                <w:position w:val="-1"/>
              </w:rPr>
              <w:t>经费支出预算表</w:t>
            </w:r>
          </w:p>
        </w:tc>
      </w:tr>
      <w:tr>
        <w:trPr>
          <w:trHeight w:val="378" w:hRule="atLeast"/>
        </w:trPr>
        <w:tc>
          <w:tcPr>
            <w:tcW w:w="6345" w:type="dxa"/>
            <w:vAlign w:val="top"/>
            <w:gridSpan w:val="3"/>
            <w:tcBorders>
              <w:left w:val="single" w:color="FFFFFF" w:sz="2" w:space="0"/>
              <w:right w:val="single" w:color="FFFFFF" w:sz="2" w:space="0"/>
              <w:top w:val="single" w:color="FFFFFF" w:sz="4" w:space="0"/>
            </w:tcBorders>
          </w:tcPr>
          <w:p>
            <w:pPr>
              <w:ind w:left="9"/>
              <w:spacing w:before="123"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371" w:type="dxa"/>
            <w:vAlign w:val="top"/>
            <w:tcBorders>
              <w:left w:val="single" w:color="FFFFFF" w:sz="2" w:space="0"/>
              <w:right w:val="single" w:color="FFFFFF" w:sz="2" w:space="0"/>
              <w:top w:val="single" w:color="FFFFFF" w:sz="4" w:space="0"/>
            </w:tcBorders>
          </w:tcPr>
          <w:p>
            <w:pPr>
              <w:pStyle w:val="TableText"/>
              <w:rPr/>
            </w:pPr>
            <w:r/>
          </w:p>
        </w:tc>
        <w:tc>
          <w:tcPr>
            <w:tcW w:w="1442" w:type="dxa"/>
            <w:vAlign w:val="top"/>
            <w:tcBorders>
              <w:left w:val="single" w:color="FFFFFF" w:sz="2" w:space="0"/>
              <w:right w:val="single" w:color="FFFFFF" w:sz="2" w:space="0"/>
              <w:top w:val="single" w:color="FFFFFF" w:sz="4" w:space="0"/>
            </w:tcBorders>
          </w:tcPr>
          <w:p>
            <w:pPr>
              <w:ind w:left="834"/>
              <w:spacing w:before="124"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9" w:hRule="atLeast"/>
        </w:trPr>
        <w:tc>
          <w:tcPr>
            <w:tcW w:w="3677" w:type="dxa"/>
            <w:vAlign w:val="top"/>
            <w:vMerge w:val="restart"/>
            <w:tcBorders>
              <w:bottom w:val="nil"/>
            </w:tcBorders>
          </w:tcPr>
          <w:p>
            <w:pPr>
              <w:pStyle w:val="TableText"/>
              <w:rPr/>
            </w:pPr>
            <w:r/>
          </w:p>
          <w:p>
            <w:pPr>
              <w:ind w:left="1665"/>
              <w:spacing w:before="64"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rPr>
              <w:t>项目</w:t>
            </w:r>
          </w:p>
        </w:tc>
        <w:tc>
          <w:tcPr>
            <w:tcW w:w="5481" w:type="dxa"/>
            <w:vAlign w:val="top"/>
            <w:gridSpan w:val="4"/>
          </w:tcPr>
          <w:p>
            <w:pPr>
              <w:ind w:left="2246"/>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
              </w:rPr>
              <w:t>2025年预算数</w:t>
            </w:r>
          </w:p>
        </w:tc>
      </w:tr>
      <w:tr>
        <w:trPr>
          <w:trHeight w:val="378" w:hRule="atLeast"/>
        </w:trPr>
        <w:tc>
          <w:tcPr>
            <w:tcW w:w="3677" w:type="dxa"/>
            <w:vAlign w:val="top"/>
            <w:vMerge w:val="continue"/>
            <w:tcBorders>
              <w:top w:val="nil"/>
            </w:tcBorders>
          </w:tcPr>
          <w:p>
            <w:pPr>
              <w:pStyle w:val="TableText"/>
              <w:rPr/>
            </w:pPr>
            <w:r/>
          </w:p>
        </w:tc>
        <w:tc>
          <w:tcPr>
            <w:tcW w:w="1372" w:type="dxa"/>
            <w:vAlign w:val="top"/>
          </w:tcPr>
          <w:p>
            <w:pPr>
              <w:ind w:left="517"/>
              <w:spacing w:before="110"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296" w:type="dxa"/>
            <w:vAlign w:val="top"/>
          </w:tcPr>
          <w:p>
            <w:pPr>
              <w:ind w:left="150"/>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371" w:type="dxa"/>
            <w:vAlign w:val="top"/>
          </w:tcPr>
          <w:p>
            <w:pPr>
              <w:ind w:left="10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442" w:type="dxa"/>
            <w:vAlign w:val="top"/>
          </w:tcPr>
          <w:p>
            <w:pPr>
              <w:ind w:left="79"/>
              <w:spacing w:before="108"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677" w:type="dxa"/>
            <w:vAlign w:val="top"/>
          </w:tcPr>
          <w:p>
            <w:pPr>
              <w:ind w:left="1193"/>
              <w:spacing w:before="112" w:line="230" w:lineRule="auto"/>
              <w:rPr>
                <w:rFonts w:ascii="SimSun" w:hAnsi="SimSun" w:eastAsia="SimSun" w:cs="SimSun"/>
                <w:sz w:val="15"/>
                <w:szCs w:val="15"/>
              </w:rPr>
            </w:pPr>
            <w:r>
              <w:rPr>
                <w:rFonts w:ascii="SimSun" w:hAnsi="SimSun" w:eastAsia="SimSun" w:cs="SimSun"/>
                <w:sz w:val="15"/>
                <w:szCs w:val="15"/>
                <w:color w:val="212529"/>
                <w:spacing w:val="6"/>
              </w:rPr>
              <w:t>因公出国（境）</w:t>
            </w:r>
            <w:r>
              <w:rPr>
                <w:rFonts w:ascii="SimSun" w:hAnsi="SimSun" w:eastAsia="SimSun" w:cs="SimSun"/>
                <w:sz w:val="15"/>
                <w:szCs w:val="15"/>
                <w:color w:val="212529"/>
                <w:spacing w:val="-44"/>
              </w:rPr>
              <w:t xml:space="preserve"> </w:t>
            </w:r>
            <w:r>
              <w:rPr>
                <w:rFonts w:ascii="SimSun" w:hAnsi="SimSun" w:eastAsia="SimSun" w:cs="SimSun"/>
                <w:sz w:val="15"/>
                <w:szCs w:val="15"/>
                <w:color w:val="212529"/>
                <w:spacing w:val="6"/>
              </w:rPr>
              <w:t>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428"/>
              <w:spacing w:before="114" w:line="229" w:lineRule="auto"/>
              <w:rPr>
                <w:rFonts w:ascii="SimSun" w:hAnsi="SimSun" w:eastAsia="SimSun" w:cs="SimSun"/>
                <w:sz w:val="15"/>
                <w:szCs w:val="15"/>
              </w:rPr>
            </w:pPr>
            <w:r>
              <w:rPr>
                <w:rFonts w:ascii="SimSun" w:hAnsi="SimSun" w:eastAsia="SimSun" w:cs="SimSun"/>
                <w:sz w:val="15"/>
                <w:szCs w:val="15"/>
                <w:color w:val="212529"/>
                <w:spacing w:val="9"/>
              </w:rPr>
              <w:t>公务接待费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023"/>
              <w:spacing w:before="115" w:line="229" w:lineRule="auto"/>
              <w:rPr>
                <w:rFonts w:ascii="SimSun" w:hAnsi="SimSun" w:eastAsia="SimSun" w:cs="SimSun"/>
                <w:sz w:val="15"/>
                <w:szCs w:val="15"/>
              </w:rPr>
            </w:pPr>
            <w:r>
              <w:rPr>
                <w:rFonts w:ascii="SimSun" w:hAnsi="SimSun" w:eastAsia="SimSun" w:cs="SimSun"/>
                <w:sz w:val="15"/>
                <w:szCs w:val="15"/>
                <w:color w:val="212529"/>
                <w:spacing w:val="10"/>
              </w:rPr>
              <w:t>公务用车购置及运行费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220"/>
              <w:spacing w:before="116" w:line="227" w:lineRule="auto"/>
              <w:rPr>
                <w:rFonts w:ascii="SimSun" w:hAnsi="SimSun" w:eastAsia="SimSun" w:cs="SimSun"/>
                <w:sz w:val="15"/>
                <w:szCs w:val="15"/>
              </w:rPr>
            </w:pPr>
            <w:r>
              <w:rPr>
                <w:rFonts w:ascii="SimSun" w:hAnsi="SimSun" w:eastAsia="SimSun" w:cs="SimSun"/>
                <w:sz w:val="15"/>
                <w:szCs w:val="15"/>
                <w:color w:val="212529"/>
                <w:spacing w:val="11"/>
              </w:rPr>
              <w:t>①公务用车购置费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9" w:hRule="atLeast"/>
        </w:trPr>
        <w:tc>
          <w:tcPr>
            <w:tcW w:w="3677" w:type="dxa"/>
            <w:vAlign w:val="top"/>
          </w:tcPr>
          <w:p>
            <w:pPr>
              <w:ind w:left="1057"/>
              <w:spacing w:before="116" w:line="227" w:lineRule="auto"/>
              <w:rPr>
                <w:rFonts w:ascii="SimSun" w:hAnsi="SimSun" w:eastAsia="SimSun" w:cs="SimSun"/>
                <w:sz w:val="15"/>
                <w:szCs w:val="15"/>
              </w:rPr>
            </w:pPr>
            <w:r>
              <w:rPr>
                <w:rFonts w:ascii="SimSun" w:hAnsi="SimSun" w:eastAsia="SimSun" w:cs="SimSun"/>
                <w:sz w:val="15"/>
                <w:szCs w:val="15"/>
                <w:color w:val="212529"/>
                <w:spacing w:val="11"/>
              </w:rPr>
              <w:t>②公务用车运行维护费</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78" w:hRule="atLeast"/>
        </w:trPr>
        <w:tc>
          <w:tcPr>
            <w:tcW w:w="3677" w:type="dxa"/>
            <w:vAlign w:val="top"/>
          </w:tcPr>
          <w:p>
            <w:pPr>
              <w:ind w:left="1667"/>
              <w:spacing w:before="11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72" w:type="dxa"/>
            <w:vAlign w:val="top"/>
          </w:tcPr>
          <w:p>
            <w:pPr>
              <w:pStyle w:val="TableText"/>
              <w:rPr/>
            </w:pPr>
            <w:r/>
          </w:p>
        </w:tc>
        <w:tc>
          <w:tcPr>
            <w:tcW w:w="1296" w:type="dxa"/>
            <w:vAlign w:val="top"/>
          </w:tcPr>
          <w:p>
            <w:pPr>
              <w:pStyle w:val="TableText"/>
              <w:rPr/>
            </w:pPr>
            <w:r/>
          </w:p>
        </w:tc>
        <w:tc>
          <w:tcPr>
            <w:tcW w:w="1371" w:type="dxa"/>
            <w:vAlign w:val="top"/>
          </w:tcPr>
          <w:p>
            <w:pPr>
              <w:pStyle w:val="TableText"/>
              <w:rPr/>
            </w:pPr>
            <w:r/>
          </w:p>
        </w:tc>
        <w:tc>
          <w:tcPr>
            <w:tcW w:w="1442" w:type="dxa"/>
            <w:vAlign w:val="top"/>
          </w:tcPr>
          <w:p>
            <w:pPr>
              <w:pStyle w:val="TableText"/>
              <w:rPr/>
            </w:pPr>
            <w:r/>
          </w:p>
        </w:tc>
      </w:tr>
      <w:tr>
        <w:trPr>
          <w:trHeight w:val="384" w:hRule="atLeast"/>
        </w:trPr>
        <w:tc>
          <w:tcPr>
            <w:tcW w:w="3677" w:type="dxa"/>
            <w:vAlign w:val="top"/>
            <w:tcBorders>
              <w:left w:val="single" w:color="FFFFFF" w:sz="4" w:space="0"/>
              <w:bottom w:val="single" w:color="FFFFFF" w:sz="4" w:space="0"/>
              <w:right w:val="single" w:color="000000" w:sz="2" w:space="0"/>
            </w:tcBorders>
          </w:tcPr>
          <w:p>
            <w:pPr>
              <w:ind w:left="5"/>
              <w:spacing w:before="18"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c>
          <w:tcPr>
            <w:tcW w:w="1372" w:type="dxa"/>
            <w:vAlign w:val="top"/>
            <w:tcBorders>
              <w:left w:val="single" w:color="FFFFFF" w:sz="2" w:space="0"/>
              <w:right w:val="single" w:color="FFFFFF" w:sz="2" w:space="0"/>
              <w:bottom w:val="single" w:color="FFFFFF" w:sz="4" w:space="0"/>
            </w:tcBorders>
          </w:tcPr>
          <w:p>
            <w:pPr>
              <w:pStyle w:val="TableText"/>
              <w:rPr/>
            </w:pPr>
            <w:r/>
          </w:p>
        </w:tc>
        <w:tc>
          <w:tcPr>
            <w:tcW w:w="1296" w:type="dxa"/>
            <w:vAlign w:val="top"/>
            <w:tcBorders>
              <w:left w:val="single" w:color="FFFFFF" w:sz="2" w:space="0"/>
              <w:right w:val="single" w:color="FFFFFF" w:sz="2" w:space="0"/>
              <w:bottom w:val="single" w:color="FFFFFF" w:sz="4" w:space="0"/>
            </w:tcBorders>
          </w:tcPr>
          <w:p>
            <w:pPr>
              <w:pStyle w:val="TableText"/>
              <w:rPr/>
            </w:pPr>
            <w:r/>
          </w:p>
        </w:tc>
        <w:tc>
          <w:tcPr>
            <w:tcW w:w="1371" w:type="dxa"/>
            <w:vAlign w:val="top"/>
            <w:tcBorders>
              <w:left w:val="single" w:color="FFFFFF" w:sz="2" w:space="0"/>
              <w:right w:val="single" w:color="FFFFFF" w:sz="2" w:space="0"/>
              <w:bottom w:val="single" w:color="FFFFFF" w:sz="4" w:space="0"/>
            </w:tcBorders>
          </w:tcPr>
          <w:p>
            <w:pPr>
              <w:pStyle w:val="TableText"/>
              <w:rPr/>
            </w:pPr>
            <w:r/>
          </w:p>
        </w:tc>
        <w:tc>
          <w:tcPr>
            <w:tcW w:w="1442" w:type="dxa"/>
            <w:vAlign w:val="top"/>
            <w:tcBorders>
              <w:left w:val="single" w:color="FFFFFF" w:sz="2" w:space="0"/>
              <w:right w:val="single" w:color="FFFFFF" w:sz="2" w:space="0"/>
              <w:bottom w:val="single" w:color="FFFFFF" w:sz="4" w:space="0"/>
            </w:tcBorders>
          </w:tcPr>
          <w:p>
            <w:pPr>
              <w:pStyle w:val="TableText"/>
              <w:rPr/>
            </w:pPr>
            <w:r/>
          </w:p>
        </w:tc>
      </w:tr>
    </w:tbl>
    <w:p>
      <w:pPr>
        <w:rPr>
          <w:rFonts w:ascii="Arial"/>
          <w:sz w:val="21"/>
        </w:rPr>
      </w:pPr>
      <w:r/>
    </w:p>
    <w:p>
      <w:pPr>
        <w:sectPr>
          <w:footerReference w:type="default" r:id="rId17"/>
          <w:pgSz w:w="11900" w:h="16840"/>
          <w:pgMar w:top="642" w:right="600" w:bottom="340" w:left="600" w:header="326" w:footer="110"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321"/>
        <w:gridCol w:w="1285"/>
        <w:gridCol w:w="1393"/>
        <w:gridCol w:w="1501"/>
        <w:gridCol w:w="1658"/>
      </w:tblGrid>
      <w:tr>
        <w:trPr>
          <w:trHeight w:val="383" w:hRule="atLeast"/>
        </w:trPr>
        <w:tc>
          <w:tcPr>
            <w:tcW w:w="332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op w:val="nil"/>
            </w:tcBorders>
          </w:tcPr>
          <w:p>
            <w:pPr>
              <w:pStyle w:val="TableText"/>
              <w:rPr/>
            </w:pPr>
            <w:r/>
          </w:p>
        </w:tc>
        <w:tc>
          <w:tcPr>
            <w:tcW w:w="1393"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501"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658" w:type="dxa"/>
            <w:vAlign w:val="top"/>
            <w:tcBorders>
              <w:left w:val="single" w:color="FFFFFF" w:sz="2" w:space="0"/>
              <w:right w:val="single" w:color="FFFFFF" w:sz="2" w:space="0"/>
              <w:bottom w:val="single" w:color="FFFFFF" w:sz="4" w:space="0"/>
              <w:top w:val="single" w:color="FFFFFF" w:sz="4" w:space="0"/>
            </w:tcBorders>
          </w:tcPr>
          <w:p>
            <w:pPr>
              <w:ind w:left="855"/>
              <w:spacing w:before="8" w:line="234" w:lineRule="auto"/>
              <w:rPr>
                <w:rFonts w:ascii="SimSun" w:hAnsi="SimSun" w:eastAsia="SimSun" w:cs="SimSun"/>
                <w:sz w:val="12"/>
                <w:szCs w:val="12"/>
              </w:rPr>
            </w:pPr>
            <w:r>
              <w:rPr>
                <w:rFonts w:ascii="SimSun" w:hAnsi="SimSun" w:eastAsia="SimSun" w:cs="SimSun"/>
                <w:sz w:val="12"/>
                <w:szCs w:val="12"/>
                <w:color w:val="212529"/>
                <w:spacing w:val="7"/>
              </w:rPr>
              <w:t>预算公开表11</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758"/>
              <w:spacing w:before="80" w:line="201" w:lineRule="exact"/>
              <w:outlineLvl w:val="1"/>
              <w:rPr>
                <w:rFonts w:ascii="Microsoft YaHei" w:hAnsi="Microsoft YaHei" w:eastAsia="Microsoft YaHei" w:cs="Microsoft YaHei"/>
                <w:sz w:val="20"/>
                <w:szCs w:val="20"/>
              </w:rPr>
            </w:pPr>
            <w:bookmarkStart w:name="bookmark44" w:id="28"/>
            <w:bookmarkEnd w:id="28"/>
            <w:bookmarkStart w:name="bookmark15" w:id="29"/>
            <w:bookmarkEnd w:id="29"/>
            <w:r>
              <w:rPr>
                <w:rFonts w:ascii="Microsoft YaHei" w:hAnsi="Microsoft YaHei" w:eastAsia="Microsoft YaHei" w:cs="Microsoft YaHei"/>
                <w:sz w:val="20"/>
                <w:szCs w:val="20"/>
                <w:color w:val="212529"/>
                <w:spacing w:val="-3"/>
                <w:position w:val="-1"/>
              </w:rPr>
              <w:t>2025年财政拨款安排机关运行经费预算表</w:t>
            </w:r>
          </w:p>
        </w:tc>
      </w:tr>
      <w:tr>
        <w:trPr>
          <w:trHeight w:val="378" w:hRule="atLeast"/>
        </w:trPr>
        <w:tc>
          <w:tcPr>
            <w:tcW w:w="3321" w:type="dxa"/>
            <w:vAlign w:val="top"/>
            <w:tcBorders>
              <w:left w:val="single" w:color="FFFFFF" w:sz="2" w:space="0"/>
              <w:right w:val="single" w:color="FFFFFF" w:sz="2" w:space="0"/>
              <w:top w:val="single" w:color="FFFFFF" w:sz="4"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285" w:type="dxa"/>
            <w:vAlign w:val="top"/>
            <w:tcBorders>
              <w:left w:val="single" w:color="FFFFFF" w:sz="2" w:space="0"/>
              <w:right w:val="single" w:color="FFFFFF" w:sz="2" w:space="0"/>
              <w:top w:val="single" w:color="FFFFFF" w:sz="4" w:space="0"/>
            </w:tcBorders>
          </w:tcPr>
          <w:p>
            <w:pPr>
              <w:pStyle w:val="TableText"/>
              <w:rPr/>
            </w:pPr>
            <w:r/>
          </w:p>
        </w:tc>
        <w:tc>
          <w:tcPr>
            <w:tcW w:w="1393" w:type="dxa"/>
            <w:vAlign w:val="top"/>
            <w:tcBorders>
              <w:left w:val="single" w:color="FFFFFF" w:sz="2" w:space="0"/>
              <w:right w:val="single" w:color="FFFFFF" w:sz="2" w:space="0"/>
              <w:top w:val="single" w:color="FFFFFF" w:sz="4" w:space="0"/>
            </w:tcBorders>
          </w:tcPr>
          <w:p>
            <w:pPr>
              <w:pStyle w:val="TableText"/>
              <w:rPr/>
            </w:pPr>
            <w:r/>
          </w:p>
        </w:tc>
        <w:tc>
          <w:tcPr>
            <w:tcW w:w="1501" w:type="dxa"/>
            <w:vAlign w:val="top"/>
            <w:tcBorders>
              <w:left w:val="single" w:color="FFFFFF" w:sz="2" w:space="0"/>
              <w:right w:val="single" w:color="FFFFFF" w:sz="2" w:space="0"/>
              <w:top w:val="single" w:color="FFFFFF" w:sz="4" w:space="0"/>
            </w:tcBorders>
          </w:tcPr>
          <w:p>
            <w:pPr>
              <w:pStyle w:val="TableText"/>
              <w:rPr/>
            </w:pPr>
            <w:r/>
          </w:p>
        </w:tc>
        <w:tc>
          <w:tcPr>
            <w:tcW w:w="1658" w:type="dxa"/>
            <w:vAlign w:val="top"/>
            <w:tcBorders>
              <w:left w:val="single" w:color="FFFFFF" w:sz="2" w:space="0"/>
              <w:right w:val="single" w:color="FFFFFF" w:sz="2" w:space="0"/>
              <w:top w:val="single" w:color="FFFFFF" w:sz="4" w:space="0"/>
            </w:tcBorders>
          </w:tcPr>
          <w:p>
            <w:pPr>
              <w:ind w:left="1050"/>
              <w:spacing w:before="125" w:line="234" w:lineRule="auto"/>
              <w:rPr>
                <w:rFonts w:ascii="SimSun" w:hAnsi="SimSun" w:eastAsia="SimSun" w:cs="SimSun"/>
                <w:sz w:val="12"/>
                <w:szCs w:val="12"/>
              </w:rPr>
            </w:pPr>
            <w:r>
              <w:rPr>
                <w:rFonts w:ascii="SimSun" w:hAnsi="SimSun" w:eastAsia="SimSun" w:cs="SimSun"/>
                <w:sz w:val="12"/>
                <w:szCs w:val="12"/>
                <w:color w:val="212529"/>
                <w:spacing w:val="7"/>
              </w:rPr>
              <w:t>单位:万元</w:t>
            </w:r>
          </w:p>
        </w:tc>
      </w:tr>
      <w:tr>
        <w:trPr>
          <w:trHeight w:val="378" w:hRule="atLeast"/>
        </w:trPr>
        <w:tc>
          <w:tcPr>
            <w:tcW w:w="3321" w:type="dxa"/>
            <w:vAlign w:val="top"/>
            <w:vMerge w:val="restart"/>
            <w:tcBorders>
              <w:bottom w:val="nil"/>
            </w:tcBorders>
          </w:tcPr>
          <w:p>
            <w:pPr>
              <w:ind w:left="1319"/>
              <w:spacing w:before="30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单位名称</w:t>
            </w:r>
          </w:p>
        </w:tc>
        <w:tc>
          <w:tcPr>
            <w:tcW w:w="5837" w:type="dxa"/>
            <w:vAlign w:val="top"/>
            <w:gridSpan w:val="4"/>
          </w:tcPr>
          <w:p>
            <w:pPr>
              <w:ind w:left="2501"/>
              <w:spacing w:before="1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rPr>
              <w:t>2025预算数</w:t>
            </w:r>
          </w:p>
        </w:tc>
      </w:tr>
      <w:tr>
        <w:trPr>
          <w:trHeight w:val="378" w:hRule="atLeast"/>
        </w:trPr>
        <w:tc>
          <w:tcPr>
            <w:tcW w:w="3321" w:type="dxa"/>
            <w:vAlign w:val="top"/>
            <w:vMerge w:val="continue"/>
            <w:tcBorders>
              <w:top w:val="nil"/>
            </w:tcBorders>
          </w:tcPr>
          <w:p>
            <w:pPr>
              <w:pStyle w:val="TableText"/>
              <w:rPr/>
            </w:pPr>
            <w:r/>
          </w:p>
        </w:tc>
        <w:tc>
          <w:tcPr>
            <w:tcW w:w="1285" w:type="dxa"/>
            <w:vAlign w:val="top"/>
          </w:tcPr>
          <w:p>
            <w:pPr>
              <w:ind w:left="466"/>
              <w:spacing w:before="112"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1393" w:type="dxa"/>
            <w:vAlign w:val="top"/>
          </w:tcPr>
          <w:p>
            <w:pPr>
              <w:ind w:left="197"/>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501" w:type="dxa"/>
            <w:vAlign w:val="top"/>
          </w:tcPr>
          <w:p>
            <w:pPr>
              <w:ind w:left="172"/>
              <w:spacing w:before="111"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政府性基金预算</w:t>
            </w:r>
          </w:p>
        </w:tc>
        <w:tc>
          <w:tcPr>
            <w:tcW w:w="1658" w:type="dxa"/>
            <w:vAlign w:val="top"/>
          </w:tcPr>
          <w:p>
            <w:pPr>
              <w:ind w:left="185"/>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国有资本经营预算</w:t>
            </w:r>
          </w:p>
        </w:tc>
      </w:tr>
      <w:tr>
        <w:trPr>
          <w:trHeight w:val="378" w:hRule="atLeast"/>
        </w:trPr>
        <w:tc>
          <w:tcPr>
            <w:tcW w:w="3321" w:type="dxa"/>
            <w:vAlign w:val="top"/>
          </w:tcPr>
          <w:p>
            <w:pPr>
              <w:ind w:left="1320"/>
              <w:spacing w:before="113"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部门合计</w:t>
            </w:r>
          </w:p>
        </w:tc>
        <w:tc>
          <w:tcPr>
            <w:tcW w:w="1285" w:type="dxa"/>
            <w:vAlign w:val="top"/>
          </w:tcPr>
          <w:p>
            <w:pPr>
              <w:pStyle w:val="TableText"/>
              <w:rPr/>
            </w:pPr>
            <w:r/>
          </w:p>
        </w:tc>
        <w:tc>
          <w:tcPr>
            <w:tcW w:w="1393" w:type="dxa"/>
            <w:vAlign w:val="top"/>
          </w:tcPr>
          <w:p>
            <w:pPr>
              <w:pStyle w:val="TableText"/>
              <w:rPr/>
            </w:pPr>
            <w:r/>
          </w:p>
        </w:tc>
        <w:tc>
          <w:tcPr>
            <w:tcW w:w="1501" w:type="dxa"/>
            <w:vAlign w:val="top"/>
          </w:tcPr>
          <w:p>
            <w:pPr>
              <w:pStyle w:val="TableText"/>
              <w:rPr/>
            </w:pPr>
            <w:r/>
          </w:p>
        </w:tc>
        <w:tc>
          <w:tcPr>
            <w:tcW w:w="1658" w:type="dxa"/>
            <w:vAlign w:val="top"/>
          </w:tcPr>
          <w:p>
            <w:pPr>
              <w:pStyle w:val="TableText"/>
              <w:rPr/>
            </w:pPr>
            <w:r/>
          </w:p>
        </w:tc>
      </w:tr>
      <w:tr>
        <w:trPr>
          <w:trHeight w:val="378" w:hRule="atLeast"/>
        </w:trPr>
        <w:tc>
          <w:tcPr>
            <w:tcW w:w="3321" w:type="dxa"/>
            <w:vAlign w:val="top"/>
          </w:tcPr>
          <w:p>
            <w:pPr>
              <w:pStyle w:val="TableText"/>
              <w:rPr/>
            </w:pPr>
            <w:r/>
          </w:p>
        </w:tc>
        <w:tc>
          <w:tcPr>
            <w:tcW w:w="1285" w:type="dxa"/>
            <w:vAlign w:val="top"/>
          </w:tcPr>
          <w:p>
            <w:pPr>
              <w:pStyle w:val="TableText"/>
              <w:rPr/>
            </w:pPr>
            <w:r/>
          </w:p>
        </w:tc>
        <w:tc>
          <w:tcPr>
            <w:tcW w:w="1393" w:type="dxa"/>
            <w:vAlign w:val="top"/>
          </w:tcPr>
          <w:p>
            <w:pPr>
              <w:pStyle w:val="TableText"/>
              <w:rPr/>
            </w:pPr>
            <w:r/>
          </w:p>
        </w:tc>
        <w:tc>
          <w:tcPr>
            <w:tcW w:w="1501" w:type="dxa"/>
            <w:vAlign w:val="top"/>
          </w:tcPr>
          <w:p>
            <w:pPr>
              <w:pStyle w:val="TableText"/>
              <w:rPr/>
            </w:pPr>
            <w:r/>
          </w:p>
        </w:tc>
        <w:tc>
          <w:tcPr>
            <w:tcW w:w="1658" w:type="dxa"/>
            <w:vAlign w:val="top"/>
          </w:tcPr>
          <w:p>
            <w:pPr>
              <w:pStyle w:val="TableText"/>
              <w:rPr/>
            </w:pPr>
            <w:r/>
          </w:p>
        </w:tc>
      </w:tr>
      <w:tr>
        <w:trPr>
          <w:trHeight w:val="383" w:hRule="atLeast"/>
        </w:trPr>
        <w:tc>
          <w:tcPr>
            <w:tcW w:w="3321" w:type="dxa"/>
            <w:vAlign w:val="top"/>
            <w:tcBorders>
              <w:left w:val="single" w:color="FFFFFF" w:sz="2" w:space="0"/>
              <w:right w:val="single" w:color="FFFFFF" w:sz="2" w:space="0"/>
              <w:bottom w:val="single" w:color="FFFFFF" w:sz="4" w:space="0"/>
            </w:tcBorders>
          </w:tcPr>
          <w:p>
            <w:pPr>
              <w:ind w:left="18"/>
              <w:spacing w:before="116" w:line="233" w:lineRule="auto"/>
              <w:rPr>
                <w:rFonts w:ascii="FangSong" w:hAnsi="FangSong" w:eastAsia="FangSong" w:cs="FangSong"/>
                <w:sz w:val="15"/>
                <w:szCs w:val="15"/>
              </w:rPr>
            </w:pPr>
            <w:r>
              <w:rPr>
                <w:rFonts w:ascii="FangSong" w:hAnsi="FangSong" w:eastAsia="FangSong" w:cs="FangSong"/>
                <w:sz w:val="15"/>
                <w:szCs w:val="15"/>
                <w:color w:val="212529"/>
                <w:spacing w:val="6"/>
              </w:rPr>
              <w:t>注：本表无数据</w:t>
            </w:r>
          </w:p>
        </w:tc>
        <w:tc>
          <w:tcPr>
            <w:tcW w:w="1285" w:type="dxa"/>
            <w:vAlign w:val="top"/>
            <w:tcBorders>
              <w:left w:val="single" w:color="FFFFFF" w:sz="2" w:space="0"/>
              <w:right w:val="single" w:color="FFFFFF" w:sz="2" w:space="0"/>
              <w:bottom w:val="single" w:color="FFFFFF" w:sz="4" w:space="0"/>
            </w:tcBorders>
          </w:tcPr>
          <w:p>
            <w:pPr>
              <w:pStyle w:val="TableText"/>
              <w:rPr/>
            </w:pPr>
            <w:r/>
          </w:p>
        </w:tc>
        <w:tc>
          <w:tcPr>
            <w:tcW w:w="1393" w:type="dxa"/>
            <w:vAlign w:val="top"/>
            <w:tcBorders>
              <w:left w:val="single" w:color="FFFFFF" w:sz="2" w:space="0"/>
              <w:right w:val="single" w:color="FFFFFF" w:sz="2" w:space="0"/>
              <w:bottom w:val="single" w:color="FFFFFF" w:sz="4" w:space="0"/>
            </w:tcBorders>
          </w:tcPr>
          <w:p>
            <w:pPr>
              <w:pStyle w:val="TableText"/>
              <w:rPr/>
            </w:pPr>
            <w:r/>
          </w:p>
        </w:tc>
        <w:tc>
          <w:tcPr>
            <w:tcW w:w="1501" w:type="dxa"/>
            <w:vAlign w:val="top"/>
            <w:tcBorders>
              <w:left w:val="single" w:color="FFFFFF" w:sz="2" w:space="0"/>
              <w:right w:val="single" w:color="FFFFFF" w:sz="2" w:space="0"/>
              <w:bottom w:val="single" w:color="FFFFFF" w:sz="4" w:space="0"/>
            </w:tcBorders>
          </w:tcPr>
          <w:p>
            <w:pPr>
              <w:pStyle w:val="TableText"/>
              <w:rPr/>
            </w:pPr>
            <w:r/>
          </w:p>
        </w:tc>
        <w:tc>
          <w:tcPr>
            <w:tcW w:w="1658" w:type="dxa"/>
            <w:vAlign w:val="top"/>
            <w:tcBorders>
              <w:left w:val="single" w:color="FFFFFF" w:sz="2" w:space="0"/>
              <w:right w:val="single" w:color="FFFFFF" w:sz="2" w:space="0"/>
              <w:bottom w:val="single" w:color="FFFFFF" w:sz="4" w:space="0"/>
            </w:tcBorders>
          </w:tcPr>
          <w:p>
            <w:pPr>
              <w:pStyle w:val="TableText"/>
              <w:rPr/>
            </w:pPr>
            <w:r/>
          </w:p>
        </w:tc>
      </w:tr>
    </w:tbl>
    <w:p>
      <w:pPr>
        <w:rPr>
          <w:rFonts w:ascii="Arial"/>
          <w:sz w:val="21"/>
        </w:rPr>
      </w:pPr>
      <w:r/>
    </w:p>
    <w:p>
      <w:pPr>
        <w:sectPr>
          <w:footerReference w:type="default" r:id="rId18"/>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19"/>
        <w:gridCol w:w="1285"/>
        <w:gridCol w:w="1285"/>
        <w:gridCol w:w="626"/>
        <w:gridCol w:w="1080"/>
        <w:gridCol w:w="1058"/>
        <w:gridCol w:w="805"/>
      </w:tblGrid>
      <w:tr>
        <w:trPr>
          <w:trHeight w:val="384" w:hRule="atLeast"/>
        </w:trPr>
        <w:tc>
          <w:tcPr>
            <w:tcW w:w="3019"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8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285"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626"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080" w:type="dxa"/>
            <w:vAlign w:val="top"/>
            <w:tcBorders>
              <w:bottom w:val="single" w:color="FFFFFF" w:sz="4" w:space="0"/>
              <w:top w:val="single" w:color="FFFFFF" w:sz="4" w:space="0"/>
              <w:left w:val="single" w:color="FFFFFF" w:sz="2" w:space="0"/>
              <w:right w:val="single" w:color="FFFFFF" w:sz="2" w:space="0"/>
            </w:tcBorders>
          </w:tcPr>
          <w:p>
            <w:pPr>
              <w:pStyle w:val="TableText"/>
              <w:rPr/>
            </w:pPr>
            <w:r/>
          </w:p>
        </w:tc>
        <w:tc>
          <w:tcPr>
            <w:tcW w:w="1863" w:type="dxa"/>
            <w:vAlign w:val="top"/>
            <w:gridSpan w:val="2"/>
            <w:tcBorders>
              <w:bottom w:val="single" w:color="FFFFFF" w:sz="4" w:space="0"/>
              <w:top w:val="single" w:color="FFFFFF" w:sz="4" w:space="0"/>
              <w:left w:val="single" w:color="FFFFFF" w:sz="2" w:space="0"/>
              <w:right w:val="single" w:color="FFFFFF" w:sz="2" w:space="0"/>
            </w:tcBorders>
          </w:tcPr>
          <w:p>
            <w:pPr>
              <w:ind w:left="1060"/>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预算公开表12</w:t>
            </w:r>
          </w:p>
        </w:tc>
      </w:tr>
      <w:tr>
        <w:trPr>
          <w:trHeight w:val="379" w:hRule="atLeast"/>
        </w:trPr>
        <w:tc>
          <w:tcPr>
            <w:tcW w:w="9158" w:type="dxa"/>
            <w:vAlign w:val="top"/>
            <w:gridSpan w:val="7"/>
            <w:tcBorders>
              <w:left w:val="single" w:color="FFFFFF" w:sz="4" w:space="0"/>
              <w:bottom w:val="single" w:color="FFFFFF" w:sz="4" w:space="0"/>
              <w:right w:val="single" w:color="FFFFFF" w:sz="4" w:space="0"/>
              <w:top w:val="single" w:color="FFFFFF" w:sz="4" w:space="0"/>
            </w:tcBorders>
          </w:tcPr>
          <w:p>
            <w:pPr>
              <w:ind w:left="2959"/>
              <w:spacing w:before="79" w:line="201" w:lineRule="exact"/>
              <w:outlineLvl w:val="1"/>
              <w:rPr>
                <w:rFonts w:ascii="Microsoft YaHei" w:hAnsi="Microsoft YaHei" w:eastAsia="Microsoft YaHei" w:cs="Microsoft YaHei"/>
                <w:sz w:val="20"/>
                <w:szCs w:val="20"/>
              </w:rPr>
            </w:pPr>
            <w:bookmarkStart w:name="bookmark45" w:id="30"/>
            <w:bookmarkEnd w:id="30"/>
            <w:bookmarkStart w:name="bookmark16" w:id="31"/>
            <w:bookmarkEnd w:id="31"/>
            <w:r>
              <w:rPr>
                <w:rFonts w:ascii="Microsoft YaHei" w:hAnsi="Microsoft YaHei" w:eastAsia="Microsoft YaHei" w:cs="Microsoft YaHei"/>
                <w:sz w:val="20"/>
                <w:szCs w:val="20"/>
                <w:color w:val="212529"/>
                <w:spacing w:val="-1"/>
                <w:position w:val="-1"/>
              </w:rPr>
              <w:t>2025年项目支出预算表</w:t>
            </w:r>
            <w:r>
              <w:rPr>
                <w:rFonts w:ascii="Microsoft YaHei" w:hAnsi="Microsoft YaHei" w:eastAsia="Microsoft YaHei" w:cs="Microsoft YaHei"/>
                <w:sz w:val="20"/>
                <w:szCs w:val="20"/>
                <w:color w:val="212529"/>
                <w:spacing w:val="66"/>
                <w:position w:val="-1"/>
              </w:rPr>
              <w:t xml:space="preserve"> </w:t>
            </w:r>
            <w:r>
              <w:rPr>
                <w:rFonts w:ascii="Microsoft YaHei" w:hAnsi="Microsoft YaHei" w:eastAsia="Microsoft YaHei" w:cs="Microsoft YaHei"/>
                <w:sz w:val="20"/>
                <w:szCs w:val="20"/>
                <w:color w:val="212529"/>
                <w:spacing w:val="-1"/>
                <w:position w:val="-1"/>
              </w:rPr>
              <w:t>(本年预算)</w:t>
            </w:r>
          </w:p>
        </w:tc>
      </w:tr>
      <w:tr>
        <w:trPr>
          <w:trHeight w:val="379" w:hRule="atLeast"/>
        </w:trPr>
        <w:tc>
          <w:tcPr>
            <w:tcW w:w="7295" w:type="dxa"/>
            <w:vAlign w:val="top"/>
            <w:gridSpan w:val="5"/>
            <w:tcBorders>
              <w:top w:val="single" w:color="FFFFFF" w:sz="4" w:space="0"/>
              <w:left w:val="single" w:color="FFFFFF" w:sz="2" w:space="0"/>
              <w:right w:val="single" w:color="FFFFFF" w:sz="2" w:space="0"/>
            </w:tcBorders>
          </w:tcPr>
          <w:p>
            <w:pPr>
              <w:ind w:left="9"/>
              <w:spacing w:before="122"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863" w:type="dxa"/>
            <w:vAlign w:val="top"/>
            <w:gridSpan w:val="2"/>
            <w:tcBorders>
              <w:top w:val="single" w:color="FFFFFF" w:sz="4" w:space="0"/>
              <w:left w:val="single" w:color="FFFFFF" w:sz="2" w:space="0"/>
              <w:right w:val="single" w:color="FFFFFF" w:sz="2" w:space="0"/>
            </w:tcBorders>
          </w:tcPr>
          <w:p>
            <w:pPr>
              <w:ind w:left="1190"/>
              <w:spacing w:before="122"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9" w:hRule="atLeast"/>
        </w:trPr>
        <w:tc>
          <w:tcPr>
            <w:tcW w:w="3019" w:type="dxa"/>
            <w:vAlign w:val="top"/>
            <w:vMerge w:val="restart"/>
            <w:tcBorders>
              <w:bottom w:val="nil"/>
            </w:tcBorders>
          </w:tcPr>
          <w:p>
            <w:pPr>
              <w:pStyle w:val="TableText"/>
              <w:spacing w:line="322" w:lineRule="auto"/>
              <w:rPr/>
            </w:pPr>
            <w:r/>
          </w:p>
          <w:p>
            <w:pPr>
              <w:ind w:left="1172"/>
              <w:spacing w:before="64"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285" w:type="dxa"/>
            <w:vAlign w:val="top"/>
            <w:vMerge w:val="restart"/>
            <w:tcBorders>
              <w:bottom w:val="nil"/>
            </w:tcBorders>
          </w:tcPr>
          <w:p>
            <w:pPr>
              <w:pStyle w:val="TableText"/>
              <w:spacing w:line="322" w:lineRule="auto"/>
              <w:rPr/>
            </w:pPr>
            <w:r/>
          </w:p>
          <w:p>
            <w:pPr>
              <w:ind w:left="468"/>
              <w:spacing w:before="6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2991" w:type="dxa"/>
            <w:vAlign w:val="top"/>
            <w:gridSpan w:val="3"/>
          </w:tcPr>
          <w:p>
            <w:pPr>
              <w:ind w:left="921"/>
              <w:spacing w:before="106"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c>
          <w:tcPr>
            <w:tcW w:w="1058" w:type="dxa"/>
            <w:vAlign w:val="top"/>
            <w:vMerge w:val="restart"/>
            <w:tcBorders>
              <w:bottom w:val="nil"/>
            </w:tcBorders>
          </w:tcPr>
          <w:p>
            <w:pPr>
              <w:ind w:left="364" w:right="44" w:hanging="329"/>
              <w:spacing w:before="302"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财政专户管理</w:t>
            </w:r>
            <w:r>
              <w:rPr>
                <w:rFonts w:ascii="Microsoft YaHei" w:hAnsi="Microsoft YaHei" w:eastAsia="Microsoft YaHei" w:cs="Microsoft YaHei"/>
                <w:sz w:val="15"/>
                <w:szCs w:val="15"/>
                <w:color w:val="212529"/>
                <w:spacing w:val="5"/>
              </w:rPr>
              <w:t>资金</w:t>
            </w:r>
          </w:p>
        </w:tc>
        <w:tc>
          <w:tcPr>
            <w:tcW w:w="805" w:type="dxa"/>
            <w:vAlign w:val="top"/>
            <w:vMerge w:val="restart"/>
            <w:tcBorders>
              <w:bottom w:val="nil"/>
            </w:tcBorders>
          </w:tcPr>
          <w:p>
            <w:pPr>
              <w:pStyle w:val="TableText"/>
              <w:spacing w:line="321" w:lineRule="auto"/>
              <w:rPr/>
            </w:pPr>
            <w:r/>
          </w:p>
          <w:p>
            <w:pPr>
              <w:ind w:left="64"/>
              <w:spacing w:before="6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position w:val="-1"/>
              </w:rPr>
              <w:t>单位资金</w:t>
            </w:r>
          </w:p>
        </w:tc>
      </w:tr>
      <w:tr>
        <w:trPr>
          <w:trHeight w:val="551" w:hRule="atLeast"/>
        </w:trPr>
        <w:tc>
          <w:tcPr>
            <w:tcW w:w="3019" w:type="dxa"/>
            <w:vAlign w:val="top"/>
            <w:vMerge w:val="continue"/>
            <w:tcBorders>
              <w:top w:val="nil"/>
            </w:tcBorders>
          </w:tcPr>
          <w:p>
            <w:pPr>
              <w:pStyle w:val="TableText"/>
              <w:rPr/>
            </w:pPr>
            <w:r/>
          </w:p>
        </w:tc>
        <w:tc>
          <w:tcPr>
            <w:tcW w:w="1285" w:type="dxa"/>
            <w:vAlign w:val="top"/>
            <w:vMerge w:val="continue"/>
            <w:tcBorders>
              <w:top w:val="nil"/>
            </w:tcBorders>
          </w:tcPr>
          <w:p>
            <w:pPr>
              <w:pStyle w:val="TableText"/>
              <w:rPr/>
            </w:pPr>
            <w:r/>
          </w:p>
        </w:tc>
        <w:tc>
          <w:tcPr>
            <w:tcW w:w="1285" w:type="dxa"/>
            <w:vAlign w:val="top"/>
          </w:tcPr>
          <w:p>
            <w:pPr>
              <w:ind w:left="141"/>
              <w:spacing w:before="193"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626" w:type="dxa"/>
            <w:vAlign w:val="top"/>
          </w:tcPr>
          <w:p>
            <w:pPr>
              <w:ind w:left="59"/>
              <w:spacing w:before="10"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position w:val="-1"/>
              </w:rPr>
              <w:t>政府性</w:t>
            </w:r>
          </w:p>
          <w:p>
            <w:pPr>
              <w:ind w:left="217" w:right="74" w:hanging="162"/>
              <w:spacing w:before="26"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2"/>
              </w:rPr>
              <w:t>基金预</w:t>
            </w:r>
            <w:r>
              <w:rPr>
                <w:rFonts w:ascii="Microsoft YaHei" w:hAnsi="Microsoft YaHei" w:eastAsia="Microsoft YaHei" w:cs="Microsoft YaHei"/>
                <w:sz w:val="15"/>
                <w:szCs w:val="15"/>
                <w:color w:val="212529"/>
                <w:spacing w:val="10"/>
              </w:rPr>
              <w:t>算</w:t>
            </w:r>
          </w:p>
        </w:tc>
        <w:tc>
          <w:tcPr>
            <w:tcW w:w="1080" w:type="dxa"/>
            <w:vAlign w:val="top"/>
          </w:tcPr>
          <w:p>
            <w:pPr>
              <w:ind w:left="367" w:right="58" w:hanging="304"/>
              <w:spacing w:before="107"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7"/>
              </w:rPr>
              <w:t>国有资本经营</w:t>
            </w:r>
            <w:r>
              <w:rPr>
                <w:rFonts w:ascii="Microsoft YaHei" w:hAnsi="Microsoft YaHei" w:eastAsia="Microsoft YaHei" w:cs="Microsoft YaHei"/>
                <w:sz w:val="15"/>
                <w:szCs w:val="15"/>
                <w:color w:val="212529"/>
                <w:spacing w:val="11"/>
              </w:rPr>
              <w:t>预算</w:t>
            </w:r>
          </w:p>
        </w:tc>
        <w:tc>
          <w:tcPr>
            <w:tcW w:w="1058" w:type="dxa"/>
            <w:vAlign w:val="top"/>
            <w:vMerge w:val="continue"/>
            <w:tcBorders>
              <w:top w:val="nil"/>
            </w:tcBorders>
          </w:tcPr>
          <w:p>
            <w:pPr>
              <w:pStyle w:val="TableText"/>
              <w:rPr/>
            </w:pPr>
            <w:r/>
          </w:p>
        </w:tc>
        <w:tc>
          <w:tcPr>
            <w:tcW w:w="805" w:type="dxa"/>
            <w:vAlign w:val="top"/>
            <w:vMerge w:val="continue"/>
            <w:tcBorders>
              <w:top w:val="nil"/>
            </w:tcBorders>
          </w:tcPr>
          <w:p>
            <w:pPr>
              <w:pStyle w:val="TableText"/>
              <w:rPr/>
            </w:pPr>
            <w:r/>
          </w:p>
        </w:tc>
      </w:tr>
      <w:tr>
        <w:trPr>
          <w:trHeight w:val="379" w:hRule="atLeast"/>
        </w:trPr>
        <w:tc>
          <w:tcPr>
            <w:tcW w:w="3019" w:type="dxa"/>
            <w:vAlign w:val="top"/>
          </w:tcPr>
          <w:p>
            <w:pPr>
              <w:ind w:left="1470"/>
              <w:spacing w:before="111"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285" w:type="dxa"/>
            <w:vAlign w:val="top"/>
          </w:tcPr>
          <w:p>
            <w:pPr>
              <w:ind w:left="592"/>
              <w:spacing w:before="111"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85" w:type="dxa"/>
            <w:vAlign w:val="top"/>
          </w:tcPr>
          <w:p>
            <w:pPr>
              <w:ind w:left="593"/>
              <w:spacing w:before="111"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626" w:type="dxa"/>
            <w:vAlign w:val="top"/>
          </w:tcPr>
          <w:p>
            <w:pPr>
              <w:ind w:left="262"/>
              <w:spacing w:before="111"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080" w:type="dxa"/>
            <w:vAlign w:val="top"/>
          </w:tcPr>
          <w:p>
            <w:pPr>
              <w:ind w:left="496"/>
              <w:spacing w:before="111" w:line="202" w:lineRule="exact"/>
              <w:rPr>
                <w:rFonts w:ascii="SimSun" w:hAnsi="SimSun" w:eastAsia="SimSun" w:cs="SimSun"/>
                <w:sz w:val="15"/>
                <w:szCs w:val="15"/>
              </w:rPr>
            </w:pPr>
            <w:r>
              <w:rPr>
                <w:rFonts w:ascii="SimSun" w:hAnsi="SimSun" w:eastAsia="SimSun" w:cs="SimSun"/>
                <w:sz w:val="15"/>
                <w:szCs w:val="15"/>
                <w:color w:val="212529"/>
                <w:position w:val="1"/>
              </w:rPr>
              <w:t>5</w:t>
            </w:r>
          </w:p>
        </w:tc>
        <w:tc>
          <w:tcPr>
            <w:tcW w:w="1058" w:type="dxa"/>
            <w:vAlign w:val="top"/>
          </w:tcPr>
          <w:p>
            <w:pPr>
              <w:ind w:left="481"/>
              <w:spacing w:before="111" w:line="202" w:lineRule="exact"/>
              <w:rPr>
                <w:rFonts w:ascii="SimSun" w:hAnsi="SimSun" w:eastAsia="SimSun" w:cs="SimSun"/>
                <w:sz w:val="15"/>
                <w:szCs w:val="15"/>
              </w:rPr>
            </w:pPr>
            <w:r>
              <w:rPr>
                <w:rFonts w:ascii="SimSun" w:hAnsi="SimSun" w:eastAsia="SimSun" w:cs="SimSun"/>
                <w:sz w:val="15"/>
                <w:szCs w:val="15"/>
                <w:color w:val="212529"/>
                <w:position w:val="1"/>
              </w:rPr>
              <w:t>6</w:t>
            </w:r>
          </w:p>
        </w:tc>
        <w:tc>
          <w:tcPr>
            <w:tcW w:w="805" w:type="dxa"/>
            <w:vAlign w:val="top"/>
          </w:tcPr>
          <w:p>
            <w:pPr>
              <w:ind w:left="355"/>
              <w:spacing w:before="111" w:line="202" w:lineRule="exact"/>
              <w:rPr>
                <w:rFonts w:ascii="SimSun" w:hAnsi="SimSun" w:eastAsia="SimSun" w:cs="SimSun"/>
                <w:sz w:val="15"/>
                <w:szCs w:val="15"/>
              </w:rPr>
            </w:pPr>
            <w:r>
              <w:rPr>
                <w:rFonts w:ascii="SimSun" w:hAnsi="SimSun" w:eastAsia="SimSun" w:cs="SimSun"/>
                <w:sz w:val="15"/>
                <w:szCs w:val="15"/>
                <w:color w:val="212529"/>
                <w:position w:val="1"/>
              </w:rPr>
              <w:t>7</w:t>
            </w:r>
          </w:p>
        </w:tc>
      </w:tr>
      <w:tr>
        <w:trPr>
          <w:trHeight w:val="379" w:hRule="atLeast"/>
        </w:trPr>
        <w:tc>
          <w:tcPr>
            <w:tcW w:w="3019" w:type="dxa"/>
            <w:vAlign w:val="top"/>
          </w:tcPr>
          <w:p>
            <w:pPr>
              <w:ind w:left="10"/>
              <w:spacing w:before="111" w:line="229" w:lineRule="auto"/>
              <w:rPr>
                <w:rFonts w:ascii="SimSun" w:hAnsi="SimSun" w:eastAsia="SimSun" w:cs="SimSun"/>
                <w:sz w:val="15"/>
                <w:szCs w:val="15"/>
              </w:rPr>
            </w:pPr>
            <w:r>
              <w:rPr>
                <w:rFonts w:ascii="SimSun" w:hAnsi="SimSun" w:eastAsia="SimSun" w:cs="SimSun"/>
                <w:sz w:val="15"/>
                <w:szCs w:val="15"/>
                <w:color w:val="212529"/>
                <w:spacing w:val="11"/>
              </w:rPr>
              <w:t>兴县园林事业发展服务中心</w:t>
            </w:r>
          </w:p>
        </w:tc>
        <w:tc>
          <w:tcPr>
            <w:tcW w:w="1285"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3750.14</w:t>
            </w:r>
          </w:p>
        </w:tc>
        <w:tc>
          <w:tcPr>
            <w:tcW w:w="1285"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3750.14</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172"/>
              <w:spacing w:before="111" w:line="229" w:lineRule="auto"/>
              <w:rPr>
                <w:rFonts w:ascii="SimSun" w:hAnsi="SimSun" w:eastAsia="SimSun" w:cs="SimSun"/>
                <w:sz w:val="15"/>
                <w:szCs w:val="15"/>
              </w:rPr>
            </w:pPr>
            <w:r>
              <w:rPr>
                <w:rFonts w:ascii="SimSun" w:hAnsi="SimSun" w:eastAsia="SimSun" w:cs="SimSun"/>
                <w:sz w:val="15"/>
                <w:szCs w:val="15"/>
                <w:color w:val="212529"/>
                <w:spacing w:val="11"/>
              </w:rPr>
              <w:t>兴县园林事业发展服务中心</w:t>
            </w:r>
          </w:p>
        </w:tc>
        <w:tc>
          <w:tcPr>
            <w:tcW w:w="1285"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3750.14</w:t>
            </w:r>
          </w:p>
        </w:tc>
        <w:tc>
          <w:tcPr>
            <w:tcW w:w="1285"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3750.14</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10" w:right="92" w:firstLine="322"/>
              <w:spacing w:before="24" w:line="212" w:lineRule="auto"/>
              <w:rPr>
                <w:rFonts w:ascii="SimSun" w:hAnsi="SimSun" w:eastAsia="SimSun" w:cs="SimSun"/>
                <w:sz w:val="15"/>
                <w:szCs w:val="15"/>
              </w:rPr>
            </w:pPr>
            <w:r>
              <w:rPr>
                <w:rFonts w:ascii="SimSun" w:hAnsi="SimSun" w:eastAsia="SimSun" w:cs="SimSun"/>
                <w:sz w:val="15"/>
                <w:szCs w:val="15"/>
                <w:color w:val="212529"/>
                <w:spacing w:val="10"/>
              </w:rPr>
              <w:t>2022年城区街道花箱、绿墙、绿雕所</w:t>
            </w:r>
            <w:r>
              <w:rPr>
                <w:rFonts w:ascii="SimSun" w:hAnsi="SimSun" w:eastAsia="SimSun" w:cs="SimSun"/>
                <w:sz w:val="15"/>
                <w:szCs w:val="15"/>
                <w:color w:val="212529"/>
                <w:spacing w:val="10"/>
              </w:rPr>
              <w:t>需花卉采购项目</w:t>
            </w:r>
          </w:p>
        </w:tc>
        <w:tc>
          <w:tcPr>
            <w:tcW w:w="1285"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1285"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1"/>
              <w:spacing w:before="111" w:line="229" w:lineRule="auto"/>
              <w:rPr>
                <w:rFonts w:ascii="SimSun" w:hAnsi="SimSun" w:eastAsia="SimSun" w:cs="SimSun"/>
                <w:sz w:val="15"/>
                <w:szCs w:val="15"/>
              </w:rPr>
            </w:pPr>
            <w:r>
              <w:rPr>
                <w:rFonts w:ascii="SimSun" w:hAnsi="SimSun" w:eastAsia="SimSun" w:cs="SimSun"/>
                <w:sz w:val="15"/>
                <w:szCs w:val="15"/>
                <w:color w:val="212529"/>
                <w:spacing w:val="11"/>
              </w:rPr>
              <w:t>蔚汾南北路绿化带养护</w:t>
            </w:r>
          </w:p>
        </w:tc>
        <w:tc>
          <w:tcPr>
            <w:tcW w:w="1285"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1285" w:type="dxa"/>
            <w:vAlign w:val="top"/>
          </w:tcPr>
          <w:p>
            <w:pPr>
              <w:ind w:right="26"/>
              <w:spacing w:before="111"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1"/>
              <w:spacing w:before="112" w:line="228" w:lineRule="auto"/>
              <w:rPr>
                <w:rFonts w:ascii="SimSun" w:hAnsi="SimSun" w:eastAsia="SimSun" w:cs="SimSun"/>
                <w:sz w:val="15"/>
                <w:szCs w:val="15"/>
              </w:rPr>
            </w:pPr>
            <w:r>
              <w:rPr>
                <w:rFonts w:ascii="SimSun" w:hAnsi="SimSun" w:eastAsia="SimSun" w:cs="SimSun"/>
                <w:sz w:val="15"/>
                <w:szCs w:val="15"/>
                <w:color w:val="212529"/>
                <w:spacing w:val="11"/>
              </w:rPr>
              <w:t>退役军人工资福利支出</w:t>
            </w:r>
          </w:p>
        </w:tc>
        <w:tc>
          <w:tcPr>
            <w:tcW w:w="1285" w:type="dxa"/>
            <w:vAlign w:val="top"/>
          </w:tcPr>
          <w:p>
            <w:pPr>
              <w:ind w:right="26"/>
              <w:spacing w:before="112"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w:t>
            </w:r>
          </w:p>
        </w:tc>
        <w:tc>
          <w:tcPr>
            <w:tcW w:w="1285" w:type="dxa"/>
            <w:vAlign w:val="top"/>
          </w:tcPr>
          <w:p>
            <w:pPr>
              <w:ind w:right="26"/>
              <w:spacing w:before="112"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24.00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4"/>
              <w:spacing w:before="112" w:line="230" w:lineRule="auto"/>
              <w:rPr>
                <w:rFonts w:ascii="SimSun" w:hAnsi="SimSun" w:eastAsia="SimSun" w:cs="SimSun"/>
                <w:sz w:val="15"/>
                <w:szCs w:val="15"/>
              </w:rPr>
            </w:pPr>
            <w:r>
              <w:rPr>
                <w:rFonts w:ascii="SimSun" w:hAnsi="SimSun" w:eastAsia="SimSun" w:cs="SimSun"/>
                <w:sz w:val="15"/>
                <w:szCs w:val="15"/>
                <w:color w:val="212529"/>
                <w:spacing w:val="11"/>
              </w:rPr>
              <w:t>兴县蔚汾公园综合治理项目</w:t>
            </w:r>
          </w:p>
        </w:tc>
        <w:tc>
          <w:tcPr>
            <w:tcW w:w="1285"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285"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4"/>
              <w:spacing w:before="112" w:line="229" w:lineRule="auto"/>
              <w:rPr>
                <w:rFonts w:ascii="SimSun" w:hAnsi="SimSun" w:eastAsia="SimSun" w:cs="SimSun"/>
                <w:sz w:val="15"/>
                <w:szCs w:val="15"/>
              </w:rPr>
            </w:pPr>
            <w:r>
              <w:rPr>
                <w:rFonts w:ascii="SimSun" w:hAnsi="SimSun" w:eastAsia="SimSun" w:cs="SimSun"/>
                <w:sz w:val="15"/>
                <w:szCs w:val="15"/>
                <w:color w:val="212529"/>
                <w:spacing w:val="10"/>
              </w:rPr>
              <w:t>兴县城区提档增色工程</w:t>
            </w:r>
          </w:p>
        </w:tc>
        <w:tc>
          <w:tcPr>
            <w:tcW w:w="1285"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600.00</w:t>
            </w:r>
          </w:p>
        </w:tc>
        <w:tc>
          <w:tcPr>
            <w:tcW w:w="1285"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8" w:hRule="atLeast"/>
        </w:trPr>
        <w:tc>
          <w:tcPr>
            <w:tcW w:w="3019" w:type="dxa"/>
            <w:vAlign w:val="top"/>
          </w:tcPr>
          <w:p>
            <w:pPr>
              <w:ind w:left="6" w:right="173" w:firstLine="329"/>
              <w:spacing w:before="26" w:line="210" w:lineRule="auto"/>
              <w:rPr>
                <w:rFonts w:ascii="SimSun" w:hAnsi="SimSun" w:eastAsia="SimSun" w:cs="SimSun"/>
                <w:sz w:val="15"/>
                <w:szCs w:val="15"/>
              </w:rPr>
            </w:pPr>
            <w:r>
              <w:rPr>
                <w:rFonts w:ascii="SimSun" w:hAnsi="SimSun" w:eastAsia="SimSun" w:cs="SimSun"/>
                <w:sz w:val="15"/>
                <w:szCs w:val="15"/>
                <w:color w:val="212529"/>
                <w:spacing w:val="10"/>
              </w:rPr>
              <w:t>瓦塘铝工业园区1号运输线配套绿化</w:t>
            </w:r>
            <w:r>
              <w:rPr>
                <w:rFonts w:ascii="SimSun" w:hAnsi="SimSun" w:eastAsia="SimSun" w:cs="SimSun"/>
                <w:sz w:val="15"/>
                <w:szCs w:val="15"/>
                <w:color w:val="212529"/>
                <w:spacing w:val="8"/>
              </w:rPr>
              <w:t>养护1标-2标</w:t>
            </w:r>
          </w:p>
        </w:tc>
        <w:tc>
          <w:tcPr>
            <w:tcW w:w="1285"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1285"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19" w:right="92" w:firstLine="314"/>
              <w:spacing w:before="27" w:line="210" w:lineRule="auto"/>
              <w:rPr>
                <w:rFonts w:ascii="SimSun" w:hAnsi="SimSun" w:eastAsia="SimSun" w:cs="SimSun"/>
                <w:sz w:val="15"/>
                <w:szCs w:val="15"/>
              </w:rPr>
            </w:pPr>
            <w:r>
              <w:rPr>
                <w:rFonts w:ascii="SimSun" w:hAnsi="SimSun" w:eastAsia="SimSun" w:cs="SimSun"/>
                <w:sz w:val="15"/>
                <w:szCs w:val="15"/>
                <w:color w:val="212529"/>
                <w:spacing w:val="11"/>
              </w:rPr>
              <w:t>兴县县政府院内与兴县县委党校院内</w:t>
            </w:r>
            <w:r>
              <w:rPr>
                <w:rFonts w:ascii="SimSun" w:hAnsi="SimSun" w:eastAsia="SimSun" w:cs="SimSun"/>
                <w:sz w:val="15"/>
                <w:szCs w:val="15"/>
                <w:color w:val="212529"/>
                <w:spacing w:val="9"/>
              </w:rPr>
              <w:t>园林绿化养护服务</w:t>
            </w:r>
          </w:p>
        </w:tc>
        <w:tc>
          <w:tcPr>
            <w:tcW w:w="1285"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85"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4"/>
              <w:spacing w:before="114" w:line="229" w:lineRule="auto"/>
              <w:rPr>
                <w:rFonts w:ascii="SimSun" w:hAnsi="SimSun" w:eastAsia="SimSun" w:cs="SimSun"/>
                <w:sz w:val="15"/>
                <w:szCs w:val="15"/>
              </w:rPr>
            </w:pPr>
            <w:r>
              <w:rPr>
                <w:rFonts w:ascii="SimSun" w:hAnsi="SimSun" w:eastAsia="SimSun" w:cs="SimSun"/>
                <w:sz w:val="15"/>
                <w:szCs w:val="15"/>
                <w:color w:val="212529"/>
                <w:spacing w:val="11"/>
              </w:rPr>
              <w:t>兴县城区及周边绿化品质提升工程</w:t>
            </w:r>
          </w:p>
        </w:tc>
        <w:tc>
          <w:tcPr>
            <w:tcW w:w="1285"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299.75</w:t>
            </w:r>
          </w:p>
        </w:tc>
        <w:tc>
          <w:tcPr>
            <w:tcW w:w="1285"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299.75</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8" w:right="92" w:firstLine="324"/>
              <w:spacing w:before="27" w:line="210" w:lineRule="auto"/>
              <w:rPr>
                <w:rFonts w:ascii="SimSun" w:hAnsi="SimSun" w:eastAsia="SimSun" w:cs="SimSun"/>
                <w:sz w:val="15"/>
                <w:szCs w:val="15"/>
              </w:rPr>
            </w:pPr>
            <w:r>
              <w:rPr>
                <w:rFonts w:ascii="SimSun" w:hAnsi="SimSun" w:eastAsia="SimSun" w:cs="SimSun"/>
                <w:sz w:val="15"/>
                <w:szCs w:val="15"/>
                <w:color w:val="212529"/>
                <w:spacing w:val="10"/>
              </w:rPr>
              <w:t>2022年城区大桥立体花卉摆放及养护</w:t>
            </w:r>
            <w:r>
              <w:rPr>
                <w:rFonts w:ascii="SimSun" w:hAnsi="SimSun" w:eastAsia="SimSun" w:cs="SimSun"/>
                <w:sz w:val="15"/>
                <w:szCs w:val="15"/>
                <w:color w:val="212529"/>
                <w:spacing w:val="6"/>
              </w:rPr>
              <w:t>工程</w:t>
            </w:r>
          </w:p>
        </w:tc>
        <w:tc>
          <w:tcPr>
            <w:tcW w:w="1285"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18.64</w:t>
            </w:r>
          </w:p>
        </w:tc>
        <w:tc>
          <w:tcPr>
            <w:tcW w:w="1285"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18.64</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3"/>
              <w:spacing w:before="114" w:line="229" w:lineRule="auto"/>
              <w:rPr>
                <w:rFonts w:ascii="SimSun" w:hAnsi="SimSun" w:eastAsia="SimSun" w:cs="SimSun"/>
                <w:sz w:val="15"/>
                <w:szCs w:val="15"/>
              </w:rPr>
            </w:pPr>
            <w:r>
              <w:rPr>
                <w:rFonts w:ascii="SimSun" w:hAnsi="SimSun" w:eastAsia="SimSun" w:cs="SimSun"/>
                <w:sz w:val="15"/>
                <w:szCs w:val="15"/>
                <w:color w:val="212529"/>
                <w:spacing w:val="10"/>
              </w:rPr>
              <w:t>2022年蔚汾公园迎国庆美化装饰工程</w:t>
            </w:r>
          </w:p>
        </w:tc>
        <w:tc>
          <w:tcPr>
            <w:tcW w:w="1285"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1285"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6" w:right="92" w:firstLine="324"/>
              <w:spacing w:before="27" w:line="210" w:lineRule="auto"/>
              <w:rPr>
                <w:rFonts w:ascii="SimSun" w:hAnsi="SimSun" w:eastAsia="SimSun" w:cs="SimSun"/>
                <w:sz w:val="15"/>
                <w:szCs w:val="15"/>
              </w:rPr>
            </w:pPr>
            <w:r>
              <w:rPr>
                <w:rFonts w:ascii="SimSun" w:hAnsi="SimSun" w:eastAsia="SimSun" w:cs="SimSun"/>
                <w:sz w:val="15"/>
                <w:szCs w:val="15"/>
                <w:color w:val="212529"/>
                <w:spacing w:val="11"/>
              </w:rPr>
              <w:t>黄河大桥、蔡家崖护栏立体花卉布置</w:t>
            </w:r>
            <w:r>
              <w:rPr>
                <w:rFonts w:ascii="SimSun" w:hAnsi="SimSun" w:eastAsia="SimSun" w:cs="SimSun"/>
                <w:sz w:val="15"/>
                <w:szCs w:val="15"/>
                <w:color w:val="212529"/>
                <w:spacing w:val="9"/>
              </w:rPr>
              <w:t>及养护</w:t>
            </w:r>
          </w:p>
        </w:tc>
        <w:tc>
          <w:tcPr>
            <w:tcW w:w="1285"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19.23</w:t>
            </w:r>
          </w:p>
        </w:tc>
        <w:tc>
          <w:tcPr>
            <w:tcW w:w="1285" w:type="dxa"/>
            <w:vAlign w:val="top"/>
          </w:tcPr>
          <w:p>
            <w:pPr>
              <w:ind w:right="26"/>
              <w:spacing w:before="114"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19.23</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3"/>
              <w:spacing w:before="115" w:line="229" w:lineRule="auto"/>
              <w:rPr>
                <w:rFonts w:ascii="SimSun" w:hAnsi="SimSun" w:eastAsia="SimSun" w:cs="SimSun"/>
                <w:sz w:val="15"/>
                <w:szCs w:val="15"/>
              </w:rPr>
            </w:pPr>
            <w:r>
              <w:rPr>
                <w:rFonts w:ascii="SimSun" w:hAnsi="SimSun" w:eastAsia="SimSun" w:cs="SimSun"/>
                <w:sz w:val="15"/>
                <w:szCs w:val="15"/>
                <w:color w:val="212529"/>
                <w:spacing w:val="9"/>
              </w:rPr>
              <w:t>2022年城区新增绿化管护</w:t>
            </w:r>
          </w:p>
        </w:tc>
        <w:tc>
          <w:tcPr>
            <w:tcW w:w="1285" w:type="dxa"/>
            <w:vAlign w:val="top"/>
          </w:tcPr>
          <w:p>
            <w:pPr>
              <w:ind w:right="26"/>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29.79</w:t>
            </w:r>
          </w:p>
        </w:tc>
        <w:tc>
          <w:tcPr>
            <w:tcW w:w="1285" w:type="dxa"/>
            <w:vAlign w:val="top"/>
          </w:tcPr>
          <w:p>
            <w:pPr>
              <w:ind w:right="26"/>
              <w:spacing w:before="115"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29.79</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1"/>
              <w:spacing w:before="115" w:line="229" w:lineRule="auto"/>
              <w:rPr>
                <w:rFonts w:ascii="SimSun" w:hAnsi="SimSun" w:eastAsia="SimSun" w:cs="SimSun"/>
                <w:sz w:val="15"/>
                <w:szCs w:val="15"/>
              </w:rPr>
            </w:pPr>
            <w:r>
              <w:rPr>
                <w:rFonts w:ascii="SimSun" w:hAnsi="SimSun" w:eastAsia="SimSun" w:cs="SimSun"/>
                <w:sz w:val="15"/>
                <w:szCs w:val="15"/>
                <w:color w:val="212529"/>
                <w:spacing w:val="11"/>
              </w:rPr>
              <w:t>蔚汾南北路绿化带养护</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6" w:right="92" w:firstLine="326"/>
              <w:spacing w:before="29" w:line="209" w:lineRule="auto"/>
              <w:rPr>
                <w:rFonts w:ascii="SimSun" w:hAnsi="SimSun" w:eastAsia="SimSun" w:cs="SimSun"/>
                <w:sz w:val="15"/>
                <w:szCs w:val="15"/>
              </w:rPr>
            </w:pPr>
            <w:r>
              <w:rPr>
                <w:rFonts w:ascii="SimSun" w:hAnsi="SimSun" w:eastAsia="SimSun" w:cs="SimSun"/>
                <w:sz w:val="15"/>
                <w:szCs w:val="15"/>
                <w:color w:val="212529"/>
                <w:spacing w:val="10"/>
              </w:rPr>
              <w:t>2024年兴县蔚汾公园月季花冬季防寒</w:t>
            </w:r>
            <w:r>
              <w:rPr>
                <w:rFonts w:ascii="SimSun" w:hAnsi="SimSun" w:eastAsia="SimSun" w:cs="SimSun"/>
                <w:sz w:val="15"/>
                <w:szCs w:val="15"/>
                <w:color w:val="212529"/>
                <w:spacing w:val="10"/>
              </w:rPr>
              <w:t>棚搭设工程</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30.77</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30.77</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3"/>
              <w:spacing w:before="115" w:line="229" w:lineRule="auto"/>
              <w:rPr>
                <w:rFonts w:ascii="SimSun" w:hAnsi="SimSun" w:eastAsia="SimSun" w:cs="SimSun"/>
                <w:sz w:val="15"/>
                <w:szCs w:val="15"/>
              </w:rPr>
            </w:pPr>
            <w:r>
              <w:rPr>
                <w:rFonts w:ascii="SimSun" w:hAnsi="SimSun" w:eastAsia="SimSun" w:cs="SimSun"/>
                <w:sz w:val="15"/>
                <w:szCs w:val="15"/>
                <w:color w:val="212529"/>
                <w:spacing w:val="9"/>
              </w:rPr>
              <w:t>2022年兴县城区绿化提质工程</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61.56</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61.56</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7" w:right="173" w:firstLine="326"/>
              <w:spacing w:before="29" w:line="209" w:lineRule="auto"/>
              <w:rPr>
                <w:rFonts w:ascii="SimSun" w:hAnsi="SimSun" w:eastAsia="SimSun" w:cs="SimSun"/>
                <w:sz w:val="15"/>
                <w:szCs w:val="15"/>
              </w:rPr>
            </w:pPr>
            <w:r>
              <w:rPr>
                <w:rFonts w:ascii="SimSun" w:hAnsi="SimSun" w:eastAsia="SimSun" w:cs="SimSun"/>
                <w:sz w:val="15"/>
                <w:szCs w:val="15"/>
                <w:color w:val="212529"/>
                <w:spacing w:val="10"/>
              </w:rPr>
              <w:t>兴县瓦塘镇铝工业园区1号运输线配</w:t>
            </w:r>
            <w:r>
              <w:rPr>
                <w:rFonts w:ascii="SimSun" w:hAnsi="SimSun" w:eastAsia="SimSun" w:cs="SimSun"/>
                <w:sz w:val="15"/>
                <w:szCs w:val="15"/>
                <w:color w:val="212529"/>
                <w:spacing w:val="8"/>
              </w:rPr>
              <w:t>套绿化（1-3标段）</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150.00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6" w:right="92" w:firstLine="328"/>
              <w:spacing w:before="29" w:line="209" w:lineRule="auto"/>
              <w:rPr>
                <w:rFonts w:ascii="SimSun" w:hAnsi="SimSun" w:eastAsia="SimSun" w:cs="SimSun"/>
                <w:sz w:val="15"/>
                <w:szCs w:val="15"/>
              </w:rPr>
            </w:pPr>
            <w:r>
              <w:rPr>
                <w:rFonts w:ascii="SimSun" w:hAnsi="SimSun" w:eastAsia="SimSun" w:cs="SimSun"/>
                <w:sz w:val="15"/>
                <w:szCs w:val="15"/>
                <w:color w:val="212529"/>
                <w:spacing w:val="11"/>
              </w:rPr>
              <w:t>瓦塘镇后石门村、固贤乡固贤村乡村</w:t>
            </w:r>
            <w:r>
              <w:rPr>
                <w:rFonts w:ascii="SimSun" w:hAnsi="SimSun" w:eastAsia="SimSun" w:cs="SimSun"/>
                <w:sz w:val="15"/>
                <w:szCs w:val="15"/>
                <w:color w:val="212529"/>
                <w:spacing w:val="10"/>
              </w:rPr>
              <w:t>振兴绿化工程</w:t>
            </w:r>
          </w:p>
        </w:tc>
        <w:tc>
          <w:tcPr>
            <w:tcW w:w="1285" w:type="dxa"/>
            <w:vAlign w:val="top"/>
          </w:tcPr>
          <w:p>
            <w:pPr>
              <w:ind w:right="26"/>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21.98</w:t>
            </w:r>
          </w:p>
        </w:tc>
        <w:tc>
          <w:tcPr>
            <w:tcW w:w="1285" w:type="dxa"/>
            <w:vAlign w:val="top"/>
          </w:tcPr>
          <w:p>
            <w:pPr>
              <w:ind w:right="26"/>
              <w:spacing w:before="116" w:line="201" w:lineRule="exact"/>
              <w:jc w:val="right"/>
              <w:rPr>
                <w:rFonts w:ascii="SimSun" w:hAnsi="SimSun" w:eastAsia="SimSun" w:cs="SimSun"/>
                <w:sz w:val="15"/>
                <w:szCs w:val="15"/>
              </w:rPr>
            </w:pPr>
            <w:r>
              <w:rPr>
                <w:rFonts w:ascii="SimSun" w:hAnsi="SimSun" w:eastAsia="SimSun" w:cs="SimSun"/>
                <w:sz w:val="15"/>
                <w:szCs w:val="15"/>
                <w:color w:val="212529"/>
                <w:spacing w:val="4"/>
                <w:position w:val="1"/>
              </w:rPr>
              <w:t>21.98</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1"/>
              <w:spacing w:before="116" w:line="229" w:lineRule="auto"/>
              <w:rPr>
                <w:rFonts w:ascii="SimSun" w:hAnsi="SimSun" w:eastAsia="SimSun" w:cs="SimSun"/>
                <w:sz w:val="15"/>
                <w:szCs w:val="15"/>
              </w:rPr>
            </w:pPr>
            <w:r>
              <w:rPr>
                <w:rFonts w:ascii="SimSun" w:hAnsi="SimSun" w:eastAsia="SimSun" w:cs="SimSun"/>
                <w:sz w:val="15"/>
                <w:szCs w:val="15"/>
                <w:color w:val="212529"/>
                <w:spacing w:val="10"/>
              </w:rPr>
              <w:t>移植补栽工程</w:t>
            </w:r>
          </w:p>
        </w:tc>
        <w:tc>
          <w:tcPr>
            <w:tcW w:w="1285"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58.77</w:t>
            </w:r>
          </w:p>
        </w:tc>
        <w:tc>
          <w:tcPr>
            <w:tcW w:w="1285"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58.77</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6"/>
              <w:spacing w:before="116" w:line="229" w:lineRule="auto"/>
              <w:rPr>
                <w:rFonts w:ascii="SimSun" w:hAnsi="SimSun" w:eastAsia="SimSun" w:cs="SimSun"/>
                <w:sz w:val="15"/>
                <w:szCs w:val="15"/>
              </w:rPr>
            </w:pPr>
            <w:r>
              <w:rPr>
                <w:rFonts w:ascii="SimSun" w:hAnsi="SimSun" w:eastAsia="SimSun" w:cs="SimSun"/>
                <w:sz w:val="15"/>
                <w:szCs w:val="15"/>
                <w:color w:val="212529"/>
                <w:spacing w:val="9"/>
              </w:rPr>
              <w:t>公园维修维护</w:t>
            </w:r>
          </w:p>
        </w:tc>
        <w:tc>
          <w:tcPr>
            <w:tcW w:w="1285"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71.90</w:t>
            </w:r>
          </w:p>
        </w:tc>
        <w:tc>
          <w:tcPr>
            <w:tcW w:w="1285"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71.90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7" w:right="92" w:firstLine="323"/>
              <w:spacing w:before="30" w:line="208" w:lineRule="auto"/>
              <w:rPr>
                <w:rFonts w:ascii="SimSun" w:hAnsi="SimSun" w:eastAsia="SimSun" w:cs="SimSun"/>
                <w:sz w:val="15"/>
                <w:szCs w:val="15"/>
              </w:rPr>
            </w:pPr>
            <w:r>
              <w:rPr>
                <w:rFonts w:ascii="SimSun" w:hAnsi="SimSun" w:eastAsia="SimSun" w:cs="SimSun"/>
                <w:sz w:val="15"/>
                <w:szCs w:val="15"/>
                <w:color w:val="212529"/>
                <w:spacing w:val="11"/>
              </w:rPr>
              <w:t>蔚汾河张家圪埚段生态治理工程新增</w:t>
            </w:r>
            <w:r>
              <w:rPr>
                <w:rFonts w:ascii="SimSun" w:hAnsi="SimSun" w:eastAsia="SimSun" w:cs="SimSun"/>
                <w:sz w:val="15"/>
                <w:szCs w:val="15"/>
                <w:color w:val="212529"/>
                <w:spacing w:val="11"/>
              </w:rPr>
              <w:t>项目养护延期及公检法院内苗木养护合同</w:t>
            </w:r>
          </w:p>
        </w:tc>
        <w:tc>
          <w:tcPr>
            <w:tcW w:w="1285"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16.77</w:t>
            </w:r>
          </w:p>
        </w:tc>
        <w:tc>
          <w:tcPr>
            <w:tcW w:w="1285"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16.77</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6" w:right="92" w:firstLine="326"/>
              <w:spacing w:before="30" w:line="208" w:lineRule="auto"/>
              <w:rPr>
                <w:rFonts w:ascii="SimSun" w:hAnsi="SimSun" w:eastAsia="SimSun" w:cs="SimSun"/>
                <w:sz w:val="15"/>
                <w:szCs w:val="15"/>
              </w:rPr>
            </w:pPr>
            <w:r>
              <w:rPr>
                <w:rFonts w:ascii="SimSun" w:hAnsi="SimSun" w:eastAsia="SimSun" w:cs="SimSun"/>
                <w:sz w:val="15"/>
                <w:szCs w:val="15"/>
                <w:color w:val="212529"/>
                <w:spacing w:val="8"/>
              </w:rPr>
              <w:t>2022年、2024年、2025年蔚汾河道清</w:t>
            </w:r>
            <w:r>
              <w:rPr>
                <w:rFonts w:ascii="SimSun" w:hAnsi="SimSun" w:eastAsia="SimSun" w:cs="SimSun"/>
                <w:sz w:val="15"/>
                <w:szCs w:val="15"/>
                <w:color w:val="212529"/>
                <w:spacing w:val="9"/>
              </w:rPr>
              <w:t>淤工程</w:t>
            </w:r>
          </w:p>
        </w:tc>
        <w:tc>
          <w:tcPr>
            <w:tcW w:w="1285"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19.01</w:t>
            </w:r>
          </w:p>
        </w:tc>
        <w:tc>
          <w:tcPr>
            <w:tcW w:w="1285" w:type="dxa"/>
            <w:vAlign w:val="top"/>
          </w:tcPr>
          <w:p>
            <w:pPr>
              <w:ind w:right="26"/>
              <w:spacing w:before="116"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19.01</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7" w:right="92" w:firstLine="338"/>
              <w:spacing w:before="30" w:line="208" w:lineRule="auto"/>
              <w:rPr>
                <w:rFonts w:ascii="SimSun" w:hAnsi="SimSun" w:eastAsia="SimSun" w:cs="SimSun"/>
                <w:sz w:val="15"/>
                <w:szCs w:val="15"/>
              </w:rPr>
            </w:pPr>
            <w:r>
              <w:rPr>
                <w:rFonts w:ascii="SimSun" w:hAnsi="SimSun" w:eastAsia="SimSun" w:cs="SimSun"/>
                <w:sz w:val="15"/>
                <w:szCs w:val="15"/>
                <w:color w:val="212529"/>
                <w:spacing w:val="10"/>
              </w:rPr>
              <w:t>明珠广场电路改造、公园监控亮化维</w:t>
            </w:r>
            <w:r>
              <w:rPr>
                <w:rFonts w:ascii="SimSun" w:hAnsi="SimSun" w:eastAsia="SimSun" w:cs="SimSun"/>
                <w:sz w:val="15"/>
                <w:szCs w:val="15"/>
                <w:color w:val="212529"/>
                <w:spacing w:val="11"/>
              </w:rPr>
              <w:t>修维护、公园维修维护</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91.97</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91.97</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7" w:right="173" w:firstLine="326"/>
              <w:spacing w:before="30" w:line="208" w:lineRule="auto"/>
              <w:rPr>
                <w:rFonts w:ascii="SimSun" w:hAnsi="SimSun" w:eastAsia="SimSun" w:cs="SimSun"/>
                <w:sz w:val="15"/>
                <w:szCs w:val="15"/>
              </w:rPr>
            </w:pPr>
            <w:r>
              <w:rPr>
                <w:rFonts w:ascii="SimSun" w:hAnsi="SimSun" w:eastAsia="SimSun" w:cs="SimSun"/>
                <w:sz w:val="15"/>
                <w:szCs w:val="15"/>
                <w:color w:val="212529"/>
                <w:spacing w:val="8"/>
              </w:rPr>
              <w:t>313、218、219省道人居环境改善绿</w:t>
            </w:r>
            <w:r>
              <w:rPr>
                <w:rFonts w:ascii="SimSun" w:hAnsi="SimSun" w:eastAsia="SimSun" w:cs="SimSun"/>
                <w:sz w:val="15"/>
                <w:szCs w:val="15"/>
                <w:color w:val="212529"/>
                <w:spacing w:val="11"/>
              </w:rPr>
              <w:t>化工程监理费、验收费、审计费</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94.53</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94.53</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3"/>
              <w:spacing w:before="117" w:line="229" w:lineRule="auto"/>
              <w:rPr>
                <w:rFonts w:ascii="SimSun" w:hAnsi="SimSun" w:eastAsia="SimSun" w:cs="SimSun"/>
                <w:sz w:val="15"/>
                <w:szCs w:val="15"/>
              </w:rPr>
            </w:pPr>
            <w:r>
              <w:rPr>
                <w:rFonts w:ascii="SimSun" w:hAnsi="SimSun" w:eastAsia="SimSun" w:cs="SimSun"/>
                <w:sz w:val="15"/>
                <w:szCs w:val="15"/>
                <w:color w:val="212529"/>
                <w:spacing w:val="9"/>
              </w:rPr>
              <w:t>2022年兴县党校绿化配套工程</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200.00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4"/>
              <w:spacing w:before="117" w:line="225" w:lineRule="auto"/>
              <w:rPr>
                <w:rFonts w:ascii="SimSun" w:hAnsi="SimSun" w:eastAsia="SimSun" w:cs="SimSun"/>
                <w:sz w:val="15"/>
                <w:szCs w:val="15"/>
              </w:rPr>
            </w:pPr>
            <w:r>
              <w:rPr>
                <w:rFonts w:ascii="SimSun" w:hAnsi="SimSun" w:eastAsia="SimSun" w:cs="SimSun"/>
                <w:sz w:val="15"/>
                <w:szCs w:val="15"/>
                <w:color w:val="212529"/>
                <w:spacing w:val="10"/>
              </w:rPr>
              <w:t>兴县蔚汾公园综合治理项目-y</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300.00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6" w:right="173" w:firstLine="328"/>
              <w:spacing w:before="30" w:line="208" w:lineRule="auto"/>
              <w:rPr>
                <w:rFonts w:ascii="SimSun" w:hAnsi="SimSun" w:eastAsia="SimSun" w:cs="SimSun"/>
                <w:sz w:val="15"/>
                <w:szCs w:val="15"/>
              </w:rPr>
            </w:pPr>
            <w:r>
              <w:rPr>
                <w:rFonts w:ascii="SimSun" w:hAnsi="SimSun" w:eastAsia="SimSun" w:cs="SimSun"/>
                <w:sz w:val="15"/>
                <w:szCs w:val="15"/>
                <w:color w:val="212529"/>
                <w:spacing w:val="9"/>
              </w:rPr>
              <w:t>313.218省道人居环境改善绿化工程</w:t>
            </w:r>
            <w:r>
              <w:rPr>
                <w:rFonts w:ascii="SimSun" w:hAnsi="SimSun" w:eastAsia="SimSun" w:cs="SimSun"/>
                <w:sz w:val="15"/>
                <w:szCs w:val="15"/>
                <w:color w:val="212529"/>
                <w:spacing w:val="10"/>
              </w:rPr>
              <w:t>养护工程（包一、包二、包三）-y</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600.00</w:t>
            </w:r>
          </w:p>
        </w:tc>
        <w:tc>
          <w:tcPr>
            <w:tcW w:w="1285" w:type="dxa"/>
            <w:vAlign w:val="top"/>
          </w:tcPr>
          <w:p>
            <w:pPr>
              <w:ind w:right="26"/>
              <w:spacing w:before="117"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600.00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3"/>
              <w:spacing w:before="117" w:line="225" w:lineRule="auto"/>
              <w:rPr>
                <w:rFonts w:ascii="SimSun" w:hAnsi="SimSun" w:eastAsia="SimSun" w:cs="SimSun"/>
                <w:sz w:val="15"/>
                <w:szCs w:val="15"/>
              </w:rPr>
            </w:pPr>
            <w:r>
              <w:rPr>
                <w:rFonts w:ascii="SimSun" w:hAnsi="SimSun" w:eastAsia="SimSun" w:cs="SimSun"/>
                <w:sz w:val="15"/>
                <w:szCs w:val="15"/>
                <w:color w:val="212529"/>
                <w:spacing w:val="9"/>
              </w:rPr>
              <w:t>2024年蔚汾河道清淤工程-y</w:t>
            </w:r>
          </w:p>
        </w:tc>
        <w:tc>
          <w:tcPr>
            <w:tcW w:w="1285" w:type="dxa"/>
            <w:vAlign w:val="top"/>
          </w:tcPr>
          <w:p>
            <w:pPr>
              <w:ind w:right="26"/>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56.00</w:t>
            </w:r>
          </w:p>
        </w:tc>
        <w:tc>
          <w:tcPr>
            <w:tcW w:w="1285" w:type="dxa"/>
            <w:vAlign w:val="top"/>
          </w:tcPr>
          <w:p>
            <w:pPr>
              <w:ind w:right="26"/>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56.00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9" w:hRule="atLeast"/>
        </w:trPr>
        <w:tc>
          <w:tcPr>
            <w:tcW w:w="3019" w:type="dxa"/>
            <w:vAlign w:val="top"/>
          </w:tcPr>
          <w:p>
            <w:pPr>
              <w:ind w:left="333"/>
              <w:spacing w:before="118" w:line="229" w:lineRule="auto"/>
              <w:rPr>
                <w:rFonts w:ascii="SimSun" w:hAnsi="SimSun" w:eastAsia="SimSun" w:cs="SimSun"/>
                <w:sz w:val="15"/>
                <w:szCs w:val="15"/>
              </w:rPr>
            </w:pPr>
            <w:r>
              <w:rPr>
                <w:rFonts w:ascii="SimSun" w:hAnsi="SimSun" w:eastAsia="SimSun" w:cs="SimSun"/>
                <w:sz w:val="15"/>
                <w:szCs w:val="15"/>
                <w:color w:val="212529"/>
                <w:spacing w:val="9"/>
              </w:rPr>
              <w:t>二类费用</w:t>
            </w:r>
          </w:p>
        </w:tc>
        <w:tc>
          <w:tcPr>
            <w:tcW w:w="1285" w:type="dxa"/>
            <w:vAlign w:val="top"/>
          </w:tcPr>
          <w:p>
            <w:pPr>
              <w:ind w:right="26"/>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55.47</w:t>
            </w:r>
          </w:p>
        </w:tc>
        <w:tc>
          <w:tcPr>
            <w:tcW w:w="1285" w:type="dxa"/>
            <w:vAlign w:val="top"/>
          </w:tcPr>
          <w:p>
            <w:pPr>
              <w:ind w:right="26"/>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55.47</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84" w:hRule="atLeast"/>
        </w:trPr>
        <w:tc>
          <w:tcPr>
            <w:tcW w:w="3019" w:type="dxa"/>
            <w:vAlign w:val="top"/>
          </w:tcPr>
          <w:p>
            <w:pPr>
              <w:ind w:left="332"/>
              <w:spacing w:before="118" w:line="229" w:lineRule="auto"/>
              <w:rPr>
                <w:rFonts w:ascii="SimSun" w:hAnsi="SimSun" w:eastAsia="SimSun" w:cs="SimSun"/>
                <w:sz w:val="15"/>
                <w:szCs w:val="15"/>
              </w:rPr>
            </w:pPr>
            <w:r>
              <w:rPr>
                <w:rFonts w:ascii="SimSun" w:hAnsi="SimSun" w:eastAsia="SimSun" w:cs="SimSun"/>
                <w:sz w:val="15"/>
                <w:szCs w:val="15"/>
                <w:color w:val="212529"/>
                <w:spacing w:val="8"/>
              </w:rPr>
              <w:t>单位运转经费（水、</w:t>
            </w:r>
            <w:r>
              <w:rPr>
                <w:rFonts w:ascii="SimSun" w:hAnsi="SimSun" w:eastAsia="SimSun" w:cs="SimSun"/>
                <w:sz w:val="15"/>
                <w:szCs w:val="15"/>
                <w:color w:val="212529"/>
                <w:spacing w:val="-33"/>
              </w:rPr>
              <w:t xml:space="preserve"> </w:t>
            </w:r>
            <w:r>
              <w:rPr>
                <w:rFonts w:ascii="SimSun" w:hAnsi="SimSun" w:eastAsia="SimSun" w:cs="SimSun"/>
                <w:sz w:val="15"/>
                <w:szCs w:val="15"/>
                <w:color w:val="212529"/>
                <w:spacing w:val="8"/>
              </w:rPr>
              <w:t>电、暖等费用）</w:t>
            </w:r>
          </w:p>
        </w:tc>
        <w:tc>
          <w:tcPr>
            <w:tcW w:w="1285" w:type="dxa"/>
            <w:vAlign w:val="top"/>
          </w:tcPr>
          <w:p>
            <w:pPr>
              <w:ind w:right="26"/>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1285" w:type="dxa"/>
            <w:vAlign w:val="top"/>
          </w:tcPr>
          <w:p>
            <w:pPr>
              <w:ind w:right="26"/>
              <w:spacing w:before="118" w:line="202" w:lineRule="exact"/>
              <w:jc w:val="right"/>
              <w:rPr>
                <w:rFonts w:ascii="SimSun" w:hAnsi="SimSun" w:eastAsia="SimSun" w:cs="SimSun"/>
                <w:sz w:val="15"/>
                <w:szCs w:val="15"/>
              </w:rPr>
            </w:pPr>
            <w:r>
              <w:rPr>
                <w:rFonts w:ascii="SimSun" w:hAnsi="SimSun" w:eastAsia="SimSun" w:cs="SimSun"/>
                <w:sz w:val="15"/>
                <w:szCs w:val="15"/>
                <w:color w:val="212529"/>
                <w:spacing w:val="4"/>
                <w:position w:val="1"/>
              </w:rPr>
              <w:t>25.00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bl>
    <w:p>
      <w:pPr>
        <w:rPr>
          <w:rFonts w:ascii="Arial"/>
          <w:sz w:val="21"/>
        </w:rPr>
      </w:pPr>
      <w:r/>
    </w:p>
    <w:p>
      <w:pPr>
        <w:sectPr>
          <w:footerReference w:type="default" r:id="rId19"/>
          <w:pgSz w:w="11900" w:h="16840"/>
          <w:pgMar w:top="642" w:right="600" w:bottom="340" w:left="600" w:header="326" w:footer="111" w:gutter="0"/>
        </w:sectPr>
        <w:rPr>
          <w:rFonts w:ascii="Arial" w:hAnsi="Arial" w:eastAsia="Arial" w:cs="Arial"/>
          <w:sz w:val="21"/>
          <w:szCs w:val="21"/>
        </w:rPr>
      </w:pPr>
    </w:p>
    <w:p>
      <w:pPr>
        <w:spacing w:before="38"/>
        <w:rPr/>
      </w:pPr>
      <w:r/>
    </w:p>
    <w:p>
      <w:pPr>
        <w:spacing w:before="38"/>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3019"/>
        <w:gridCol w:w="1285"/>
        <w:gridCol w:w="1285"/>
        <w:gridCol w:w="626"/>
        <w:gridCol w:w="1080"/>
        <w:gridCol w:w="1058"/>
        <w:gridCol w:w="805"/>
      </w:tblGrid>
      <w:tr>
        <w:trPr>
          <w:trHeight w:val="381" w:hRule="atLeast"/>
        </w:trPr>
        <w:tc>
          <w:tcPr>
            <w:tcW w:w="3019" w:type="dxa"/>
            <w:vAlign w:val="top"/>
          </w:tcPr>
          <w:p>
            <w:pPr>
              <w:ind w:left="332"/>
              <w:spacing w:before="113" w:line="229" w:lineRule="auto"/>
              <w:rPr>
                <w:rFonts w:ascii="SimSun" w:hAnsi="SimSun" w:eastAsia="SimSun" w:cs="SimSun"/>
                <w:sz w:val="15"/>
                <w:szCs w:val="15"/>
              </w:rPr>
            </w:pPr>
            <w:bookmarkStart w:name="bookmark46" w:id="32"/>
            <w:bookmarkEnd w:id="32"/>
            <w:r>
              <w:rPr>
                <w:rFonts w:ascii="SimSun" w:hAnsi="SimSun" w:eastAsia="SimSun" w:cs="SimSun"/>
                <w:sz w:val="15"/>
                <w:szCs w:val="15"/>
                <w:color w:val="212529"/>
                <w:spacing w:val="10"/>
              </w:rPr>
              <w:t>单位聘用人员劳务费</w:t>
            </w:r>
          </w:p>
        </w:tc>
        <w:tc>
          <w:tcPr>
            <w:tcW w:w="1285"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1285" w:type="dxa"/>
            <w:vAlign w:val="top"/>
          </w:tcPr>
          <w:p>
            <w:pPr>
              <w:ind w:right="26"/>
              <w:spacing w:before="113" w:line="202" w:lineRule="exact"/>
              <w:jc w:val="right"/>
              <w:rPr>
                <w:rFonts w:ascii="SimSun" w:hAnsi="SimSun" w:eastAsia="SimSun" w:cs="SimSun"/>
                <w:sz w:val="15"/>
                <w:szCs w:val="15"/>
              </w:rPr>
            </w:pPr>
            <w:r>
              <w:rPr>
                <w:rFonts w:ascii="SimSun" w:hAnsi="SimSun" w:eastAsia="SimSun" w:cs="SimSun"/>
                <w:sz w:val="15"/>
                <w:szCs w:val="15"/>
                <w:color w:val="212529"/>
                <w:spacing w:val="3"/>
                <w:position w:val="1"/>
              </w:rPr>
              <w:t>5.00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76" w:hRule="atLeast"/>
        </w:trPr>
        <w:tc>
          <w:tcPr>
            <w:tcW w:w="3019" w:type="dxa"/>
            <w:vAlign w:val="top"/>
          </w:tcPr>
          <w:p>
            <w:pPr>
              <w:ind w:left="358"/>
              <w:spacing w:before="111" w:line="230" w:lineRule="auto"/>
              <w:rPr>
                <w:rFonts w:ascii="SimSun" w:hAnsi="SimSun" w:eastAsia="SimSun" w:cs="SimSun"/>
                <w:sz w:val="15"/>
                <w:szCs w:val="15"/>
              </w:rPr>
            </w:pPr>
            <w:r>
              <w:rPr>
                <w:rFonts w:ascii="SimSun" w:hAnsi="SimSun" w:eastAsia="SimSun" w:cs="SimSun"/>
                <w:sz w:val="15"/>
                <w:szCs w:val="15"/>
                <w:color w:val="212529"/>
                <w:spacing w:val="5"/>
              </w:rPr>
              <w:t>日常工作经费</w:t>
            </w:r>
          </w:p>
        </w:tc>
        <w:tc>
          <w:tcPr>
            <w:tcW w:w="1285"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85" w:type="dxa"/>
            <w:vAlign w:val="top"/>
          </w:tcPr>
          <w:p>
            <w:pPr>
              <w:ind w:right="26"/>
              <w:spacing w:before="112"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r>
        <w:trPr>
          <w:trHeight w:val="381" w:hRule="atLeast"/>
        </w:trPr>
        <w:tc>
          <w:tcPr>
            <w:tcW w:w="3019" w:type="dxa"/>
            <w:vAlign w:val="top"/>
          </w:tcPr>
          <w:p>
            <w:pPr>
              <w:ind w:left="331"/>
              <w:spacing w:before="115" w:line="228" w:lineRule="auto"/>
              <w:rPr>
                <w:rFonts w:ascii="SimSun" w:hAnsi="SimSun" w:eastAsia="SimSun" w:cs="SimSun"/>
                <w:sz w:val="15"/>
                <w:szCs w:val="15"/>
              </w:rPr>
            </w:pPr>
            <w:r>
              <w:rPr>
                <w:rFonts w:ascii="SimSun" w:hAnsi="SimSun" w:eastAsia="SimSun" w:cs="SimSun"/>
                <w:sz w:val="15"/>
                <w:szCs w:val="15"/>
                <w:color w:val="212529"/>
                <w:spacing w:val="11"/>
              </w:rPr>
              <w:t>退役军人（两参人员）生活补助</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1285" w:type="dxa"/>
            <w:vAlign w:val="top"/>
          </w:tcPr>
          <w:p>
            <w:pPr>
              <w:ind w:right="26"/>
              <w:spacing w:before="115" w:line="202" w:lineRule="exact"/>
              <w:jc w:val="right"/>
              <w:rPr>
                <w:rFonts w:ascii="SimSun" w:hAnsi="SimSun" w:eastAsia="SimSun" w:cs="SimSun"/>
                <w:sz w:val="15"/>
                <w:szCs w:val="15"/>
              </w:rPr>
            </w:pPr>
            <w:r>
              <w:rPr>
                <w:rFonts w:ascii="SimSun" w:hAnsi="SimSun" w:eastAsia="SimSun" w:cs="SimSun"/>
                <w:sz w:val="15"/>
                <w:szCs w:val="15"/>
                <w:color w:val="212529"/>
                <w:spacing w:val="2"/>
                <w:position w:val="1"/>
              </w:rPr>
              <w:t>10.00</w:t>
            </w:r>
          </w:p>
        </w:tc>
        <w:tc>
          <w:tcPr>
            <w:tcW w:w="626" w:type="dxa"/>
            <w:vAlign w:val="top"/>
          </w:tcPr>
          <w:p>
            <w:pPr>
              <w:pStyle w:val="TableText"/>
              <w:rPr/>
            </w:pPr>
            <w:r/>
          </w:p>
        </w:tc>
        <w:tc>
          <w:tcPr>
            <w:tcW w:w="1080" w:type="dxa"/>
            <w:vAlign w:val="top"/>
          </w:tcPr>
          <w:p>
            <w:pPr>
              <w:pStyle w:val="TableText"/>
              <w:rPr/>
            </w:pPr>
            <w:r/>
          </w:p>
        </w:tc>
        <w:tc>
          <w:tcPr>
            <w:tcW w:w="1058" w:type="dxa"/>
            <w:vAlign w:val="top"/>
          </w:tcPr>
          <w:p>
            <w:pPr>
              <w:pStyle w:val="TableText"/>
              <w:rPr/>
            </w:pPr>
            <w:r/>
          </w:p>
        </w:tc>
        <w:tc>
          <w:tcPr>
            <w:tcW w:w="805" w:type="dxa"/>
            <w:vAlign w:val="top"/>
          </w:tcPr>
          <w:p>
            <w:pPr>
              <w:pStyle w:val="TableText"/>
              <w:rPr/>
            </w:pPr>
            <w:r/>
          </w:p>
        </w:tc>
      </w:tr>
    </w:tbl>
    <w:p>
      <w:pPr>
        <w:rPr>
          <w:rFonts w:ascii="Arial"/>
          <w:sz w:val="21"/>
        </w:rPr>
      </w:pPr>
      <w:r/>
    </w:p>
    <w:p>
      <w:pPr>
        <w:sectPr>
          <w:footerReference w:type="default" r:id="rId20"/>
          <w:pgSz w:w="11900" w:h="16840"/>
          <w:pgMar w:top="642" w:right="600" w:bottom="340" w:left="600" w:header="326" w:footer="111" w:gutter="0"/>
        </w:sectPr>
        <w:rPr>
          <w:rFonts w:ascii="Arial" w:hAnsi="Arial" w:eastAsia="Arial" w:cs="Arial"/>
          <w:sz w:val="21"/>
          <w:szCs w:val="21"/>
        </w:rPr>
      </w:pPr>
    </w:p>
    <w:p>
      <w:pPr>
        <w:spacing w:before="103"/>
        <w:rPr/>
      </w:pPr>
      <w:r/>
    </w:p>
    <w:p>
      <w:pPr>
        <w:spacing w:before="103"/>
        <w:rPr/>
      </w:pPr>
      <w:r/>
    </w:p>
    <w:tbl>
      <w:tblPr>
        <w:tblStyle w:val="TableNormal"/>
        <w:tblW w:w="9158" w:type="dxa"/>
        <w:tblInd w:w="783" w:type="dxa"/>
        <w:tblLayout w:type="fixed"/>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blGrid>
        <w:gridCol w:w="4142"/>
        <w:gridCol w:w="1155"/>
        <w:gridCol w:w="1285"/>
        <w:gridCol w:w="1242"/>
        <w:gridCol w:w="1334"/>
      </w:tblGrid>
      <w:tr>
        <w:trPr>
          <w:trHeight w:val="383" w:hRule="atLeast"/>
        </w:trPr>
        <w:tc>
          <w:tcPr>
            <w:tcW w:w="414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15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242" w:type="dxa"/>
            <w:vAlign w:val="top"/>
            <w:tcBorders>
              <w:left w:val="single" w:color="FFFFFF" w:sz="2" w:space="0"/>
              <w:right w:val="single" w:color="FFFFFF" w:sz="2" w:space="0"/>
              <w:bottom w:val="single" w:color="FFFFFF" w:sz="4" w:space="0"/>
              <w:top w:val="single" w:color="FFFFFF" w:sz="4" w:space="0"/>
            </w:tcBorders>
          </w:tcPr>
          <w:p>
            <w:pPr>
              <w:pStyle w:val="TableText"/>
              <w:rPr/>
            </w:pPr>
            <w:r/>
          </w:p>
        </w:tc>
        <w:tc>
          <w:tcPr>
            <w:tcW w:w="1334" w:type="dxa"/>
            <w:vAlign w:val="top"/>
            <w:tcBorders>
              <w:left w:val="single" w:color="FFFFFF" w:sz="2" w:space="0"/>
              <w:right w:val="single" w:color="FFFFFF" w:sz="2" w:space="0"/>
              <w:bottom w:val="single" w:color="FFFFFF" w:sz="4" w:space="0"/>
              <w:top w:val="single" w:color="FFFFFF" w:sz="4" w:space="0"/>
            </w:tcBorders>
          </w:tcPr>
          <w:p>
            <w:pPr>
              <w:ind w:left="531"/>
              <w:spacing w:before="127" w:line="234" w:lineRule="auto"/>
              <w:rPr>
                <w:rFonts w:ascii="SimSun" w:hAnsi="SimSun" w:eastAsia="SimSun" w:cs="SimSun"/>
                <w:sz w:val="12"/>
                <w:szCs w:val="12"/>
              </w:rPr>
            </w:pPr>
            <w:r>
              <w:rPr>
                <w:rFonts w:ascii="SimSun" w:hAnsi="SimSun" w:eastAsia="SimSun" w:cs="SimSun"/>
                <w:sz w:val="12"/>
                <w:szCs w:val="12"/>
                <w:color w:val="212529"/>
                <w:spacing w:val="7"/>
              </w:rPr>
              <w:t>预算公开表13</w:t>
            </w:r>
          </w:p>
        </w:tc>
      </w:tr>
      <w:tr>
        <w:trPr>
          <w:trHeight w:val="378" w:hRule="atLeast"/>
        </w:trPr>
        <w:tc>
          <w:tcPr>
            <w:tcW w:w="9158" w:type="dxa"/>
            <w:vAlign w:val="top"/>
            <w:gridSpan w:val="5"/>
            <w:tcBorders>
              <w:left w:val="single" w:color="FFFFFF" w:sz="4" w:space="0"/>
              <w:bottom w:val="single" w:color="FFFFFF" w:sz="4" w:space="0"/>
              <w:right w:val="single" w:color="FFFFFF" w:sz="4" w:space="0"/>
              <w:top w:val="single" w:color="FFFFFF" w:sz="4" w:space="0"/>
            </w:tcBorders>
          </w:tcPr>
          <w:p>
            <w:pPr>
              <w:ind w:left="2959"/>
              <w:spacing w:before="80" w:line="201" w:lineRule="exact"/>
              <w:outlineLvl w:val="1"/>
              <w:rPr>
                <w:rFonts w:ascii="Microsoft YaHei" w:hAnsi="Microsoft YaHei" w:eastAsia="Microsoft YaHei" w:cs="Microsoft YaHei"/>
                <w:sz w:val="20"/>
                <w:szCs w:val="20"/>
              </w:rPr>
            </w:pPr>
            <w:bookmarkStart w:name="bookmark17" w:id="33"/>
            <w:bookmarkEnd w:id="33"/>
            <w:r>
              <w:rPr>
                <w:rFonts w:ascii="Microsoft YaHei" w:hAnsi="Microsoft YaHei" w:eastAsia="Microsoft YaHei" w:cs="Microsoft YaHei"/>
                <w:sz w:val="20"/>
                <w:szCs w:val="20"/>
                <w:color w:val="212529"/>
                <w:position w:val="-1"/>
              </w:rPr>
              <w:t>2025年项目支出预算表</w:t>
            </w:r>
            <w:r>
              <w:rPr>
                <w:rFonts w:ascii="Microsoft YaHei" w:hAnsi="Microsoft YaHei" w:eastAsia="Microsoft YaHei" w:cs="Microsoft YaHei"/>
                <w:sz w:val="20"/>
                <w:szCs w:val="20"/>
                <w:color w:val="212529"/>
                <w:spacing w:val="48"/>
                <w:position w:val="-1"/>
              </w:rPr>
              <w:t xml:space="preserve"> </w:t>
            </w:r>
            <w:r>
              <w:rPr>
                <w:rFonts w:ascii="Microsoft YaHei" w:hAnsi="Microsoft YaHei" w:eastAsia="Microsoft YaHei" w:cs="Microsoft YaHei"/>
                <w:sz w:val="20"/>
                <w:szCs w:val="20"/>
                <w:color w:val="212529"/>
                <w:position w:val="-1"/>
              </w:rPr>
              <w:t>(上年结转)</w:t>
            </w:r>
          </w:p>
        </w:tc>
      </w:tr>
      <w:tr>
        <w:trPr>
          <w:trHeight w:val="378" w:hRule="atLeast"/>
        </w:trPr>
        <w:tc>
          <w:tcPr>
            <w:tcW w:w="7824" w:type="dxa"/>
            <w:vAlign w:val="top"/>
            <w:gridSpan w:val="4"/>
            <w:tcBorders>
              <w:left w:val="single" w:color="FFFFFF" w:sz="2" w:space="0"/>
              <w:right w:val="single" w:color="FFFFFF" w:sz="2" w:space="0"/>
              <w:top w:val="single" w:color="FFFFFF" w:sz="4" w:space="0"/>
            </w:tcBorders>
          </w:tcPr>
          <w:p>
            <w:pPr>
              <w:ind w:left="9"/>
              <w:spacing w:before="124" w:line="234" w:lineRule="auto"/>
              <w:rPr>
                <w:rFonts w:ascii="SimSun" w:hAnsi="SimSun" w:eastAsia="SimSun" w:cs="SimSun"/>
                <w:sz w:val="12"/>
                <w:szCs w:val="12"/>
              </w:rPr>
            </w:pPr>
            <w:r>
              <w:rPr>
                <w:rFonts w:ascii="SimSun" w:hAnsi="SimSun" w:eastAsia="SimSun" w:cs="SimSun"/>
                <w:sz w:val="12"/>
                <w:szCs w:val="12"/>
                <w:color w:val="212529"/>
                <w:spacing w:val="9"/>
              </w:rPr>
              <w:t>部门名称：兴县园林事业发展服务中心</w:t>
            </w:r>
          </w:p>
        </w:tc>
        <w:tc>
          <w:tcPr>
            <w:tcW w:w="1334" w:type="dxa"/>
            <w:vAlign w:val="top"/>
            <w:tcBorders>
              <w:left w:val="single" w:color="FFFFFF" w:sz="2" w:space="0"/>
              <w:right w:val="single" w:color="FFFFFF" w:sz="2" w:space="0"/>
              <w:top w:val="single" w:color="FFFFFF" w:sz="4" w:space="0"/>
            </w:tcBorders>
          </w:tcPr>
          <w:p>
            <w:pPr>
              <w:ind w:left="661"/>
              <w:spacing w:before="124" w:line="235" w:lineRule="auto"/>
              <w:rPr>
                <w:rFonts w:ascii="SimSun" w:hAnsi="SimSun" w:eastAsia="SimSun" w:cs="SimSun"/>
                <w:sz w:val="12"/>
                <w:szCs w:val="12"/>
              </w:rPr>
            </w:pPr>
            <w:r>
              <w:rPr>
                <w:rFonts w:ascii="SimSun" w:hAnsi="SimSun" w:eastAsia="SimSun" w:cs="SimSun"/>
                <w:sz w:val="12"/>
                <w:szCs w:val="12"/>
                <w:color w:val="212529"/>
                <w:spacing w:val="8"/>
              </w:rPr>
              <w:t>单位：万元</w:t>
            </w:r>
          </w:p>
        </w:tc>
      </w:tr>
      <w:tr>
        <w:trPr>
          <w:trHeight w:val="378" w:hRule="atLeast"/>
        </w:trPr>
        <w:tc>
          <w:tcPr>
            <w:tcW w:w="4142" w:type="dxa"/>
            <w:vAlign w:val="top"/>
            <w:vMerge w:val="restart"/>
            <w:tcBorders>
              <w:bottom w:val="nil"/>
            </w:tcBorders>
          </w:tcPr>
          <w:p>
            <w:pPr>
              <w:ind w:left="1735"/>
              <w:spacing w:before="305" w:line="156"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项目名称</w:t>
            </w:r>
          </w:p>
        </w:tc>
        <w:tc>
          <w:tcPr>
            <w:tcW w:w="1155" w:type="dxa"/>
            <w:vAlign w:val="top"/>
            <w:vMerge w:val="restart"/>
            <w:tcBorders>
              <w:bottom w:val="nil"/>
            </w:tcBorders>
          </w:tcPr>
          <w:p>
            <w:pPr>
              <w:ind w:left="408"/>
              <w:spacing w:before="305" w:line="154"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9"/>
                <w:position w:val="-1"/>
              </w:rPr>
              <w:t>合计</w:t>
            </w:r>
          </w:p>
        </w:tc>
        <w:tc>
          <w:tcPr>
            <w:tcW w:w="3861" w:type="dxa"/>
            <w:vAlign w:val="top"/>
            <w:gridSpan w:val="3"/>
          </w:tcPr>
          <w:p>
            <w:pPr>
              <w:ind w:left="1357"/>
              <w:spacing w:before="109"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2"/>
                <w:position w:val="-1"/>
              </w:rPr>
              <w:t>2025年财政拨款</w:t>
            </w:r>
          </w:p>
        </w:tc>
      </w:tr>
      <w:tr>
        <w:trPr>
          <w:trHeight w:val="378" w:hRule="atLeast"/>
        </w:trPr>
        <w:tc>
          <w:tcPr>
            <w:tcW w:w="4142" w:type="dxa"/>
            <w:vAlign w:val="top"/>
            <w:vMerge w:val="continue"/>
            <w:tcBorders>
              <w:top w:val="nil"/>
            </w:tcBorders>
          </w:tcPr>
          <w:p>
            <w:pPr>
              <w:pStyle w:val="TableText"/>
              <w:rPr/>
            </w:pPr>
            <w:r/>
          </w:p>
        </w:tc>
        <w:tc>
          <w:tcPr>
            <w:tcW w:w="1155" w:type="dxa"/>
            <w:vAlign w:val="top"/>
            <w:vMerge w:val="continue"/>
            <w:tcBorders>
              <w:top w:val="nil"/>
            </w:tcBorders>
          </w:tcPr>
          <w:p>
            <w:pPr>
              <w:pStyle w:val="TableText"/>
              <w:rPr/>
            </w:pPr>
            <w:r/>
          </w:p>
        </w:tc>
        <w:tc>
          <w:tcPr>
            <w:tcW w:w="1285" w:type="dxa"/>
            <w:vAlign w:val="top"/>
          </w:tcPr>
          <w:p>
            <w:pPr>
              <w:ind w:left="147"/>
              <w:spacing w:before="110"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一般公共预算</w:t>
            </w:r>
          </w:p>
        </w:tc>
        <w:tc>
          <w:tcPr>
            <w:tcW w:w="1242" w:type="dxa"/>
            <w:vAlign w:val="top"/>
          </w:tcPr>
          <w:p>
            <w:pPr>
              <w:ind w:left="446" w:right="220" w:hanging="240"/>
              <w:spacing w:before="25" w:line="159" w:lineRule="auto"/>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政府性基金</w:t>
            </w:r>
            <w:r>
              <w:rPr>
                <w:rFonts w:ascii="Microsoft YaHei" w:hAnsi="Microsoft YaHei" w:eastAsia="Microsoft YaHei" w:cs="Microsoft YaHei"/>
                <w:sz w:val="15"/>
                <w:szCs w:val="15"/>
                <w:color w:val="212529"/>
                <w:spacing w:val="11"/>
              </w:rPr>
              <w:t>预算</w:t>
            </w:r>
          </w:p>
        </w:tc>
        <w:tc>
          <w:tcPr>
            <w:tcW w:w="1334" w:type="dxa"/>
            <w:vAlign w:val="top"/>
          </w:tcPr>
          <w:p>
            <w:pPr>
              <w:ind w:left="348"/>
              <w:spacing w:before="2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5"/>
                <w:position w:val="-1"/>
              </w:rPr>
              <w:t>国有资本</w:t>
            </w:r>
          </w:p>
          <w:p>
            <w:pPr>
              <w:ind w:left="332"/>
              <w:spacing w:before="26" w:line="158"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0"/>
              </w:rPr>
              <w:t>经营预算</w:t>
            </w:r>
          </w:p>
        </w:tc>
      </w:tr>
      <w:tr>
        <w:trPr>
          <w:trHeight w:val="378" w:hRule="atLeast"/>
        </w:trPr>
        <w:tc>
          <w:tcPr>
            <w:tcW w:w="4142" w:type="dxa"/>
            <w:vAlign w:val="top"/>
          </w:tcPr>
          <w:p>
            <w:pPr>
              <w:ind w:left="2033"/>
              <w:spacing w:before="115" w:line="203" w:lineRule="exact"/>
              <w:rPr>
                <w:rFonts w:ascii="SimSun" w:hAnsi="SimSun" w:eastAsia="SimSun" w:cs="SimSun"/>
                <w:sz w:val="15"/>
                <w:szCs w:val="15"/>
              </w:rPr>
            </w:pPr>
            <w:r>
              <w:rPr>
                <w:rFonts w:ascii="SimSun" w:hAnsi="SimSun" w:eastAsia="SimSun" w:cs="SimSun"/>
                <w:sz w:val="15"/>
                <w:szCs w:val="15"/>
                <w:color w:val="212529"/>
                <w:position w:val="1"/>
              </w:rPr>
              <w:t>1</w:t>
            </w:r>
          </w:p>
        </w:tc>
        <w:tc>
          <w:tcPr>
            <w:tcW w:w="1155" w:type="dxa"/>
            <w:vAlign w:val="top"/>
          </w:tcPr>
          <w:p>
            <w:pPr>
              <w:ind w:left="532"/>
              <w:spacing w:before="115" w:line="203" w:lineRule="exact"/>
              <w:rPr>
                <w:rFonts w:ascii="SimSun" w:hAnsi="SimSun" w:eastAsia="SimSun" w:cs="SimSun"/>
                <w:sz w:val="15"/>
                <w:szCs w:val="15"/>
              </w:rPr>
            </w:pPr>
            <w:r>
              <w:rPr>
                <w:rFonts w:ascii="SimSun" w:hAnsi="SimSun" w:eastAsia="SimSun" w:cs="SimSun"/>
                <w:sz w:val="15"/>
                <w:szCs w:val="15"/>
                <w:color w:val="212529"/>
                <w:position w:val="1"/>
              </w:rPr>
              <w:t>2</w:t>
            </w:r>
          </w:p>
        </w:tc>
        <w:tc>
          <w:tcPr>
            <w:tcW w:w="1285" w:type="dxa"/>
            <w:vAlign w:val="top"/>
          </w:tcPr>
          <w:p>
            <w:pPr>
              <w:ind w:left="599"/>
              <w:spacing w:before="115" w:line="202" w:lineRule="exact"/>
              <w:rPr>
                <w:rFonts w:ascii="SimSun" w:hAnsi="SimSun" w:eastAsia="SimSun" w:cs="SimSun"/>
                <w:sz w:val="15"/>
                <w:szCs w:val="15"/>
              </w:rPr>
            </w:pPr>
            <w:r>
              <w:rPr>
                <w:rFonts w:ascii="SimSun" w:hAnsi="SimSun" w:eastAsia="SimSun" w:cs="SimSun"/>
                <w:sz w:val="15"/>
                <w:szCs w:val="15"/>
                <w:color w:val="212529"/>
                <w:position w:val="1"/>
              </w:rPr>
              <w:t>3</w:t>
            </w:r>
          </w:p>
        </w:tc>
        <w:tc>
          <w:tcPr>
            <w:tcW w:w="1242" w:type="dxa"/>
            <w:vAlign w:val="top"/>
          </w:tcPr>
          <w:p>
            <w:pPr>
              <w:ind w:left="572"/>
              <w:spacing w:before="115" w:line="203" w:lineRule="exact"/>
              <w:rPr>
                <w:rFonts w:ascii="SimSun" w:hAnsi="SimSun" w:eastAsia="SimSun" w:cs="SimSun"/>
                <w:sz w:val="15"/>
                <w:szCs w:val="15"/>
              </w:rPr>
            </w:pPr>
            <w:r>
              <w:rPr>
                <w:rFonts w:ascii="SimSun" w:hAnsi="SimSun" w:eastAsia="SimSun" w:cs="SimSun"/>
                <w:sz w:val="15"/>
                <w:szCs w:val="15"/>
                <w:color w:val="212529"/>
                <w:position w:val="1"/>
              </w:rPr>
              <w:t>4</w:t>
            </w:r>
          </w:p>
        </w:tc>
        <w:tc>
          <w:tcPr>
            <w:tcW w:w="1334" w:type="dxa"/>
            <w:vAlign w:val="top"/>
          </w:tcPr>
          <w:p>
            <w:pPr>
              <w:ind w:left="620"/>
              <w:spacing w:before="115" w:line="202" w:lineRule="exact"/>
              <w:rPr>
                <w:rFonts w:ascii="SimSun" w:hAnsi="SimSun" w:eastAsia="SimSun" w:cs="SimSun"/>
                <w:sz w:val="15"/>
                <w:szCs w:val="15"/>
              </w:rPr>
            </w:pPr>
            <w:r>
              <w:rPr>
                <w:rFonts w:ascii="SimSun" w:hAnsi="SimSun" w:eastAsia="SimSun" w:cs="SimSun"/>
                <w:sz w:val="15"/>
                <w:szCs w:val="15"/>
                <w:color w:val="212529"/>
                <w:position w:val="1"/>
              </w:rPr>
              <w:t>5</w:t>
            </w:r>
          </w:p>
        </w:tc>
      </w:tr>
      <w:tr>
        <w:trPr>
          <w:trHeight w:val="378" w:hRule="atLeast"/>
        </w:trPr>
        <w:tc>
          <w:tcPr>
            <w:tcW w:w="4142" w:type="dxa"/>
            <w:vAlign w:val="top"/>
          </w:tcPr>
          <w:p>
            <w:pPr>
              <w:pStyle w:val="TableText"/>
              <w:rPr/>
            </w:pPr>
            <w:r/>
          </w:p>
        </w:tc>
        <w:tc>
          <w:tcPr>
            <w:tcW w:w="1155" w:type="dxa"/>
            <w:vAlign w:val="top"/>
          </w:tcPr>
          <w:p>
            <w:pPr>
              <w:pStyle w:val="TableText"/>
              <w:rPr/>
            </w:pPr>
            <w:r/>
          </w:p>
        </w:tc>
        <w:tc>
          <w:tcPr>
            <w:tcW w:w="1285" w:type="dxa"/>
            <w:vAlign w:val="top"/>
          </w:tcPr>
          <w:p>
            <w:pPr>
              <w:pStyle w:val="TableText"/>
              <w:rPr/>
            </w:pPr>
            <w:r/>
          </w:p>
        </w:tc>
        <w:tc>
          <w:tcPr>
            <w:tcW w:w="1242" w:type="dxa"/>
            <w:vAlign w:val="top"/>
          </w:tcPr>
          <w:p>
            <w:pPr>
              <w:pStyle w:val="TableText"/>
              <w:rPr/>
            </w:pPr>
            <w:r/>
          </w:p>
        </w:tc>
        <w:tc>
          <w:tcPr>
            <w:tcW w:w="1334" w:type="dxa"/>
            <w:vAlign w:val="top"/>
          </w:tcPr>
          <w:p>
            <w:pPr>
              <w:pStyle w:val="TableText"/>
              <w:rPr/>
            </w:pPr>
            <w:r/>
          </w:p>
        </w:tc>
      </w:tr>
      <w:tr>
        <w:trPr>
          <w:trHeight w:val="383" w:hRule="atLeast"/>
        </w:trPr>
        <w:tc>
          <w:tcPr>
            <w:tcW w:w="4142" w:type="dxa"/>
            <w:vAlign w:val="top"/>
            <w:tcBorders>
              <w:left w:val="single" w:color="FFFFFF" w:sz="4" w:space="0"/>
              <w:bottom w:val="single" w:color="FFFFFF" w:sz="4" w:space="0"/>
              <w:right w:val="single" w:color="000000" w:sz="2" w:space="0"/>
            </w:tcBorders>
          </w:tcPr>
          <w:p>
            <w:pPr>
              <w:ind w:left="5"/>
              <w:spacing w:before="114" w:line="157" w:lineRule="exact"/>
              <w:rPr>
                <w:rFonts w:ascii="Microsoft YaHei" w:hAnsi="Microsoft YaHei" w:eastAsia="Microsoft YaHei" w:cs="Microsoft YaHei"/>
                <w:sz w:val="15"/>
                <w:szCs w:val="15"/>
              </w:rPr>
            </w:pPr>
            <w:r>
              <w:rPr>
                <w:rFonts w:ascii="Microsoft YaHei" w:hAnsi="Microsoft YaHei" w:eastAsia="Microsoft YaHei" w:cs="Microsoft YaHei"/>
                <w:sz w:val="15"/>
                <w:szCs w:val="15"/>
                <w:color w:val="212529"/>
                <w:spacing w:val="11"/>
              </w:rPr>
              <w:t>注:</w:t>
            </w:r>
            <w:r>
              <w:rPr>
                <w:rFonts w:ascii="Microsoft YaHei" w:hAnsi="Microsoft YaHei" w:eastAsia="Microsoft YaHei" w:cs="Microsoft YaHei"/>
                <w:sz w:val="15"/>
                <w:szCs w:val="15"/>
                <w:color w:val="212529"/>
                <w:spacing w:val="12"/>
                <w:w w:val="102"/>
              </w:rPr>
              <w:t xml:space="preserve">  </w:t>
            </w:r>
            <w:r>
              <w:rPr>
                <w:rFonts w:ascii="Microsoft YaHei" w:hAnsi="Microsoft YaHei" w:eastAsia="Microsoft YaHei" w:cs="Microsoft YaHei"/>
                <w:sz w:val="15"/>
                <w:szCs w:val="15"/>
                <w:color w:val="212529"/>
                <w:spacing w:val="11"/>
              </w:rPr>
              <w:t>本表无数据</w:t>
            </w:r>
          </w:p>
        </w:tc>
        <w:tc>
          <w:tcPr>
            <w:tcW w:w="1155" w:type="dxa"/>
            <w:vAlign w:val="top"/>
            <w:tcBorders>
              <w:left w:val="single" w:color="FFFFFF" w:sz="2" w:space="0"/>
              <w:right w:val="single" w:color="FFFFFF" w:sz="2" w:space="0"/>
              <w:bottom w:val="single" w:color="FFFFFF" w:sz="4" w:space="0"/>
            </w:tcBorders>
          </w:tcPr>
          <w:p>
            <w:pPr>
              <w:pStyle w:val="TableText"/>
              <w:rPr/>
            </w:pPr>
            <w:r/>
          </w:p>
        </w:tc>
        <w:tc>
          <w:tcPr>
            <w:tcW w:w="1285" w:type="dxa"/>
            <w:vAlign w:val="top"/>
            <w:tcBorders>
              <w:left w:val="single" w:color="FFFFFF" w:sz="2" w:space="0"/>
              <w:right w:val="single" w:color="FFFFFF" w:sz="2" w:space="0"/>
              <w:bottom w:val="single" w:color="FFFFFF" w:sz="4" w:space="0"/>
            </w:tcBorders>
          </w:tcPr>
          <w:p>
            <w:pPr>
              <w:pStyle w:val="TableText"/>
              <w:rPr/>
            </w:pPr>
            <w:r/>
          </w:p>
        </w:tc>
        <w:tc>
          <w:tcPr>
            <w:tcW w:w="1242" w:type="dxa"/>
            <w:vAlign w:val="top"/>
            <w:tcBorders>
              <w:left w:val="single" w:color="FFFFFF" w:sz="2" w:space="0"/>
              <w:right w:val="single" w:color="FFFFFF" w:sz="2" w:space="0"/>
              <w:bottom w:val="single" w:color="FFFFFF" w:sz="4" w:space="0"/>
            </w:tcBorders>
          </w:tcPr>
          <w:p>
            <w:pPr>
              <w:pStyle w:val="TableText"/>
              <w:rPr/>
            </w:pPr>
            <w:r/>
          </w:p>
        </w:tc>
        <w:tc>
          <w:tcPr>
            <w:tcW w:w="1334" w:type="dxa"/>
            <w:vAlign w:val="top"/>
            <w:tcBorders>
              <w:left w:val="single" w:color="FFFFFF" w:sz="2" w:space="0"/>
              <w:right w:val="single" w:color="FFFFFF" w:sz="2" w:space="0"/>
              <w:bottom w:val="single" w:color="FFFFFF" w:sz="4" w:space="0"/>
            </w:tcBorders>
          </w:tcPr>
          <w:p>
            <w:pPr>
              <w:pStyle w:val="TableText"/>
              <w:rPr/>
            </w:pPr>
            <w:r/>
          </w:p>
        </w:tc>
      </w:tr>
    </w:tbl>
    <w:p>
      <w:pPr>
        <w:rPr>
          <w:rFonts w:ascii="Arial"/>
          <w:sz w:val="21"/>
        </w:rPr>
      </w:pPr>
      <w:r/>
    </w:p>
    <w:p>
      <w:pPr>
        <w:sectPr>
          <w:footerReference w:type="default" r:id="rId21"/>
          <w:pgSz w:w="11900" w:h="16840"/>
          <w:pgMar w:top="642" w:right="600" w:bottom="340" w:left="600" w:header="326" w:footer="111" w:gutter="0"/>
        </w:sectPr>
        <w:rPr>
          <w:rFonts w:ascii="Arial" w:hAnsi="Arial" w:eastAsia="Arial" w:cs="Arial"/>
          <w:sz w:val="21"/>
          <w:szCs w:val="21"/>
        </w:rPr>
      </w:pPr>
    </w:p>
    <w:p>
      <w:pPr>
        <w:spacing w:line="332" w:lineRule="auto"/>
        <w:rPr>
          <w:rFonts w:ascii="Arial"/>
          <w:sz w:val="21"/>
        </w:rPr>
      </w:pPr>
      <w:r/>
    </w:p>
    <w:p>
      <w:pPr>
        <w:spacing w:line="332" w:lineRule="auto"/>
        <w:rPr>
          <w:rFonts w:ascii="Arial"/>
          <w:sz w:val="21"/>
        </w:rPr>
      </w:pPr>
      <w:r/>
    </w:p>
    <w:p>
      <w:pPr>
        <w:ind w:left="3464"/>
        <w:spacing w:before="99" w:line="230" w:lineRule="exact"/>
        <w:outlineLvl w:val="0"/>
        <w:rPr>
          <w:rFonts w:ascii="Microsoft YaHei" w:hAnsi="Microsoft YaHei" w:eastAsia="Microsoft YaHei" w:cs="Microsoft YaHei"/>
          <w:sz w:val="23"/>
          <w:szCs w:val="23"/>
        </w:rPr>
      </w:pPr>
      <w:bookmarkStart w:name="bookmark18" w:id="34"/>
      <w:bookmarkEnd w:id="34"/>
      <w:r>
        <w:rPr>
          <w:rFonts w:ascii="Microsoft YaHei" w:hAnsi="Microsoft YaHei" w:eastAsia="Microsoft YaHei" w:cs="Microsoft YaHei"/>
          <w:sz w:val="23"/>
          <w:szCs w:val="23"/>
          <w:spacing w:val="-5"/>
          <w:position w:val="-1"/>
        </w:rPr>
        <w:t>第三部分</w:t>
      </w:r>
      <w:r>
        <w:rPr>
          <w:rFonts w:ascii="Microsoft YaHei" w:hAnsi="Microsoft YaHei" w:eastAsia="Microsoft YaHei" w:cs="Microsoft YaHei"/>
          <w:sz w:val="23"/>
          <w:szCs w:val="23"/>
          <w:spacing w:val="56"/>
          <w:position w:val="-1"/>
        </w:rPr>
        <w:t xml:space="preserve"> </w:t>
      </w:r>
      <w:r>
        <w:rPr>
          <w:rFonts w:ascii="Microsoft YaHei" w:hAnsi="Microsoft YaHei" w:eastAsia="Microsoft YaHei" w:cs="Microsoft YaHei"/>
          <w:sz w:val="23"/>
          <w:szCs w:val="23"/>
          <w:spacing w:val="-5"/>
          <w:position w:val="-1"/>
        </w:rPr>
        <w:t>2025年度部门预算情况说明</w:t>
      </w:r>
    </w:p>
    <w:p>
      <w:pPr>
        <w:ind w:left="661"/>
        <w:spacing w:before="299" w:line="229" w:lineRule="exact"/>
        <w:outlineLvl w:val="1"/>
        <w:rPr>
          <w:rFonts w:ascii="Microsoft YaHei" w:hAnsi="Microsoft YaHei" w:eastAsia="Microsoft YaHei" w:cs="Microsoft YaHei"/>
          <w:sz w:val="22"/>
          <w:szCs w:val="22"/>
        </w:rPr>
      </w:pPr>
      <w:bookmarkStart w:name="bookmark19" w:id="35"/>
      <w:bookmarkEnd w:id="35"/>
      <w:r>
        <w:rPr>
          <w:rFonts w:ascii="Microsoft YaHei" w:hAnsi="Microsoft YaHei" w:eastAsia="Microsoft YaHei" w:cs="Microsoft YaHei"/>
          <w:sz w:val="22"/>
          <w:szCs w:val="22"/>
          <w:spacing w:val="7"/>
          <w:position w:val="-1"/>
        </w:rPr>
        <w:t>一、</w:t>
      </w:r>
      <w:r>
        <w:rPr>
          <w:rFonts w:ascii="Microsoft YaHei" w:hAnsi="Microsoft YaHei" w:eastAsia="Microsoft YaHei" w:cs="Microsoft YaHei"/>
          <w:sz w:val="22"/>
          <w:szCs w:val="22"/>
          <w:spacing w:val="-31"/>
          <w:position w:val="-1"/>
        </w:rPr>
        <w:t xml:space="preserve"> </w:t>
      </w:r>
      <w:r>
        <w:rPr>
          <w:rFonts w:ascii="Microsoft YaHei" w:hAnsi="Microsoft YaHei" w:eastAsia="Microsoft YaHei" w:cs="Microsoft YaHei"/>
          <w:sz w:val="22"/>
          <w:szCs w:val="22"/>
          <w:spacing w:val="7"/>
          <w:position w:val="-1"/>
        </w:rPr>
        <w:t>部门预算收支数据变动情况及原因</w:t>
      </w:r>
    </w:p>
    <w:p>
      <w:pPr>
        <w:ind w:left="661" w:right="623" w:firstLine="459"/>
        <w:spacing w:before="187" w:line="322" w:lineRule="auto"/>
        <w:jc w:val="both"/>
        <w:rPr>
          <w:rFonts w:ascii="FangSong" w:hAnsi="FangSong" w:eastAsia="FangSong" w:cs="FangSong"/>
          <w:sz w:val="23"/>
          <w:szCs w:val="23"/>
        </w:rPr>
      </w:pPr>
      <w:r>
        <w:rPr>
          <w:rFonts w:ascii="FangSong" w:hAnsi="FangSong" w:eastAsia="FangSong" w:cs="FangSong"/>
          <w:sz w:val="23"/>
          <w:szCs w:val="23"/>
          <w:spacing w:val="13"/>
        </w:rPr>
        <w:t>2025年度兴县园林事业发展服务中心预算收入总计3,855.59万元</w:t>
      </w:r>
      <w:r>
        <w:rPr>
          <w:rFonts w:ascii="FangSong" w:hAnsi="FangSong" w:eastAsia="FangSong" w:cs="FangSong"/>
          <w:sz w:val="23"/>
          <w:szCs w:val="23"/>
          <w:spacing w:val="-46"/>
        </w:rPr>
        <w:t xml:space="preserve"> </w:t>
      </w:r>
      <w:r>
        <w:rPr>
          <w:rFonts w:ascii="FangSong" w:hAnsi="FangSong" w:eastAsia="FangSong" w:cs="FangSong"/>
          <w:sz w:val="23"/>
          <w:szCs w:val="23"/>
          <w:spacing w:val="13"/>
        </w:rPr>
        <w:t>，其中：</w:t>
      </w:r>
      <w:r>
        <w:rPr>
          <w:rFonts w:ascii="FangSong" w:hAnsi="FangSong" w:eastAsia="FangSong" w:cs="FangSong"/>
          <w:sz w:val="23"/>
          <w:szCs w:val="23"/>
          <w:spacing w:val="-56"/>
        </w:rPr>
        <w:t xml:space="preserve"> </w:t>
      </w:r>
      <w:r>
        <w:rPr>
          <w:rFonts w:ascii="FangSong" w:hAnsi="FangSong" w:eastAsia="FangSong" w:cs="FangSong"/>
          <w:sz w:val="23"/>
          <w:szCs w:val="23"/>
          <w:spacing w:val="13"/>
        </w:rPr>
        <w:t>本年收入</w:t>
      </w:r>
      <w:r>
        <w:rPr>
          <w:rFonts w:ascii="FangSong" w:hAnsi="FangSong" w:eastAsia="FangSong" w:cs="FangSong"/>
          <w:sz w:val="23"/>
          <w:szCs w:val="23"/>
          <w:spacing w:val="3"/>
        </w:rPr>
        <w:t>3,855.59万元，上年结转0万元，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比上年减少1430.78万元，下降27.07%，主要原因是政府过</w:t>
      </w:r>
      <w:r>
        <w:rPr>
          <w:rFonts w:ascii="FangSong" w:hAnsi="FangSong" w:eastAsia="FangSong" w:cs="FangSong"/>
          <w:sz w:val="23"/>
          <w:szCs w:val="23"/>
          <w:spacing w:val="9"/>
        </w:rPr>
        <w:t>紧</w:t>
      </w:r>
      <w:r>
        <w:rPr>
          <w:rFonts w:ascii="FangSong" w:hAnsi="FangSong" w:eastAsia="FangSong" w:cs="FangSong"/>
          <w:sz w:val="23"/>
          <w:szCs w:val="23"/>
          <w:spacing w:val="-29"/>
        </w:rPr>
        <w:t xml:space="preserve"> </w:t>
      </w:r>
      <w:r>
        <w:rPr>
          <w:rFonts w:ascii="FangSong" w:hAnsi="FangSong" w:eastAsia="FangSong" w:cs="FangSong"/>
          <w:sz w:val="23"/>
          <w:szCs w:val="23"/>
          <w:spacing w:val="9"/>
        </w:rPr>
        <w:t>日子</w:t>
      </w:r>
      <w:r>
        <w:rPr>
          <w:rFonts w:ascii="FangSong" w:hAnsi="FangSong" w:eastAsia="FangSong" w:cs="FangSong"/>
          <w:sz w:val="23"/>
          <w:szCs w:val="23"/>
          <w:spacing w:val="-64"/>
        </w:rPr>
        <w:t xml:space="preserve"> </w:t>
      </w:r>
      <w:r>
        <w:rPr>
          <w:rFonts w:ascii="FangSong" w:hAnsi="FangSong" w:eastAsia="FangSong" w:cs="FangSong"/>
          <w:sz w:val="23"/>
          <w:szCs w:val="23"/>
          <w:spacing w:val="9"/>
        </w:rPr>
        <w:t>，压缩非刚性支出</w:t>
      </w:r>
      <w:r>
        <w:rPr>
          <w:rFonts w:ascii="FangSong" w:hAnsi="FangSong" w:eastAsia="FangSong" w:cs="FangSong"/>
          <w:sz w:val="23"/>
          <w:szCs w:val="23"/>
          <w:spacing w:val="-63"/>
        </w:rPr>
        <w:t xml:space="preserve"> </w:t>
      </w:r>
      <w:r>
        <w:rPr>
          <w:rFonts w:ascii="FangSong" w:hAnsi="FangSong" w:eastAsia="FangSong" w:cs="FangSong"/>
          <w:sz w:val="23"/>
          <w:szCs w:val="23"/>
          <w:spacing w:val="9"/>
        </w:rPr>
        <w:t>；本年部门预算支出总计3,855.59万元</w:t>
      </w:r>
      <w:r>
        <w:rPr>
          <w:rFonts w:ascii="FangSong" w:hAnsi="FangSong" w:eastAsia="FangSong" w:cs="FangSong"/>
          <w:sz w:val="23"/>
          <w:szCs w:val="23"/>
          <w:spacing w:val="-64"/>
        </w:rPr>
        <w:t xml:space="preserve"> </w:t>
      </w:r>
      <w:r>
        <w:rPr>
          <w:rFonts w:ascii="FangSong" w:hAnsi="FangSong" w:eastAsia="FangSong" w:cs="FangSong"/>
          <w:sz w:val="23"/>
          <w:szCs w:val="23"/>
          <w:spacing w:val="9"/>
        </w:rPr>
        <w:t>，其中：</w:t>
      </w:r>
      <w:r>
        <w:rPr>
          <w:rFonts w:ascii="FangSong" w:hAnsi="FangSong" w:eastAsia="FangSong" w:cs="FangSong"/>
          <w:sz w:val="23"/>
          <w:szCs w:val="23"/>
          <w:spacing w:val="-59"/>
        </w:rPr>
        <w:t xml:space="preserve"> </w:t>
      </w:r>
      <w:r>
        <w:rPr>
          <w:rFonts w:ascii="FangSong" w:hAnsi="FangSong" w:eastAsia="FangSong" w:cs="FangSong"/>
          <w:sz w:val="23"/>
          <w:szCs w:val="23"/>
          <w:spacing w:val="9"/>
        </w:rPr>
        <w:t>本年预算安排</w:t>
      </w:r>
      <w:r>
        <w:rPr>
          <w:rFonts w:ascii="FangSong" w:hAnsi="FangSong" w:eastAsia="FangSong" w:cs="FangSong"/>
          <w:sz w:val="23"/>
          <w:szCs w:val="23"/>
          <w:spacing w:val="3"/>
        </w:rPr>
        <w:t>3,855.59万元，上年结转0万元，</w:t>
      </w:r>
      <w:r>
        <w:rPr>
          <w:rFonts w:ascii="FangSong" w:hAnsi="FangSong" w:eastAsia="FangSong" w:cs="FangSong"/>
          <w:sz w:val="23"/>
          <w:szCs w:val="23"/>
          <w:spacing w:val="-54"/>
        </w:rPr>
        <w:t xml:space="preserve"> </w:t>
      </w:r>
      <w:r>
        <w:rPr>
          <w:rFonts w:ascii="FangSong" w:hAnsi="FangSong" w:eastAsia="FangSong" w:cs="FangSong"/>
          <w:sz w:val="23"/>
          <w:szCs w:val="23"/>
          <w:spacing w:val="3"/>
        </w:rPr>
        <w:t>比上年减少1430.78万元，下降27.07%，主要原因是政府过</w:t>
      </w:r>
      <w:r>
        <w:rPr>
          <w:rFonts w:ascii="FangSong" w:hAnsi="FangSong" w:eastAsia="FangSong" w:cs="FangSong"/>
          <w:sz w:val="23"/>
          <w:szCs w:val="23"/>
          <w:spacing w:val="-7"/>
        </w:rPr>
        <w:t>紧</w:t>
      </w:r>
      <w:r>
        <w:rPr>
          <w:rFonts w:ascii="FangSong" w:hAnsi="FangSong" w:eastAsia="FangSong" w:cs="FangSong"/>
          <w:sz w:val="23"/>
          <w:szCs w:val="23"/>
          <w:spacing w:val="-46"/>
        </w:rPr>
        <w:t xml:space="preserve"> </w:t>
      </w:r>
      <w:r>
        <w:rPr>
          <w:rFonts w:ascii="FangSong" w:hAnsi="FangSong" w:eastAsia="FangSong" w:cs="FangSong"/>
          <w:sz w:val="23"/>
          <w:szCs w:val="23"/>
          <w:spacing w:val="-7"/>
        </w:rPr>
        <w:t>日子，压缩非刚性支出</w:t>
      </w:r>
    </w:p>
    <w:p>
      <w:pPr>
        <w:ind w:left="661"/>
        <w:spacing w:line="229" w:lineRule="exact"/>
        <w:outlineLvl w:val="1"/>
        <w:rPr>
          <w:rFonts w:ascii="Microsoft YaHei" w:hAnsi="Microsoft YaHei" w:eastAsia="Microsoft YaHei" w:cs="Microsoft YaHei"/>
          <w:sz w:val="22"/>
          <w:szCs w:val="22"/>
        </w:rPr>
      </w:pPr>
      <w:bookmarkStart w:name="bookmark20" w:id="36"/>
      <w:bookmarkEnd w:id="36"/>
      <w:r>
        <w:rPr>
          <w:rFonts w:ascii="Microsoft YaHei" w:hAnsi="Microsoft YaHei" w:eastAsia="Microsoft YaHei" w:cs="Microsoft YaHei"/>
          <w:sz w:val="22"/>
          <w:szCs w:val="22"/>
          <w:spacing w:val="8"/>
          <w:position w:val="-1"/>
        </w:rPr>
        <w:t>二、收入预算情况说明</w:t>
      </w:r>
    </w:p>
    <w:p>
      <w:pPr>
        <w:ind w:left="663" w:right="623" w:firstLine="457"/>
        <w:spacing w:before="183" w:line="324" w:lineRule="auto"/>
        <w:jc w:val="both"/>
        <w:rPr>
          <w:rFonts w:ascii="FangSong" w:hAnsi="FangSong" w:eastAsia="FangSong" w:cs="FangSong"/>
          <w:sz w:val="23"/>
          <w:szCs w:val="23"/>
        </w:rPr>
      </w:pPr>
      <w:r>
        <w:rPr>
          <w:rFonts w:ascii="FangSong" w:hAnsi="FangSong" w:eastAsia="FangSong" w:cs="FangSong"/>
          <w:sz w:val="23"/>
          <w:szCs w:val="23"/>
          <w:spacing w:val="5"/>
        </w:rPr>
        <w:t>2025年度兴县园林事业发展服务中心预算收入3,855.59万元，主要包括一</w:t>
      </w:r>
      <w:r>
        <w:rPr>
          <w:rFonts w:ascii="FangSong" w:hAnsi="FangSong" w:eastAsia="FangSong" w:cs="FangSong"/>
          <w:sz w:val="23"/>
          <w:szCs w:val="23"/>
          <w:spacing w:val="4"/>
        </w:rPr>
        <w:t>般公共预算拨</w:t>
      </w:r>
      <w:r>
        <w:rPr>
          <w:rFonts w:ascii="FangSong" w:hAnsi="FangSong" w:eastAsia="FangSong" w:cs="FangSong"/>
          <w:sz w:val="23"/>
          <w:szCs w:val="23"/>
          <w:spacing w:val="1"/>
        </w:rPr>
        <w:t>款收入3,855.59万元，</w:t>
      </w:r>
      <w:r>
        <w:rPr>
          <w:rFonts w:ascii="FangSong" w:hAnsi="FangSong" w:eastAsia="FangSong" w:cs="FangSong"/>
          <w:sz w:val="23"/>
          <w:szCs w:val="23"/>
          <w:spacing w:val="-54"/>
        </w:rPr>
        <w:t xml:space="preserve"> </w:t>
      </w:r>
      <w:r>
        <w:rPr>
          <w:rFonts w:ascii="FangSong" w:hAnsi="FangSong" w:eastAsia="FangSong" w:cs="FangSong"/>
          <w:sz w:val="23"/>
          <w:szCs w:val="23"/>
          <w:spacing w:val="1"/>
        </w:rPr>
        <w:t>占100.00%；政府性基金预算拨款收入0万元，</w:t>
      </w:r>
      <w:r>
        <w:rPr>
          <w:rFonts w:ascii="FangSong" w:hAnsi="FangSong" w:eastAsia="FangSong" w:cs="FangSong"/>
          <w:sz w:val="23"/>
          <w:szCs w:val="23"/>
          <w:spacing w:val="-53"/>
        </w:rPr>
        <w:t xml:space="preserve"> </w:t>
      </w:r>
      <w:r>
        <w:rPr>
          <w:rFonts w:ascii="FangSong" w:hAnsi="FangSong" w:eastAsia="FangSong" w:cs="FangSong"/>
          <w:sz w:val="23"/>
          <w:szCs w:val="23"/>
          <w:spacing w:val="1"/>
        </w:rPr>
        <w:t>占0</w:t>
      </w:r>
      <w:r>
        <w:rPr>
          <w:rFonts w:ascii="FangSong" w:hAnsi="FangSong" w:eastAsia="FangSong" w:cs="FangSong"/>
          <w:sz w:val="23"/>
          <w:szCs w:val="23"/>
        </w:rPr>
        <w:t>%；</w:t>
      </w:r>
      <w:r>
        <w:rPr>
          <w:rFonts w:ascii="FangSong" w:hAnsi="FangSong" w:eastAsia="FangSong" w:cs="FangSong"/>
          <w:sz w:val="23"/>
          <w:szCs w:val="23"/>
          <w:spacing w:val="-66"/>
        </w:rPr>
        <w:t xml:space="preserve"> </w:t>
      </w:r>
      <w:r>
        <w:rPr>
          <w:rFonts w:ascii="FangSong" w:hAnsi="FangSong" w:eastAsia="FangSong" w:cs="FangSong"/>
          <w:sz w:val="23"/>
          <w:szCs w:val="23"/>
        </w:rPr>
        <w:t>国有资本经营预</w:t>
      </w:r>
      <w:r>
        <w:rPr>
          <w:rFonts w:ascii="FangSong" w:hAnsi="FangSong" w:eastAsia="FangSong" w:cs="FangSong"/>
          <w:sz w:val="23"/>
          <w:szCs w:val="23"/>
          <w:spacing w:val="-2"/>
        </w:rPr>
        <w:t>算拨款收入0万元，</w:t>
      </w:r>
      <w:r>
        <w:rPr>
          <w:rFonts w:ascii="FangSong" w:hAnsi="FangSong" w:eastAsia="FangSong" w:cs="FangSong"/>
          <w:sz w:val="23"/>
          <w:szCs w:val="23"/>
          <w:spacing w:val="-44"/>
        </w:rPr>
        <w:t xml:space="preserve"> </w:t>
      </w:r>
      <w:r>
        <w:rPr>
          <w:rFonts w:ascii="FangSong" w:hAnsi="FangSong" w:eastAsia="FangSong" w:cs="FangSong"/>
          <w:sz w:val="23"/>
          <w:szCs w:val="23"/>
          <w:spacing w:val="-2"/>
        </w:rPr>
        <w:t>占0%；财政专户管理资金收入0万元，</w:t>
      </w:r>
      <w:r>
        <w:rPr>
          <w:rFonts w:ascii="FangSong" w:hAnsi="FangSong" w:eastAsia="FangSong" w:cs="FangSong"/>
          <w:sz w:val="23"/>
          <w:szCs w:val="23"/>
          <w:spacing w:val="-57"/>
        </w:rPr>
        <w:t xml:space="preserve"> </w:t>
      </w:r>
      <w:r>
        <w:rPr>
          <w:rFonts w:ascii="FangSong" w:hAnsi="FangSong" w:eastAsia="FangSong" w:cs="FangSong"/>
          <w:sz w:val="23"/>
          <w:szCs w:val="23"/>
          <w:spacing w:val="-2"/>
        </w:rPr>
        <w:t>占0%；单位资金0万元，</w:t>
      </w:r>
      <w:r>
        <w:rPr>
          <w:rFonts w:ascii="FangSong" w:hAnsi="FangSong" w:eastAsia="FangSong" w:cs="FangSong"/>
          <w:sz w:val="23"/>
          <w:szCs w:val="23"/>
          <w:spacing w:val="-57"/>
        </w:rPr>
        <w:t xml:space="preserve"> </w:t>
      </w:r>
      <w:r>
        <w:rPr>
          <w:rFonts w:ascii="FangSong" w:hAnsi="FangSong" w:eastAsia="FangSong" w:cs="FangSong"/>
          <w:sz w:val="23"/>
          <w:szCs w:val="23"/>
          <w:spacing w:val="-2"/>
        </w:rPr>
        <w:t>占0%；上年</w:t>
      </w:r>
      <w:r>
        <w:rPr>
          <w:rFonts w:ascii="FangSong" w:hAnsi="FangSong" w:eastAsia="FangSong" w:cs="FangSong"/>
          <w:sz w:val="23"/>
          <w:szCs w:val="23"/>
          <w:spacing w:val="-7"/>
        </w:rPr>
        <w:t>结转0万元，</w:t>
      </w:r>
      <w:r>
        <w:rPr>
          <w:rFonts w:ascii="FangSong" w:hAnsi="FangSong" w:eastAsia="FangSong" w:cs="FangSong"/>
          <w:sz w:val="23"/>
          <w:szCs w:val="23"/>
          <w:spacing w:val="-57"/>
        </w:rPr>
        <w:t xml:space="preserve"> </w:t>
      </w:r>
      <w:r>
        <w:rPr>
          <w:rFonts w:ascii="FangSong" w:hAnsi="FangSong" w:eastAsia="FangSong" w:cs="FangSong"/>
          <w:sz w:val="23"/>
          <w:szCs w:val="23"/>
          <w:spacing w:val="-7"/>
        </w:rPr>
        <w:t>占0%。</w:t>
      </w:r>
    </w:p>
    <w:p>
      <w:pPr>
        <w:spacing w:line="362" w:lineRule="auto"/>
        <w:rPr>
          <w:rFonts w:ascii="Arial"/>
          <w:sz w:val="21"/>
        </w:rPr>
      </w:pPr>
      <w:r/>
    </w:p>
    <w:p>
      <w:pPr>
        <w:ind w:firstLine="3085"/>
        <w:spacing w:line="2856" w:lineRule="exact"/>
        <w:rPr/>
      </w:pPr>
      <w:r>
        <w:rPr>
          <w:position w:val="-57"/>
        </w:rPr>
        <w:drawing>
          <wp:inline distT="0" distB="0" distL="0" distR="0">
            <wp:extent cx="2333735" cy="1813292"/>
            <wp:effectExtent l="0" t="0" r="0" b="0"/>
            <wp:docPr id="4" name="IM 4"/>
            <wp:cNvGraphicFramePr/>
            <a:graphic>
              <a:graphicData uri="http://schemas.openxmlformats.org/drawingml/2006/picture">
                <pic:pic>
                  <pic:nvPicPr>
                    <pic:cNvPr id="4" name="IM 4"/>
                    <pic:cNvPicPr/>
                  </pic:nvPicPr>
                  <pic:blipFill>
                    <a:blip r:embed="rId23"/>
                    <a:stretch>
                      <a:fillRect/>
                    </a:stretch>
                  </pic:blipFill>
                  <pic:spPr>
                    <a:xfrm rot="0">
                      <a:off x="0" y="0"/>
                      <a:ext cx="2333735" cy="1813292"/>
                    </a:xfrm>
                    <a:prstGeom prst="rect">
                      <a:avLst/>
                    </a:prstGeom>
                  </pic:spPr>
                </pic:pic>
              </a:graphicData>
            </a:graphic>
          </wp:inline>
        </w:drawing>
      </w:r>
    </w:p>
    <w:p>
      <w:pPr>
        <w:spacing w:line="284" w:lineRule="auto"/>
        <w:rPr>
          <w:rFonts w:ascii="Arial"/>
          <w:sz w:val="21"/>
        </w:rPr>
      </w:pPr>
      <w:r/>
    </w:p>
    <w:p>
      <w:pPr>
        <w:spacing w:line="284" w:lineRule="auto"/>
        <w:rPr>
          <w:rFonts w:ascii="Arial"/>
          <w:sz w:val="21"/>
        </w:rPr>
      </w:pPr>
      <w:r/>
    </w:p>
    <w:p>
      <w:pPr>
        <w:ind w:left="662"/>
        <w:spacing w:before="94" w:line="230" w:lineRule="exact"/>
        <w:outlineLvl w:val="1"/>
        <w:rPr>
          <w:rFonts w:ascii="Microsoft YaHei" w:hAnsi="Microsoft YaHei" w:eastAsia="Microsoft YaHei" w:cs="Microsoft YaHei"/>
          <w:sz w:val="22"/>
          <w:szCs w:val="22"/>
        </w:rPr>
      </w:pPr>
      <w:bookmarkStart w:name="bookmark21" w:id="37"/>
      <w:bookmarkEnd w:id="37"/>
      <w:r>
        <w:rPr>
          <w:rFonts w:ascii="Microsoft YaHei" w:hAnsi="Microsoft YaHei" w:eastAsia="Microsoft YaHei" w:cs="Microsoft YaHei"/>
          <w:sz w:val="22"/>
          <w:szCs w:val="22"/>
          <w:spacing w:val="7"/>
          <w:position w:val="-1"/>
        </w:rPr>
        <w:t>三、支出预算情况说明</w:t>
      </w:r>
    </w:p>
    <w:p>
      <w:pPr>
        <w:ind w:left="667" w:right="623" w:firstLine="453"/>
        <w:spacing w:before="174" w:line="324" w:lineRule="auto"/>
        <w:rPr>
          <w:rFonts w:ascii="FangSong" w:hAnsi="FangSong" w:eastAsia="FangSong" w:cs="FangSong"/>
          <w:sz w:val="23"/>
          <w:szCs w:val="23"/>
        </w:rPr>
      </w:pPr>
      <w:r>
        <w:rPr>
          <w:rFonts w:ascii="FangSong" w:hAnsi="FangSong" w:eastAsia="FangSong" w:cs="FangSong"/>
          <w:sz w:val="23"/>
          <w:szCs w:val="23"/>
          <w:spacing w:val="7"/>
        </w:rPr>
        <w:t>2025年度兴县园林事业发展服务中心支出预算3855.59万元，其中：基本支出105.45万</w:t>
      </w:r>
      <w:r>
        <w:rPr>
          <w:rFonts w:ascii="FangSong" w:hAnsi="FangSong" w:eastAsia="FangSong" w:cs="FangSong"/>
          <w:sz w:val="23"/>
          <w:szCs w:val="23"/>
          <w:spacing w:val="-4"/>
        </w:rPr>
        <w:t>元，</w:t>
      </w:r>
      <w:r>
        <w:rPr>
          <w:rFonts w:ascii="FangSong" w:hAnsi="FangSong" w:eastAsia="FangSong" w:cs="FangSong"/>
          <w:sz w:val="23"/>
          <w:szCs w:val="23"/>
          <w:spacing w:val="-54"/>
        </w:rPr>
        <w:t xml:space="preserve"> </w:t>
      </w:r>
      <w:r>
        <w:rPr>
          <w:rFonts w:ascii="FangSong" w:hAnsi="FangSong" w:eastAsia="FangSong" w:cs="FangSong"/>
          <w:sz w:val="23"/>
          <w:szCs w:val="23"/>
          <w:spacing w:val="-4"/>
        </w:rPr>
        <w:t>占2.73%；项目支出3750.14万元，</w:t>
      </w:r>
      <w:r>
        <w:rPr>
          <w:rFonts w:ascii="FangSong" w:hAnsi="FangSong" w:eastAsia="FangSong" w:cs="FangSong"/>
          <w:sz w:val="23"/>
          <w:szCs w:val="23"/>
          <w:spacing w:val="-60"/>
        </w:rPr>
        <w:t xml:space="preserve"> </w:t>
      </w:r>
      <w:r>
        <w:rPr>
          <w:rFonts w:ascii="FangSong" w:hAnsi="FangSong" w:eastAsia="FangSong" w:cs="FangSong"/>
          <w:sz w:val="23"/>
          <w:szCs w:val="23"/>
          <w:spacing w:val="-4"/>
        </w:rPr>
        <w:t>占97.27%。</w:t>
      </w:r>
    </w:p>
    <w:p>
      <w:pPr>
        <w:ind w:left="671"/>
        <w:spacing w:line="230" w:lineRule="exact"/>
        <w:outlineLvl w:val="1"/>
        <w:rPr>
          <w:rFonts w:ascii="Microsoft YaHei" w:hAnsi="Microsoft YaHei" w:eastAsia="Microsoft YaHei" w:cs="Microsoft YaHei"/>
          <w:sz w:val="22"/>
          <w:szCs w:val="22"/>
        </w:rPr>
      </w:pPr>
      <w:bookmarkStart w:name="bookmark22" w:id="38"/>
      <w:bookmarkEnd w:id="38"/>
      <w:r>
        <w:rPr>
          <w:rFonts w:ascii="Microsoft YaHei" w:hAnsi="Microsoft YaHei" w:eastAsia="Microsoft YaHei" w:cs="Microsoft YaHei"/>
          <w:sz w:val="22"/>
          <w:szCs w:val="22"/>
          <w:spacing w:val="8"/>
          <w:position w:val="-1"/>
        </w:rPr>
        <w:t>四、财政拨款收支预算总体情况说明</w:t>
      </w:r>
    </w:p>
    <w:p>
      <w:pPr>
        <w:ind w:left="670" w:right="623" w:firstLine="450"/>
        <w:spacing w:before="174" w:line="324" w:lineRule="auto"/>
        <w:jc w:val="both"/>
        <w:rPr>
          <w:rFonts w:ascii="FangSong" w:hAnsi="FangSong" w:eastAsia="FangSong" w:cs="FangSong"/>
          <w:sz w:val="23"/>
          <w:szCs w:val="23"/>
        </w:rPr>
      </w:pPr>
      <w:r>
        <w:rPr>
          <w:rFonts w:ascii="FangSong" w:hAnsi="FangSong" w:eastAsia="FangSong" w:cs="FangSong"/>
          <w:sz w:val="23"/>
          <w:szCs w:val="23"/>
          <w:spacing w:val="5"/>
        </w:rPr>
        <w:t>2025年度兴县园林事业发展服务中心财政拨款收支总预算3,855.59万元。</w:t>
      </w:r>
      <w:r>
        <w:rPr>
          <w:rFonts w:ascii="FangSong" w:hAnsi="FangSong" w:eastAsia="FangSong" w:cs="FangSong"/>
          <w:sz w:val="23"/>
          <w:szCs w:val="23"/>
          <w:spacing w:val="4"/>
        </w:rPr>
        <w:t>其中：一般公</w:t>
      </w:r>
      <w:r>
        <w:rPr>
          <w:rFonts w:ascii="FangSong" w:hAnsi="FangSong" w:eastAsia="FangSong" w:cs="FangSong"/>
          <w:sz w:val="23"/>
          <w:szCs w:val="23"/>
          <w:spacing w:val="9"/>
        </w:rPr>
        <w:t>共预算拨款3,855.59万元，政府性基金预算拨款0万元</w:t>
      </w:r>
      <w:r>
        <w:rPr>
          <w:rFonts w:ascii="FangSong" w:hAnsi="FangSong" w:eastAsia="FangSong" w:cs="FangSong"/>
          <w:sz w:val="23"/>
          <w:szCs w:val="23"/>
          <w:spacing w:val="8"/>
        </w:rPr>
        <w:t>，</w:t>
      </w:r>
      <w:r>
        <w:rPr>
          <w:rFonts w:ascii="FangSong" w:hAnsi="FangSong" w:eastAsia="FangSong" w:cs="FangSong"/>
          <w:sz w:val="23"/>
          <w:szCs w:val="23"/>
          <w:spacing w:val="-61"/>
        </w:rPr>
        <w:t xml:space="preserve"> </w:t>
      </w:r>
      <w:r>
        <w:rPr>
          <w:rFonts w:ascii="FangSong" w:hAnsi="FangSong" w:eastAsia="FangSong" w:cs="FangSong"/>
          <w:sz w:val="23"/>
          <w:szCs w:val="23"/>
          <w:spacing w:val="8"/>
        </w:rPr>
        <w:t>国有资本经营预算拨款0万元。其</w:t>
      </w:r>
      <w:r>
        <w:rPr>
          <w:rFonts w:ascii="FangSong" w:hAnsi="FangSong" w:eastAsia="FangSong" w:cs="FangSong"/>
          <w:sz w:val="23"/>
          <w:szCs w:val="23"/>
          <w:spacing w:val="7"/>
        </w:rPr>
        <w:t>中</w:t>
      </w:r>
      <w:r>
        <w:rPr>
          <w:rFonts w:ascii="FangSong" w:hAnsi="FangSong" w:eastAsia="FangSong" w:cs="FangSong"/>
          <w:sz w:val="23"/>
          <w:szCs w:val="23"/>
          <w:spacing w:val="-65"/>
        </w:rPr>
        <w:t xml:space="preserve"> </w:t>
      </w:r>
      <w:r>
        <w:rPr>
          <w:rFonts w:ascii="FangSong" w:hAnsi="FangSong" w:eastAsia="FangSong" w:cs="FangSong"/>
          <w:sz w:val="23"/>
          <w:szCs w:val="23"/>
          <w:spacing w:val="7"/>
        </w:rPr>
        <w:t>：</w:t>
      </w:r>
      <w:r>
        <w:rPr>
          <w:rFonts w:ascii="FangSong" w:hAnsi="FangSong" w:eastAsia="FangSong" w:cs="FangSong"/>
          <w:sz w:val="23"/>
          <w:szCs w:val="23"/>
          <w:spacing w:val="-59"/>
        </w:rPr>
        <w:t xml:space="preserve"> </w:t>
      </w:r>
      <w:r>
        <w:rPr>
          <w:rFonts w:ascii="FangSong" w:hAnsi="FangSong" w:eastAsia="FangSong" w:cs="FangSong"/>
          <w:sz w:val="23"/>
          <w:szCs w:val="23"/>
          <w:spacing w:val="7"/>
        </w:rPr>
        <w:t>当年拨款收入3,855.59万元</w:t>
      </w:r>
      <w:r>
        <w:rPr>
          <w:rFonts w:ascii="FangSong" w:hAnsi="FangSong" w:eastAsia="FangSong" w:cs="FangSong"/>
          <w:sz w:val="23"/>
          <w:szCs w:val="23"/>
          <w:spacing w:val="-68"/>
        </w:rPr>
        <w:t xml:space="preserve"> </w:t>
      </w:r>
      <w:r>
        <w:rPr>
          <w:rFonts w:ascii="FangSong" w:hAnsi="FangSong" w:eastAsia="FangSong" w:cs="FangSong"/>
          <w:sz w:val="23"/>
          <w:szCs w:val="23"/>
          <w:spacing w:val="7"/>
        </w:rPr>
        <w:t>，上年结转收入0万元</w:t>
      </w:r>
      <w:r>
        <w:rPr>
          <w:rFonts w:ascii="FangSong" w:hAnsi="FangSong" w:eastAsia="FangSong" w:cs="FangSong"/>
          <w:sz w:val="23"/>
          <w:szCs w:val="23"/>
          <w:spacing w:val="-67"/>
        </w:rPr>
        <w:t xml:space="preserve"> </w:t>
      </w:r>
      <w:r>
        <w:rPr>
          <w:rFonts w:ascii="FangSong" w:hAnsi="FangSong" w:eastAsia="FangSong" w:cs="FangSong"/>
          <w:sz w:val="23"/>
          <w:szCs w:val="23"/>
          <w:spacing w:val="7"/>
        </w:rPr>
        <w:t>。支出包括：</w:t>
      </w:r>
      <w:r>
        <w:rPr>
          <w:rFonts w:ascii="FangSong" w:hAnsi="FangSong" w:eastAsia="FangSong" w:cs="FangSong"/>
          <w:sz w:val="23"/>
          <w:szCs w:val="23"/>
          <w:spacing w:val="-68"/>
        </w:rPr>
        <w:t xml:space="preserve"> </w:t>
      </w:r>
      <w:r>
        <w:rPr>
          <w:rFonts w:ascii="FangSong" w:hAnsi="FangSong" w:eastAsia="FangSong" w:cs="FangSong"/>
          <w:sz w:val="23"/>
          <w:szCs w:val="23"/>
          <w:spacing w:val="7"/>
        </w:rPr>
        <w:t>社会保障和就业支出</w:t>
      </w:r>
      <w:r>
        <w:rPr>
          <w:rFonts w:ascii="FangSong" w:hAnsi="FangSong" w:eastAsia="FangSong" w:cs="FangSong"/>
          <w:sz w:val="23"/>
          <w:szCs w:val="23"/>
          <w:spacing w:val="7"/>
        </w:rPr>
        <w:t>12.11万元、卫生健康支出4.20万元</w:t>
      </w:r>
      <w:r>
        <w:rPr>
          <w:rFonts w:ascii="FangSong" w:hAnsi="FangSong" w:eastAsia="FangSong" w:cs="FangSong"/>
          <w:sz w:val="23"/>
          <w:szCs w:val="23"/>
          <w:spacing w:val="6"/>
        </w:rPr>
        <w:t>、城乡社区支出3,831.27万元、住房保障支出8.01万元</w:t>
      </w:r>
      <w:r>
        <w:rPr>
          <w:rFonts w:ascii="FangSong" w:hAnsi="FangSong" w:eastAsia="FangSong" w:cs="FangSong"/>
          <w:sz w:val="23"/>
          <w:szCs w:val="23"/>
          <w:spacing w:val="-11"/>
        </w:rPr>
        <w:t>等。</w:t>
      </w:r>
    </w:p>
    <w:p>
      <w:pPr>
        <w:ind w:left="664"/>
        <w:spacing w:line="230" w:lineRule="exact"/>
        <w:outlineLvl w:val="1"/>
        <w:rPr>
          <w:rFonts w:ascii="Microsoft YaHei" w:hAnsi="Microsoft YaHei" w:eastAsia="Microsoft YaHei" w:cs="Microsoft YaHei"/>
          <w:sz w:val="22"/>
          <w:szCs w:val="22"/>
        </w:rPr>
      </w:pPr>
      <w:bookmarkStart w:name="bookmark23" w:id="39"/>
      <w:bookmarkEnd w:id="39"/>
      <w:r>
        <w:rPr>
          <w:rFonts w:ascii="Microsoft YaHei" w:hAnsi="Microsoft YaHei" w:eastAsia="Microsoft YaHei" w:cs="Microsoft YaHei"/>
          <w:sz w:val="22"/>
          <w:szCs w:val="22"/>
          <w:spacing w:val="8"/>
          <w:position w:val="-1"/>
        </w:rPr>
        <w:t>五、一般公共预算支出情况说明</w:t>
      </w:r>
    </w:p>
    <w:p>
      <w:pPr>
        <w:ind w:left="1125"/>
        <w:spacing w:before="174" w:line="222" w:lineRule="auto"/>
        <w:rPr>
          <w:rFonts w:ascii="FangSong" w:hAnsi="FangSong" w:eastAsia="FangSong" w:cs="FangSong"/>
          <w:sz w:val="23"/>
          <w:szCs w:val="23"/>
        </w:rPr>
      </w:pPr>
      <w:r>
        <w:rPr>
          <w:rFonts w:ascii="FangSong" w:hAnsi="FangSong" w:eastAsia="FangSong" w:cs="FangSong"/>
          <w:sz w:val="23"/>
          <w:szCs w:val="23"/>
          <w:spacing w:val="-1"/>
        </w:rPr>
        <w:t>（一）一般公共预算当年支出规模变化情况</w:t>
      </w:r>
    </w:p>
    <w:p>
      <w:pPr>
        <w:ind w:left="673" w:right="623" w:firstLine="446"/>
        <w:spacing w:before="134" w:line="321" w:lineRule="auto"/>
        <w:rPr>
          <w:rFonts w:ascii="FangSong" w:hAnsi="FangSong" w:eastAsia="FangSong" w:cs="FangSong"/>
          <w:sz w:val="23"/>
          <w:szCs w:val="23"/>
        </w:rPr>
      </w:pPr>
      <w:r>
        <w:rPr>
          <w:rFonts w:ascii="FangSong" w:hAnsi="FangSong" w:eastAsia="FangSong" w:cs="FangSong"/>
          <w:sz w:val="23"/>
          <w:szCs w:val="23"/>
          <w:spacing w:val="6"/>
        </w:rPr>
        <w:t>2025年度兴县园林事业发展服务中心一般公共预算当年支出3,855.59万元,</w:t>
      </w:r>
      <w:r>
        <w:rPr>
          <w:rFonts w:ascii="FangSong" w:hAnsi="FangSong" w:eastAsia="FangSong" w:cs="FangSong"/>
          <w:sz w:val="23"/>
          <w:szCs w:val="23"/>
          <w:spacing w:val="-50"/>
        </w:rPr>
        <w:t xml:space="preserve"> </w:t>
      </w:r>
      <w:r>
        <w:rPr>
          <w:rFonts w:ascii="FangSong" w:hAnsi="FangSong" w:eastAsia="FangSong" w:cs="FangSong"/>
          <w:sz w:val="23"/>
          <w:szCs w:val="23"/>
          <w:spacing w:val="6"/>
        </w:rPr>
        <w:t>比上年减少</w:t>
      </w:r>
      <w:r>
        <w:rPr>
          <w:rFonts w:ascii="FangSong" w:hAnsi="FangSong" w:eastAsia="FangSong" w:cs="FangSong"/>
          <w:sz w:val="23"/>
          <w:szCs w:val="23"/>
          <w:spacing w:val="-1"/>
        </w:rPr>
        <w:t>1430.78万元，下降27.07%。</w:t>
      </w:r>
    </w:p>
    <w:p>
      <w:pPr>
        <w:ind w:left="1125"/>
        <w:spacing w:line="222" w:lineRule="auto"/>
        <w:rPr>
          <w:rFonts w:ascii="FangSong" w:hAnsi="FangSong" w:eastAsia="FangSong" w:cs="FangSong"/>
          <w:sz w:val="23"/>
          <w:szCs w:val="23"/>
        </w:rPr>
      </w:pPr>
      <w:r>
        <w:rPr>
          <w:rFonts w:ascii="FangSong" w:hAnsi="FangSong" w:eastAsia="FangSong" w:cs="FangSong"/>
          <w:sz w:val="23"/>
          <w:szCs w:val="23"/>
          <w:spacing w:val="-1"/>
        </w:rPr>
        <w:t>（二）一般公共预算当年支出结构情况</w:t>
      </w:r>
    </w:p>
    <w:p>
      <w:pPr>
        <w:spacing w:line="222" w:lineRule="auto"/>
        <w:sectPr>
          <w:footerReference w:type="default" r:id="rId22"/>
          <w:pgSz w:w="11900" w:h="16840"/>
          <w:pgMar w:top="642" w:right="600" w:bottom="340" w:left="600" w:header="326" w:footer="111" w:gutter="0"/>
        </w:sectPr>
        <w:rPr>
          <w:rFonts w:ascii="FangSong" w:hAnsi="FangSong" w:eastAsia="FangSong" w:cs="FangSong"/>
          <w:sz w:val="23"/>
          <w:szCs w:val="23"/>
        </w:rPr>
      </w:pPr>
    </w:p>
    <w:p>
      <w:pPr>
        <w:spacing w:line="281" w:lineRule="auto"/>
        <w:rPr>
          <w:rFonts w:ascii="Arial"/>
          <w:sz w:val="21"/>
        </w:rPr>
      </w:pPr>
      <w:r/>
    </w:p>
    <w:p>
      <w:pPr>
        <w:spacing w:line="281" w:lineRule="auto"/>
        <w:rPr>
          <w:rFonts w:ascii="Arial"/>
          <w:sz w:val="21"/>
        </w:rPr>
      </w:pPr>
      <w:r/>
    </w:p>
    <w:p>
      <w:pPr>
        <w:ind w:left="669" w:right="623" w:firstLine="451"/>
        <w:spacing w:before="75" w:line="326" w:lineRule="auto"/>
        <w:jc w:val="both"/>
        <w:rPr>
          <w:rFonts w:ascii="FangSong" w:hAnsi="FangSong" w:eastAsia="FangSong" w:cs="FangSong"/>
          <w:sz w:val="23"/>
          <w:szCs w:val="23"/>
        </w:rPr>
      </w:pPr>
      <w:r>
        <w:rPr>
          <w:rFonts w:ascii="FangSong" w:hAnsi="FangSong" w:eastAsia="FangSong" w:cs="FangSong"/>
          <w:sz w:val="23"/>
          <w:szCs w:val="23"/>
          <w:spacing w:val="2"/>
        </w:rPr>
        <w:t>2025年度兴县园林事业发展服务中心一般公共预算当年支出3,855.59万元,主要用于以下</w:t>
      </w:r>
      <w:r>
        <w:rPr>
          <w:rFonts w:ascii="FangSong" w:hAnsi="FangSong" w:eastAsia="FangSong" w:cs="FangSong"/>
          <w:sz w:val="23"/>
          <w:szCs w:val="23"/>
        </w:rPr>
        <w:t>方面：社会保障和就业支出12.11万元，</w:t>
      </w:r>
      <w:r>
        <w:rPr>
          <w:rFonts w:ascii="FangSong" w:hAnsi="FangSong" w:eastAsia="FangSong" w:cs="FangSong"/>
          <w:sz w:val="23"/>
          <w:szCs w:val="23"/>
          <w:spacing w:val="-56"/>
        </w:rPr>
        <w:t xml:space="preserve"> </w:t>
      </w:r>
      <w:r>
        <w:rPr>
          <w:rFonts w:ascii="FangSong" w:hAnsi="FangSong" w:eastAsia="FangSong" w:cs="FangSong"/>
          <w:sz w:val="23"/>
          <w:szCs w:val="23"/>
        </w:rPr>
        <w:t>占0.3</w:t>
      </w:r>
      <w:r>
        <w:rPr>
          <w:rFonts w:ascii="FangSong" w:hAnsi="FangSong" w:eastAsia="FangSong" w:cs="FangSong"/>
          <w:sz w:val="23"/>
          <w:szCs w:val="23"/>
          <w:spacing w:val="-1"/>
        </w:rPr>
        <w:t>1%；卫生健康支出4.20万元，</w:t>
      </w:r>
      <w:r>
        <w:rPr>
          <w:rFonts w:ascii="FangSong" w:hAnsi="FangSong" w:eastAsia="FangSong" w:cs="FangSong"/>
          <w:sz w:val="23"/>
          <w:szCs w:val="23"/>
          <w:spacing w:val="-57"/>
        </w:rPr>
        <w:t xml:space="preserve"> </w:t>
      </w:r>
      <w:r>
        <w:rPr>
          <w:rFonts w:ascii="FangSong" w:hAnsi="FangSong" w:eastAsia="FangSong" w:cs="FangSong"/>
          <w:sz w:val="23"/>
          <w:szCs w:val="23"/>
          <w:spacing w:val="-1"/>
        </w:rPr>
        <w:t>占0.11%；城乡社</w:t>
      </w:r>
      <w:r>
        <w:rPr>
          <w:rFonts w:ascii="FangSong" w:hAnsi="FangSong" w:eastAsia="FangSong" w:cs="FangSong"/>
          <w:sz w:val="23"/>
          <w:szCs w:val="23"/>
          <w:spacing w:val="-3"/>
        </w:rPr>
        <w:t>区支出3,831.27万元，</w:t>
      </w:r>
      <w:r>
        <w:rPr>
          <w:rFonts w:ascii="FangSong" w:hAnsi="FangSong" w:eastAsia="FangSong" w:cs="FangSong"/>
          <w:sz w:val="23"/>
          <w:szCs w:val="23"/>
          <w:spacing w:val="-45"/>
        </w:rPr>
        <w:t xml:space="preserve"> </w:t>
      </w:r>
      <w:r>
        <w:rPr>
          <w:rFonts w:ascii="FangSong" w:hAnsi="FangSong" w:eastAsia="FangSong" w:cs="FangSong"/>
          <w:sz w:val="23"/>
          <w:szCs w:val="23"/>
          <w:spacing w:val="-3"/>
        </w:rPr>
        <w:t>占99.37%；住房保障支出8.01万元，</w:t>
      </w:r>
      <w:r>
        <w:rPr>
          <w:rFonts w:ascii="FangSong" w:hAnsi="FangSong" w:eastAsia="FangSong" w:cs="FangSong"/>
          <w:sz w:val="23"/>
          <w:szCs w:val="23"/>
          <w:spacing w:val="-60"/>
        </w:rPr>
        <w:t xml:space="preserve"> </w:t>
      </w:r>
      <w:r>
        <w:rPr>
          <w:rFonts w:ascii="FangSong" w:hAnsi="FangSong" w:eastAsia="FangSong" w:cs="FangSong"/>
          <w:sz w:val="23"/>
          <w:szCs w:val="23"/>
          <w:spacing w:val="-3"/>
        </w:rPr>
        <w:t>占0.21%等。</w:t>
      </w:r>
    </w:p>
    <w:p>
      <w:pPr>
        <w:ind w:firstLine="4164"/>
        <w:spacing w:before="142" w:line="2463" w:lineRule="exact"/>
        <w:rPr/>
      </w:pPr>
      <w:r>
        <w:rPr>
          <w:position w:val="-49"/>
        </w:rPr>
        <w:drawing>
          <wp:inline distT="0" distB="0" distL="0" distR="0">
            <wp:extent cx="1750301" cy="1564258"/>
            <wp:effectExtent l="0" t="0" r="0" b="0"/>
            <wp:docPr id="6" name="IM 6"/>
            <wp:cNvGraphicFramePr/>
            <a:graphic>
              <a:graphicData uri="http://schemas.openxmlformats.org/drawingml/2006/picture">
                <pic:pic>
                  <pic:nvPicPr>
                    <pic:cNvPr id="6" name="IM 6"/>
                    <pic:cNvPicPr/>
                  </pic:nvPicPr>
                  <pic:blipFill>
                    <a:blip r:embed="rId25"/>
                    <a:stretch>
                      <a:fillRect/>
                    </a:stretch>
                  </pic:blipFill>
                  <pic:spPr>
                    <a:xfrm rot="0">
                      <a:off x="0" y="0"/>
                      <a:ext cx="1750301" cy="1564258"/>
                    </a:xfrm>
                    <a:prstGeom prst="rect">
                      <a:avLst/>
                    </a:prstGeom>
                  </pic:spPr>
                </pic:pic>
              </a:graphicData>
            </a:graphic>
          </wp:inline>
        </w:drawing>
      </w:r>
    </w:p>
    <w:p>
      <w:pPr>
        <w:spacing w:line="265" w:lineRule="auto"/>
        <w:rPr>
          <w:rFonts w:ascii="Arial"/>
          <w:sz w:val="21"/>
        </w:rPr>
      </w:pPr>
      <w:r/>
    </w:p>
    <w:p>
      <w:pPr>
        <w:spacing w:line="265" w:lineRule="auto"/>
        <w:rPr>
          <w:rFonts w:ascii="Arial"/>
          <w:sz w:val="21"/>
        </w:rPr>
      </w:pPr>
      <w:r/>
    </w:p>
    <w:p>
      <w:pPr>
        <w:ind w:left="662"/>
        <w:spacing w:before="94" w:line="230" w:lineRule="exact"/>
        <w:outlineLvl w:val="1"/>
        <w:rPr>
          <w:rFonts w:ascii="Microsoft YaHei" w:hAnsi="Microsoft YaHei" w:eastAsia="Microsoft YaHei" w:cs="Microsoft YaHei"/>
          <w:sz w:val="22"/>
          <w:szCs w:val="22"/>
        </w:rPr>
      </w:pPr>
      <w:bookmarkStart w:name="bookmark24" w:id="40"/>
      <w:bookmarkEnd w:id="40"/>
      <w:r>
        <w:rPr>
          <w:rFonts w:ascii="Microsoft YaHei" w:hAnsi="Microsoft YaHei" w:eastAsia="Microsoft YaHei" w:cs="Microsoft YaHei"/>
          <w:sz w:val="22"/>
          <w:szCs w:val="22"/>
          <w:spacing w:val="8"/>
          <w:position w:val="-1"/>
        </w:rPr>
        <w:t>六、一般公共预算基本支出情况说明</w:t>
      </w:r>
    </w:p>
    <w:p>
      <w:pPr>
        <w:ind w:left="1120"/>
        <w:spacing w:before="174" w:line="222" w:lineRule="auto"/>
        <w:rPr>
          <w:rFonts w:ascii="FangSong" w:hAnsi="FangSong" w:eastAsia="FangSong" w:cs="FangSong"/>
          <w:sz w:val="23"/>
          <w:szCs w:val="23"/>
        </w:rPr>
      </w:pPr>
      <w:r>
        <w:rPr>
          <w:rFonts w:ascii="FangSong" w:hAnsi="FangSong" w:eastAsia="FangSong" w:cs="FangSong"/>
          <w:sz w:val="23"/>
          <w:szCs w:val="23"/>
        </w:rPr>
        <w:t>2025年度兴县园林事业发展服务中心一般公共预算安排基本支出105.45万元，其中：</w:t>
      </w:r>
    </w:p>
    <w:p>
      <w:pPr>
        <w:ind w:left="663" w:right="623" w:firstLine="465"/>
        <w:spacing w:before="135" w:line="321" w:lineRule="auto"/>
        <w:rPr>
          <w:rFonts w:ascii="FangSong" w:hAnsi="FangSong" w:eastAsia="FangSong" w:cs="FangSong"/>
          <w:sz w:val="23"/>
          <w:szCs w:val="23"/>
        </w:rPr>
      </w:pPr>
      <w:r>
        <w:rPr>
          <w:rFonts w:ascii="FangSong" w:hAnsi="FangSong" w:eastAsia="FangSong" w:cs="FangSong"/>
          <w:sz w:val="23"/>
          <w:szCs w:val="23"/>
          <w:spacing w:val="2"/>
        </w:rPr>
        <w:t>人员经费99.35万元，主要包括：其他工资福利支出、其他社会保障缴费、公务员医疗补</w:t>
      </w:r>
      <w:r>
        <w:rPr>
          <w:rFonts w:ascii="FangSong" w:hAnsi="FangSong" w:eastAsia="FangSong" w:cs="FangSong"/>
          <w:sz w:val="23"/>
          <w:szCs w:val="23"/>
          <w:spacing w:val="5"/>
        </w:rPr>
        <w:t>助缴费、绩效工资、基本工资、机关事业单位基本养老保险缴费、住房公积金、奖金、职工</w:t>
      </w:r>
      <w:r>
        <w:rPr>
          <w:rFonts w:ascii="FangSong" w:hAnsi="FangSong" w:eastAsia="FangSong" w:cs="FangSong"/>
          <w:sz w:val="23"/>
          <w:szCs w:val="23"/>
          <w:spacing w:val="-1"/>
        </w:rPr>
        <w:t>基本医疗保险缴费、职业年金缴费、津贴补贴等；</w:t>
      </w:r>
    </w:p>
    <w:p>
      <w:pPr>
        <w:ind w:left="687" w:right="623" w:firstLine="442"/>
        <w:spacing w:before="9" w:line="320" w:lineRule="auto"/>
        <w:rPr>
          <w:rFonts w:ascii="FangSong" w:hAnsi="FangSong" w:eastAsia="FangSong" w:cs="FangSong"/>
          <w:sz w:val="23"/>
          <w:szCs w:val="23"/>
        </w:rPr>
      </w:pPr>
      <w:r>
        <w:rPr>
          <w:rFonts w:ascii="FangSong" w:hAnsi="FangSong" w:eastAsia="FangSong" w:cs="FangSong"/>
          <w:sz w:val="23"/>
          <w:szCs w:val="23"/>
          <w:spacing w:val="10"/>
        </w:rPr>
        <w:t>公用经费6.10万元，主要包括：</w:t>
      </w:r>
      <w:r>
        <w:rPr>
          <w:rFonts w:ascii="FangSong" w:hAnsi="FangSong" w:eastAsia="FangSong" w:cs="FangSong"/>
          <w:sz w:val="23"/>
          <w:szCs w:val="23"/>
          <w:spacing w:val="-67"/>
        </w:rPr>
        <w:t xml:space="preserve"> </w:t>
      </w:r>
      <w:r>
        <w:rPr>
          <w:rFonts w:ascii="FangSong" w:hAnsi="FangSong" w:eastAsia="FangSong" w:cs="FangSong"/>
          <w:sz w:val="23"/>
          <w:szCs w:val="23"/>
          <w:spacing w:val="10"/>
        </w:rPr>
        <w:t>办公费、福利费、其他交通费用、其他商品和服</w:t>
      </w:r>
      <w:r>
        <w:rPr>
          <w:rFonts w:ascii="FangSong" w:hAnsi="FangSong" w:eastAsia="FangSong" w:cs="FangSong"/>
          <w:sz w:val="23"/>
          <w:szCs w:val="23"/>
          <w:spacing w:val="9"/>
        </w:rPr>
        <w:t>务支</w:t>
      </w:r>
      <w:r>
        <w:rPr>
          <w:rFonts w:ascii="FangSong" w:hAnsi="FangSong" w:eastAsia="FangSong" w:cs="FangSong"/>
          <w:sz w:val="23"/>
          <w:szCs w:val="23"/>
          <w:spacing w:val="-5"/>
        </w:rPr>
        <w:t>出、工会经费等。</w:t>
      </w:r>
    </w:p>
    <w:p>
      <w:pPr>
        <w:ind w:left="655"/>
        <w:spacing w:line="229" w:lineRule="exact"/>
        <w:outlineLvl w:val="1"/>
        <w:rPr>
          <w:rFonts w:ascii="Microsoft YaHei" w:hAnsi="Microsoft YaHei" w:eastAsia="Microsoft YaHei" w:cs="Microsoft YaHei"/>
          <w:sz w:val="22"/>
          <w:szCs w:val="22"/>
        </w:rPr>
      </w:pPr>
      <w:bookmarkStart w:name="bookmark25" w:id="41"/>
      <w:bookmarkEnd w:id="41"/>
      <w:r>
        <w:rPr>
          <w:rFonts w:ascii="Microsoft YaHei" w:hAnsi="Microsoft YaHei" w:eastAsia="Microsoft YaHei" w:cs="Microsoft YaHei"/>
          <w:sz w:val="22"/>
          <w:szCs w:val="22"/>
          <w:spacing w:val="16"/>
          <w:position w:val="-1"/>
        </w:rPr>
        <w:t>七、</w:t>
      </w:r>
      <w:r>
        <w:rPr>
          <w:rFonts w:ascii="Microsoft YaHei" w:hAnsi="Microsoft YaHei" w:eastAsia="Microsoft YaHei" w:cs="Microsoft YaHei"/>
          <w:sz w:val="22"/>
          <w:szCs w:val="22"/>
          <w:spacing w:val="5"/>
          <w:position w:val="-1"/>
        </w:rPr>
        <w:t xml:space="preserve">  </w:t>
      </w:r>
      <w:r>
        <w:rPr>
          <w:rFonts w:ascii="Microsoft YaHei" w:hAnsi="Microsoft YaHei" w:eastAsia="Microsoft YaHei" w:cs="Microsoft YaHei"/>
          <w:sz w:val="22"/>
          <w:szCs w:val="22"/>
          <w:spacing w:val="16"/>
          <w:position w:val="-1"/>
        </w:rPr>
        <w:t>"三公"经费增减变动原因说明</w:t>
      </w:r>
    </w:p>
    <w:p>
      <w:pPr>
        <w:ind w:left="1126"/>
        <w:spacing w:before="185" w:line="222" w:lineRule="auto"/>
        <w:rPr>
          <w:rFonts w:ascii="FangSong" w:hAnsi="FangSong" w:eastAsia="FangSong" w:cs="FangSong"/>
          <w:sz w:val="23"/>
          <w:szCs w:val="23"/>
        </w:rPr>
      </w:pPr>
      <w:r>
        <w:rPr>
          <w:rFonts w:ascii="FangSong" w:hAnsi="FangSong" w:eastAsia="FangSong" w:cs="FangSong"/>
          <w:sz w:val="23"/>
          <w:szCs w:val="23"/>
          <w:spacing w:val="-4"/>
        </w:rPr>
        <w:t>本部门无“三公</w:t>
      </w:r>
      <w:r>
        <w:rPr>
          <w:rFonts w:ascii="FangSong" w:hAnsi="FangSong" w:eastAsia="FangSong" w:cs="FangSong"/>
          <w:sz w:val="23"/>
          <w:szCs w:val="23"/>
          <w:spacing w:val="-74"/>
        </w:rPr>
        <w:t xml:space="preserve"> </w:t>
      </w:r>
      <w:r>
        <w:rPr>
          <w:rFonts w:ascii="FangSong" w:hAnsi="FangSong" w:eastAsia="FangSong" w:cs="FangSong"/>
          <w:sz w:val="23"/>
          <w:szCs w:val="23"/>
          <w:spacing w:val="-4"/>
        </w:rPr>
        <w:t>”经费预算。</w:t>
      </w:r>
    </w:p>
    <w:p>
      <w:pPr>
        <w:ind w:left="653"/>
        <w:spacing w:before="119" w:line="230" w:lineRule="exact"/>
        <w:outlineLvl w:val="1"/>
        <w:rPr>
          <w:rFonts w:ascii="Microsoft YaHei" w:hAnsi="Microsoft YaHei" w:eastAsia="Microsoft YaHei" w:cs="Microsoft YaHei"/>
          <w:sz w:val="23"/>
          <w:szCs w:val="23"/>
        </w:rPr>
      </w:pPr>
      <w:bookmarkStart w:name="bookmark26" w:id="42"/>
      <w:bookmarkEnd w:id="42"/>
      <w:r>
        <w:rPr>
          <w:rFonts w:ascii="Microsoft YaHei" w:hAnsi="Microsoft YaHei" w:eastAsia="Microsoft YaHei" w:cs="Microsoft YaHei"/>
          <w:sz w:val="23"/>
          <w:szCs w:val="23"/>
          <w:spacing w:val="-1"/>
          <w:position w:val="-1"/>
        </w:rPr>
        <w:t>八、机关运行经费增减变动原因说明</w:t>
      </w:r>
    </w:p>
    <w:p>
      <w:pPr>
        <w:ind w:left="1126"/>
        <w:spacing w:before="175" w:line="221" w:lineRule="auto"/>
        <w:rPr>
          <w:rFonts w:ascii="FangSong" w:hAnsi="FangSong" w:eastAsia="FangSong" w:cs="FangSong"/>
          <w:sz w:val="23"/>
          <w:szCs w:val="23"/>
        </w:rPr>
      </w:pPr>
      <w:r>
        <w:rPr>
          <w:rFonts w:ascii="FangSong" w:hAnsi="FangSong" w:eastAsia="FangSong" w:cs="FangSong"/>
          <w:sz w:val="23"/>
          <w:szCs w:val="23"/>
          <w:spacing w:val="-1"/>
        </w:rPr>
        <w:t>本部门无机关运行经费。</w:t>
      </w:r>
    </w:p>
    <w:p>
      <w:pPr>
        <w:ind w:left="658"/>
        <w:spacing w:before="132" w:line="226" w:lineRule="exact"/>
        <w:outlineLvl w:val="1"/>
        <w:rPr>
          <w:rFonts w:ascii="Microsoft YaHei" w:hAnsi="Microsoft YaHei" w:eastAsia="Microsoft YaHei" w:cs="Microsoft YaHei"/>
          <w:sz w:val="22"/>
          <w:szCs w:val="22"/>
        </w:rPr>
      </w:pPr>
      <w:bookmarkStart w:name="bookmark28" w:id="43"/>
      <w:bookmarkEnd w:id="43"/>
      <w:r>
        <w:rPr>
          <w:rFonts w:ascii="Microsoft YaHei" w:hAnsi="Microsoft YaHei" w:eastAsia="Microsoft YaHei" w:cs="Microsoft YaHei"/>
          <w:sz w:val="22"/>
          <w:szCs w:val="22"/>
          <w:spacing w:val="9"/>
          <w:position w:val="-1"/>
        </w:rPr>
        <w:t>九、政府采购情况</w:t>
      </w:r>
    </w:p>
    <w:p>
      <w:pPr>
        <w:ind w:left="665" w:right="623" w:firstLine="454"/>
        <w:spacing w:before="176" w:line="322" w:lineRule="auto"/>
        <w:rPr>
          <w:rFonts w:ascii="FangSong" w:hAnsi="FangSong" w:eastAsia="FangSong" w:cs="FangSong"/>
          <w:sz w:val="23"/>
          <w:szCs w:val="23"/>
        </w:rPr>
      </w:pPr>
      <w:r>
        <w:rPr>
          <w:rFonts w:ascii="FangSong" w:hAnsi="FangSong" w:eastAsia="FangSong" w:cs="FangSong"/>
          <w:sz w:val="23"/>
          <w:szCs w:val="23"/>
          <w:spacing w:val="5"/>
        </w:rPr>
        <w:t>2025年兴县园林事业发展服务中心政府采购预算总额0万元。其中：政府采购货物预算0</w:t>
      </w:r>
      <w:r>
        <w:rPr>
          <w:rFonts w:ascii="FangSong" w:hAnsi="FangSong" w:eastAsia="FangSong" w:cs="FangSong"/>
          <w:sz w:val="23"/>
          <w:szCs w:val="23"/>
        </w:rPr>
        <w:t>万元、政府采购工程预算0万元、政府采购服务预算</w:t>
      </w:r>
      <w:r>
        <w:rPr>
          <w:rFonts w:ascii="FangSong" w:hAnsi="FangSong" w:eastAsia="FangSong" w:cs="FangSong"/>
          <w:sz w:val="23"/>
          <w:szCs w:val="23"/>
          <w:spacing w:val="-1"/>
        </w:rPr>
        <w:t>0万元。</w:t>
      </w:r>
    </w:p>
    <w:p>
      <w:pPr>
        <w:ind w:left="660"/>
        <w:spacing w:before="5" w:line="230" w:lineRule="exact"/>
        <w:outlineLvl w:val="1"/>
        <w:rPr>
          <w:rFonts w:ascii="Microsoft YaHei" w:hAnsi="Microsoft YaHei" w:eastAsia="Microsoft YaHei" w:cs="Microsoft YaHei"/>
          <w:sz w:val="22"/>
          <w:szCs w:val="22"/>
        </w:rPr>
      </w:pPr>
      <w:bookmarkStart w:name="bookmark29" w:id="44"/>
      <w:bookmarkEnd w:id="44"/>
      <w:r>
        <w:rPr>
          <w:rFonts w:ascii="Microsoft YaHei" w:hAnsi="Microsoft YaHei" w:eastAsia="Microsoft YaHei" w:cs="Microsoft YaHei"/>
          <w:sz w:val="22"/>
          <w:szCs w:val="22"/>
          <w:spacing w:val="9"/>
          <w:position w:val="-1"/>
        </w:rPr>
        <w:t>十、绩效管理情况</w:t>
      </w:r>
    </w:p>
    <w:p>
      <w:pPr>
        <w:ind w:left="1135"/>
        <w:spacing w:before="174" w:line="223" w:lineRule="auto"/>
        <w:rPr>
          <w:rFonts w:ascii="FangSong" w:hAnsi="FangSong" w:eastAsia="FangSong" w:cs="FangSong"/>
          <w:sz w:val="23"/>
          <w:szCs w:val="23"/>
        </w:rPr>
      </w:pPr>
      <w:r>
        <w:rPr>
          <w:rFonts w:ascii="FangSong" w:hAnsi="FangSong" w:eastAsia="FangSong" w:cs="FangSong"/>
          <w:sz w:val="23"/>
          <w:szCs w:val="23"/>
          <w:spacing w:val="-3"/>
        </w:rPr>
        <w:t>1、整体绩效目标</w:t>
      </w:r>
    </w:p>
    <w:p>
      <w:pPr>
        <w:ind w:left="667" w:right="623" w:hanging="8"/>
        <w:spacing w:before="124" w:line="325" w:lineRule="auto"/>
        <w:rPr>
          <w:rFonts w:ascii="FangSong" w:hAnsi="FangSong" w:eastAsia="FangSong" w:cs="FangSong"/>
          <w:sz w:val="23"/>
          <w:szCs w:val="23"/>
        </w:rPr>
      </w:pPr>
      <w:r>
        <w:rPr>
          <w:rFonts w:ascii="FangSong" w:hAnsi="FangSong" w:eastAsia="FangSong" w:cs="FangSong"/>
          <w:sz w:val="23"/>
          <w:szCs w:val="23"/>
          <w:spacing w:val="2"/>
        </w:rPr>
        <w:t>2025年编报部门整体支出绩效目标，涉及部门预算资金3855.59万元，其中基本支出105.45万</w:t>
      </w:r>
      <w:r>
        <w:rPr>
          <w:rFonts w:ascii="FangSong" w:hAnsi="FangSong" w:eastAsia="FangSong" w:cs="FangSong"/>
          <w:sz w:val="23"/>
          <w:szCs w:val="23"/>
        </w:rPr>
        <w:t>元，项目支出3750.14万元；机关及下属预算单位0个.</w:t>
      </w:r>
    </w:p>
    <w:p>
      <w:pPr>
        <w:ind w:left="1120"/>
        <w:spacing w:before="1" w:line="222" w:lineRule="auto"/>
        <w:rPr>
          <w:rFonts w:ascii="FangSong" w:hAnsi="FangSong" w:eastAsia="FangSong" w:cs="FangSong"/>
          <w:sz w:val="23"/>
          <w:szCs w:val="23"/>
        </w:rPr>
      </w:pPr>
      <w:r>
        <w:rPr>
          <w:rFonts w:ascii="FangSong" w:hAnsi="FangSong" w:eastAsia="FangSong" w:cs="FangSong"/>
          <w:sz w:val="23"/>
          <w:szCs w:val="23"/>
          <w:spacing w:val="-1"/>
        </w:rPr>
        <w:t>2、项目绩效目标</w:t>
      </w:r>
    </w:p>
    <w:p>
      <w:pPr>
        <w:ind w:left="661" w:right="623" w:firstLine="459"/>
        <w:spacing w:before="119" w:line="325" w:lineRule="auto"/>
        <w:rPr>
          <w:rFonts w:ascii="FangSong" w:hAnsi="FangSong" w:eastAsia="FangSong" w:cs="FangSong"/>
          <w:sz w:val="23"/>
          <w:szCs w:val="23"/>
        </w:rPr>
      </w:pPr>
      <w:r>
        <w:rPr>
          <w:rFonts w:ascii="FangSong" w:hAnsi="FangSong" w:eastAsia="FangSong" w:cs="FangSong"/>
          <w:sz w:val="23"/>
          <w:szCs w:val="23"/>
        </w:rPr>
        <w:t>2025</w:t>
      </w:r>
      <w:r>
        <w:rPr>
          <w:rFonts w:ascii="FangSong" w:hAnsi="FangSong" w:eastAsia="FangSong" w:cs="FangSong"/>
          <w:sz w:val="23"/>
          <w:szCs w:val="23"/>
          <w:spacing w:val="-67"/>
        </w:rPr>
        <w:t xml:space="preserve"> </w:t>
      </w:r>
      <w:r>
        <w:rPr>
          <w:rFonts w:ascii="FangSong" w:hAnsi="FangSong" w:eastAsia="FangSong" w:cs="FangSong"/>
          <w:sz w:val="23"/>
          <w:szCs w:val="23"/>
        </w:rPr>
        <w:t>年</w:t>
      </w:r>
      <w:r>
        <w:rPr>
          <w:rFonts w:ascii="FangSong" w:hAnsi="FangSong" w:eastAsia="FangSong" w:cs="FangSong"/>
          <w:sz w:val="23"/>
          <w:szCs w:val="23"/>
          <w:spacing w:val="-67"/>
        </w:rPr>
        <w:t xml:space="preserve"> </w:t>
      </w:r>
      <w:r>
        <w:rPr>
          <w:rFonts w:ascii="FangSong" w:hAnsi="FangSong" w:eastAsia="FangSong" w:cs="FangSong"/>
          <w:sz w:val="23"/>
          <w:szCs w:val="23"/>
        </w:rPr>
        <w:t>兴县</w:t>
      </w:r>
      <w:r>
        <w:rPr>
          <w:rFonts w:ascii="FangSong" w:hAnsi="FangSong" w:eastAsia="FangSong" w:cs="FangSong"/>
          <w:sz w:val="23"/>
          <w:szCs w:val="23"/>
          <w:spacing w:val="-50"/>
        </w:rPr>
        <w:t xml:space="preserve"> </w:t>
      </w:r>
      <w:r>
        <w:rPr>
          <w:rFonts w:ascii="FangSong" w:hAnsi="FangSong" w:eastAsia="FangSong" w:cs="FangSong"/>
          <w:sz w:val="23"/>
          <w:szCs w:val="23"/>
        </w:rPr>
        <w:t>园林事业</w:t>
      </w:r>
      <w:r>
        <w:rPr>
          <w:rFonts w:ascii="FangSong" w:hAnsi="FangSong" w:eastAsia="FangSong" w:cs="FangSong"/>
          <w:sz w:val="23"/>
          <w:szCs w:val="23"/>
          <w:spacing w:val="-66"/>
        </w:rPr>
        <w:t xml:space="preserve"> </w:t>
      </w:r>
      <w:r>
        <w:rPr>
          <w:rFonts w:ascii="FangSong" w:hAnsi="FangSong" w:eastAsia="FangSong" w:cs="FangSong"/>
          <w:sz w:val="23"/>
          <w:szCs w:val="23"/>
        </w:rPr>
        <w:t>发展服</w:t>
      </w:r>
      <w:r>
        <w:rPr>
          <w:rFonts w:ascii="FangSong" w:hAnsi="FangSong" w:eastAsia="FangSong" w:cs="FangSong"/>
          <w:sz w:val="23"/>
          <w:szCs w:val="23"/>
          <w:spacing w:val="-66"/>
        </w:rPr>
        <w:t xml:space="preserve"> </w:t>
      </w:r>
      <w:r>
        <w:rPr>
          <w:rFonts w:ascii="FangSong" w:hAnsi="FangSong" w:eastAsia="FangSong" w:cs="FangSong"/>
          <w:sz w:val="23"/>
          <w:szCs w:val="23"/>
        </w:rPr>
        <w:t>务</w:t>
      </w:r>
      <w:r>
        <w:rPr>
          <w:rFonts w:ascii="FangSong" w:hAnsi="FangSong" w:eastAsia="FangSong" w:cs="FangSong"/>
          <w:sz w:val="23"/>
          <w:szCs w:val="23"/>
          <w:spacing w:val="-43"/>
        </w:rPr>
        <w:t xml:space="preserve"> </w:t>
      </w:r>
      <w:r>
        <w:rPr>
          <w:rFonts w:ascii="FangSong" w:hAnsi="FangSong" w:eastAsia="FangSong" w:cs="FangSong"/>
          <w:sz w:val="23"/>
          <w:szCs w:val="23"/>
        </w:rPr>
        <w:t>中</w:t>
      </w:r>
      <w:r>
        <w:rPr>
          <w:rFonts w:ascii="FangSong" w:hAnsi="FangSong" w:eastAsia="FangSong" w:cs="FangSong"/>
          <w:sz w:val="23"/>
          <w:szCs w:val="23"/>
          <w:spacing w:val="-68"/>
        </w:rPr>
        <w:t xml:space="preserve"> </w:t>
      </w:r>
      <w:r>
        <w:rPr>
          <w:rFonts w:ascii="FangSong" w:hAnsi="FangSong" w:eastAsia="FangSong" w:cs="FangSong"/>
          <w:sz w:val="23"/>
          <w:szCs w:val="23"/>
        </w:rPr>
        <w:t>心纳入</w:t>
      </w:r>
      <w:r>
        <w:rPr>
          <w:rFonts w:ascii="FangSong" w:hAnsi="FangSong" w:eastAsia="FangSong" w:cs="FangSong"/>
          <w:sz w:val="23"/>
          <w:szCs w:val="23"/>
          <w:spacing w:val="-69"/>
        </w:rPr>
        <w:t xml:space="preserve"> </w:t>
      </w:r>
      <w:r>
        <w:rPr>
          <w:rFonts w:ascii="FangSong" w:hAnsi="FangSong" w:eastAsia="FangSong" w:cs="FangSong"/>
          <w:sz w:val="23"/>
          <w:szCs w:val="23"/>
        </w:rPr>
        <w:t>绩</w:t>
      </w:r>
      <w:r>
        <w:rPr>
          <w:rFonts w:ascii="FangSong" w:hAnsi="FangSong" w:eastAsia="FangSong" w:cs="FangSong"/>
          <w:sz w:val="23"/>
          <w:szCs w:val="23"/>
          <w:spacing w:val="-69"/>
        </w:rPr>
        <w:t xml:space="preserve"> </w:t>
      </w:r>
      <w:r>
        <w:rPr>
          <w:rFonts w:ascii="FangSong" w:hAnsi="FangSong" w:eastAsia="FangSong" w:cs="FangSong"/>
          <w:sz w:val="23"/>
          <w:szCs w:val="23"/>
        </w:rPr>
        <w:t>效</w:t>
      </w:r>
      <w:r>
        <w:rPr>
          <w:rFonts w:ascii="FangSong" w:hAnsi="FangSong" w:eastAsia="FangSong" w:cs="FangSong"/>
          <w:sz w:val="23"/>
          <w:szCs w:val="23"/>
          <w:spacing w:val="-32"/>
        </w:rPr>
        <w:t xml:space="preserve"> </w:t>
      </w:r>
      <w:r>
        <w:rPr>
          <w:rFonts w:ascii="FangSong" w:hAnsi="FangSong" w:eastAsia="FangSong" w:cs="FangSong"/>
          <w:sz w:val="23"/>
          <w:szCs w:val="23"/>
        </w:rPr>
        <w:t>目标</w:t>
      </w:r>
      <w:r>
        <w:rPr>
          <w:rFonts w:ascii="FangSong" w:hAnsi="FangSong" w:eastAsia="FangSong" w:cs="FangSong"/>
          <w:sz w:val="23"/>
          <w:szCs w:val="23"/>
          <w:spacing w:val="-60"/>
        </w:rPr>
        <w:t xml:space="preserve"> </w:t>
      </w:r>
      <w:r>
        <w:rPr>
          <w:rFonts w:ascii="FangSong" w:hAnsi="FangSong" w:eastAsia="FangSong" w:cs="FangSong"/>
          <w:sz w:val="23"/>
          <w:szCs w:val="23"/>
        </w:rPr>
        <w:t>管理</w:t>
      </w:r>
      <w:r>
        <w:rPr>
          <w:rFonts w:ascii="FangSong" w:hAnsi="FangSong" w:eastAsia="FangSong" w:cs="FangSong"/>
          <w:sz w:val="23"/>
          <w:szCs w:val="23"/>
          <w:spacing w:val="-59"/>
        </w:rPr>
        <w:t xml:space="preserve"> </w:t>
      </w:r>
      <w:r>
        <w:rPr>
          <w:rFonts w:ascii="FangSong" w:hAnsi="FangSong" w:eastAsia="FangSong" w:cs="FangSong"/>
          <w:sz w:val="23"/>
          <w:szCs w:val="23"/>
        </w:rPr>
        <w:t>的</w:t>
      </w:r>
      <w:r>
        <w:rPr>
          <w:rFonts w:ascii="FangSong" w:hAnsi="FangSong" w:eastAsia="FangSong" w:cs="FangSong"/>
          <w:sz w:val="23"/>
          <w:szCs w:val="23"/>
          <w:spacing w:val="-65"/>
        </w:rPr>
        <w:t xml:space="preserve"> </w:t>
      </w:r>
      <w:r>
        <w:rPr>
          <w:rFonts w:ascii="FangSong" w:hAnsi="FangSong" w:eastAsia="FangSong" w:cs="FangSong"/>
          <w:sz w:val="23"/>
          <w:szCs w:val="23"/>
        </w:rPr>
        <w:t>二级项</w:t>
      </w:r>
      <w:r>
        <w:rPr>
          <w:rFonts w:ascii="FangSong" w:hAnsi="FangSong" w:eastAsia="FangSong" w:cs="FangSong"/>
          <w:sz w:val="23"/>
          <w:szCs w:val="23"/>
          <w:spacing w:val="-32"/>
        </w:rPr>
        <w:t xml:space="preserve"> </w:t>
      </w:r>
      <w:r>
        <w:rPr>
          <w:rFonts w:ascii="FangSong" w:hAnsi="FangSong" w:eastAsia="FangSong" w:cs="FangSong"/>
          <w:sz w:val="23"/>
          <w:szCs w:val="23"/>
        </w:rPr>
        <w:t>目32个</w:t>
      </w:r>
      <w:r>
        <w:rPr>
          <w:rFonts w:ascii="FangSong" w:hAnsi="FangSong" w:eastAsia="FangSong" w:cs="FangSong"/>
          <w:sz w:val="23"/>
          <w:szCs w:val="23"/>
          <w:spacing w:val="-57"/>
        </w:rPr>
        <w:t xml:space="preserve"> </w:t>
      </w:r>
      <w:r>
        <w:rPr>
          <w:rFonts w:ascii="FangSong" w:hAnsi="FangSong" w:eastAsia="FangSong" w:cs="FangSong"/>
          <w:sz w:val="23"/>
          <w:szCs w:val="23"/>
        </w:rPr>
        <w:t>，</w:t>
      </w:r>
      <w:r>
        <w:rPr>
          <w:rFonts w:ascii="FangSong" w:hAnsi="FangSong" w:eastAsia="FangSong" w:cs="FangSong"/>
          <w:sz w:val="23"/>
          <w:szCs w:val="23"/>
          <w:spacing w:val="-66"/>
        </w:rPr>
        <w:t xml:space="preserve"> </w:t>
      </w:r>
      <w:r>
        <w:rPr>
          <w:rFonts w:ascii="FangSong" w:hAnsi="FangSong" w:eastAsia="FangSong" w:cs="FangSong"/>
          <w:sz w:val="23"/>
          <w:szCs w:val="23"/>
        </w:rPr>
        <w:t>共计金额</w:t>
      </w:r>
      <w:r>
        <w:rPr>
          <w:rFonts w:ascii="FangSong" w:hAnsi="FangSong" w:eastAsia="FangSong" w:cs="FangSong"/>
          <w:sz w:val="23"/>
          <w:szCs w:val="23"/>
          <w:spacing w:val="5"/>
        </w:rPr>
        <w:t>3,750.14万元。其中：其他运转类项目4</w:t>
      </w:r>
      <w:r>
        <w:rPr>
          <w:rFonts w:ascii="FangSong" w:hAnsi="FangSong" w:eastAsia="FangSong" w:cs="FangSong"/>
          <w:sz w:val="23"/>
          <w:szCs w:val="23"/>
          <w:spacing w:val="4"/>
        </w:rPr>
        <w:t>个，涉及金额74.00万元；特定目标类项目28个，涉</w:t>
      </w:r>
      <w:r>
        <w:rPr>
          <w:rFonts w:ascii="FangSong" w:hAnsi="FangSong" w:eastAsia="FangSong" w:cs="FangSong"/>
          <w:sz w:val="23"/>
          <w:szCs w:val="23"/>
          <w:spacing w:val="4"/>
        </w:rPr>
        <w:t>及金额3,676.14万元</w:t>
      </w:r>
      <w:r>
        <w:rPr>
          <w:rFonts w:ascii="FangSong" w:hAnsi="FangSong" w:eastAsia="FangSong" w:cs="FangSong"/>
          <w:sz w:val="23"/>
          <w:szCs w:val="23"/>
          <w:spacing w:val="-69"/>
        </w:rPr>
        <w:t xml:space="preserve"> </w:t>
      </w:r>
      <w:r>
        <w:rPr>
          <w:rFonts w:ascii="FangSong" w:hAnsi="FangSong" w:eastAsia="FangSong" w:cs="FangSong"/>
          <w:sz w:val="23"/>
          <w:szCs w:val="23"/>
          <w:spacing w:val="4"/>
        </w:rPr>
        <w:t>。公开项</w:t>
      </w:r>
      <w:r>
        <w:rPr>
          <w:rFonts w:ascii="FangSong" w:hAnsi="FangSong" w:eastAsia="FangSong" w:cs="FangSong"/>
          <w:sz w:val="23"/>
          <w:szCs w:val="23"/>
          <w:spacing w:val="-46"/>
        </w:rPr>
        <w:t xml:space="preserve"> </w:t>
      </w:r>
      <w:r>
        <w:rPr>
          <w:rFonts w:ascii="FangSong" w:hAnsi="FangSong" w:eastAsia="FangSong" w:cs="FangSong"/>
          <w:sz w:val="23"/>
          <w:szCs w:val="23"/>
          <w:spacing w:val="4"/>
        </w:rPr>
        <w:t>目绩效目标32个，涉及项</w:t>
      </w:r>
      <w:r>
        <w:rPr>
          <w:rFonts w:ascii="FangSong" w:hAnsi="FangSong" w:eastAsia="FangSong" w:cs="FangSong"/>
          <w:sz w:val="23"/>
          <w:szCs w:val="23"/>
          <w:spacing w:val="-45"/>
        </w:rPr>
        <w:t xml:space="preserve"> </w:t>
      </w:r>
      <w:r>
        <w:rPr>
          <w:rFonts w:ascii="FangSong" w:hAnsi="FangSong" w:eastAsia="FangSong" w:cs="FangSong"/>
          <w:sz w:val="23"/>
          <w:szCs w:val="23"/>
          <w:spacing w:val="4"/>
        </w:rPr>
        <w:t>目金额3,750.14万元，</w:t>
      </w:r>
      <w:r>
        <w:rPr>
          <w:rFonts w:ascii="FangSong" w:hAnsi="FangSong" w:eastAsia="FangSong" w:cs="FangSong"/>
          <w:sz w:val="23"/>
          <w:szCs w:val="23"/>
          <w:spacing w:val="-46"/>
        </w:rPr>
        <w:t xml:space="preserve"> </w:t>
      </w:r>
      <w:r>
        <w:rPr>
          <w:rFonts w:ascii="FangSong" w:hAnsi="FangSong" w:eastAsia="FangSong" w:cs="FangSong"/>
          <w:sz w:val="23"/>
          <w:szCs w:val="23"/>
          <w:spacing w:val="4"/>
        </w:rPr>
        <w:t>占部门</w:t>
      </w:r>
      <w:r>
        <w:rPr>
          <w:rFonts w:ascii="FangSong" w:hAnsi="FangSong" w:eastAsia="FangSong" w:cs="FangSong"/>
          <w:sz w:val="23"/>
          <w:szCs w:val="23"/>
          <w:spacing w:val="3"/>
        </w:rPr>
        <w:t>（单</w:t>
      </w:r>
      <w:r>
        <w:rPr>
          <w:rFonts w:ascii="FangSong" w:hAnsi="FangSong" w:eastAsia="FangSong" w:cs="FangSong"/>
          <w:sz w:val="23"/>
          <w:szCs w:val="23"/>
          <w:spacing w:val="5"/>
        </w:rPr>
        <w:t>位）项目支出总额的100%。其中：其他运转类项目4个，涉及项目金额7</w:t>
      </w:r>
      <w:r>
        <w:rPr>
          <w:rFonts w:ascii="FangSong" w:hAnsi="FangSong" w:eastAsia="FangSong" w:cs="FangSong"/>
          <w:sz w:val="23"/>
          <w:szCs w:val="23"/>
          <w:spacing w:val="4"/>
        </w:rPr>
        <w:t>4.00万元；特定目标</w:t>
      </w:r>
      <w:r>
        <w:rPr>
          <w:rFonts w:ascii="FangSong" w:hAnsi="FangSong" w:eastAsia="FangSong" w:cs="FangSong"/>
          <w:sz w:val="23"/>
          <w:szCs w:val="23"/>
        </w:rPr>
        <w:t>类项目28个，涉及项目金额3,750.1</w:t>
      </w:r>
      <w:r>
        <w:rPr>
          <w:rFonts w:ascii="FangSong" w:hAnsi="FangSong" w:eastAsia="FangSong" w:cs="FangSong"/>
          <w:sz w:val="23"/>
          <w:szCs w:val="23"/>
          <w:spacing w:val="-1"/>
        </w:rPr>
        <w:t>4万元。</w:t>
      </w:r>
    </w:p>
    <w:p>
      <w:pPr>
        <w:ind w:left="664"/>
        <w:spacing w:before="2" w:line="222" w:lineRule="auto"/>
        <w:rPr>
          <w:rFonts w:ascii="FangSong" w:hAnsi="FangSong" w:eastAsia="FangSong" w:cs="FangSong"/>
          <w:sz w:val="23"/>
          <w:szCs w:val="23"/>
        </w:rPr>
      </w:pPr>
      <w:r>
        <w:rPr>
          <w:rFonts w:ascii="FangSong" w:hAnsi="FangSong" w:eastAsia="FangSong" w:cs="FangSong"/>
          <w:sz w:val="23"/>
          <w:szCs w:val="23"/>
          <w:spacing w:val="-1"/>
        </w:rPr>
        <w:t>（项目绩效目标表公开情况见附件）</w:t>
      </w:r>
    </w:p>
    <w:p>
      <w:pPr>
        <w:spacing w:line="222" w:lineRule="auto"/>
        <w:sectPr>
          <w:footerReference w:type="default" r:id="rId24"/>
          <w:pgSz w:w="11900" w:h="16840"/>
          <w:pgMar w:top="642" w:right="600" w:bottom="340" w:left="600" w:header="326" w:footer="111" w:gutter="0"/>
        </w:sectPr>
        <w:rPr>
          <w:rFonts w:ascii="FangSong" w:hAnsi="FangSong" w:eastAsia="FangSong" w:cs="FangSong"/>
          <w:sz w:val="23"/>
          <w:szCs w:val="23"/>
        </w:rPr>
      </w:pPr>
    </w:p>
    <w:p>
      <w:pPr>
        <w:spacing w:line="277" w:lineRule="auto"/>
        <w:rPr>
          <w:rFonts w:ascii="Arial"/>
          <w:sz w:val="21"/>
        </w:rPr>
      </w:pPr>
      <w:r/>
    </w:p>
    <w:p>
      <w:pPr>
        <w:spacing w:line="278" w:lineRule="auto"/>
        <w:rPr>
          <w:rFonts w:ascii="Arial"/>
          <w:sz w:val="21"/>
        </w:rPr>
      </w:pPr>
      <w:r/>
    </w:p>
    <w:p>
      <w:pPr>
        <w:ind w:firstLine="1383"/>
        <w:spacing w:line="11677" w:lineRule="exact"/>
        <w:rPr/>
      </w:pPr>
      <w:r>
        <w:rPr>
          <w:position w:val="-233"/>
        </w:rPr>
        <w:drawing>
          <wp:inline distT="0" distB="0" distL="0" distR="0">
            <wp:extent cx="5052859" cy="7414521"/>
            <wp:effectExtent l="0" t="0" r="0" b="0"/>
            <wp:docPr id="8" name="IM 8"/>
            <wp:cNvGraphicFramePr/>
            <a:graphic>
              <a:graphicData uri="http://schemas.openxmlformats.org/drawingml/2006/picture">
                <pic:pic>
                  <pic:nvPicPr>
                    <pic:cNvPr id="8" name="IM 8"/>
                    <pic:cNvPicPr/>
                  </pic:nvPicPr>
                  <pic:blipFill>
                    <a:blip r:embed="rId27"/>
                    <a:stretch>
                      <a:fillRect/>
                    </a:stretch>
                  </pic:blipFill>
                  <pic:spPr>
                    <a:xfrm rot="0">
                      <a:off x="0" y="0"/>
                      <a:ext cx="5052859" cy="7414521"/>
                    </a:xfrm>
                    <a:prstGeom prst="rect">
                      <a:avLst/>
                    </a:prstGeom>
                  </pic:spPr>
                </pic:pic>
              </a:graphicData>
            </a:graphic>
          </wp:inline>
        </w:drawing>
      </w:r>
    </w:p>
    <w:p>
      <w:pPr>
        <w:spacing w:line="11677" w:lineRule="exact"/>
        <w:sectPr>
          <w:footerReference w:type="default" r:id="rId26"/>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62"/>
        <w:spacing w:line="10790" w:lineRule="exact"/>
        <w:rPr/>
      </w:pPr>
      <w:r>
        <w:rPr>
          <w:position w:val="-215"/>
        </w:rPr>
        <w:drawing>
          <wp:inline distT="0" distB="0" distL="0" distR="0">
            <wp:extent cx="5080319" cy="6851567"/>
            <wp:effectExtent l="0" t="0" r="0" b="0"/>
            <wp:docPr id="10" name="IM 10"/>
            <wp:cNvGraphicFramePr/>
            <a:graphic>
              <a:graphicData uri="http://schemas.openxmlformats.org/drawingml/2006/picture">
                <pic:pic>
                  <pic:nvPicPr>
                    <pic:cNvPr id="10" name="IM 10"/>
                    <pic:cNvPicPr/>
                  </pic:nvPicPr>
                  <pic:blipFill>
                    <a:blip r:embed="rId29"/>
                    <a:stretch>
                      <a:fillRect/>
                    </a:stretch>
                  </pic:blipFill>
                  <pic:spPr>
                    <a:xfrm rot="0">
                      <a:off x="0" y="0"/>
                      <a:ext cx="5080319" cy="6851567"/>
                    </a:xfrm>
                    <a:prstGeom prst="rect">
                      <a:avLst/>
                    </a:prstGeom>
                  </pic:spPr>
                </pic:pic>
              </a:graphicData>
            </a:graphic>
          </wp:inline>
        </w:drawing>
      </w:r>
    </w:p>
    <w:p>
      <w:pPr>
        <w:spacing w:line="10790" w:lineRule="exact"/>
        <w:sectPr>
          <w:footerReference w:type="default" r:id="rId28"/>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94"/>
        <w:spacing w:line="10282" w:lineRule="exact"/>
        <w:rPr/>
      </w:pPr>
      <w:r>
        <w:rPr>
          <w:position w:val="-205"/>
        </w:rPr>
        <w:drawing>
          <wp:inline distT="0" distB="0" distL="0" distR="0">
            <wp:extent cx="5045993" cy="6528898"/>
            <wp:effectExtent l="0" t="0" r="0" b="0"/>
            <wp:docPr id="12" name="IM 12"/>
            <wp:cNvGraphicFramePr/>
            <a:graphic>
              <a:graphicData uri="http://schemas.openxmlformats.org/drawingml/2006/picture">
                <pic:pic>
                  <pic:nvPicPr>
                    <pic:cNvPr id="12" name="IM 12"/>
                    <pic:cNvPicPr/>
                  </pic:nvPicPr>
                  <pic:blipFill>
                    <a:blip r:embed="rId31"/>
                    <a:stretch>
                      <a:fillRect/>
                    </a:stretch>
                  </pic:blipFill>
                  <pic:spPr>
                    <a:xfrm rot="0">
                      <a:off x="0" y="0"/>
                      <a:ext cx="5045993" cy="6528898"/>
                    </a:xfrm>
                    <a:prstGeom prst="rect">
                      <a:avLst/>
                    </a:prstGeom>
                  </pic:spPr>
                </pic:pic>
              </a:graphicData>
            </a:graphic>
          </wp:inline>
        </w:drawing>
      </w:r>
    </w:p>
    <w:p>
      <w:pPr>
        <w:spacing w:line="10282" w:lineRule="exact"/>
        <w:sectPr>
          <w:footerReference w:type="default" r:id="rId3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563" w:lineRule="exact"/>
        <w:rPr/>
      </w:pPr>
      <w:r>
        <w:rPr>
          <w:position w:val="-211"/>
        </w:rPr>
        <w:drawing>
          <wp:inline distT="0" distB="0" distL="0" distR="0">
            <wp:extent cx="5045993" cy="6707395"/>
            <wp:effectExtent l="0" t="0" r="0" b="0"/>
            <wp:docPr id="14" name="IM 14"/>
            <wp:cNvGraphicFramePr/>
            <a:graphic>
              <a:graphicData uri="http://schemas.openxmlformats.org/drawingml/2006/picture">
                <pic:pic>
                  <pic:nvPicPr>
                    <pic:cNvPr id="14" name="IM 14"/>
                    <pic:cNvPicPr/>
                  </pic:nvPicPr>
                  <pic:blipFill>
                    <a:blip r:embed="rId33"/>
                    <a:stretch>
                      <a:fillRect/>
                    </a:stretch>
                  </pic:blipFill>
                  <pic:spPr>
                    <a:xfrm rot="0">
                      <a:off x="0" y="0"/>
                      <a:ext cx="5045993" cy="6707395"/>
                    </a:xfrm>
                    <a:prstGeom prst="rect">
                      <a:avLst/>
                    </a:prstGeom>
                  </pic:spPr>
                </pic:pic>
              </a:graphicData>
            </a:graphic>
          </wp:inline>
        </w:drawing>
      </w:r>
    </w:p>
    <w:p>
      <w:pPr>
        <w:spacing w:line="10563" w:lineRule="exact"/>
        <w:sectPr>
          <w:footerReference w:type="default" r:id="rId32"/>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94"/>
        <w:spacing w:line="11158" w:lineRule="exact"/>
        <w:rPr/>
      </w:pPr>
      <w:r>
        <w:rPr>
          <w:position w:val="-223"/>
        </w:rPr>
        <w:drawing>
          <wp:inline distT="0" distB="0" distL="0" distR="0">
            <wp:extent cx="5045993" cy="7084986"/>
            <wp:effectExtent l="0" t="0" r="0" b="0"/>
            <wp:docPr id="16" name="IM 16"/>
            <wp:cNvGraphicFramePr/>
            <a:graphic>
              <a:graphicData uri="http://schemas.openxmlformats.org/drawingml/2006/picture">
                <pic:pic>
                  <pic:nvPicPr>
                    <pic:cNvPr id="16" name="IM 16"/>
                    <pic:cNvPicPr/>
                  </pic:nvPicPr>
                  <pic:blipFill>
                    <a:blip r:embed="rId35"/>
                    <a:stretch>
                      <a:fillRect/>
                    </a:stretch>
                  </pic:blipFill>
                  <pic:spPr>
                    <a:xfrm rot="0">
                      <a:off x="0" y="0"/>
                      <a:ext cx="5045993" cy="7084986"/>
                    </a:xfrm>
                    <a:prstGeom prst="rect">
                      <a:avLst/>
                    </a:prstGeom>
                  </pic:spPr>
                </pic:pic>
              </a:graphicData>
            </a:graphic>
          </wp:inline>
        </w:drawing>
      </w:r>
    </w:p>
    <w:p>
      <w:pPr>
        <w:spacing w:line="11158" w:lineRule="exact"/>
        <w:sectPr>
          <w:footerReference w:type="default" r:id="rId3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1028" w:lineRule="exact"/>
        <w:rPr/>
      </w:pPr>
      <w:r>
        <w:rPr>
          <w:position w:val="-220"/>
        </w:rPr>
        <w:drawing>
          <wp:inline distT="0" distB="0" distL="0" distR="0">
            <wp:extent cx="5045993" cy="7002602"/>
            <wp:effectExtent l="0" t="0" r="0" b="0"/>
            <wp:docPr id="18" name="IM 18"/>
            <wp:cNvGraphicFramePr/>
            <a:graphic>
              <a:graphicData uri="http://schemas.openxmlformats.org/drawingml/2006/picture">
                <pic:pic>
                  <pic:nvPicPr>
                    <pic:cNvPr id="18" name="IM 18"/>
                    <pic:cNvPicPr/>
                  </pic:nvPicPr>
                  <pic:blipFill>
                    <a:blip r:embed="rId37"/>
                    <a:stretch>
                      <a:fillRect/>
                    </a:stretch>
                  </pic:blipFill>
                  <pic:spPr>
                    <a:xfrm rot="0">
                      <a:off x="0" y="0"/>
                      <a:ext cx="5045993" cy="7002602"/>
                    </a:xfrm>
                    <a:prstGeom prst="rect">
                      <a:avLst/>
                    </a:prstGeom>
                  </pic:spPr>
                </pic:pic>
              </a:graphicData>
            </a:graphic>
          </wp:inline>
        </w:drawing>
      </w:r>
    </w:p>
    <w:p>
      <w:pPr>
        <w:spacing w:line="11028" w:lineRule="exact"/>
        <w:sectPr>
          <w:footerReference w:type="default" r:id="rId3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033" w:lineRule="exact"/>
        <w:rPr/>
      </w:pPr>
      <w:r>
        <w:rPr>
          <w:position w:val="-200"/>
        </w:rPr>
        <w:drawing>
          <wp:inline distT="0" distB="0" distL="0" distR="0">
            <wp:extent cx="5045993" cy="6370996"/>
            <wp:effectExtent l="0" t="0" r="0" b="0"/>
            <wp:docPr id="20" name="IM 20"/>
            <wp:cNvGraphicFramePr/>
            <a:graphic>
              <a:graphicData uri="http://schemas.openxmlformats.org/drawingml/2006/picture">
                <pic:pic>
                  <pic:nvPicPr>
                    <pic:cNvPr id="20" name="IM 20"/>
                    <pic:cNvPicPr/>
                  </pic:nvPicPr>
                  <pic:blipFill>
                    <a:blip r:embed="rId39"/>
                    <a:stretch>
                      <a:fillRect/>
                    </a:stretch>
                  </pic:blipFill>
                  <pic:spPr>
                    <a:xfrm rot="0">
                      <a:off x="0" y="0"/>
                      <a:ext cx="5045993" cy="6370996"/>
                    </a:xfrm>
                    <a:prstGeom prst="rect">
                      <a:avLst/>
                    </a:prstGeom>
                  </pic:spPr>
                </pic:pic>
              </a:graphicData>
            </a:graphic>
          </wp:inline>
        </w:drawing>
      </w:r>
    </w:p>
    <w:p>
      <w:pPr>
        <w:spacing w:line="10033" w:lineRule="exact"/>
        <w:sectPr>
          <w:footerReference w:type="default" r:id="rId3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2023" w:lineRule="exact"/>
        <w:rPr/>
      </w:pPr>
      <w:r>
        <w:rPr>
          <w:position w:val="-240"/>
        </w:rPr>
        <w:drawing>
          <wp:inline distT="0" distB="0" distL="0" distR="0">
            <wp:extent cx="5045993" cy="7634211"/>
            <wp:effectExtent l="0" t="0" r="0" b="0"/>
            <wp:docPr id="22" name="IM 22"/>
            <wp:cNvGraphicFramePr/>
            <a:graphic>
              <a:graphicData uri="http://schemas.openxmlformats.org/drawingml/2006/picture">
                <pic:pic>
                  <pic:nvPicPr>
                    <pic:cNvPr id="22" name="IM 22"/>
                    <pic:cNvPicPr/>
                  </pic:nvPicPr>
                  <pic:blipFill>
                    <a:blip r:embed="rId41"/>
                    <a:stretch>
                      <a:fillRect/>
                    </a:stretch>
                  </pic:blipFill>
                  <pic:spPr>
                    <a:xfrm rot="0">
                      <a:off x="0" y="0"/>
                      <a:ext cx="5045993" cy="7634211"/>
                    </a:xfrm>
                    <a:prstGeom prst="rect">
                      <a:avLst/>
                    </a:prstGeom>
                  </pic:spPr>
                </pic:pic>
              </a:graphicData>
            </a:graphic>
          </wp:inline>
        </w:drawing>
      </w:r>
    </w:p>
    <w:p>
      <w:pPr>
        <w:spacing w:line="12023" w:lineRule="exact"/>
        <w:sectPr>
          <w:footerReference w:type="default" r:id="rId4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293" w:lineRule="exact"/>
        <w:rPr/>
      </w:pPr>
      <w:r>
        <w:rPr>
          <w:position w:val="-205"/>
        </w:rPr>
        <w:drawing>
          <wp:inline distT="0" distB="0" distL="0" distR="0">
            <wp:extent cx="5045993" cy="6535763"/>
            <wp:effectExtent l="0" t="0" r="0" b="0"/>
            <wp:docPr id="24" name="IM 24"/>
            <wp:cNvGraphicFramePr/>
            <a:graphic>
              <a:graphicData uri="http://schemas.openxmlformats.org/drawingml/2006/picture">
                <pic:pic>
                  <pic:nvPicPr>
                    <pic:cNvPr id="24" name="IM 24"/>
                    <pic:cNvPicPr/>
                  </pic:nvPicPr>
                  <pic:blipFill>
                    <a:blip r:embed="rId43"/>
                    <a:stretch>
                      <a:fillRect/>
                    </a:stretch>
                  </pic:blipFill>
                  <pic:spPr>
                    <a:xfrm rot="0">
                      <a:off x="0" y="0"/>
                      <a:ext cx="5045993" cy="6535763"/>
                    </a:xfrm>
                    <a:prstGeom prst="rect">
                      <a:avLst/>
                    </a:prstGeom>
                  </pic:spPr>
                </pic:pic>
              </a:graphicData>
            </a:graphic>
          </wp:inline>
        </w:drawing>
      </w:r>
    </w:p>
    <w:p>
      <w:pPr>
        <w:spacing w:line="10293" w:lineRule="exact"/>
        <w:sectPr>
          <w:footerReference w:type="default" r:id="rId4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401" w:lineRule="exact"/>
        <w:rPr/>
      </w:pPr>
      <w:r>
        <w:rPr>
          <w:position w:val="-208"/>
        </w:rPr>
        <w:drawing>
          <wp:inline distT="0" distB="0" distL="0" distR="0">
            <wp:extent cx="5045993" cy="6604415"/>
            <wp:effectExtent l="0" t="0" r="0" b="0"/>
            <wp:docPr id="26" name="IM 26"/>
            <wp:cNvGraphicFramePr/>
            <a:graphic>
              <a:graphicData uri="http://schemas.openxmlformats.org/drawingml/2006/picture">
                <pic:pic>
                  <pic:nvPicPr>
                    <pic:cNvPr id="26" name="IM 26"/>
                    <pic:cNvPicPr/>
                  </pic:nvPicPr>
                  <pic:blipFill>
                    <a:blip r:embed="rId45"/>
                    <a:stretch>
                      <a:fillRect/>
                    </a:stretch>
                  </pic:blipFill>
                  <pic:spPr>
                    <a:xfrm rot="0">
                      <a:off x="0" y="0"/>
                      <a:ext cx="5045993" cy="6604415"/>
                    </a:xfrm>
                    <a:prstGeom prst="rect">
                      <a:avLst/>
                    </a:prstGeom>
                  </pic:spPr>
                </pic:pic>
              </a:graphicData>
            </a:graphic>
          </wp:inline>
        </w:drawing>
      </w:r>
    </w:p>
    <w:p>
      <w:pPr>
        <w:spacing w:line="10401" w:lineRule="exact"/>
        <w:sectPr>
          <w:footerReference w:type="default" r:id="rId4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260" w:lineRule="exact"/>
        <w:rPr/>
      </w:pPr>
      <w:r>
        <w:rPr>
          <w:position w:val="-205"/>
        </w:rPr>
        <w:drawing>
          <wp:inline distT="0" distB="0" distL="0" distR="0">
            <wp:extent cx="5045993" cy="6515167"/>
            <wp:effectExtent l="0" t="0" r="0" b="0"/>
            <wp:docPr id="28" name="IM 28"/>
            <wp:cNvGraphicFramePr/>
            <a:graphic>
              <a:graphicData uri="http://schemas.openxmlformats.org/drawingml/2006/picture">
                <pic:pic>
                  <pic:nvPicPr>
                    <pic:cNvPr id="28" name="IM 28"/>
                    <pic:cNvPicPr/>
                  </pic:nvPicPr>
                  <pic:blipFill>
                    <a:blip r:embed="rId47"/>
                    <a:stretch>
                      <a:fillRect/>
                    </a:stretch>
                  </pic:blipFill>
                  <pic:spPr>
                    <a:xfrm rot="0">
                      <a:off x="0" y="0"/>
                      <a:ext cx="5045993" cy="6515167"/>
                    </a:xfrm>
                    <a:prstGeom prst="rect">
                      <a:avLst/>
                    </a:prstGeom>
                  </pic:spPr>
                </pic:pic>
              </a:graphicData>
            </a:graphic>
          </wp:inline>
        </w:drawing>
      </w:r>
    </w:p>
    <w:p>
      <w:pPr>
        <w:spacing w:line="10260" w:lineRule="exact"/>
        <w:sectPr>
          <w:footerReference w:type="default" r:id="rId4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433" w:lineRule="exact"/>
        <w:rPr/>
      </w:pPr>
      <w:r>
        <w:rPr>
          <w:position w:val="-208"/>
        </w:rPr>
        <w:drawing>
          <wp:inline distT="0" distB="0" distL="0" distR="0">
            <wp:extent cx="5045993" cy="6625011"/>
            <wp:effectExtent l="0" t="0" r="0" b="0"/>
            <wp:docPr id="30" name="IM 30"/>
            <wp:cNvGraphicFramePr/>
            <a:graphic>
              <a:graphicData uri="http://schemas.openxmlformats.org/drawingml/2006/picture">
                <pic:pic>
                  <pic:nvPicPr>
                    <pic:cNvPr id="30" name="IM 30"/>
                    <pic:cNvPicPr/>
                  </pic:nvPicPr>
                  <pic:blipFill>
                    <a:blip r:embed="rId49"/>
                    <a:stretch>
                      <a:fillRect/>
                    </a:stretch>
                  </pic:blipFill>
                  <pic:spPr>
                    <a:xfrm rot="0">
                      <a:off x="0" y="0"/>
                      <a:ext cx="5045993" cy="6625011"/>
                    </a:xfrm>
                    <a:prstGeom prst="rect">
                      <a:avLst/>
                    </a:prstGeom>
                  </pic:spPr>
                </pic:pic>
              </a:graphicData>
            </a:graphic>
          </wp:inline>
        </w:drawing>
      </w:r>
    </w:p>
    <w:p>
      <w:pPr>
        <w:spacing w:line="10433" w:lineRule="exact"/>
        <w:sectPr>
          <w:footerReference w:type="default" r:id="rId4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790" w:lineRule="exact"/>
        <w:rPr/>
      </w:pPr>
      <w:r>
        <w:rPr>
          <w:position w:val="-215"/>
        </w:rPr>
        <w:drawing>
          <wp:inline distT="0" distB="0" distL="0" distR="0">
            <wp:extent cx="5045993" cy="6851567"/>
            <wp:effectExtent l="0" t="0" r="0" b="0"/>
            <wp:docPr id="32" name="IM 32"/>
            <wp:cNvGraphicFramePr/>
            <a:graphic>
              <a:graphicData uri="http://schemas.openxmlformats.org/drawingml/2006/picture">
                <pic:pic>
                  <pic:nvPicPr>
                    <pic:cNvPr id="32" name="IM 32"/>
                    <pic:cNvPicPr/>
                  </pic:nvPicPr>
                  <pic:blipFill>
                    <a:blip r:embed="rId51"/>
                    <a:stretch>
                      <a:fillRect/>
                    </a:stretch>
                  </pic:blipFill>
                  <pic:spPr>
                    <a:xfrm rot="0">
                      <a:off x="0" y="0"/>
                      <a:ext cx="5045993" cy="6851567"/>
                    </a:xfrm>
                    <a:prstGeom prst="rect">
                      <a:avLst/>
                    </a:prstGeom>
                  </pic:spPr>
                </pic:pic>
              </a:graphicData>
            </a:graphic>
          </wp:inline>
        </w:drawing>
      </w:r>
    </w:p>
    <w:p>
      <w:pPr>
        <w:spacing w:line="10790" w:lineRule="exact"/>
        <w:sectPr>
          <w:footerReference w:type="default" r:id="rId5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736" w:lineRule="exact"/>
        <w:rPr/>
      </w:pPr>
      <w:r>
        <w:rPr>
          <w:position w:val="-214"/>
        </w:rPr>
        <w:drawing>
          <wp:inline distT="0" distB="0" distL="0" distR="0">
            <wp:extent cx="5045993" cy="6817241"/>
            <wp:effectExtent l="0" t="0" r="0" b="0"/>
            <wp:docPr id="34" name="IM 34"/>
            <wp:cNvGraphicFramePr/>
            <a:graphic>
              <a:graphicData uri="http://schemas.openxmlformats.org/drawingml/2006/picture">
                <pic:pic>
                  <pic:nvPicPr>
                    <pic:cNvPr id="34" name="IM 34"/>
                    <pic:cNvPicPr/>
                  </pic:nvPicPr>
                  <pic:blipFill>
                    <a:blip r:embed="rId53"/>
                    <a:stretch>
                      <a:fillRect/>
                    </a:stretch>
                  </pic:blipFill>
                  <pic:spPr>
                    <a:xfrm rot="0">
                      <a:off x="0" y="0"/>
                      <a:ext cx="5045993" cy="6817241"/>
                    </a:xfrm>
                    <a:prstGeom prst="rect">
                      <a:avLst/>
                    </a:prstGeom>
                  </pic:spPr>
                </pic:pic>
              </a:graphicData>
            </a:graphic>
          </wp:inline>
        </w:drawing>
      </w:r>
    </w:p>
    <w:p>
      <w:pPr>
        <w:spacing w:line="10736" w:lineRule="exact"/>
        <w:sectPr>
          <w:footerReference w:type="default" r:id="rId5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217" w:lineRule="exact"/>
        <w:rPr/>
      </w:pPr>
      <w:r>
        <w:rPr>
          <w:position w:val="-204"/>
        </w:rPr>
        <w:drawing>
          <wp:inline distT="0" distB="0" distL="0" distR="0">
            <wp:extent cx="5045993" cy="6487705"/>
            <wp:effectExtent l="0" t="0" r="0" b="0"/>
            <wp:docPr id="36" name="IM 36"/>
            <wp:cNvGraphicFramePr/>
            <a:graphic>
              <a:graphicData uri="http://schemas.openxmlformats.org/drawingml/2006/picture">
                <pic:pic>
                  <pic:nvPicPr>
                    <pic:cNvPr id="36" name="IM 36"/>
                    <pic:cNvPicPr/>
                  </pic:nvPicPr>
                  <pic:blipFill>
                    <a:blip r:embed="rId55"/>
                    <a:stretch>
                      <a:fillRect/>
                    </a:stretch>
                  </pic:blipFill>
                  <pic:spPr>
                    <a:xfrm rot="0">
                      <a:off x="0" y="0"/>
                      <a:ext cx="5045993" cy="6487705"/>
                    </a:xfrm>
                    <a:prstGeom prst="rect">
                      <a:avLst/>
                    </a:prstGeom>
                  </pic:spPr>
                </pic:pic>
              </a:graphicData>
            </a:graphic>
          </wp:inline>
        </w:drawing>
      </w:r>
    </w:p>
    <w:p>
      <w:pPr>
        <w:spacing w:line="10217" w:lineRule="exact"/>
        <w:sectPr>
          <w:footerReference w:type="default" r:id="rId5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08"/>
        <w:spacing w:line="12174" w:lineRule="exact"/>
        <w:rPr/>
      </w:pPr>
      <w:r>
        <w:rPr>
          <w:position w:val="-243"/>
        </w:rPr>
        <w:drawing>
          <wp:inline distT="0" distB="0" distL="0" distR="0">
            <wp:extent cx="5148973" cy="7730325"/>
            <wp:effectExtent l="0" t="0" r="0" b="0"/>
            <wp:docPr id="38" name="IM 38"/>
            <wp:cNvGraphicFramePr/>
            <a:graphic>
              <a:graphicData uri="http://schemas.openxmlformats.org/drawingml/2006/picture">
                <pic:pic>
                  <pic:nvPicPr>
                    <pic:cNvPr id="38" name="IM 38"/>
                    <pic:cNvPicPr/>
                  </pic:nvPicPr>
                  <pic:blipFill>
                    <a:blip r:embed="rId57"/>
                    <a:stretch>
                      <a:fillRect/>
                    </a:stretch>
                  </pic:blipFill>
                  <pic:spPr>
                    <a:xfrm rot="0">
                      <a:off x="0" y="0"/>
                      <a:ext cx="5148973" cy="7730325"/>
                    </a:xfrm>
                    <a:prstGeom prst="rect">
                      <a:avLst/>
                    </a:prstGeom>
                  </pic:spPr>
                </pic:pic>
              </a:graphicData>
            </a:graphic>
          </wp:inline>
        </w:drawing>
      </w:r>
    </w:p>
    <w:p>
      <w:pPr>
        <w:spacing w:line="12174" w:lineRule="exact"/>
        <w:sectPr>
          <w:footerReference w:type="default" r:id="rId5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1158" w:lineRule="exact"/>
        <w:rPr/>
      </w:pPr>
      <w:r>
        <w:rPr>
          <w:position w:val="-223"/>
        </w:rPr>
        <w:drawing>
          <wp:inline distT="0" distB="0" distL="0" distR="0">
            <wp:extent cx="5045993" cy="7084986"/>
            <wp:effectExtent l="0" t="0" r="0" b="0"/>
            <wp:docPr id="40" name="IM 40"/>
            <wp:cNvGraphicFramePr/>
            <a:graphic>
              <a:graphicData uri="http://schemas.openxmlformats.org/drawingml/2006/picture">
                <pic:pic>
                  <pic:nvPicPr>
                    <pic:cNvPr id="40" name="IM 40"/>
                    <pic:cNvPicPr/>
                  </pic:nvPicPr>
                  <pic:blipFill>
                    <a:blip r:embed="rId59"/>
                    <a:stretch>
                      <a:fillRect/>
                    </a:stretch>
                  </pic:blipFill>
                  <pic:spPr>
                    <a:xfrm rot="0">
                      <a:off x="0" y="0"/>
                      <a:ext cx="5045993" cy="7084986"/>
                    </a:xfrm>
                    <a:prstGeom prst="rect">
                      <a:avLst/>
                    </a:prstGeom>
                  </pic:spPr>
                </pic:pic>
              </a:graphicData>
            </a:graphic>
          </wp:inline>
        </w:drawing>
      </w:r>
    </w:p>
    <w:p>
      <w:pPr>
        <w:spacing w:line="11158" w:lineRule="exact"/>
        <w:sectPr>
          <w:footerReference w:type="default" r:id="rId5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131" w:lineRule="exact"/>
        <w:rPr/>
      </w:pPr>
      <w:r>
        <w:rPr>
          <w:position w:val="-202"/>
        </w:rPr>
        <w:drawing>
          <wp:inline distT="0" distB="0" distL="0" distR="0">
            <wp:extent cx="5045993" cy="6432783"/>
            <wp:effectExtent l="0" t="0" r="0" b="0"/>
            <wp:docPr id="42" name="IM 42"/>
            <wp:cNvGraphicFramePr/>
            <a:graphic>
              <a:graphicData uri="http://schemas.openxmlformats.org/drawingml/2006/picture">
                <pic:pic>
                  <pic:nvPicPr>
                    <pic:cNvPr id="42" name="IM 42"/>
                    <pic:cNvPicPr/>
                  </pic:nvPicPr>
                  <pic:blipFill>
                    <a:blip r:embed="rId61"/>
                    <a:stretch>
                      <a:fillRect/>
                    </a:stretch>
                  </pic:blipFill>
                  <pic:spPr>
                    <a:xfrm rot="0">
                      <a:off x="0" y="0"/>
                      <a:ext cx="5045993" cy="6432783"/>
                    </a:xfrm>
                    <a:prstGeom prst="rect">
                      <a:avLst/>
                    </a:prstGeom>
                  </pic:spPr>
                </pic:pic>
              </a:graphicData>
            </a:graphic>
          </wp:inline>
        </w:drawing>
      </w:r>
    </w:p>
    <w:p>
      <w:pPr>
        <w:spacing w:line="10131" w:lineRule="exact"/>
        <w:sectPr>
          <w:footerReference w:type="default" r:id="rId6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379" w:lineRule="exact"/>
        <w:rPr/>
      </w:pPr>
      <w:r>
        <w:rPr>
          <w:position w:val="-207"/>
        </w:rPr>
        <w:drawing>
          <wp:inline distT="0" distB="0" distL="0" distR="0">
            <wp:extent cx="5045993" cy="6590685"/>
            <wp:effectExtent l="0" t="0" r="0" b="0"/>
            <wp:docPr id="44" name="IM 44"/>
            <wp:cNvGraphicFramePr/>
            <a:graphic>
              <a:graphicData uri="http://schemas.openxmlformats.org/drawingml/2006/picture">
                <pic:pic>
                  <pic:nvPicPr>
                    <pic:cNvPr id="44" name="IM 44"/>
                    <pic:cNvPicPr/>
                  </pic:nvPicPr>
                  <pic:blipFill>
                    <a:blip r:embed="rId63"/>
                    <a:stretch>
                      <a:fillRect/>
                    </a:stretch>
                  </pic:blipFill>
                  <pic:spPr>
                    <a:xfrm rot="0">
                      <a:off x="0" y="0"/>
                      <a:ext cx="5045993" cy="6590685"/>
                    </a:xfrm>
                    <a:prstGeom prst="rect">
                      <a:avLst/>
                    </a:prstGeom>
                  </pic:spPr>
                </pic:pic>
              </a:graphicData>
            </a:graphic>
          </wp:inline>
        </w:drawing>
      </w:r>
    </w:p>
    <w:p>
      <w:pPr>
        <w:spacing w:line="10379" w:lineRule="exact"/>
        <w:sectPr>
          <w:footerReference w:type="default" r:id="rId6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585" w:lineRule="exact"/>
        <w:rPr/>
      </w:pPr>
      <w:r>
        <w:rPr>
          <w:position w:val="-211"/>
        </w:rPr>
        <w:drawing>
          <wp:inline distT="0" distB="0" distL="0" distR="0">
            <wp:extent cx="5045993" cy="6721126"/>
            <wp:effectExtent l="0" t="0" r="0" b="0"/>
            <wp:docPr id="46" name="IM 46"/>
            <wp:cNvGraphicFramePr/>
            <a:graphic>
              <a:graphicData uri="http://schemas.openxmlformats.org/drawingml/2006/picture">
                <pic:pic>
                  <pic:nvPicPr>
                    <pic:cNvPr id="46" name="IM 46"/>
                    <pic:cNvPicPr/>
                  </pic:nvPicPr>
                  <pic:blipFill>
                    <a:blip r:embed="rId65"/>
                    <a:stretch>
                      <a:fillRect/>
                    </a:stretch>
                  </pic:blipFill>
                  <pic:spPr>
                    <a:xfrm rot="0">
                      <a:off x="0" y="0"/>
                      <a:ext cx="5045993" cy="6721126"/>
                    </a:xfrm>
                    <a:prstGeom prst="rect">
                      <a:avLst/>
                    </a:prstGeom>
                  </pic:spPr>
                </pic:pic>
              </a:graphicData>
            </a:graphic>
          </wp:inline>
        </w:drawing>
      </w:r>
    </w:p>
    <w:p>
      <w:pPr>
        <w:spacing w:line="10585" w:lineRule="exact"/>
        <w:sectPr>
          <w:footerReference w:type="default" r:id="rId6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40"/>
        <w:spacing w:line="11136" w:lineRule="exact"/>
        <w:rPr/>
      </w:pPr>
      <w:r>
        <w:rPr>
          <w:position w:val="-222"/>
        </w:rPr>
        <w:drawing>
          <wp:inline distT="0" distB="0" distL="0" distR="0">
            <wp:extent cx="5107781" cy="7071256"/>
            <wp:effectExtent l="0" t="0" r="0" b="0"/>
            <wp:docPr id="48" name="IM 48"/>
            <wp:cNvGraphicFramePr/>
            <a:graphic>
              <a:graphicData uri="http://schemas.openxmlformats.org/drawingml/2006/picture">
                <pic:pic>
                  <pic:nvPicPr>
                    <pic:cNvPr id="48" name="IM 48"/>
                    <pic:cNvPicPr/>
                  </pic:nvPicPr>
                  <pic:blipFill>
                    <a:blip r:embed="rId67"/>
                    <a:stretch>
                      <a:fillRect/>
                    </a:stretch>
                  </pic:blipFill>
                  <pic:spPr>
                    <a:xfrm rot="0">
                      <a:off x="0" y="0"/>
                      <a:ext cx="5107781" cy="7071256"/>
                    </a:xfrm>
                    <a:prstGeom prst="rect">
                      <a:avLst/>
                    </a:prstGeom>
                  </pic:spPr>
                </pic:pic>
              </a:graphicData>
            </a:graphic>
          </wp:inline>
        </w:drawing>
      </w:r>
    </w:p>
    <w:p>
      <w:pPr>
        <w:spacing w:line="11136" w:lineRule="exact"/>
        <w:sectPr>
          <w:footerReference w:type="default" r:id="rId66"/>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94"/>
        <w:spacing w:line="10617" w:lineRule="exact"/>
        <w:rPr/>
      </w:pPr>
      <w:r>
        <w:rPr>
          <w:position w:val="-212"/>
        </w:rPr>
        <w:drawing>
          <wp:inline distT="0" distB="0" distL="0" distR="0">
            <wp:extent cx="5045993" cy="6741721"/>
            <wp:effectExtent l="0" t="0" r="0" b="0"/>
            <wp:docPr id="50" name="IM 50"/>
            <wp:cNvGraphicFramePr/>
            <a:graphic>
              <a:graphicData uri="http://schemas.openxmlformats.org/drawingml/2006/picture">
                <pic:pic>
                  <pic:nvPicPr>
                    <pic:cNvPr id="50" name="IM 50"/>
                    <pic:cNvPicPr/>
                  </pic:nvPicPr>
                  <pic:blipFill>
                    <a:blip r:embed="rId69"/>
                    <a:stretch>
                      <a:fillRect/>
                    </a:stretch>
                  </pic:blipFill>
                  <pic:spPr>
                    <a:xfrm rot="0">
                      <a:off x="0" y="0"/>
                      <a:ext cx="5045993" cy="6741721"/>
                    </a:xfrm>
                    <a:prstGeom prst="rect">
                      <a:avLst/>
                    </a:prstGeom>
                  </pic:spPr>
                </pic:pic>
              </a:graphicData>
            </a:graphic>
          </wp:inline>
        </w:drawing>
      </w:r>
    </w:p>
    <w:p>
      <w:pPr>
        <w:spacing w:line="10617" w:lineRule="exact"/>
        <w:sectPr>
          <w:footerReference w:type="default" r:id="rId68"/>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94"/>
        <w:spacing w:line="10520" w:lineRule="exact"/>
        <w:rPr/>
      </w:pPr>
      <w:r>
        <w:rPr>
          <w:position w:val="-210"/>
        </w:rPr>
        <w:drawing>
          <wp:inline distT="0" distB="0" distL="0" distR="0">
            <wp:extent cx="5045993" cy="6679934"/>
            <wp:effectExtent l="0" t="0" r="0" b="0"/>
            <wp:docPr id="52" name="IM 52"/>
            <wp:cNvGraphicFramePr/>
            <a:graphic>
              <a:graphicData uri="http://schemas.openxmlformats.org/drawingml/2006/picture">
                <pic:pic>
                  <pic:nvPicPr>
                    <pic:cNvPr id="52" name="IM 52"/>
                    <pic:cNvPicPr/>
                  </pic:nvPicPr>
                  <pic:blipFill>
                    <a:blip r:embed="rId71"/>
                    <a:stretch>
                      <a:fillRect/>
                    </a:stretch>
                  </pic:blipFill>
                  <pic:spPr>
                    <a:xfrm rot="0">
                      <a:off x="0" y="0"/>
                      <a:ext cx="5045993" cy="6679934"/>
                    </a:xfrm>
                    <a:prstGeom prst="rect">
                      <a:avLst/>
                    </a:prstGeom>
                  </pic:spPr>
                </pic:pic>
              </a:graphicData>
            </a:graphic>
          </wp:inline>
        </w:drawing>
      </w:r>
    </w:p>
    <w:p>
      <w:pPr>
        <w:spacing w:line="10520" w:lineRule="exact"/>
        <w:sectPr>
          <w:footerReference w:type="default" r:id="rId7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62"/>
        <w:spacing w:line="12747" w:lineRule="exact"/>
        <w:rPr/>
      </w:pPr>
      <w:r>
        <w:rPr>
          <w:position w:val="-254"/>
        </w:rPr>
        <w:drawing>
          <wp:inline distT="0" distB="0" distL="0" distR="0">
            <wp:extent cx="5080319" cy="8094185"/>
            <wp:effectExtent l="0" t="0" r="0" b="0"/>
            <wp:docPr id="54" name="IM 54"/>
            <wp:cNvGraphicFramePr/>
            <a:graphic>
              <a:graphicData uri="http://schemas.openxmlformats.org/drawingml/2006/picture">
                <pic:pic>
                  <pic:nvPicPr>
                    <pic:cNvPr id="54" name="IM 54"/>
                    <pic:cNvPicPr/>
                  </pic:nvPicPr>
                  <pic:blipFill>
                    <a:blip r:embed="rId73"/>
                    <a:stretch>
                      <a:fillRect/>
                    </a:stretch>
                  </pic:blipFill>
                  <pic:spPr>
                    <a:xfrm rot="0">
                      <a:off x="0" y="0"/>
                      <a:ext cx="5080319" cy="8094185"/>
                    </a:xfrm>
                    <a:prstGeom prst="rect">
                      <a:avLst/>
                    </a:prstGeom>
                  </pic:spPr>
                </pic:pic>
              </a:graphicData>
            </a:graphic>
          </wp:inline>
        </w:drawing>
      </w:r>
    </w:p>
    <w:p>
      <w:pPr>
        <w:spacing w:line="12747" w:lineRule="exact"/>
        <w:sectPr>
          <w:footerReference w:type="default" r:id="rId72"/>
          <w:pgSz w:w="11900" w:h="16840"/>
          <w:pgMar w:top="642" w:right="600" w:bottom="340" w:left="600" w:header="326" w:footer="110" w:gutter="0"/>
        </w:sectPr>
        <w:rPr/>
      </w:pPr>
    </w:p>
    <w:p>
      <w:pPr>
        <w:spacing w:line="277" w:lineRule="auto"/>
        <w:rPr>
          <w:rFonts w:ascii="Arial"/>
          <w:sz w:val="21"/>
        </w:rPr>
      </w:pPr>
      <w:r/>
    </w:p>
    <w:p>
      <w:pPr>
        <w:spacing w:line="278" w:lineRule="auto"/>
        <w:rPr>
          <w:rFonts w:ascii="Arial"/>
          <w:sz w:val="21"/>
        </w:rPr>
      </w:pPr>
      <w:r/>
    </w:p>
    <w:p>
      <w:pPr>
        <w:ind w:firstLine="1373"/>
        <w:spacing w:line="12574" w:lineRule="exact"/>
        <w:rPr/>
      </w:pPr>
      <w:r>
        <w:rPr>
          <w:position w:val="-251"/>
        </w:rPr>
        <w:drawing>
          <wp:inline distT="0" distB="0" distL="0" distR="0">
            <wp:extent cx="5066588" cy="7984340"/>
            <wp:effectExtent l="0" t="0" r="0" b="0"/>
            <wp:docPr id="56" name="IM 56"/>
            <wp:cNvGraphicFramePr/>
            <a:graphic>
              <a:graphicData uri="http://schemas.openxmlformats.org/drawingml/2006/picture">
                <pic:pic>
                  <pic:nvPicPr>
                    <pic:cNvPr id="56" name="IM 56"/>
                    <pic:cNvPicPr/>
                  </pic:nvPicPr>
                  <pic:blipFill>
                    <a:blip r:embed="rId75"/>
                    <a:stretch>
                      <a:fillRect/>
                    </a:stretch>
                  </pic:blipFill>
                  <pic:spPr>
                    <a:xfrm rot="0">
                      <a:off x="0" y="0"/>
                      <a:ext cx="5066588" cy="7984340"/>
                    </a:xfrm>
                    <a:prstGeom prst="rect">
                      <a:avLst/>
                    </a:prstGeom>
                  </pic:spPr>
                </pic:pic>
              </a:graphicData>
            </a:graphic>
          </wp:inline>
        </w:drawing>
      </w:r>
    </w:p>
    <w:p>
      <w:pPr>
        <w:spacing w:line="12574" w:lineRule="exact"/>
        <w:sectPr>
          <w:footerReference w:type="default" r:id="rId7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19"/>
        <w:spacing w:line="12780" w:lineRule="exact"/>
        <w:rPr/>
      </w:pPr>
      <w:r>
        <w:rPr>
          <w:position w:val="-255"/>
        </w:rPr>
        <w:drawing>
          <wp:inline distT="0" distB="0" distL="0" distR="0">
            <wp:extent cx="5135242" cy="8114780"/>
            <wp:effectExtent l="0" t="0" r="0" b="0"/>
            <wp:docPr id="58" name="IM 58"/>
            <wp:cNvGraphicFramePr/>
            <a:graphic>
              <a:graphicData uri="http://schemas.openxmlformats.org/drawingml/2006/picture">
                <pic:pic>
                  <pic:nvPicPr>
                    <pic:cNvPr id="58" name="IM 58"/>
                    <pic:cNvPicPr/>
                  </pic:nvPicPr>
                  <pic:blipFill>
                    <a:blip r:embed="rId77"/>
                    <a:stretch>
                      <a:fillRect/>
                    </a:stretch>
                  </pic:blipFill>
                  <pic:spPr>
                    <a:xfrm rot="0">
                      <a:off x="0" y="0"/>
                      <a:ext cx="5135242" cy="8114780"/>
                    </a:xfrm>
                    <a:prstGeom prst="rect">
                      <a:avLst/>
                    </a:prstGeom>
                  </pic:spPr>
                </pic:pic>
              </a:graphicData>
            </a:graphic>
          </wp:inline>
        </w:drawing>
      </w:r>
    </w:p>
    <w:p>
      <w:pPr>
        <w:spacing w:line="12780" w:lineRule="exact"/>
        <w:sectPr>
          <w:footerReference w:type="default" r:id="rId7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1255" w:lineRule="exact"/>
        <w:rPr/>
      </w:pPr>
      <w:r>
        <w:rPr>
          <w:position w:val="-225"/>
        </w:rPr>
        <w:drawing>
          <wp:inline distT="0" distB="0" distL="0" distR="0">
            <wp:extent cx="5045993" cy="7146774"/>
            <wp:effectExtent l="0" t="0" r="0" b="0"/>
            <wp:docPr id="60" name="IM 60"/>
            <wp:cNvGraphicFramePr/>
            <a:graphic>
              <a:graphicData uri="http://schemas.openxmlformats.org/drawingml/2006/picture">
                <pic:pic>
                  <pic:nvPicPr>
                    <pic:cNvPr id="60" name="IM 60"/>
                    <pic:cNvPicPr/>
                  </pic:nvPicPr>
                  <pic:blipFill>
                    <a:blip r:embed="rId79"/>
                    <a:stretch>
                      <a:fillRect/>
                    </a:stretch>
                  </pic:blipFill>
                  <pic:spPr>
                    <a:xfrm rot="0">
                      <a:off x="0" y="0"/>
                      <a:ext cx="5045993" cy="7146774"/>
                    </a:xfrm>
                    <a:prstGeom prst="rect">
                      <a:avLst/>
                    </a:prstGeom>
                  </pic:spPr>
                </pic:pic>
              </a:graphicData>
            </a:graphic>
          </wp:inline>
        </w:drawing>
      </w:r>
    </w:p>
    <w:p>
      <w:pPr>
        <w:spacing w:line="11255" w:lineRule="exact"/>
        <w:sectPr>
          <w:footerReference w:type="default" r:id="rId78"/>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1504" w:lineRule="exact"/>
        <w:rPr/>
      </w:pPr>
      <w:r>
        <w:rPr>
          <w:position w:val="-230"/>
        </w:rPr>
        <w:drawing>
          <wp:inline distT="0" distB="0" distL="0" distR="0">
            <wp:extent cx="5045993" cy="7304676"/>
            <wp:effectExtent l="0" t="0" r="0" b="0"/>
            <wp:docPr id="62" name="IM 62"/>
            <wp:cNvGraphicFramePr/>
            <a:graphic>
              <a:graphicData uri="http://schemas.openxmlformats.org/drawingml/2006/picture">
                <pic:pic>
                  <pic:nvPicPr>
                    <pic:cNvPr id="62" name="IM 62"/>
                    <pic:cNvPicPr/>
                  </pic:nvPicPr>
                  <pic:blipFill>
                    <a:blip r:embed="rId81"/>
                    <a:stretch>
                      <a:fillRect/>
                    </a:stretch>
                  </pic:blipFill>
                  <pic:spPr>
                    <a:xfrm rot="0">
                      <a:off x="0" y="0"/>
                      <a:ext cx="5045993" cy="7304676"/>
                    </a:xfrm>
                    <a:prstGeom prst="rect">
                      <a:avLst/>
                    </a:prstGeom>
                  </pic:spPr>
                </pic:pic>
              </a:graphicData>
            </a:graphic>
          </wp:inline>
        </w:drawing>
      </w:r>
    </w:p>
    <w:p>
      <w:pPr>
        <w:spacing w:line="11504" w:lineRule="exact"/>
        <w:sectPr>
          <w:footerReference w:type="default" r:id="rId80"/>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2142" w:lineRule="exact"/>
        <w:rPr/>
      </w:pPr>
      <w:r>
        <w:rPr>
          <w:position w:val="-242"/>
        </w:rPr>
        <w:drawing>
          <wp:inline distT="0" distB="0" distL="0" distR="0">
            <wp:extent cx="5045993" cy="7709729"/>
            <wp:effectExtent l="0" t="0" r="0" b="0"/>
            <wp:docPr id="64" name="IM 64"/>
            <wp:cNvGraphicFramePr/>
            <a:graphic>
              <a:graphicData uri="http://schemas.openxmlformats.org/drawingml/2006/picture">
                <pic:pic>
                  <pic:nvPicPr>
                    <pic:cNvPr id="64" name="IM 64"/>
                    <pic:cNvPicPr/>
                  </pic:nvPicPr>
                  <pic:blipFill>
                    <a:blip r:embed="rId83"/>
                    <a:stretch>
                      <a:fillRect/>
                    </a:stretch>
                  </pic:blipFill>
                  <pic:spPr>
                    <a:xfrm rot="0">
                      <a:off x="0" y="0"/>
                      <a:ext cx="5045993" cy="7709729"/>
                    </a:xfrm>
                    <a:prstGeom prst="rect">
                      <a:avLst/>
                    </a:prstGeom>
                  </pic:spPr>
                </pic:pic>
              </a:graphicData>
            </a:graphic>
          </wp:inline>
        </w:drawing>
      </w:r>
    </w:p>
    <w:p>
      <w:pPr>
        <w:spacing w:line="12142" w:lineRule="exact"/>
        <w:sectPr>
          <w:footerReference w:type="default" r:id="rId82"/>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29"/>
        <w:spacing w:line="11882" w:lineRule="exact"/>
        <w:rPr/>
      </w:pPr>
      <w:r>
        <w:rPr>
          <w:position w:val="-237"/>
        </w:rPr>
        <w:drawing>
          <wp:inline distT="0" distB="0" distL="0" distR="0">
            <wp:extent cx="5121512" cy="7544961"/>
            <wp:effectExtent l="0" t="0" r="0" b="0"/>
            <wp:docPr id="66" name="IM 66"/>
            <wp:cNvGraphicFramePr/>
            <a:graphic>
              <a:graphicData uri="http://schemas.openxmlformats.org/drawingml/2006/picture">
                <pic:pic>
                  <pic:nvPicPr>
                    <pic:cNvPr id="66" name="IM 66"/>
                    <pic:cNvPicPr/>
                  </pic:nvPicPr>
                  <pic:blipFill>
                    <a:blip r:embed="rId85"/>
                    <a:stretch>
                      <a:fillRect/>
                    </a:stretch>
                  </pic:blipFill>
                  <pic:spPr>
                    <a:xfrm rot="0">
                      <a:off x="0" y="0"/>
                      <a:ext cx="5121512" cy="7544961"/>
                    </a:xfrm>
                    <a:prstGeom prst="rect">
                      <a:avLst/>
                    </a:prstGeom>
                  </pic:spPr>
                </pic:pic>
              </a:graphicData>
            </a:graphic>
          </wp:inline>
        </w:drawing>
      </w:r>
    </w:p>
    <w:p>
      <w:pPr>
        <w:spacing w:line="11882" w:lineRule="exact"/>
        <w:sectPr>
          <w:footerReference w:type="default" r:id="rId84"/>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29"/>
        <w:spacing w:line="12185" w:lineRule="exact"/>
        <w:rPr/>
      </w:pPr>
      <w:r>
        <w:rPr>
          <w:position w:val="-243"/>
        </w:rPr>
        <w:drawing>
          <wp:inline distT="0" distB="0" distL="0" distR="0">
            <wp:extent cx="5121512" cy="7737189"/>
            <wp:effectExtent l="0" t="0" r="0" b="0"/>
            <wp:docPr id="68" name="IM 68"/>
            <wp:cNvGraphicFramePr/>
            <a:graphic>
              <a:graphicData uri="http://schemas.openxmlformats.org/drawingml/2006/picture">
                <pic:pic>
                  <pic:nvPicPr>
                    <pic:cNvPr id="68" name="IM 68"/>
                    <pic:cNvPicPr/>
                  </pic:nvPicPr>
                  <pic:blipFill>
                    <a:blip r:embed="rId87"/>
                    <a:stretch>
                      <a:fillRect/>
                    </a:stretch>
                  </pic:blipFill>
                  <pic:spPr>
                    <a:xfrm rot="0">
                      <a:off x="0" y="0"/>
                      <a:ext cx="5121512" cy="7737189"/>
                    </a:xfrm>
                    <a:prstGeom prst="rect">
                      <a:avLst/>
                    </a:prstGeom>
                  </pic:spPr>
                </pic:pic>
              </a:graphicData>
            </a:graphic>
          </wp:inline>
        </w:drawing>
      </w:r>
    </w:p>
    <w:p>
      <w:pPr>
        <w:spacing w:line="12185" w:lineRule="exact"/>
        <w:sectPr>
          <w:footerReference w:type="default" r:id="rId86"/>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394"/>
        <w:spacing w:line="10790" w:lineRule="exact"/>
        <w:rPr/>
      </w:pPr>
      <w:r>
        <w:rPr>
          <w:position w:val="-215"/>
        </w:rPr>
        <w:drawing>
          <wp:inline distT="0" distB="0" distL="0" distR="0">
            <wp:extent cx="5045993" cy="6851567"/>
            <wp:effectExtent l="0" t="0" r="0" b="0"/>
            <wp:docPr id="70" name="IM 70"/>
            <wp:cNvGraphicFramePr/>
            <a:graphic>
              <a:graphicData uri="http://schemas.openxmlformats.org/drawingml/2006/picture">
                <pic:pic>
                  <pic:nvPicPr>
                    <pic:cNvPr id="70" name="IM 70"/>
                    <pic:cNvPicPr/>
                  </pic:nvPicPr>
                  <pic:blipFill>
                    <a:blip r:embed="rId89"/>
                    <a:stretch>
                      <a:fillRect/>
                    </a:stretch>
                  </pic:blipFill>
                  <pic:spPr>
                    <a:xfrm rot="0">
                      <a:off x="0" y="0"/>
                      <a:ext cx="5045993" cy="6851567"/>
                    </a:xfrm>
                    <a:prstGeom prst="rect">
                      <a:avLst/>
                    </a:prstGeom>
                  </pic:spPr>
                </pic:pic>
              </a:graphicData>
            </a:graphic>
          </wp:inline>
        </w:drawing>
      </w:r>
    </w:p>
    <w:p>
      <w:pPr>
        <w:spacing w:line="10790" w:lineRule="exact"/>
        <w:sectPr>
          <w:footerReference w:type="default" r:id="rId88"/>
          <w:pgSz w:w="11900" w:h="16840"/>
          <w:pgMar w:top="642" w:right="600" w:bottom="340" w:left="600" w:header="326" w:footer="111" w:gutter="0"/>
        </w:sectPr>
        <w:rPr/>
      </w:pPr>
    </w:p>
    <w:p>
      <w:pPr>
        <w:spacing w:line="271" w:lineRule="auto"/>
        <w:rPr>
          <w:rFonts w:ascii="Arial"/>
          <w:sz w:val="21"/>
        </w:rPr>
      </w:pPr>
      <w:r/>
    </w:p>
    <w:p>
      <w:pPr>
        <w:spacing w:line="271" w:lineRule="auto"/>
        <w:rPr>
          <w:rFonts w:ascii="Arial"/>
          <w:sz w:val="21"/>
        </w:rPr>
      </w:pPr>
      <w:r/>
    </w:p>
    <w:p>
      <w:pPr>
        <w:ind w:left="660"/>
        <w:spacing w:before="94" w:line="227" w:lineRule="exact"/>
        <w:outlineLvl w:val="1"/>
        <w:rPr>
          <w:rFonts w:ascii="Microsoft YaHei" w:hAnsi="Microsoft YaHei" w:eastAsia="Microsoft YaHei" w:cs="Microsoft YaHei"/>
          <w:sz w:val="22"/>
          <w:szCs w:val="22"/>
        </w:rPr>
      </w:pPr>
      <w:bookmarkStart w:name="bookmark30" w:id="46"/>
      <w:bookmarkEnd w:id="46"/>
      <w:r>
        <w:rPr>
          <w:rFonts w:ascii="Microsoft YaHei" w:hAnsi="Microsoft YaHei" w:eastAsia="Microsoft YaHei" w:cs="Microsoft YaHei"/>
          <w:sz w:val="22"/>
          <w:szCs w:val="22"/>
          <w:spacing w:val="7"/>
          <w:position w:val="-1"/>
        </w:rPr>
        <w:t>十一、</w:t>
      </w:r>
      <w:r>
        <w:rPr>
          <w:rFonts w:ascii="Microsoft YaHei" w:hAnsi="Microsoft YaHei" w:eastAsia="Microsoft YaHei" w:cs="Microsoft YaHei"/>
          <w:sz w:val="22"/>
          <w:szCs w:val="22"/>
          <w:spacing w:val="-30"/>
          <w:position w:val="-1"/>
        </w:rPr>
        <w:t xml:space="preserve"> </w:t>
      </w:r>
      <w:r>
        <w:rPr>
          <w:rFonts w:ascii="Microsoft YaHei" w:hAnsi="Microsoft YaHei" w:eastAsia="Microsoft YaHei" w:cs="Microsoft YaHei"/>
          <w:sz w:val="22"/>
          <w:szCs w:val="22"/>
          <w:spacing w:val="7"/>
          <w:position w:val="-1"/>
        </w:rPr>
        <w:t>国有资产占有使用情况</w:t>
      </w:r>
    </w:p>
    <w:p>
      <w:pPr>
        <w:ind w:left="1135"/>
        <w:spacing w:before="175" w:line="220" w:lineRule="auto"/>
        <w:rPr>
          <w:rFonts w:ascii="FangSong" w:hAnsi="FangSong" w:eastAsia="FangSong" w:cs="FangSong"/>
          <w:sz w:val="23"/>
          <w:szCs w:val="23"/>
        </w:rPr>
      </w:pPr>
      <w:r>
        <w:rPr>
          <w:rFonts w:ascii="FangSong" w:hAnsi="FangSong" w:eastAsia="FangSong" w:cs="FangSong"/>
          <w:sz w:val="23"/>
          <w:szCs w:val="23"/>
          <w:spacing w:val="-4"/>
        </w:rPr>
        <w:t>1、车辆情况：</w:t>
      </w:r>
    </w:p>
    <w:p>
      <w:pPr>
        <w:ind w:left="663" w:right="622" w:firstLine="461"/>
        <w:spacing w:before="135" w:line="321" w:lineRule="auto"/>
        <w:rPr>
          <w:rFonts w:ascii="FangSong" w:hAnsi="FangSong" w:eastAsia="FangSong" w:cs="FangSong"/>
          <w:sz w:val="23"/>
          <w:szCs w:val="23"/>
        </w:rPr>
      </w:pPr>
      <w:r>
        <w:rPr>
          <w:rFonts w:ascii="FangSong" w:hAnsi="FangSong" w:eastAsia="FangSong" w:cs="FangSong"/>
          <w:sz w:val="23"/>
          <w:szCs w:val="23"/>
          <w:spacing w:val="6"/>
        </w:rPr>
        <w:t>截至2025年4月30</w:t>
      </w:r>
      <w:r>
        <w:rPr>
          <w:rFonts w:ascii="FangSong" w:hAnsi="FangSong" w:eastAsia="FangSong" w:cs="FangSong"/>
          <w:sz w:val="23"/>
          <w:szCs w:val="23"/>
          <w:spacing w:val="-42"/>
        </w:rPr>
        <w:t xml:space="preserve"> </w:t>
      </w:r>
      <w:r>
        <w:rPr>
          <w:rFonts w:ascii="FangSong" w:hAnsi="FangSong" w:eastAsia="FangSong" w:cs="FangSong"/>
          <w:sz w:val="23"/>
          <w:szCs w:val="23"/>
          <w:spacing w:val="6"/>
        </w:rPr>
        <w:t>日，兴县园林事业发展服务中心共有公务用车编制0辆，实有0辆，其</w:t>
      </w:r>
      <w:r>
        <w:rPr>
          <w:rFonts w:ascii="FangSong" w:hAnsi="FangSong" w:eastAsia="FangSong" w:cs="FangSong"/>
          <w:sz w:val="23"/>
          <w:szCs w:val="23"/>
          <w:spacing w:val="5"/>
        </w:rPr>
        <w:t>中：领导用车0辆，机要通信用车0辆，应急保障用车0辆，执法执勤用车0辆，特种专业技术</w:t>
      </w:r>
      <w:r>
        <w:rPr>
          <w:rFonts w:ascii="FangSong" w:hAnsi="FangSong" w:eastAsia="FangSong" w:cs="FangSong"/>
          <w:sz w:val="23"/>
          <w:szCs w:val="23"/>
        </w:rPr>
        <w:t>用车0辆，事业单位业务用车0辆，其他公务用车</w:t>
      </w:r>
      <w:r>
        <w:rPr>
          <w:rFonts w:ascii="FangSong" w:hAnsi="FangSong" w:eastAsia="FangSong" w:cs="FangSong"/>
          <w:sz w:val="23"/>
          <w:szCs w:val="23"/>
          <w:spacing w:val="-1"/>
        </w:rPr>
        <w:t>0辆。</w:t>
      </w:r>
    </w:p>
    <w:p>
      <w:pPr>
        <w:ind w:left="1120"/>
        <w:spacing w:before="11" w:line="223" w:lineRule="auto"/>
        <w:rPr>
          <w:rFonts w:ascii="FangSong" w:hAnsi="FangSong" w:eastAsia="FangSong" w:cs="FangSong"/>
          <w:sz w:val="23"/>
          <w:szCs w:val="23"/>
        </w:rPr>
      </w:pPr>
      <w:r>
        <w:rPr>
          <w:rFonts w:ascii="FangSong" w:hAnsi="FangSong" w:eastAsia="FangSong" w:cs="FangSong"/>
          <w:sz w:val="23"/>
          <w:szCs w:val="23"/>
          <w:spacing w:val="-2"/>
        </w:rPr>
        <w:t>2、房屋情况：</w:t>
      </w:r>
    </w:p>
    <w:p>
      <w:pPr>
        <w:ind w:left="666" w:right="623" w:firstLine="458"/>
        <w:spacing w:before="123" w:line="322" w:lineRule="auto"/>
        <w:rPr>
          <w:rFonts w:ascii="FangSong" w:hAnsi="FangSong" w:eastAsia="FangSong" w:cs="FangSong"/>
          <w:sz w:val="23"/>
          <w:szCs w:val="23"/>
        </w:rPr>
      </w:pPr>
      <w:r>
        <w:rPr>
          <w:rFonts w:ascii="FangSong" w:hAnsi="FangSong" w:eastAsia="FangSong" w:cs="FangSong"/>
          <w:sz w:val="23"/>
          <w:szCs w:val="23"/>
          <w:spacing w:val="2"/>
        </w:rPr>
        <w:t>截至2024年4月30日，兴县园林事业发展服务中心使用的办公用房建筑总面积483.98平方</w:t>
      </w:r>
      <w:r>
        <w:rPr>
          <w:rFonts w:ascii="FangSong" w:hAnsi="FangSong" w:eastAsia="FangSong" w:cs="FangSong"/>
          <w:sz w:val="23"/>
          <w:szCs w:val="23"/>
          <w:spacing w:val="-9"/>
        </w:rPr>
        <w:t>米。</w:t>
      </w:r>
    </w:p>
    <w:p>
      <w:pPr>
        <w:ind w:left="1122"/>
        <w:spacing w:before="8" w:line="222" w:lineRule="auto"/>
        <w:rPr>
          <w:rFonts w:ascii="FangSong" w:hAnsi="FangSong" w:eastAsia="FangSong" w:cs="FangSong"/>
          <w:sz w:val="23"/>
          <w:szCs w:val="23"/>
        </w:rPr>
      </w:pPr>
      <w:r>
        <w:rPr>
          <w:rFonts w:ascii="FangSong" w:hAnsi="FangSong" w:eastAsia="FangSong" w:cs="FangSong"/>
          <w:sz w:val="23"/>
          <w:szCs w:val="23"/>
          <w:spacing w:val="-1"/>
        </w:rPr>
        <w:t>3、其他国有资产占有使用情况：</w:t>
      </w:r>
    </w:p>
    <w:p>
      <w:pPr>
        <w:ind w:left="663" w:right="623" w:firstLine="461"/>
        <w:spacing w:before="125" w:line="323" w:lineRule="auto"/>
        <w:rPr>
          <w:rFonts w:ascii="FangSong" w:hAnsi="FangSong" w:eastAsia="FangSong" w:cs="FangSong"/>
          <w:sz w:val="23"/>
          <w:szCs w:val="23"/>
        </w:rPr>
      </w:pPr>
      <w:r>
        <w:rPr>
          <w:rFonts w:ascii="FangSong" w:hAnsi="FangSong" w:eastAsia="FangSong" w:cs="FangSong"/>
          <w:sz w:val="23"/>
          <w:szCs w:val="23"/>
          <w:spacing w:val="2"/>
        </w:rPr>
        <w:t>截至2024年4月30日，兴县园林事业发展服务中心占有使用价值50万元（原值）以上的通</w:t>
      </w:r>
      <w:r>
        <w:rPr>
          <w:rFonts w:ascii="FangSong" w:hAnsi="FangSong" w:eastAsia="FangSong" w:cs="FangSong"/>
          <w:sz w:val="23"/>
          <w:szCs w:val="23"/>
          <w:spacing w:val="3"/>
        </w:rPr>
        <w:t>用设备0台（套</w:t>
      </w:r>
      <w:r>
        <w:rPr>
          <w:rFonts w:ascii="FangSong" w:hAnsi="FangSong" w:eastAsia="FangSong" w:cs="FangSong"/>
          <w:sz w:val="23"/>
          <w:szCs w:val="23"/>
          <w:spacing w:val="20"/>
        </w:rPr>
        <w:t>）；</w:t>
      </w:r>
      <w:r>
        <w:rPr>
          <w:rFonts w:ascii="FangSong" w:hAnsi="FangSong" w:eastAsia="FangSong" w:cs="FangSong"/>
          <w:sz w:val="23"/>
          <w:szCs w:val="23"/>
          <w:spacing w:val="3"/>
        </w:rPr>
        <w:t>兴县园林事业发展服务中心占有使用价值100万元（原值）</w:t>
      </w:r>
      <w:r>
        <w:rPr>
          <w:rFonts w:ascii="FangSong" w:hAnsi="FangSong" w:eastAsia="FangSong" w:cs="FangSong"/>
          <w:sz w:val="23"/>
          <w:szCs w:val="23"/>
          <w:spacing w:val="-64"/>
        </w:rPr>
        <w:t xml:space="preserve"> </w:t>
      </w:r>
      <w:r>
        <w:rPr>
          <w:rFonts w:ascii="FangSong" w:hAnsi="FangSong" w:eastAsia="FangSong" w:cs="FangSong"/>
          <w:sz w:val="23"/>
          <w:szCs w:val="23"/>
          <w:spacing w:val="3"/>
        </w:rPr>
        <w:t>以上的通用设</w:t>
      </w:r>
      <w:r>
        <w:rPr>
          <w:rFonts w:ascii="FangSong" w:hAnsi="FangSong" w:eastAsia="FangSong" w:cs="FangSong"/>
          <w:sz w:val="23"/>
          <w:szCs w:val="23"/>
          <w:spacing w:val="-2"/>
        </w:rPr>
        <w:t>备0台（套）。</w:t>
      </w:r>
    </w:p>
    <w:p>
      <w:pPr>
        <w:ind w:left="660"/>
        <w:spacing w:line="228" w:lineRule="exact"/>
        <w:outlineLvl w:val="1"/>
        <w:rPr>
          <w:rFonts w:ascii="Microsoft YaHei" w:hAnsi="Microsoft YaHei" w:eastAsia="Microsoft YaHei" w:cs="Microsoft YaHei"/>
          <w:sz w:val="22"/>
          <w:szCs w:val="22"/>
        </w:rPr>
      </w:pPr>
      <w:bookmarkStart w:name="bookmark31" w:id="47"/>
      <w:bookmarkEnd w:id="47"/>
      <w:r>
        <w:rPr>
          <w:rFonts w:ascii="Microsoft YaHei" w:hAnsi="Microsoft YaHei" w:eastAsia="Microsoft YaHei" w:cs="Microsoft YaHei"/>
          <w:sz w:val="22"/>
          <w:szCs w:val="22"/>
          <w:spacing w:val="7"/>
          <w:position w:val="-1"/>
        </w:rPr>
        <w:t>十二、其他说明</w:t>
      </w:r>
    </w:p>
    <w:p>
      <w:pPr>
        <w:ind w:left="1125"/>
        <w:spacing w:before="174" w:line="221" w:lineRule="auto"/>
        <w:outlineLvl w:val="2"/>
        <w:rPr>
          <w:rFonts w:ascii="FangSong" w:hAnsi="FangSong" w:eastAsia="FangSong" w:cs="FangSong"/>
          <w:sz w:val="23"/>
          <w:szCs w:val="23"/>
        </w:rPr>
      </w:pPr>
      <w:bookmarkStart w:name="bookmark32" w:id="48"/>
      <w:bookmarkEnd w:id="48"/>
      <w:r>
        <w:rPr>
          <w:rFonts w:ascii="FangSong" w:hAnsi="FangSong" w:eastAsia="FangSong" w:cs="FangSong"/>
          <w:sz w:val="23"/>
          <w:szCs w:val="23"/>
          <w:spacing w:val="-1"/>
        </w:rPr>
        <w:t>（一）政府购买服务指导性目录</w:t>
      </w:r>
    </w:p>
    <w:p>
      <w:pPr>
        <w:ind w:left="1126"/>
        <w:spacing w:before="265" w:line="223" w:lineRule="auto"/>
        <w:rPr>
          <w:rFonts w:ascii="FangSong" w:hAnsi="FangSong" w:eastAsia="FangSong" w:cs="FangSong"/>
          <w:sz w:val="23"/>
          <w:szCs w:val="23"/>
        </w:rPr>
      </w:pPr>
      <w:r>
        <w:rPr>
          <w:rFonts w:ascii="FangSong" w:hAnsi="FangSong" w:eastAsia="FangSong" w:cs="FangSong"/>
          <w:sz w:val="23"/>
          <w:szCs w:val="23"/>
          <w:spacing w:val="-6"/>
        </w:rPr>
        <w:t>见附件</w:t>
      </w:r>
    </w:p>
    <w:p>
      <w:pPr>
        <w:ind w:left="1125"/>
        <w:spacing w:before="253" w:line="222" w:lineRule="auto"/>
        <w:outlineLvl w:val="2"/>
        <w:rPr>
          <w:rFonts w:ascii="FangSong" w:hAnsi="FangSong" w:eastAsia="FangSong" w:cs="FangSong"/>
          <w:sz w:val="23"/>
          <w:szCs w:val="23"/>
        </w:rPr>
      </w:pPr>
      <w:bookmarkStart w:name="bookmark33" w:id="49"/>
      <w:bookmarkEnd w:id="49"/>
      <w:r>
        <w:rPr>
          <w:rFonts w:ascii="FangSong" w:hAnsi="FangSong" w:eastAsia="FangSong" w:cs="FangSong"/>
          <w:sz w:val="23"/>
          <w:szCs w:val="23"/>
          <w:spacing w:val="-3"/>
        </w:rPr>
        <w:t>（二）其他</w:t>
      </w:r>
    </w:p>
    <w:p>
      <w:pPr>
        <w:ind w:left="1127"/>
        <w:spacing w:before="253" w:line="222" w:lineRule="auto"/>
        <w:rPr>
          <w:rFonts w:ascii="FangSong" w:hAnsi="FangSong" w:eastAsia="FangSong" w:cs="FangSong"/>
          <w:sz w:val="23"/>
          <w:szCs w:val="23"/>
        </w:rPr>
      </w:pPr>
      <w:r>
        <w:rPr>
          <w:rFonts w:ascii="FangSong" w:hAnsi="FangSong" w:eastAsia="FangSong" w:cs="FangSong"/>
          <w:sz w:val="23"/>
          <w:szCs w:val="23"/>
          <w:spacing w:val="-4"/>
        </w:rPr>
        <w:t>无其他说明</w:t>
      </w:r>
    </w:p>
    <w:p>
      <w:pPr>
        <w:spacing w:line="222" w:lineRule="auto"/>
        <w:sectPr>
          <w:footerReference w:type="default" r:id="rId90"/>
          <w:pgSz w:w="11900" w:h="16840"/>
          <w:pgMar w:top="642" w:right="600" w:bottom="340" w:left="600" w:header="326" w:footer="111" w:gutter="0"/>
        </w:sectPr>
        <w:rPr>
          <w:rFonts w:ascii="FangSong" w:hAnsi="FangSong" w:eastAsia="FangSong" w:cs="FangSong"/>
          <w:sz w:val="23"/>
          <w:szCs w:val="23"/>
        </w:rPr>
      </w:pPr>
    </w:p>
    <w:p>
      <w:pPr>
        <w:spacing w:line="277" w:lineRule="auto"/>
        <w:rPr>
          <w:rFonts w:ascii="Arial"/>
          <w:sz w:val="21"/>
        </w:rPr>
      </w:pPr>
      <w:r/>
    </w:p>
    <w:p>
      <w:pPr>
        <w:spacing w:line="278" w:lineRule="auto"/>
        <w:rPr>
          <w:rFonts w:ascii="Arial"/>
          <w:sz w:val="21"/>
        </w:rPr>
      </w:pPr>
      <w:r/>
    </w:p>
    <w:p>
      <w:pPr>
        <w:ind w:firstLine="1719"/>
        <w:spacing w:line="12639" w:lineRule="exact"/>
        <w:rPr/>
      </w:pPr>
      <w:r>
        <w:rPr>
          <w:position w:val="-252"/>
        </w:rPr>
        <w:drawing>
          <wp:inline distT="0" distB="0" distL="0" distR="0">
            <wp:extent cx="4627211" cy="8025532"/>
            <wp:effectExtent l="0" t="0" r="0" b="0"/>
            <wp:docPr id="72" name="IM 72"/>
            <wp:cNvGraphicFramePr/>
            <a:graphic>
              <a:graphicData uri="http://schemas.openxmlformats.org/drawingml/2006/picture">
                <pic:pic>
                  <pic:nvPicPr>
                    <pic:cNvPr id="72" name="IM 72"/>
                    <pic:cNvPicPr/>
                  </pic:nvPicPr>
                  <pic:blipFill>
                    <a:blip r:embed="rId92"/>
                    <a:stretch>
                      <a:fillRect/>
                    </a:stretch>
                  </pic:blipFill>
                  <pic:spPr>
                    <a:xfrm rot="0">
                      <a:off x="0" y="0"/>
                      <a:ext cx="4627211" cy="8025532"/>
                    </a:xfrm>
                    <a:prstGeom prst="rect">
                      <a:avLst/>
                    </a:prstGeom>
                  </pic:spPr>
                </pic:pic>
              </a:graphicData>
            </a:graphic>
          </wp:inline>
        </w:drawing>
      </w:r>
    </w:p>
    <w:p>
      <w:pPr>
        <w:spacing w:line="12639" w:lineRule="exact"/>
        <w:sectPr>
          <w:footerReference w:type="default" r:id="rId9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29"/>
        <w:spacing w:line="12639" w:lineRule="exact"/>
        <w:rPr/>
      </w:pPr>
      <w:r>
        <w:rPr>
          <w:position w:val="-252"/>
        </w:rPr>
        <w:drawing>
          <wp:inline distT="0" distB="0" distL="0" distR="0">
            <wp:extent cx="4613480" cy="8025532"/>
            <wp:effectExtent l="0" t="0" r="0" b="0"/>
            <wp:docPr id="74" name="IM 74"/>
            <wp:cNvGraphicFramePr/>
            <a:graphic>
              <a:graphicData uri="http://schemas.openxmlformats.org/drawingml/2006/picture">
                <pic:pic>
                  <pic:nvPicPr>
                    <pic:cNvPr id="74" name="IM 74"/>
                    <pic:cNvPicPr/>
                  </pic:nvPicPr>
                  <pic:blipFill>
                    <a:blip r:embed="rId94"/>
                    <a:stretch>
                      <a:fillRect/>
                    </a:stretch>
                  </pic:blipFill>
                  <pic:spPr>
                    <a:xfrm rot="0">
                      <a:off x="0" y="0"/>
                      <a:ext cx="4613480" cy="8025532"/>
                    </a:xfrm>
                    <a:prstGeom prst="rect">
                      <a:avLst/>
                    </a:prstGeom>
                  </pic:spPr>
                </pic:pic>
              </a:graphicData>
            </a:graphic>
          </wp:inline>
        </w:drawing>
      </w:r>
    </w:p>
    <w:p>
      <w:pPr>
        <w:spacing w:line="12639" w:lineRule="exact"/>
        <w:sectPr>
          <w:footerReference w:type="default" r:id="rId9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6" name="IM 76"/>
            <wp:cNvGraphicFramePr/>
            <a:graphic>
              <a:graphicData uri="http://schemas.openxmlformats.org/drawingml/2006/picture">
                <pic:pic>
                  <pic:nvPicPr>
                    <pic:cNvPr id="76" name="IM 76"/>
                    <pic:cNvPicPr/>
                  </pic:nvPicPr>
                  <pic:blipFill>
                    <a:blip r:embed="rId9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78" name="IM 78"/>
            <wp:cNvGraphicFramePr/>
            <a:graphic>
              <a:graphicData uri="http://schemas.openxmlformats.org/drawingml/2006/picture">
                <pic:pic>
                  <pic:nvPicPr>
                    <pic:cNvPr id="78" name="IM 78"/>
                    <pic:cNvPicPr/>
                  </pic:nvPicPr>
                  <pic:blipFill>
                    <a:blip r:embed="rId9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0" name="IM 80"/>
            <wp:cNvGraphicFramePr/>
            <a:graphic>
              <a:graphicData uri="http://schemas.openxmlformats.org/drawingml/2006/picture">
                <pic:pic>
                  <pic:nvPicPr>
                    <pic:cNvPr id="80" name="IM 80"/>
                    <pic:cNvPicPr/>
                  </pic:nvPicPr>
                  <pic:blipFill>
                    <a:blip r:embed="rId10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9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2" name="IM 82"/>
            <wp:cNvGraphicFramePr/>
            <a:graphic>
              <a:graphicData uri="http://schemas.openxmlformats.org/drawingml/2006/picture">
                <pic:pic>
                  <pic:nvPicPr>
                    <pic:cNvPr id="82" name="IM 82"/>
                    <pic:cNvPicPr/>
                  </pic:nvPicPr>
                  <pic:blipFill>
                    <a:blip r:embed="rId10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4" name="IM 84"/>
            <wp:cNvGraphicFramePr/>
            <a:graphic>
              <a:graphicData uri="http://schemas.openxmlformats.org/drawingml/2006/picture">
                <pic:pic>
                  <pic:nvPicPr>
                    <pic:cNvPr id="84" name="IM 84"/>
                    <pic:cNvPicPr/>
                  </pic:nvPicPr>
                  <pic:blipFill>
                    <a:blip r:embed="rId10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6" name="IM 86"/>
            <wp:cNvGraphicFramePr/>
            <a:graphic>
              <a:graphicData uri="http://schemas.openxmlformats.org/drawingml/2006/picture">
                <pic:pic>
                  <pic:nvPicPr>
                    <pic:cNvPr id="86" name="IM 86"/>
                    <pic:cNvPicPr/>
                  </pic:nvPicPr>
                  <pic:blipFill>
                    <a:blip r:embed="rId10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88" name="IM 88"/>
            <wp:cNvGraphicFramePr/>
            <a:graphic>
              <a:graphicData uri="http://schemas.openxmlformats.org/drawingml/2006/picture">
                <pic:pic>
                  <pic:nvPicPr>
                    <pic:cNvPr id="88" name="IM 88"/>
                    <pic:cNvPicPr/>
                  </pic:nvPicPr>
                  <pic:blipFill>
                    <a:blip r:embed="rId10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0" name="IM 90"/>
            <wp:cNvGraphicFramePr/>
            <a:graphic>
              <a:graphicData uri="http://schemas.openxmlformats.org/drawingml/2006/picture">
                <pic:pic>
                  <pic:nvPicPr>
                    <pic:cNvPr id="90" name="IM 90"/>
                    <pic:cNvPicPr/>
                  </pic:nvPicPr>
                  <pic:blipFill>
                    <a:blip r:embed="rId11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0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2" name="IM 92"/>
            <wp:cNvGraphicFramePr/>
            <a:graphic>
              <a:graphicData uri="http://schemas.openxmlformats.org/drawingml/2006/picture">
                <pic:pic>
                  <pic:nvPicPr>
                    <pic:cNvPr id="92" name="IM 92"/>
                    <pic:cNvPicPr/>
                  </pic:nvPicPr>
                  <pic:blipFill>
                    <a:blip r:embed="rId11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4" name="IM 94"/>
            <wp:cNvGraphicFramePr/>
            <a:graphic>
              <a:graphicData uri="http://schemas.openxmlformats.org/drawingml/2006/picture">
                <pic:pic>
                  <pic:nvPicPr>
                    <pic:cNvPr id="94" name="IM 94"/>
                    <pic:cNvPicPr/>
                  </pic:nvPicPr>
                  <pic:blipFill>
                    <a:blip r:embed="rId11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6" name="IM 96"/>
            <wp:cNvGraphicFramePr/>
            <a:graphic>
              <a:graphicData uri="http://schemas.openxmlformats.org/drawingml/2006/picture">
                <pic:pic>
                  <pic:nvPicPr>
                    <pic:cNvPr id="96" name="IM 96"/>
                    <pic:cNvPicPr/>
                  </pic:nvPicPr>
                  <pic:blipFill>
                    <a:blip r:embed="rId11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98" name="IM 98"/>
            <wp:cNvGraphicFramePr/>
            <a:graphic>
              <a:graphicData uri="http://schemas.openxmlformats.org/drawingml/2006/picture">
                <pic:pic>
                  <pic:nvPicPr>
                    <pic:cNvPr id="98" name="IM 98"/>
                    <pic:cNvPicPr/>
                  </pic:nvPicPr>
                  <pic:blipFill>
                    <a:blip r:embed="rId11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0" name="IM 100"/>
            <wp:cNvGraphicFramePr/>
            <a:graphic>
              <a:graphicData uri="http://schemas.openxmlformats.org/drawingml/2006/picture">
                <pic:pic>
                  <pic:nvPicPr>
                    <pic:cNvPr id="100" name="IM 100"/>
                    <pic:cNvPicPr/>
                  </pic:nvPicPr>
                  <pic:blipFill>
                    <a:blip r:embed="rId12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1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2" name="IM 102"/>
            <wp:cNvGraphicFramePr/>
            <a:graphic>
              <a:graphicData uri="http://schemas.openxmlformats.org/drawingml/2006/picture">
                <pic:pic>
                  <pic:nvPicPr>
                    <pic:cNvPr id="102" name="IM 102"/>
                    <pic:cNvPicPr/>
                  </pic:nvPicPr>
                  <pic:blipFill>
                    <a:blip r:embed="rId12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4" name="IM 104"/>
            <wp:cNvGraphicFramePr/>
            <a:graphic>
              <a:graphicData uri="http://schemas.openxmlformats.org/drawingml/2006/picture">
                <pic:pic>
                  <pic:nvPicPr>
                    <pic:cNvPr id="104" name="IM 104"/>
                    <pic:cNvPicPr/>
                  </pic:nvPicPr>
                  <pic:blipFill>
                    <a:blip r:embed="rId12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6" name="IM 106"/>
            <wp:cNvGraphicFramePr/>
            <a:graphic>
              <a:graphicData uri="http://schemas.openxmlformats.org/drawingml/2006/picture">
                <pic:pic>
                  <pic:nvPicPr>
                    <pic:cNvPr id="106" name="IM 106"/>
                    <pic:cNvPicPr/>
                  </pic:nvPicPr>
                  <pic:blipFill>
                    <a:blip r:embed="rId12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08" name="IM 108"/>
            <wp:cNvGraphicFramePr/>
            <a:graphic>
              <a:graphicData uri="http://schemas.openxmlformats.org/drawingml/2006/picture">
                <pic:pic>
                  <pic:nvPicPr>
                    <pic:cNvPr id="108" name="IM 108"/>
                    <pic:cNvPicPr/>
                  </pic:nvPicPr>
                  <pic:blipFill>
                    <a:blip r:embed="rId12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0" name="IM 110"/>
            <wp:cNvGraphicFramePr/>
            <a:graphic>
              <a:graphicData uri="http://schemas.openxmlformats.org/drawingml/2006/picture">
                <pic:pic>
                  <pic:nvPicPr>
                    <pic:cNvPr id="110" name="IM 110"/>
                    <pic:cNvPicPr/>
                  </pic:nvPicPr>
                  <pic:blipFill>
                    <a:blip r:embed="rId13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2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2" name="IM 112"/>
            <wp:cNvGraphicFramePr/>
            <a:graphic>
              <a:graphicData uri="http://schemas.openxmlformats.org/drawingml/2006/picture">
                <pic:pic>
                  <pic:nvPicPr>
                    <pic:cNvPr id="112" name="IM 112"/>
                    <pic:cNvPicPr/>
                  </pic:nvPicPr>
                  <pic:blipFill>
                    <a:blip r:embed="rId13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4" name="IM 114"/>
            <wp:cNvGraphicFramePr/>
            <a:graphic>
              <a:graphicData uri="http://schemas.openxmlformats.org/drawingml/2006/picture">
                <pic:pic>
                  <pic:nvPicPr>
                    <pic:cNvPr id="114" name="IM 114"/>
                    <pic:cNvPicPr/>
                  </pic:nvPicPr>
                  <pic:blipFill>
                    <a:blip r:embed="rId13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6" name="IM 116"/>
            <wp:cNvGraphicFramePr/>
            <a:graphic>
              <a:graphicData uri="http://schemas.openxmlformats.org/drawingml/2006/picture">
                <pic:pic>
                  <pic:nvPicPr>
                    <pic:cNvPr id="116" name="IM 116"/>
                    <pic:cNvPicPr/>
                  </pic:nvPicPr>
                  <pic:blipFill>
                    <a:blip r:embed="rId13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18" name="IM 118"/>
            <wp:cNvGraphicFramePr/>
            <a:graphic>
              <a:graphicData uri="http://schemas.openxmlformats.org/drawingml/2006/picture">
                <pic:pic>
                  <pic:nvPicPr>
                    <pic:cNvPr id="118" name="IM 118"/>
                    <pic:cNvPicPr/>
                  </pic:nvPicPr>
                  <pic:blipFill>
                    <a:blip r:embed="rId13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0" name="IM 120"/>
            <wp:cNvGraphicFramePr/>
            <a:graphic>
              <a:graphicData uri="http://schemas.openxmlformats.org/drawingml/2006/picture">
                <pic:pic>
                  <pic:nvPicPr>
                    <pic:cNvPr id="120" name="IM 120"/>
                    <pic:cNvPicPr/>
                  </pic:nvPicPr>
                  <pic:blipFill>
                    <a:blip r:embed="rId14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3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2" name="IM 122"/>
            <wp:cNvGraphicFramePr/>
            <a:graphic>
              <a:graphicData uri="http://schemas.openxmlformats.org/drawingml/2006/picture">
                <pic:pic>
                  <pic:nvPicPr>
                    <pic:cNvPr id="122" name="IM 122"/>
                    <pic:cNvPicPr/>
                  </pic:nvPicPr>
                  <pic:blipFill>
                    <a:blip r:embed="rId14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4" name="IM 124"/>
            <wp:cNvGraphicFramePr/>
            <a:graphic>
              <a:graphicData uri="http://schemas.openxmlformats.org/drawingml/2006/picture">
                <pic:pic>
                  <pic:nvPicPr>
                    <pic:cNvPr id="124" name="IM 124"/>
                    <pic:cNvPicPr/>
                  </pic:nvPicPr>
                  <pic:blipFill>
                    <a:blip r:embed="rId14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6" name="IM 126"/>
            <wp:cNvGraphicFramePr/>
            <a:graphic>
              <a:graphicData uri="http://schemas.openxmlformats.org/drawingml/2006/picture">
                <pic:pic>
                  <pic:nvPicPr>
                    <pic:cNvPr id="126" name="IM 126"/>
                    <pic:cNvPicPr/>
                  </pic:nvPicPr>
                  <pic:blipFill>
                    <a:blip r:embed="rId14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28" name="IM 128"/>
            <wp:cNvGraphicFramePr/>
            <a:graphic>
              <a:graphicData uri="http://schemas.openxmlformats.org/drawingml/2006/picture">
                <pic:pic>
                  <pic:nvPicPr>
                    <pic:cNvPr id="128" name="IM 128"/>
                    <pic:cNvPicPr/>
                  </pic:nvPicPr>
                  <pic:blipFill>
                    <a:blip r:embed="rId14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0" name="IM 130"/>
            <wp:cNvGraphicFramePr/>
            <a:graphic>
              <a:graphicData uri="http://schemas.openxmlformats.org/drawingml/2006/picture">
                <pic:pic>
                  <pic:nvPicPr>
                    <pic:cNvPr id="130" name="IM 130"/>
                    <pic:cNvPicPr/>
                  </pic:nvPicPr>
                  <pic:blipFill>
                    <a:blip r:embed="rId15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4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2" name="IM 132"/>
            <wp:cNvGraphicFramePr/>
            <a:graphic>
              <a:graphicData uri="http://schemas.openxmlformats.org/drawingml/2006/picture">
                <pic:pic>
                  <pic:nvPicPr>
                    <pic:cNvPr id="132" name="IM 132"/>
                    <pic:cNvPicPr/>
                  </pic:nvPicPr>
                  <pic:blipFill>
                    <a:blip r:embed="rId15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4" name="IM 134"/>
            <wp:cNvGraphicFramePr/>
            <a:graphic>
              <a:graphicData uri="http://schemas.openxmlformats.org/drawingml/2006/picture">
                <pic:pic>
                  <pic:nvPicPr>
                    <pic:cNvPr id="134" name="IM 134"/>
                    <pic:cNvPicPr/>
                  </pic:nvPicPr>
                  <pic:blipFill>
                    <a:blip r:embed="rId15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6" name="IM 136"/>
            <wp:cNvGraphicFramePr/>
            <a:graphic>
              <a:graphicData uri="http://schemas.openxmlformats.org/drawingml/2006/picture">
                <pic:pic>
                  <pic:nvPicPr>
                    <pic:cNvPr id="136" name="IM 136"/>
                    <pic:cNvPicPr/>
                  </pic:nvPicPr>
                  <pic:blipFill>
                    <a:blip r:embed="rId15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38" name="IM 138"/>
            <wp:cNvGraphicFramePr/>
            <a:graphic>
              <a:graphicData uri="http://schemas.openxmlformats.org/drawingml/2006/picture">
                <pic:pic>
                  <pic:nvPicPr>
                    <pic:cNvPr id="138" name="IM 138"/>
                    <pic:cNvPicPr/>
                  </pic:nvPicPr>
                  <pic:blipFill>
                    <a:blip r:embed="rId15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0" name="IM 140"/>
            <wp:cNvGraphicFramePr/>
            <a:graphic>
              <a:graphicData uri="http://schemas.openxmlformats.org/drawingml/2006/picture">
                <pic:pic>
                  <pic:nvPicPr>
                    <pic:cNvPr id="140" name="IM 140"/>
                    <pic:cNvPicPr/>
                  </pic:nvPicPr>
                  <pic:blipFill>
                    <a:blip r:embed="rId16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5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2" name="IM 142"/>
            <wp:cNvGraphicFramePr/>
            <a:graphic>
              <a:graphicData uri="http://schemas.openxmlformats.org/drawingml/2006/picture">
                <pic:pic>
                  <pic:nvPicPr>
                    <pic:cNvPr id="142" name="IM 142"/>
                    <pic:cNvPicPr/>
                  </pic:nvPicPr>
                  <pic:blipFill>
                    <a:blip r:embed="rId16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4" name="IM 144"/>
            <wp:cNvGraphicFramePr/>
            <a:graphic>
              <a:graphicData uri="http://schemas.openxmlformats.org/drawingml/2006/picture">
                <pic:pic>
                  <pic:nvPicPr>
                    <pic:cNvPr id="144" name="IM 144"/>
                    <pic:cNvPicPr/>
                  </pic:nvPicPr>
                  <pic:blipFill>
                    <a:blip r:embed="rId16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6" name="IM 146"/>
            <wp:cNvGraphicFramePr/>
            <a:graphic>
              <a:graphicData uri="http://schemas.openxmlformats.org/drawingml/2006/picture">
                <pic:pic>
                  <pic:nvPicPr>
                    <pic:cNvPr id="146" name="IM 146"/>
                    <pic:cNvPicPr/>
                  </pic:nvPicPr>
                  <pic:blipFill>
                    <a:blip r:embed="rId16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48" name="IM 148"/>
            <wp:cNvGraphicFramePr/>
            <a:graphic>
              <a:graphicData uri="http://schemas.openxmlformats.org/drawingml/2006/picture">
                <pic:pic>
                  <pic:nvPicPr>
                    <pic:cNvPr id="148" name="IM 148"/>
                    <pic:cNvPicPr/>
                  </pic:nvPicPr>
                  <pic:blipFill>
                    <a:blip r:embed="rId16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0" name="IM 150"/>
            <wp:cNvGraphicFramePr/>
            <a:graphic>
              <a:graphicData uri="http://schemas.openxmlformats.org/drawingml/2006/picture">
                <pic:pic>
                  <pic:nvPicPr>
                    <pic:cNvPr id="150" name="IM 150"/>
                    <pic:cNvPicPr/>
                  </pic:nvPicPr>
                  <pic:blipFill>
                    <a:blip r:embed="rId17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6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2" name="IM 152"/>
            <wp:cNvGraphicFramePr/>
            <a:graphic>
              <a:graphicData uri="http://schemas.openxmlformats.org/drawingml/2006/picture">
                <pic:pic>
                  <pic:nvPicPr>
                    <pic:cNvPr id="152" name="IM 152"/>
                    <pic:cNvPicPr/>
                  </pic:nvPicPr>
                  <pic:blipFill>
                    <a:blip r:embed="rId17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4" name="IM 154"/>
            <wp:cNvGraphicFramePr/>
            <a:graphic>
              <a:graphicData uri="http://schemas.openxmlformats.org/drawingml/2006/picture">
                <pic:pic>
                  <pic:nvPicPr>
                    <pic:cNvPr id="154" name="IM 154"/>
                    <pic:cNvPicPr/>
                  </pic:nvPicPr>
                  <pic:blipFill>
                    <a:blip r:embed="rId17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6" name="IM 156"/>
            <wp:cNvGraphicFramePr/>
            <a:graphic>
              <a:graphicData uri="http://schemas.openxmlformats.org/drawingml/2006/picture">
                <pic:pic>
                  <pic:nvPicPr>
                    <pic:cNvPr id="156" name="IM 156"/>
                    <pic:cNvPicPr/>
                  </pic:nvPicPr>
                  <pic:blipFill>
                    <a:blip r:embed="rId17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58" name="IM 158"/>
            <wp:cNvGraphicFramePr/>
            <a:graphic>
              <a:graphicData uri="http://schemas.openxmlformats.org/drawingml/2006/picture">
                <pic:pic>
                  <pic:nvPicPr>
                    <pic:cNvPr id="158" name="IM 158"/>
                    <pic:cNvPicPr/>
                  </pic:nvPicPr>
                  <pic:blipFill>
                    <a:blip r:embed="rId17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0" name="IM 160"/>
            <wp:cNvGraphicFramePr/>
            <a:graphic>
              <a:graphicData uri="http://schemas.openxmlformats.org/drawingml/2006/picture">
                <pic:pic>
                  <pic:nvPicPr>
                    <pic:cNvPr id="160" name="IM 160"/>
                    <pic:cNvPicPr/>
                  </pic:nvPicPr>
                  <pic:blipFill>
                    <a:blip r:embed="rId18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7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2" name="IM 162"/>
            <wp:cNvGraphicFramePr/>
            <a:graphic>
              <a:graphicData uri="http://schemas.openxmlformats.org/drawingml/2006/picture">
                <pic:pic>
                  <pic:nvPicPr>
                    <pic:cNvPr id="162" name="IM 162"/>
                    <pic:cNvPicPr/>
                  </pic:nvPicPr>
                  <pic:blipFill>
                    <a:blip r:embed="rId18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4" name="IM 164"/>
            <wp:cNvGraphicFramePr/>
            <a:graphic>
              <a:graphicData uri="http://schemas.openxmlformats.org/drawingml/2006/picture">
                <pic:pic>
                  <pic:nvPicPr>
                    <pic:cNvPr id="164" name="IM 164"/>
                    <pic:cNvPicPr/>
                  </pic:nvPicPr>
                  <pic:blipFill>
                    <a:blip r:embed="rId18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6" name="IM 166"/>
            <wp:cNvGraphicFramePr/>
            <a:graphic>
              <a:graphicData uri="http://schemas.openxmlformats.org/drawingml/2006/picture">
                <pic:pic>
                  <pic:nvPicPr>
                    <pic:cNvPr id="166" name="IM 166"/>
                    <pic:cNvPicPr/>
                  </pic:nvPicPr>
                  <pic:blipFill>
                    <a:blip r:embed="rId18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68" name="IM 168"/>
            <wp:cNvGraphicFramePr/>
            <a:graphic>
              <a:graphicData uri="http://schemas.openxmlformats.org/drawingml/2006/picture">
                <pic:pic>
                  <pic:nvPicPr>
                    <pic:cNvPr id="168" name="IM 168"/>
                    <pic:cNvPicPr/>
                  </pic:nvPicPr>
                  <pic:blipFill>
                    <a:blip r:embed="rId18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70" name="IM 170"/>
            <wp:cNvGraphicFramePr/>
            <a:graphic>
              <a:graphicData uri="http://schemas.openxmlformats.org/drawingml/2006/picture">
                <pic:pic>
                  <pic:nvPicPr>
                    <pic:cNvPr id="170" name="IM 170"/>
                    <pic:cNvPicPr/>
                  </pic:nvPicPr>
                  <pic:blipFill>
                    <a:blip r:embed="rId19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8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72" name="IM 172"/>
            <wp:cNvGraphicFramePr/>
            <a:graphic>
              <a:graphicData uri="http://schemas.openxmlformats.org/drawingml/2006/picture">
                <pic:pic>
                  <pic:nvPicPr>
                    <pic:cNvPr id="172" name="IM 172"/>
                    <pic:cNvPicPr/>
                  </pic:nvPicPr>
                  <pic:blipFill>
                    <a:blip r:embed="rId19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9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74" name="IM 174"/>
            <wp:cNvGraphicFramePr/>
            <a:graphic>
              <a:graphicData uri="http://schemas.openxmlformats.org/drawingml/2006/picture">
                <pic:pic>
                  <pic:nvPicPr>
                    <pic:cNvPr id="174" name="IM 174"/>
                    <pic:cNvPicPr/>
                  </pic:nvPicPr>
                  <pic:blipFill>
                    <a:blip r:embed="rId19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9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76" name="IM 176"/>
            <wp:cNvGraphicFramePr/>
            <a:graphic>
              <a:graphicData uri="http://schemas.openxmlformats.org/drawingml/2006/picture">
                <pic:pic>
                  <pic:nvPicPr>
                    <pic:cNvPr id="176" name="IM 176"/>
                    <pic:cNvPicPr/>
                  </pic:nvPicPr>
                  <pic:blipFill>
                    <a:blip r:embed="rId196"/>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95"/>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78" name="IM 178"/>
            <wp:cNvGraphicFramePr/>
            <a:graphic>
              <a:graphicData uri="http://schemas.openxmlformats.org/drawingml/2006/picture">
                <pic:pic>
                  <pic:nvPicPr>
                    <pic:cNvPr id="178" name="IM 178"/>
                    <pic:cNvPicPr/>
                  </pic:nvPicPr>
                  <pic:blipFill>
                    <a:blip r:embed="rId198"/>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97"/>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80" name="IM 180"/>
            <wp:cNvGraphicFramePr/>
            <a:graphic>
              <a:graphicData uri="http://schemas.openxmlformats.org/drawingml/2006/picture">
                <pic:pic>
                  <pic:nvPicPr>
                    <pic:cNvPr id="180" name="IM 180"/>
                    <pic:cNvPicPr/>
                  </pic:nvPicPr>
                  <pic:blipFill>
                    <a:blip r:embed="rId200"/>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199"/>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82" name="IM 182"/>
            <wp:cNvGraphicFramePr/>
            <a:graphic>
              <a:graphicData uri="http://schemas.openxmlformats.org/drawingml/2006/picture">
                <pic:pic>
                  <pic:nvPicPr>
                    <pic:cNvPr id="182" name="IM 182"/>
                    <pic:cNvPicPr/>
                  </pic:nvPicPr>
                  <pic:blipFill>
                    <a:blip r:embed="rId202"/>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201"/>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08"/>
        <w:spacing w:line="12639" w:lineRule="exact"/>
        <w:rPr/>
      </w:pPr>
      <w:r>
        <w:rPr>
          <w:position w:val="-252"/>
        </w:rPr>
        <w:drawing>
          <wp:inline distT="0" distB="0" distL="0" distR="0">
            <wp:extent cx="4640940" cy="8025532"/>
            <wp:effectExtent l="0" t="0" r="0" b="0"/>
            <wp:docPr id="184" name="IM 184"/>
            <wp:cNvGraphicFramePr/>
            <a:graphic>
              <a:graphicData uri="http://schemas.openxmlformats.org/drawingml/2006/picture">
                <pic:pic>
                  <pic:nvPicPr>
                    <pic:cNvPr id="184" name="IM 184"/>
                    <pic:cNvPicPr/>
                  </pic:nvPicPr>
                  <pic:blipFill>
                    <a:blip r:embed="rId204"/>
                    <a:stretch>
                      <a:fillRect/>
                    </a:stretch>
                  </pic:blipFill>
                  <pic:spPr>
                    <a:xfrm rot="0">
                      <a:off x="0" y="0"/>
                      <a:ext cx="4640940" cy="8025532"/>
                    </a:xfrm>
                    <a:prstGeom prst="rect">
                      <a:avLst/>
                    </a:prstGeom>
                  </pic:spPr>
                </pic:pic>
              </a:graphicData>
            </a:graphic>
          </wp:inline>
        </w:drawing>
      </w:r>
    </w:p>
    <w:p>
      <w:pPr>
        <w:spacing w:line="12639" w:lineRule="exact"/>
        <w:sectPr>
          <w:footerReference w:type="default" r:id="rId203"/>
          <w:pgSz w:w="11900" w:h="16840"/>
          <w:pgMar w:top="642" w:right="600" w:bottom="340" w:left="600" w:header="326" w:footer="111" w:gutter="0"/>
        </w:sectPr>
        <w:rPr/>
      </w:pPr>
    </w:p>
    <w:p>
      <w:pPr>
        <w:spacing w:line="277" w:lineRule="auto"/>
        <w:rPr>
          <w:rFonts w:ascii="Arial"/>
          <w:sz w:val="21"/>
        </w:rPr>
      </w:pPr>
      <w:r/>
    </w:p>
    <w:p>
      <w:pPr>
        <w:spacing w:line="278" w:lineRule="auto"/>
        <w:rPr>
          <w:rFonts w:ascii="Arial"/>
          <w:sz w:val="21"/>
        </w:rPr>
      </w:pPr>
      <w:r/>
    </w:p>
    <w:p>
      <w:pPr>
        <w:ind w:firstLine="1719"/>
        <w:spacing w:line="12088" w:lineRule="exact"/>
        <w:rPr/>
      </w:pPr>
      <w:r>
        <w:rPr>
          <w:position w:val="-241"/>
        </w:rPr>
        <w:drawing>
          <wp:inline distT="0" distB="0" distL="0" distR="0">
            <wp:extent cx="4627211" cy="7675403"/>
            <wp:effectExtent l="0" t="0" r="0" b="0"/>
            <wp:docPr id="186" name="IM 186"/>
            <wp:cNvGraphicFramePr/>
            <a:graphic>
              <a:graphicData uri="http://schemas.openxmlformats.org/drawingml/2006/picture">
                <pic:pic>
                  <pic:nvPicPr>
                    <pic:cNvPr id="186" name="IM 186"/>
                    <pic:cNvPicPr/>
                  </pic:nvPicPr>
                  <pic:blipFill>
                    <a:blip r:embed="rId206"/>
                    <a:stretch>
                      <a:fillRect/>
                    </a:stretch>
                  </pic:blipFill>
                  <pic:spPr>
                    <a:xfrm rot="0">
                      <a:off x="0" y="0"/>
                      <a:ext cx="4627211" cy="7675403"/>
                    </a:xfrm>
                    <a:prstGeom prst="rect">
                      <a:avLst/>
                    </a:prstGeom>
                  </pic:spPr>
                </pic:pic>
              </a:graphicData>
            </a:graphic>
          </wp:inline>
        </w:drawing>
      </w:r>
    </w:p>
    <w:p>
      <w:pPr>
        <w:spacing w:line="12088" w:lineRule="exact"/>
        <w:sectPr>
          <w:footerReference w:type="default" r:id="rId205"/>
          <w:pgSz w:w="11900" w:h="16840"/>
          <w:pgMar w:top="642" w:right="600" w:bottom="340" w:left="600" w:header="326" w:footer="110" w:gutter="0"/>
        </w:sectPr>
        <w:rPr/>
      </w:pPr>
    </w:p>
    <w:p>
      <w:pPr>
        <w:spacing w:line="269" w:lineRule="auto"/>
        <w:rPr>
          <w:rFonts w:ascii="Arial"/>
          <w:sz w:val="21"/>
        </w:rPr>
      </w:pPr>
      <w:r/>
    </w:p>
    <w:p>
      <w:pPr>
        <w:spacing w:line="270" w:lineRule="auto"/>
        <w:rPr>
          <w:rFonts w:ascii="Arial"/>
          <w:sz w:val="21"/>
        </w:rPr>
      </w:pPr>
      <w:r/>
    </w:p>
    <w:p>
      <w:pPr>
        <w:ind w:left="4386"/>
        <w:spacing w:before="94" w:line="228" w:lineRule="exact"/>
        <w:outlineLvl w:val="0"/>
        <w:rPr>
          <w:rFonts w:ascii="Microsoft YaHei" w:hAnsi="Microsoft YaHei" w:eastAsia="Microsoft YaHei" w:cs="Microsoft YaHei"/>
          <w:sz w:val="22"/>
          <w:szCs w:val="22"/>
        </w:rPr>
      </w:pPr>
      <w:bookmarkStart w:name="bookmark34" w:id="51"/>
      <w:bookmarkEnd w:id="51"/>
      <w:r>
        <w:rPr>
          <w:rFonts w:ascii="Microsoft YaHei" w:hAnsi="Microsoft YaHei" w:eastAsia="Microsoft YaHei" w:cs="Microsoft YaHei"/>
          <w:sz w:val="22"/>
          <w:szCs w:val="22"/>
          <w:spacing w:val="15"/>
          <w:position w:val="-1"/>
        </w:rPr>
        <w:t>第四部分</w:t>
      </w:r>
      <w:r>
        <w:rPr>
          <w:rFonts w:ascii="Microsoft YaHei" w:hAnsi="Microsoft YaHei" w:eastAsia="Microsoft YaHei" w:cs="Microsoft YaHei"/>
          <w:sz w:val="22"/>
          <w:szCs w:val="22"/>
          <w:spacing w:val="15"/>
          <w:position w:val="-1"/>
        </w:rPr>
        <w:t xml:space="preserve"> </w:t>
      </w:r>
      <w:r>
        <w:rPr>
          <w:rFonts w:ascii="Microsoft YaHei" w:hAnsi="Microsoft YaHei" w:eastAsia="Microsoft YaHei" w:cs="Microsoft YaHei"/>
          <w:sz w:val="22"/>
          <w:szCs w:val="22"/>
          <w:spacing w:val="15"/>
          <w:position w:val="-1"/>
        </w:rPr>
        <w:t>名词解释</w:t>
      </w:r>
    </w:p>
    <w:p>
      <w:pPr>
        <w:ind w:left="687" w:right="623" w:firstLine="435"/>
        <w:spacing w:before="307" w:line="325" w:lineRule="auto"/>
        <w:rPr>
          <w:rFonts w:ascii="FangSong" w:hAnsi="FangSong" w:eastAsia="FangSong" w:cs="FangSong"/>
          <w:sz w:val="23"/>
          <w:szCs w:val="23"/>
        </w:rPr>
      </w:pPr>
      <w:r>
        <w:rPr>
          <w:rFonts w:ascii="SimHei" w:hAnsi="SimHei" w:eastAsia="SimHei" w:cs="SimHei"/>
          <w:sz w:val="23"/>
          <w:szCs w:val="23"/>
          <w:spacing w:val="6"/>
        </w:rPr>
        <w:t>一、基本支出：</w:t>
      </w:r>
      <w:r>
        <w:rPr>
          <w:rFonts w:ascii="FangSong" w:hAnsi="FangSong" w:eastAsia="FangSong" w:cs="FangSong"/>
          <w:sz w:val="23"/>
          <w:szCs w:val="23"/>
          <w:spacing w:val="6"/>
        </w:rPr>
        <w:t>指为保障机构正常运转、完成日常</w:t>
      </w:r>
      <w:r>
        <w:rPr>
          <w:rFonts w:ascii="FangSong" w:hAnsi="FangSong" w:eastAsia="FangSong" w:cs="FangSong"/>
          <w:sz w:val="23"/>
          <w:szCs w:val="23"/>
          <w:spacing w:val="5"/>
        </w:rPr>
        <w:t>工作任务而发生的人员支出和公用支</w:t>
      </w:r>
      <w:r>
        <w:rPr>
          <w:rFonts w:ascii="FangSong" w:hAnsi="FangSong" w:eastAsia="FangSong" w:cs="FangSong"/>
          <w:sz w:val="23"/>
          <w:szCs w:val="23"/>
          <w:spacing w:val="-20"/>
        </w:rPr>
        <w:t>出。</w:t>
      </w:r>
    </w:p>
    <w:p>
      <w:pPr>
        <w:ind w:left="1122"/>
        <w:spacing w:before="1" w:line="219" w:lineRule="auto"/>
        <w:rPr>
          <w:rFonts w:ascii="FangSong" w:hAnsi="FangSong" w:eastAsia="FangSong" w:cs="FangSong"/>
          <w:sz w:val="23"/>
          <w:szCs w:val="23"/>
        </w:rPr>
      </w:pPr>
      <w:r>
        <w:rPr>
          <w:rFonts w:ascii="SimHei" w:hAnsi="SimHei" w:eastAsia="SimHei" w:cs="SimHei"/>
          <w:sz w:val="23"/>
          <w:szCs w:val="23"/>
        </w:rPr>
        <w:t>二、项目支出：</w:t>
      </w:r>
      <w:r>
        <w:rPr>
          <w:rFonts w:ascii="FangSong" w:hAnsi="FangSong" w:eastAsia="FangSong" w:cs="FangSong"/>
          <w:sz w:val="23"/>
          <w:szCs w:val="23"/>
        </w:rPr>
        <w:t>指在基本支出之外为完成特定行政任务和事业发展目标所发生的支出。</w:t>
      </w:r>
    </w:p>
    <w:p>
      <w:pPr>
        <w:ind w:left="666" w:right="623" w:firstLine="456"/>
        <w:spacing w:before="128" w:line="307" w:lineRule="auto"/>
        <w:rPr>
          <w:rFonts w:ascii="FangSong" w:hAnsi="FangSong" w:eastAsia="FangSong" w:cs="FangSong"/>
          <w:sz w:val="23"/>
          <w:szCs w:val="23"/>
        </w:rPr>
      </w:pPr>
      <w:r>
        <w:rPr>
          <w:rFonts w:ascii="SimHei" w:hAnsi="SimHei" w:eastAsia="SimHei" w:cs="SimHei"/>
          <w:sz w:val="23"/>
          <w:szCs w:val="23"/>
          <w:spacing w:val="6"/>
        </w:rPr>
        <w:t>三、“三公”经费：</w:t>
      </w:r>
      <w:r>
        <w:rPr>
          <w:rFonts w:ascii="FangSong" w:hAnsi="FangSong" w:eastAsia="FangSong" w:cs="FangSong"/>
          <w:sz w:val="23"/>
          <w:szCs w:val="23"/>
          <w:spacing w:val="6"/>
        </w:rPr>
        <w:t>指省直部门用财政拨款安排</w:t>
      </w:r>
      <w:r>
        <w:rPr>
          <w:rFonts w:ascii="FangSong" w:hAnsi="FangSong" w:eastAsia="FangSong" w:cs="FangSong"/>
          <w:sz w:val="23"/>
          <w:szCs w:val="23"/>
          <w:spacing w:val="5"/>
        </w:rPr>
        <w:t>的因公出国（境）费用、公务用车购置</w:t>
      </w:r>
      <w:r>
        <w:rPr>
          <w:rFonts w:ascii="FangSong" w:hAnsi="FangSong" w:eastAsia="FangSong" w:cs="FangSong"/>
          <w:sz w:val="23"/>
          <w:szCs w:val="23"/>
          <w:spacing w:val="4"/>
        </w:rPr>
        <w:t>及运行费和公务接待费。其中：</w:t>
      </w:r>
      <w:r>
        <w:rPr>
          <w:rFonts w:ascii="FangSong" w:hAnsi="FangSong" w:eastAsia="FangSong" w:cs="FangSong"/>
          <w:sz w:val="23"/>
          <w:szCs w:val="23"/>
          <w:spacing w:val="-65"/>
        </w:rPr>
        <w:t xml:space="preserve"> </w:t>
      </w:r>
      <w:r>
        <w:rPr>
          <w:rFonts w:ascii="FangSong" w:hAnsi="FangSong" w:eastAsia="FangSong" w:cs="FangSong"/>
          <w:sz w:val="23"/>
          <w:szCs w:val="23"/>
          <w:spacing w:val="4"/>
        </w:rPr>
        <w:t>因公出国（境）费用反映单位公务出国（境）的国际旅</w:t>
      </w:r>
      <w:r>
        <w:rPr>
          <w:rFonts w:ascii="FangSong" w:hAnsi="FangSong" w:eastAsia="FangSong" w:cs="FangSong"/>
          <w:sz w:val="23"/>
          <w:szCs w:val="23"/>
          <w:spacing w:val="3"/>
        </w:rPr>
        <w:t>费、</w:t>
      </w:r>
      <w:r>
        <w:rPr>
          <w:rFonts w:ascii="FangSong" w:hAnsi="FangSong" w:eastAsia="FangSong" w:cs="FangSong"/>
          <w:sz w:val="23"/>
          <w:szCs w:val="23"/>
          <w:spacing w:val="5"/>
        </w:rPr>
        <w:t>国外城市间交通费、住宿费、伙食费、培训费、公杂费等支出；公务用车购置费反映公务用</w:t>
      </w:r>
      <w:r>
        <w:rPr>
          <w:rFonts w:ascii="FangSong" w:hAnsi="FangSong" w:eastAsia="FangSong" w:cs="FangSong"/>
          <w:sz w:val="23"/>
          <w:szCs w:val="23"/>
          <w:spacing w:val="5"/>
        </w:rPr>
        <w:t>车购置支出（含车辆购置税、牌照费</w:t>
      </w:r>
      <w:r>
        <w:rPr>
          <w:rFonts w:ascii="FangSong" w:hAnsi="FangSong" w:eastAsia="FangSong" w:cs="FangSong"/>
          <w:sz w:val="23"/>
          <w:szCs w:val="23"/>
          <w:spacing w:val="18"/>
        </w:rPr>
        <w:t>）；</w:t>
      </w:r>
      <w:r>
        <w:rPr>
          <w:rFonts w:ascii="FangSong" w:hAnsi="FangSong" w:eastAsia="FangSong" w:cs="FangSong"/>
          <w:sz w:val="23"/>
          <w:szCs w:val="23"/>
          <w:spacing w:val="5"/>
        </w:rPr>
        <w:t>公务用</w:t>
      </w:r>
      <w:r>
        <w:rPr>
          <w:rFonts w:ascii="FangSong" w:hAnsi="FangSong" w:eastAsia="FangSong" w:cs="FangSong"/>
          <w:sz w:val="23"/>
          <w:szCs w:val="23"/>
          <w:spacing w:val="4"/>
        </w:rPr>
        <w:t>车运行维护费反映单位按规定保留的公务用</w:t>
      </w:r>
      <w:r>
        <w:rPr>
          <w:rFonts w:ascii="FangSong" w:hAnsi="FangSong" w:eastAsia="FangSong" w:cs="FangSong"/>
          <w:sz w:val="23"/>
          <w:szCs w:val="23"/>
          <w:spacing w:val="5"/>
        </w:rPr>
        <w:t>车燃料费、维修费、过路过桥费、保险费、安全奖励费用等支出；公务接待费反映机关和参</w:t>
      </w:r>
      <w:r>
        <w:rPr>
          <w:rFonts w:ascii="FangSong" w:hAnsi="FangSong" w:eastAsia="FangSong" w:cs="FangSong"/>
          <w:sz w:val="23"/>
          <w:szCs w:val="23"/>
        </w:rPr>
        <w:t>公事业单位按规定开支的各类公务接待（含外宾接待</w:t>
      </w:r>
      <w:r>
        <w:rPr>
          <w:rFonts w:ascii="FangSong" w:hAnsi="FangSong" w:eastAsia="FangSong" w:cs="FangSong"/>
          <w:sz w:val="23"/>
          <w:szCs w:val="23"/>
          <w:spacing w:val="-1"/>
        </w:rPr>
        <w:t>）支出。</w:t>
      </w:r>
    </w:p>
    <w:p>
      <w:pPr>
        <w:ind w:left="664" w:right="623" w:firstLine="467"/>
        <w:spacing w:before="125" w:line="276" w:lineRule="auto"/>
        <w:rPr>
          <w:rFonts w:ascii="FangSong" w:hAnsi="FangSong" w:eastAsia="FangSong" w:cs="FangSong"/>
          <w:sz w:val="23"/>
          <w:szCs w:val="23"/>
        </w:rPr>
      </w:pPr>
      <w:r>
        <w:rPr>
          <w:rFonts w:ascii="SimHei" w:hAnsi="SimHei" w:eastAsia="SimHei" w:cs="SimHei"/>
          <w:sz w:val="23"/>
          <w:szCs w:val="23"/>
          <w:spacing w:val="5"/>
        </w:rPr>
        <w:t>四、机关运行经费：</w:t>
      </w:r>
      <w:r>
        <w:rPr>
          <w:rFonts w:ascii="FangSong" w:hAnsi="FangSong" w:eastAsia="FangSong" w:cs="FangSong"/>
          <w:sz w:val="23"/>
          <w:szCs w:val="23"/>
          <w:spacing w:val="5"/>
        </w:rPr>
        <w:t>指行政单位和参照公务员法管理的事业单位使用财政拨款安排的基</w:t>
      </w:r>
      <w:r>
        <w:rPr>
          <w:rFonts w:ascii="FangSong" w:hAnsi="FangSong" w:eastAsia="FangSong" w:cs="FangSong"/>
          <w:sz w:val="23"/>
          <w:szCs w:val="23"/>
          <w:spacing w:val="-1"/>
        </w:rPr>
        <w:t>本支出中的公用经费支出。</w:t>
      </w:r>
    </w:p>
    <w:p>
      <w:pPr>
        <w:ind w:left="663" w:right="623" w:firstLine="461"/>
        <w:spacing w:before="124" w:line="298" w:lineRule="auto"/>
        <w:rPr>
          <w:rFonts w:ascii="FangSong" w:hAnsi="FangSong" w:eastAsia="FangSong" w:cs="FangSong"/>
          <w:sz w:val="23"/>
          <w:szCs w:val="23"/>
        </w:rPr>
      </w:pPr>
      <w:r>
        <w:rPr>
          <w:rFonts w:ascii="SimHei" w:hAnsi="SimHei" w:eastAsia="SimHei" w:cs="SimHei"/>
          <w:sz w:val="23"/>
          <w:szCs w:val="23"/>
          <w:spacing w:val="6"/>
        </w:rPr>
        <w:t>五、政府购买服务：</w:t>
      </w:r>
      <w:r>
        <w:rPr>
          <w:rFonts w:ascii="FangSong" w:hAnsi="FangSong" w:eastAsia="FangSong" w:cs="FangSong"/>
          <w:sz w:val="23"/>
          <w:szCs w:val="23"/>
          <w:spacing w:val="6"/>
        </w:rPr>
        <w:t>根据我国现行政策规定，</w:t>
      </w:r>
      <w:r>
        <w:rPr>
          <w:rFonts w:ascii="FangSong" w:hAnsi="FangSong" w:eastAsia="FangSong" w:cs="FangSong"/>
          <w:sz w:val="23"/>
          <w:szCs w:val="23"/>
          <w:spacing w:val="5"/>
        </w:rPr>
        <w:t>政府购买服务，是指充分发挥市场机制作</w:t>
      </w:r>
      <w:r>
        <w:rPr>
          <w:rFonts w:ascii="FangSong" w:hAnsi="FangSong" w:eastAsia="FangSong" w:cs="FangSong"/>
          <w:sz w:val="23"/>
          <w:szCs w:val="23"/>
          <w:spacing w:val="5"/>
        </w:rPr>
        <w:t>用，将国家机关属于自身职责范围且适合通过市场化方式提供的服务事项，按照政府采购方</w:t>
      </w:r>
      <w:r>
        <w:rPr>
          <w:rFonts w:ascii="FangSong" w:hAnsi="FangSong" w:eastAsia="FangSong" w:cs="FangSong"/>
          <w:sz w:val="23"/>
          <w:szCs w:val="23"/>
          <w:spacing w:val="5"/>
        </w:rPr>
        <w:t>式和程序，交由符合条件的服务供应商承担，并根据服务数量和质量等情况向其支付费用的</w:t>
      </w:r>
      <w:r>
        <w:rPr>
          <w:rFonts w:ascii="FangSong" w:hAnsi="FangSong" w:eastAsia="FangSong" w:cs="FangSong"/>
          <w:sz w:val="23"/>
          <w:szCs w:val="23"/>
          <w:spacing w:val="-5"/>
        </w:rPr>
        <w:t>行为。</w:t>
      </w:r>
    </w:p>
    <w:p>
      <w:pPr>
        <w:ind w:left="1126"/>
        <w:spacing w:before="125" w:line="222" w:lineRule="auto"/>
        <w:rPr>
          <w:rFonts w:ascii="SimHei" w:hAnsi="SimHei" w:eastAsia="SimHei" w:cs="SimHei"/>
          <w:sz w:val="23"/>
          <w:szCs w:val="23"/>
        </w:rPr>
      </w:pPr>
      <w:r>
        <w:rPr>
          <w:rFonts w:ascii="SimHei" w:hAnsi="SimHei" w:eastAsia="SimHei" w:cs="SimHei"/>
          <w:sz w:val="23"/>
          <w:szCs w:val="23"/>
          <w:spacing w:val="-1"/>
        </w:rPr>
        <w:t>六、财政专户管理资金：</w:t>
      </w:r>
    </w:p>
    <w:p>
      <w:pPr>
        <w:ind w:left="669" w:right="671" w:firstLine="458"/>
        <w:spacing w:before="165" w:line="322" w:lineRule="auto"/>
        <w:rPr>
          <w:rFonts w:ascii="FangSong" w:hAnsi="FangSong" w:eastAsia="FangSong" w:cs="FangSong"/>
          <w:sz w:val="23"/>
          <w:szCs w:val="23"/>
        </w:rPr>
      </w:pPr>
      <w:r>
        <w:rPr>
          <w:rFonts w:ascii="FangSong" w:hAnsi="FangSong" w:eastAsia="FangSong" w:cs="FangSong"/>
          <w:sz w:val="23"/>
          <w:szCs w:val="23"/>
          <w:spacing w:val="4"/>
        </w:rPr>
        <w:t>专指教育收费，包括目前在财政专户管理的高中以上学费、住宿费，高校委托培养费，</w:t>
      </w:r>
      <w:r>
        <w:rPr>
          <w:rFonts w:ascii="FangSong" w:hAnsi="FangSong" w:eastAsia="FangSong" w:cs="FangSong"/>
          <w:sz w:val="23"/>
          <w:szCs w:val="23"/>
        </w:rPr>
        <w:t>党校收费，教育考试考务费，函大、电大、夜大及短训班</w:t>
      </w:r>
      <w:r>
        <w:rPr>
          <w:rFonts w:ascii="FangSong" w:hAnsi="FangSong" w:eastAsia="FangSong" w:cs="FangSong"/>
          <w:sz w:val="23"/>
          <w:szCs w:val="23"/>
          <w:spacing w:val="-1"/>
        </w:rPr>
        <w:t>培训费等。</w:t>
      </w:r>
    </w:p>
    <w:p>
      <w:pPr>
        <w:ind w:left="663" w:right="660" w:firstLine="454"/>
        <w:spacing w:before="30" w:line="276" w:lineRule="auto"/>
        <w:rPr>
          <w:rFonts w:ascii="FangSong" w:hAnsi="FangSong" w:eastAsia="FangSong" w:cs="FangSong"/>
          <w:sz w:val="23"/>
          <w:szCs w:val="23"/>
        </w:rPr>
      </w:pPr>
      <w:r>
        <w:rPr>
          <w:rFonts w:ascii="SimHei" w:hAnsi="SimHei" w:eastAsia="SimHei" w:cs="SimHei"/>
          <w:sz w:val="23"/>
          <w:szCs w:val="23"/>
          <w:spacing w:val="5"/>
        </w:rPr>
        <w:t>七、单位资金：</w:t>
      </w:r>
      <w:r>
        <w:rPr>
          <w:rFonts w:ascii="FangSong" w:hAnsi="FangSong" w:eastAsia="FangSong" w:cs="FangSong"/>
          <w:sz w:val="23"/>
          <w:szCs w:val="23"/>
          <w:spacing w:val="5"/>
        </w:rPr>
        <w:t>是指除政府预算资金和财政专户管理资金以外的</w:t>
      </w:r>
      <w:r>
        <w:rPr>
          <w:rFonts w:ascii="FangSong" w:hAnsi="FangSong" w:eastAsia="FangSong" w:cs="FangSong"/>
          <w:sz w:val="23"/>
          <w:szCs w:val="23"/>
          <w:spacing w:val="4"/>
        </w:rPr>
        <w:t>资金，包括事业收入、</w:t>
      </w:r>
      <w:r>
        <w:rPr>
          <w:rFonts w:ascii="FangSong" w:hAnsi="FangSong" w:eastAsia="FangSong" w:cs="FangSong"/>
          <w:sz w:val="23"/>
          <w:szCs w:val="23"/>
        </w:rPr>
        <w:t>事业单位经营收入、上级补助收入、附属单位上缴收入、其他收入。</w:t>
      </w:r>
    </w:p>
    <w:p>
      <w:pPr>
        <w:ind w:left="1118"/>
        <w:spacing w:before="125" w:line="219" w:lineRule="auto"/>
        <w:rPr>
          <w:rFonts w:ascii="FangSong" w:hAnsi="FangSong" w:eastAsia="FangSong" w:cs="FangSong"/>
          <w:sz w:val="23"/>
          <w:szCs w:val="23"/>
        </w:rPr>
      </w:pPr>
      <w:r>
        <w:rPr>
          <w:rFonts w:ascii="SimHei" w:hAnsi="SimHei" w:eastAsia="SimHei" w:cs="SimHei"/>
          <w:sz w:val="23"/>
          <w:szCs w:val="23"/>
        </w:rPr>
        <w:t>八、上年结转：</w:t>
      </w:r>
      <w:r>
        <w:rPr>
          <w:rFonts w:ascii="FangSong" w:hAnsi="FangSong" w:eastAsia="FangSong" w:cs="FangSong"/>
          <w:sz w:val="23"/>
          <w:szCs w:val="23"/>
        </w:rPr>
        <w:t>指以前年度预算安排、结转到本年仍按原规定用途继续使用的资金。</w:t>
      </w:r>
    </w:p>
    <w:p>
      <w:pPr>
        <w:ind w:left="665" w:right="623" w:firstLine="458"/>
        <w:spacing w:before="128" w:line="274" w:lineRule="auto"/>
        <w:rPr>
          <w:rFonts w:ascii="FangSong" w:hAnsi="FangSong" w:eastAsia="FangSong" w:cs="FangSong"/>
          <w:sz w:val="23"/>
          <w:szCs w:val="23"/>
        </w:rPr>
      </w:pPr>
      <w:r>
        <w:rPr>
          <w:rFonts w:ascii="SimHei" w:hAnsi="SimHei" w:eastAsia="SimHei" w:cs="SimHei"/>
          <w:sz w:val="23"/>
          <w:szCs w:val="23"/>
          <w:spacing w:val="6"/>
        </w:rPr>
        <w:t>九、一般公共预算：</w:t>
      </w:r>
      <w:r>
        <w:rPr>
          <w:rFonts w:ascii="FangSong" w:hAnsi="FangSong" w:eastAsia="FangSong" w:cs="FangSong"/>
          <w:sz w:val="23"/>
          <w:szCs w:val="23"/>
          <w:spacing w:val="6"/>
        </w:rPr>
        <w:t>是指以税收为主体的财政</w:t>
      </w:r>
      <w:r>
        <w:rPr>
          <w:rFonts w:ascii="FangSong" w:hAnsi="FangSong" w:eastAsia="FangSong" w:cs="FangSong"/>
          <w:sz w:val="23"/>
          <w:szCs w:val="23"/>
          <w:spacing w:val="5"/>
        </w:rPr>
        <w:t>收入，安排用于保障和改善民生、推动经</w:t>
      </w:r>
      <w:r>
        <w:rPr>
          <w:rFonts w:ascii="FangSong" w:hAnsi="FangSong" w:eastAsia="FangSong" w:cs="FangSong"/>
          <w:sz w:val="23"/>
          <w:szCs w:val="23"/>
        </w:rPr>
        <w:t>济社会发展、维护国家安全、维持国家机构正常运转等方面的收支预算。</w:t>
      </w:r>
    </w:p>
    <w:p>
      <w:pPr>
        <w:ind w:left="676" w:right="660" w:firstLine="445"/>
        <w:spacing w:before="126" w:line="272" w:lineRule="auto"/>
        <w:rPr>
          <w:rFonts w:ascii="FangSong" w:hAnsi="FangSong" w:eastAsia="FangSong" w:cs="FangSong"/>
          <w:sz w:val="23"/>
          <w:szCs w:val="23"/>
        </w:rPr>
      </w:pPr>
      <w:r>
        <w:rPr>
          <w:rFonts w:ascii="SimHei" w:hAnsi="SimHei" w:eastAsia="SimHei" w:cs="SimHei"/>
          <w:sz w:val="23"/>
          <w:szCs w:val="23"/>
          <w:spacing w:val="5"/>
        </w:rPr>
        <w:t>十、政府性基金预算：</w:t>
      </w:r>
      <w:r>
        <w:rPr>
          <w:rFonts w:ascii="FangSong" w:hAnsi="FangSong" w:eastAsia="FangSong" w:cs="FangSong"/>
          <w:sz w:val="23"/>
          <w:szCs w:val="23"/>
          <w:spacing w:val="5"/>
        </w:rPr>
        <w:t>是对依照法律、行政法规的规定</w:t>
      </w:r>
      <w:r>
        <w:rPr>
          <w:rFonts w:ascii="FangSong" w:hAnsi="FangSong" w:eastAsia="FangSong" w:cs="FangSong"/>
          <w:sz w:val="23"/>
          <w:szCs w:val="23"/>
          <w:spacing w:val="4"/>
        </w:rPr>
        <w:t>在一定期限内向特定对象征收、</w:t>
      </w:r>
      <w:r>
        <w:rPr>
          <w:rFonts w:ascii="FangSong" w:hAnsi="FangSong" w:eastAsia="FangSong" w:cs="FangSong"/>
          <w:sz w:val="23"/>
          <w:szCs w:val="23"/>
        </w:rPr>
        <w:t>收取或者以其他方式筹集的资金，专项用于特定公</w:t>
      </w:r>
      <w:r>
        <w:rPr>
          <w:rFonts w:ascii="FangSong" w:hAnsi="FangSong" w:eastAsia="FangSong" w:cs="FangSong"/>
          <w:sz w:val="23"/>
          <w:szCs w:val="23"/>
          <w:spacing w:val="-1"/>
        </w:rPr>
        <w:t>共事业发展的收支预算。</w:t>
      </w:r>
    </w:p>
    <w:p>
      <w:pPr>
        <w:ind w:left="1121"/>
        <w:spacing w:before="134" w:line="221" w:lineRule="auto"/>
        <w:rPr>
          <w:rFonts w:ascii="FangSong" w:hAnsi="FangSong" w:eastAsia="FangSong" w:cs="FangSong"/>
          <w:sz w:val="23"/>
          <w:szCs w:val="23"/>
        </w:rPr>
      </w:pPr>
      <w:r>
        <w:rPr>
          <w:rFonts w:ascii="SimHei" w:hAnsi="SimHei" w:eastAsia="SimHei" w:cs="SimHei"/>
          <w:sz w:val="23"/>
          <w:szCs w:val="23"/>
        </w:rPr>
        <w:t>十一、国有资本经营预算：</w:t>
      </w:r>
      <w:r>
        <w:rPr>
          <w:rFonts w:ascii="FangSong" w:hAnsi="FangSong" w:eastAsia="FangSong" w:cs="FangSong"/>
          <w:sz w:val="23"/>
          <w:szCs w:val="23"/>
        </w:rPr>
        <w:t>是对国有资本收益作出支出安排的收支预算。</w:t>
      </w:r>
    </w:p>
    <w:p>
      <w:pPr>
        <w:ind w:left="1121"/>
        <w:spacing w:before="124" w:line="221" w:lineRule="auto"/>
        <w:rPr>
          <w:rFonts w:ascii="FangSong" w:hAnsi="FangSong" w:eastAsia="FangSong" w:cs="FangSong"/>
          <w:sz w:val="23"/>
          <w:szCs w:val="23"/>
        </w:rPr>
      </w:pPr>
      <w:r>
        <w:rPr>
          <w:rFonts w:ascii="SimHei" w:hAnsi="SimHei" w:eastAsia="SimHei" w:cs="SimHei"/>
          <w:sz w:val="23"/>
          <w:szCs w:val="23"/>
        </w:rPr>
        <w:t>十二、财政拨款：</w:t>
      </w:r>
      <w:r>
        <w:rPr>
          <w:rFonts w:ascii="FangSong" w:hAnsi="FangSong" w:eastAsia="FangSong" w:cs="FangSong"/>
          <w:sz w:val="23"/>
          <w:szCs w:val="23"/>
        </w:rPr>
        <w:t>包含一般公共预算、政府性基金预算、国有资本经营预算。</w:t>
      </w:r>
    </w:p>
    <w:sectPr>
      <w:footerReference w:type="default" r:id="rId207"/>
      <w:pgSz w:w="11900" w:h="16840"/>
      <w:pgMar w:top="642" w:right="600" w:bottom="340" w:left="600" w:header="326" w:footer="110"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default"/>
    <w:sig w:usb0="00000003" w:usb1="288F0000" w:usb2="00000006"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altName w:val="SimHei"/>
    <w:panose1 w:val="02010609060101010101"/>
    <w:charset w:val="86"/>
    <w:family w:val="auto"/>
    <w:pitch w:val="default"/>
    <w:sig w:usb0="800002BF" w:usb1="38CF7CFA" w:usb2="00000016" w:usb3="00000000" w:csb0="00040001" w:csb1="0000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 w:name="FangSong">
    <w:panose1 w:val="02010609060101010101"/>
    <w:charset w:val="86"/>
    <w:family w:val="auto"/>
    <w:pitch w:val="default"/>
    <w:sig w:usb0="800002BF" w:usb1="38CF7CFA" w:usb2="00000016" w:usb3="00000000" w:csb0="00040001" w:csb1="00000000"/>
  </w:font>
  <w:font w:name="Microsoft YaHei">
    <w:panose1 w:val="020B0503020204020204"/>
    <w:charset w:val="86"/>
    <w:family w:val="auto"/>
    <w:pitch w:val="variable"/>
    <w:sig w:usb0="80000287" w:usb1="2ACF3C50" w:usb2="00000016" w:usb3="00000000" w:csb0="0004001F"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-1-</w:t>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-10-</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-100-</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-101-</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-102-</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-103-</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-104-</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-105-</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-106-</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-107-</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-108-</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bookmarkStart w:name="bookmark48" w:id="50"/>
    <w:bookmarkEnd w:id="50"/>
    <w:r>
      <w:rPr>
        <w:sz w:val="16"/>
        <w:szCs w:val="16"/>
        <w:spacing w:val="-9"/>
        <w:position w:val="1"/>
      </w:rPr>
      <w:t>-109-</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-11-</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9"/>
        <w:position w:val="1"/>
      </w:rPr>
      <w:t>-110-</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position w:val="1"/>
      </w:rPr>
      <w:t>-111-</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position w:val="1"/>
      </w:rPr>
      <w:t>-112-</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-12-</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-13-</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-14-</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-15-</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-16-</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-17-</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-18-</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-19-</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2"/>
        <w:position w:val="1"/>
      </w:rPr>
      <w:t>-2-</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-20-</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-21-</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-22-</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-23-</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-24-</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-25-</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-26-</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-27-</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-28-</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-29-</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-3-</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-30-</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-31-</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-32-</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-33-</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-34-</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-35-</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-36-</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-37-</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-38-</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-39-</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9"/>
        <w:w w:val="96"/>
        <w:position w:val="1"/>
      </w:rPr>
      <w:t>-4-</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-40-</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-41-</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-42-</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-43-</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20" w:lineRule="exact"/>
      <w:rPr>
        <w:sz w:val="16"/>
        <w:szCs w:val="16"/>
      </w:rPr>
    </w:pPr>
    <w:r>
      <w:rPr>
        <w:sz w:val="16"/>
        <w:szCs w:val="16"/>
        <w:spacing w:val="-10"/>
        <w:position w:val="1"/>
      </w:rPr>
      <w:t>-44-</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-45-</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-46-</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-47-</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-48-</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-49-</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2"/>
        <w:position w:val="1"/>
      </w:rPr>
      <w:t>-5-</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bookmarkStart w:name="bookmark47" w:id="45"/>
    <w:bookmarkEnd w:id="45"/>
    <w:r>
      <w:rPr>
        <w:sz w:val="16"/>
        <w:szCs w:val="16"/>
        <w:spacing w:val="-10"/>
        <w:position w:val="1"/>
      </w:rPr>
      <w:t>-50-</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-51-</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-52-</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-53-</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-54-</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-55-</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-56-</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-57-</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-58-</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-59-</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7687"/>
      <w:spacing w:line="219" w:lineRule="exact"/>
      <w:rPr>
        <w:sz w:val="16"/>
        <w:szCs w:val="16"/>
      </w:rPr>
    </w:pPr>
    <w:r>
      <w:rPr>
        <w:sz w:val="16"/>
        <w:szCs w:val="16"/>
        <w:spacing w:val="-11"/>
        <w:w w:val="98"/>
        <w:position w:val="1"/>
      </w:rPr>
      <w:t>-6-</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-60-</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-61-</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-62-</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-63-</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-64-</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-65-</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-66-</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-67-</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-68-</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-69-</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2"/>
        <w:position w:val="1"/>
      </w:rPr>
      <w:t>-7-</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-70-</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-71-</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-72-</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-73-</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-74-</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-75-</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-76-</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-77-</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-78-</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-79-</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-8-</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-80-</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-81-</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-82-</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-83-</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-84-</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-85-</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-86-</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-87-</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-88-</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-89-</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1"/>
        <w:w w:val="98"/>
        <w:position w:val="1"/>
      </w:rPr>
      <w:t>-9-</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-90-</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-91-</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-92-</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-93-</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-94-</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-95-</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-96-</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-97-</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-98-</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5287"/>
      <w:spacing w:line="219" w:lineRule="exact"/>
      <w:rPr>
        <w:sz w:val="16"/>
        <w:szCs w:val="16"/>
      </w:rPr>
    </w:pPr>
    <w:r>
      <w:rPr>
        <w:sz w:val="16"/>
        <w:szCs w:val="16"/>
        <w:spacing w:val="-10"/>
        <w:position w:val="1"/>
      </w:rPr>
      <w:t>-99-</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2" style="position:absolute;margin-left:30pt;margin-top:29.5pt;mso-position-vertical-relative:page;mso-position-horizontal-relative:page;width:535pt;height:1pt;z-index:251658240;" o:allowincell="f" filled="false" strokecolor="#646464" strokeweight="1.00pt" coordsize="10700,20" coordorigin="0,0" path="m0,10l10700,10e">
          <v:stroke joinstyle="miter" miterlimit="10"/>
        </v:shape>
      </w:pict>
    </w:r>
    <w:r>
      <w:rPr>
        <w:sz w:val="16"/>
        <w:szCs w:val="16"/>
        <w:spacing w:val="-1"/>
        <w:position w:val="1"/>
      </w:rPr>
      <w:t>兴县园林事业发展服务中心2025年部门</w:t>
    </w:r>
    <w:r>
      <w:rPr>
        <w:sz w:val="16"/>
        <w:szCs w:val="16"/>
        <w:spacing w:val="-2"/>
        <w:position w:val="1"/>
      </w:rPr>
      <w:t>预算公开报告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ind w:left="46"/>
      <w:spacing w:before="32" w:line="210" w:lineRule="exact"/>
      <w:rPr>
        <w:sz w:val="16"/>
        <w:szCs w:val="16"/>
      </w:rPr>
    </w:pPr>
    <w:r>
      <w:pict>
        <v:shape id="_x0000_s4" style="position:absolute;margin-left:30pt;margin-top:29.5pt;mso-position-vertical-relative:page;mso-position-horizontal-relative:page;width:782pt;height:1pt;z-index:251662336;" o:allowincell="f" filled="false" strokecolor="#646464" strokeweight="1.00pt" coordsize="15640,20" coordorigin="0,0" path="m0,10l15640,10e">
          <v:stroke joinstyle="miter" miterlimit="10"/>
        </v:shape>
      </w:pict>
    </w:r>
    <w:r>
      <w:rPr>
        <w:sz w:val="16"/>
        <w:szCs w:val="16"/>
        <w:spacing w:val="-1"/>
        <w:position w:val="1"/>
      </w:rPr>
      <w:t>兴县园林事业发展服务中心2025年部门</w:t>
    </w:r>
    <w:r>
      <w:rPr>
        <w:sz w:val="16"/>
        <w:szCs w:val="16"/>
        <w:spacing w:val="-2"/>
        <w:position w:val="1"/>
      </w:rPr>
      <w:t>预算公开报告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SimSun" w:hAnsi="SimSun" w:eastAsia="SimSun" w:cs="SimSun"/>
      <w:sz w:val="43"/>
      <w:szCs w:val="43"/>
      <w:lang w:val="en-US" w:eastAsia="en-US" w:bidi="ar-SA"/>
    </w:rPr>
  </w:style>
  <w:style w:type="paragraph" w:styleId="TableText">
    <w:name w:val="Table Text"/>
    <w:basedOn w:val="Normal"/>
    <w:semiHidden/>
    <w:qFormat/>
    <w:pPr/>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footer" Target="footer58.xml"/><Relationship Id="rId98" Type="http://schemas.openxmlformats.org/officeDocument/2006/relationships/image" Target="media/image39.png"/><Relationship Id="rId97" Type="http://schemas.openxmlformats.org/officeDocument/2006/relationships/footer" Target="footer57.xml"/><Relationship Id="rId96" Type="http://schemas.openxmlformats.org/officeDocument/2006/relationships/image" Target="media/image38.png"/><Relationship Id="rId95" Type="http://schemas.openxmlformats.org/officeDocument/2006/relationships/footer" Target="footer56.xml"/><Relationship Id="rId94" Type="http://schemas.openxmlformats.org/officeDocument/2006/relationships/image" Target="media/image37.png"/><Relationship Id="rId93" Type="http://schemas.openxmlformats.org/officeDocument/2006/relationships/footer" Target="footer55.xml"/><Relationship Id="rId92" Type="http://schemas.openxmlformats.org/officeDocument/2006/relationships/image" Target="media/image36.png"/><Relationship Id="rId91" Type="http://schemas.openxmlformats.org/officeDocument/2006/relationships/footer" Target="footer54.xml"/><Relationship Id="rId90" Type="http://schemas.openxmlformats.org/officeDocument/2006/relationships/footer" Target="footer53.xml"/><Relationship Id="rId9" Type="http://schemas.openxmlformats.org/officeDocument/2006/relationships/footer" Target="footer6.xml"/><Relationship Id="rId89" Type="http://schemas.openxmlformats.org/officeDocument/2006/relationships/image" Target="media/image35.png"/><Relationship Id="rId88" Type="http://schemas.openxmlformats.org/officeDocument/2006/relationships/footer" Target="footer52.xml"/><Relationship Id="rId87" Type="http://schemas.openxmlformats.org/officeDocument/2006/relationships/image" Target="media/image34.png"/><Relationship Id="rId86" Type="http://schemas.openxmlformats.org/officeDocument/2006/relationships/footer" Target="footer51.xml"/><Relationship Id="rId85" Type="http://schemas.openxmlformats.org/officeDocument/2006/relationships/image" Target="media/image33.png"/><Relationship Id="rId84" Type="http://schemas.openxmlformats.org/officeDocument/2006/relationships/footer" Target="footer50.xml"/><Relationship Id="rId83" Type="http://schemas.openxmlformats.org/officeDocument/2006/relationships/image" Target="media/image32.png"/><Relationship Id="rId82" Type="http://schemas.openxmlformats.org/officeDocument/2006/relationships/footer" Target="footer49.xml"/><Relationship Id="rId81" Type="http://schemas.openxmlformats.org/officeDocument/2006/relationships/image" Target="media/image31.png"/><Relationship Id="rId80" Type="http://schemas.openxmlformats.org/officeDocument/2006/relationships/footer" Target="footer48.xml"/><Relationship Id="rId8" Type="http://schemas.openxmlformats.org/officeDocument/2006/relationships/footer" Target="footer5.xml"/><Relationship Id="rId79" Type="http://schemas.openxmlformats.org/officeDocument/2006/relationships/image" Target="media/image30.png"/><Relationship Id="rId78" Type="http://schemas.openxmlformats.org/officeDocument/2006/relationships/footer" Target="footer47.xml"/><Relationship Id="rId77" Type="http://schemas.openxmlformats.org/officeDocument/2006/relationships/image" Target="media/image29.png"/><Relationship Id="rId76" Type="http://schemas.openxmlformats.org/officeDocument/2006/relationships/footer" Target="footer46.xml"/><Relationship Id="rId75" Type="http://schemas.openxmlformats.org/officeDocument/2006/relationships/image" Target="media/image28.png"/><Relationship Id="rId74" Type="http://schemas.openxmlformats.org/officeDocument/2006/relationships/footer" Target="footer45.xml"/><Relationship Id="rId73" Type="http://schemas.openxmlformats.org/officeDocument/2006/relationships/image" Target="media/image27.png"/><Relationship Id="rId72" Type="http://schemas.openxmlformats.org/officeDocument/2006/relationships/footer" Target="footer44.xml"/><Relationship Id="rId71" Type="http://schemas.openxmlformats.org/officeDocument/2006/relationships/image" Target="media/image26.png"/><Relationship Id="rId70" Type="http://schemas.openxmlformats.org/officeDocument/2006/relationships/footer" Target="footer43.xml"/><Relationship Id="rId7" Type="http://schemas.openxmlformats.org/officeDocument/2006/relationships/header" Target="header2.xml"/><Relationship Id="rId69" Type="http://schemas.openxmlformats.org/officeDocument/2006/relationships/image" Target="media/image25.png"/><Relationship Id="rId68" Type="http://schemas.openxmlformats.org/officeDocument/2006/relationships/footer" Target="footer42.xml"/><Relationship Id="rId67" Type="http://schemas.openxmlformats.org/officeDocument/2006/relationships/image" Target="media/image24.png"/><Relationship Id="rId66" Type="http://schemas.openxmlformats.org/officeDocument/2006/relationships/footer" Target="footer41.xml"/><Relationship Id="rId65" Type="http://schemas.openxmlformats.org/officeDocument/2006/relationships/image" Target="media/image23.png"/><Relationship Id="rId64" Type="http://schemas.openxmlformats.org/officeDocument/2006/relationships/footer" Target="footer40.xml"/><Relationship Id="rId63" Type="http://schemas.openxmlformats.org/officeDocument/2006/relationships/image" Target="media/image22.png"/><Relationship Id="rId62" Type="http://schemas.openxmlformats.org/officeDocument/2006/relationships/footer" Target="footer39.xml"/><Relationship Id="rId61" Type="http://schemas.openxmlformats.org/officeDocument/2006/relationships/image" Target="media/image21.png"/><Relationship Id="rId60" Type="http://schemas.openxmlformats.org/officeDocument/2006/relationships/footer" Target="footer38.xml"/><Relationship Id="rId6" Type="http://schemas.openxmlformats.org/officeDocument/2006/relationships/footer" Target="footer4.xml"/><Relationship Id="rId59" Type="http://schemas.openxmlformats.org/officeDocument/2006/relationships/image" Target="media/image20.png"/><Relationship Id="rId58" Type="http://schemas.openxmlformats.org/officeDocument/2006/relationships/footer" Target="footer37.xml"/><Relationship Id="rId57" Type="http://schemas.openxmlformats.org/officeDocument/2006/relationships/image" Target="media/image19.png"/><Relationship Id="rId56" Type="http://schemas.openxmlformats.org/officeDocument/2006/relationships/footer" Target="footer36.xml"/><Relationship Id="rId55" Type="http://schemas.openxmlformats.org/officeDocument/2006/relationships/image" Target="media/image18.png"/><Relationship Id="rId54" Type="http://schemas.openxmlformats.org/officeDocument/2006/relationships/footer" Target="footer35.xml"/><Relationship Id="rId53" Type="http://schemas.openxmlformats.org/officeDocument/2006/relationships/image" Target="media/image17.png"/><Relationship Id="rId52" Type="http://schemas.openxmlformats.org/officeDocument/2006/relationships/footer" Target="footer34.xml"/><Relationship Id="rId51" Type="http://schemas.openxmlformats.org/officeDocument/2006/relationships/image" Target="media/image16.png"/><Relationship Id="rId50" Type="http://schemas.openxmlformats.org/officeDocument/2006/relationships/footer" Target="footer33.xml"/><Relationship Id="rId5" Type="http://schemas.openxmlformats.org/officeDocument/2006/relationships/footer" Target="footer3.xml"/><Relationship Id="rId49" Type="http://schemas.openxmlformats.org/officeDocument/2006/relationships/image" Target="media/image15.png"/><Relationship Id="rId48" Type="http://schemas.openxmlformats.org/officeDocument/2006/relationships/footer" Target="footer32.xml"/><Relationship Id="rId47" Type="http://schemas.openxmlformats.org/officeDocument/2006/relationships/image" Target="media/image14.png"/><Relationship Id="rId46" Type="http://schemas.openxmlformats.org/officeDocument/2006/relationships/footer" Target="footer31.xml"/><Relationship Id="rId45" Type="http://schemas.openxmlformats.org/officeDocument/2006/relationships/image" Target="media/image13.png"/><Relationship Id="rId44" Type="http://schemas.openxmlformats.org/officeDocument/2006/relationships/footer" Target="footer30.xml"/><Relationship Id="rId43" Type="http://schemas.openxmlformats.org/officeDocument/2006/relationships/image" Target="media/image12.png"/><Relationship Id="rId42" Type="http://schemas.openxmlformats.org/officeDocument/2006/relationships/footer" Target="footer29.xml"/><Relationship Id="rId41" Type="http://schemas.openxmlformats.org/officeDocument/2006/relationships/image" Target="media/image11.png"/><Relationship Id="rId40" Type="http://schemas.openxmlformats.org/officeDocument/2006/relationships/footer" Target="footer28.xml"/><Relationship Id="rId4" Type="http://schemas.openxmlformats.org/officeDocument/2006/relationships/footer" Target="footer2.xml"/><Relationship Id="rId39" Type="http://schemas.openxmlformats.org/officeDocument/2006/relationships/image" Target="media/image10.png"/><Relationship Id="rId38" Type="http://schemas.openxmlformats.org/officeDocument/2006/relationships/footer" Target="footer27.xml"/><Relationship Id="rId37" Type="http://schemas.openxmlformats.org/officeDocument/2006/relationships/image" Target="media/image9.png"/><Relationship Id="rId36" Type="http://schemas.openxmlformats.org/officeDocument/2006/relationships/footer" Target="footer26.xml"/><Relationship Id="rId35" Type="http://schemas.openxmlformats.org/officeDocument/2006/relationships/image" Target="media/image8.png"/><Relationship Id="rId34" Type="http://schemas.openxmlformats.org/officeDocument/2006/relationships/footer" Target="footer25.xml"/><Relationship Id="rId33" Type="http://schemas.openxmlformats.org/officeDocument/2006/relationships/image" Target="media/image7.png"/><Relationship Id="rId32" Type="http://schemas.openxmlformats.org/officeDocument/2006/relationships/footer" Target="footer24.xml"/><Relationship Id="rId31" Type="http://schemas.openxmlformats.org/officeDocument/2006/relationships/image" Target="media/image6.png"/><Relationship Id="rId30" Type="http://schemas.openxmlformats.org/officeDocument/2006/relationships/footer" Target="footer23.xml"/><Relationship Id="rId3" Type="http://schemas.openxmlformats.org/officeDocument/2006/relationships/footer" Target="footer1.xml"/><Relationship Id="rId29" Type="http://schemas.openxmlformats.org/officeDocument/2006/relationships/image" Target="media/image5.png"/><Relationship Id="rId28" Type="http://schemas.openxmlformats.org/officeDocument/2006/relationships/footer" Target="footer22.xml"/><Relationship Id="rId27" Type="http://schemas.openxmlformats.org/officeDocument/2006/relationships/image" Target="media/image4.png"/><Relationship Id="rId26" Type="http://schemas.openxmlformats.org/officeDocument/2006/relationships/footer" Target="footer21.xml"/><Relationship Id="rId25" Type="http://schemas.openxmlformats.org/officeDocument/2006/relationships/image" Target="media/image3.png"/><Relationship Id="rId24" Type="http://schemas.openxmlformats.org/officeDocument/2006/relationships/footer" Target="footer20.xml"/><Relationship Id="rId23" Type="http://schemas.openxmlformats.org/officeDocument/2006/relationships/image" Target="media/image2.png"/><Relationship Id="rId22" Type="http://schemas.openxmlformats.org/officeDocument/2006/relationships/footer" Target="footer19.xml"/><Relationship Id="rId210" Type="http://schemas.openxmlformats.org/officeDocument/2006/relationships/fontTable" Target="fontTable.xml"/><Relationship Id="rId21" Type="http://schemas.openxmlformats.org/officeDocument/2006/relationships/footer" Target="footer18.xml"/><Relationship Id="rId209" Type="http://schemas.openxmlformats.org/officeDocument/2006/relationships/styles" Target="styles.xml"/><Relationship Id="rId208" Type="http://schemas.openxmlformats.org/officeDocument/2006/relationships/settings" Target="settings.xml"/><Relationship Id="rId207" Type="http://schemas.openxmlformats.org/officeDocument/2006/relationships/footer" Target="footer112.xml"/><Relationship Id="rId206" Type="http://schemas.openxmlformats.org/officeDocument/2006/relationships/image" Target="media/image93.png"/><Relationship Id="rId205" Type="http://schemas.openxmlformats.org/officeDocument/2006/relationships/footer" Target="footer111.xml"/><Relationship Id="rId204" Type="http://schemas.openxmlformats.org/officeDocument/2006/relationships/image" Target="media/image92.png"/><Relationship Id="rId203" Type="http://schemas.openxmlformats.org/officeDocument/2006/relationships/footer" Target="footer110.xml"/><Relationship Id="rId202" Type="http://schemas.openxmlformats.org/officeDocument/2006/relationships/image" Target="media/image91.png"/><Relationship Id="rId201" Type="http://schemas.openxmlformats.org/officeDocument/2006/relationships/footer" Target="footer109.xml"/><Relationship Id="rId200" Type="http://schemas.openxmlformats.org/officeDocument/2006/relationships/image" Target="media/image90.png"/><Relationship Id="rId20" Type="http://schemas.openxmlformats.org/officeDocument/2006/relationships/footer" Target="footer17.xml"/><Relationship Id="rId2" Type="http://schemas.openxmlformats.org/officeDocument/2006/relationships/header" Target="header1.xml"/><Relationship Id="rId199" Type="http://schemas.openxmlformats.org/officeDocument/2006/relationships/footer" Target="footer108.xml"/><Relationship Id="rId198" Type="http://schemas.openxmlformats.org/officeDocument/2006/relationships/image" Target="media/image89.png"/><Relationship Id="rId197" Type="http://schemas.openxmlformats.org/officeDocument/2006/relationships/footer" Target="footer107.xml"/><Relationship Id="rId196" Type="http://schemas.openxmlformats.org/officeDocument/2006/relationships/image" Target="media/image88.png"/><Relationship Id="rId195" Type="http://schemas.openxmlformats.org/officeDocument/2006/relationships/footer" Target="footer106.xml"/><Relationship Id="rId194" Type="http://schemas.openxmlformats.org/officeDocument/2006/relationships/image" Target="media/image87.png"/><Relationship Id="rId193" Type="http://schemas.openxmlformats.org/officeDocument/2006/relationships/footer" Target="footer105.xml"/><Relationship Id="rId192" Type="http://schemas.openxmlformats.org/officeDocument/2006/relationships/image" Target="media/image86.png"/><Relationship Id="rId191" Type="http://schemas.openxmlformats.org/officeDocument/2006/relationships/footer" Target="footer104.xml"/><Relationship Id="rId190" Type="http://schemas.openxmlformats.org/officeDocument/2006/relationships/image" Target="media/image85.png"/><Relationship Id="rId19" Type="http://schemas.openxmlformats.org/officeDocument/2006/relationships/footer" Target="footer16.xml"/><Relationship Id="rId189" Type="http://schemas.openxmlformats.org/officeDocument/2006/relationships/footer" Target="footer103.xml"/><Relationship Id="rId188" Type="http://schemas.openxmlformats.org/officeDocument/2006/relationships/image" Target="media/image84.png"/><Relationship Id="rId187" Type="http://schemas.openxmlformats.org/officeDocument/2006/relationships/footer" Target="footer102.xml"/><Relationship Id="rId186" Type="http://schemas.openxmlformats.org/officeDocument/2006/relationships/image" Target="media/image83.png"/><Relationship Id="rId185" Type="http://schemas.openxmlformats.org/officeDocument/2006/relationships/footer" Target="footer101.xml"/><Relationship Id="rId184" Type="http://schemas.openxmlformats.org/officeDocument/2006/relationships/image" Target="media/image82.png"/><Relationship Id="rId183" Type="http://schemas.openxmlformats.org/officeDocument/2006/relationships/footer" Target="footer100.xml"/><Relationship Id="rId182" Type="http://schemas.openxmlformats.org/officeDocument/2006/relationships/image" Target="media/image81.png"/><Relationship Id="rId181" Type="http://schemas.openxmlformats.org/officeDocument/2006/relationships/footer" Target="footer99.xml"/><Relationship Id="rId180" Type="http://schemas.openxmlformats.org/officeDocument/2006/relationships/image" Target="media/image80.png"/><Relationship Id="rId18" Type="http://schemas.openxmlformats.org/officeDocument/2006/relationships/footer" Target="footer15.xml"/><Relationship Id="rId179" Type="http://schemas.openxmlformats.org/officeDocument/2006/relationships/footer" Target="footer98.xml"/><Relationship Id="rId178" Type="http://schemas.openxmlformats.org/officeDocument/2006/relationships/image" Target="media/image79.png"/><Relationship Id="rId177" Type="http://schemas.openxmlformats.org/officeDocument/2006/relationships/footer" Target="footer97.xml"/><Relationship Id="rId176" Type="http://schemas.openxmlformats.org/officeDocument/2006/relationships/image" Target="media/image78.png"/><Relationship Id="rId175" Type="http://schemas.openxmlformats.org/officeDocument/2006/relationships/footer" Target="footer96.xml"/><Relationship Id="rId174" Type="http://schemas.openxmlformats.org/officeDocument/2006/relationships/image" Target="media/image77.png"/><Relationship Id="rId173" Type="http://schemas.openxmlformats.org/officeDocument/2006/relationships/footer" Target="footer95.xml"/><Relationship Id="rId172" Type="http://schemas.openxmlformats.org/officeDocument/2006/relationships/image" Target="media/image76.png"/><Relationship Id="rId171" Type="http://schemas.openxmlformats.org/officeDocument/2006/relationships/footer" Target="footer94.xml"/><Relationship Id="rId170" Type="http://schemas.openxmlformats.org/officeDocument/2006/relationships/image" Target="media/image75.png"/><Relationship Id="rId17" Type="http://schemas.openxmlformats.org/officeDocument/2006/relationships/footer" Target="footer14.xml"/><Relationship Id="rId169" Type="http://schemas.openxmlformats.org/officeDocument/2006/relationships/footer" Target="footer93.xml"/><Relationship Id="rId168" Type="http://schemas.openxmlformats.org/officeDocument/2006/relationships/image" Target="media/image74.png"/><Relationship Id="rId167" Type="http://schemas.openxmlformats.org/officeDocument/2006/relationships/footer" Target="footer92.xml"/><Relationship Id="rId166" Type="http://schemas.openxmlformats.org/officeDocument/2006/relationships/image" Target="media/image73.png"/><Relationship Id="rId165" Type="http://schemas.openxmlformats.org/officeDocument/2006/relationships/footer" Target="footer91.xml"/><Relationship Id="rId164" Type="http://schemas.openxmlformats.org/officeDocument/2006/relationships/image" Target="media/image72.png"/><Relationship Id="rId163" Type="http://schemas.openxmlformats.org/officeDocument/2006/relationships/footer" Target="footer90.xml"/><Relationship Id="rId162" Type="http://schemas.openxmlformats.org/officeDocument/2006/relationships/image" Target="media/image71.png"/><Relationship Id="rId161" Type="http://schemas.openxmlformats.org/officeDocument/2006/relationships/footer" Target="footer89.xml"/><Relationship Id="rId160" Type="http://schemas.openxmlformats.org/officeDocument/2006/relationships/image" Target="media/image70.png"/><Relationship Id="rId16" Type="http://schemas.openxmlformats.org/officeDocument/2006/relationships/footer" Target="footer13.xml"/><Relationship Id="rId159" Type="http://schemas.openxmlformats.org/officeDocument/2006/relationships/footer" Target="footer88.xml"/><Relationship Id="rId158" Type="http://schemas.openxmlformats.org/officeDocument/2006/relationships/image" Target="media/image69.png"/><Relationship Id="rId157" Type="http://schemas.openxmlformats.org/officeDocument/2006/relationships/footer" Target="footer87.xml"/><Relationship Id="rId156" Type="http://schemas.openxmlformats.org/officeDocument/2006/relationships/image" Target="media/image68.png"/><Relationship Id="rId155" Type="http://schemas.openxmlformats.org/officeDocument/2006/relationships/footer" Target="footer86.xml"/><Relationship Id="rId154" Type="http://schemas.openxmlformats.org/officeDocument/2006/relationships/image" Target="media/image67.png"/><Relationship Id="rId153" Type="http://schemas.openxmlformats.org/officeDocument/2006/relationships/footer" Target="footer85.xml"/><Relationship Id="rId152" Type="http://schemas.openxmlformats.org/officeDocument/2006/relationships/image" Target="media/image66.png"/><Relationship Id="rId151" Type="http://schemas.openxmlformats.org/officeDocument/2006/relationships/footer" Target="footer84.xml"/><Relationship Id="rId150" Type="http://schemas.openxmlformats.org/officeDocument/2006/relationships/image" Target="media/image65.png"/><Relationship Id="rId15" Type="http://schemas.openxmlformats.org/officeDocument/2006/relationships/footer" Target="footer12.xml"/><Relationship Id="rId149" Type="http://schemas.openxmlformats.org/officeDocument/2006/relationships/footer" Target="footer83.xml"/><Relationship Id="rId148" Type="http://schemas.openxmlformats.org/officeDocument/2006/relationships/image" Target="media/image64.png"/><Relationship Id="rId147" Type="http://schemas.openxmlformats.org/officeDocument/2006/relationships/footer" Target="footer82.xml"/><Relationship Id="rId146" Type="http://schemas.openxmlformats.org/officeDocument/2006/relationships/image" Target="media/image63.png"/><Relationship Id="rId145" Type="http://schemas.openxmlformats.org/officeDocument/2006/relationships/footer" Target="footer81.xml"/><Relationship Id="rId144" Type="http://schemas.openxmlformats.org/officeDocument/2006/relationships/image" Target="media/image62.png"/><Relationship Id="rId143" Type="http://schemas.openxmlformats.org/officeDocument/2006/relationships/footer" Target="footer80.xml"/><Relationship Id="rId142" Type="http://schemas.openxmlformats.org/officeDocument/2006/relationships/image" Target="media/image61.png"/><Relationship Id="rId141" Type="http://schemas.openxmlformats.org/officeDocument/2006/relationships/footer" Target="footer79.xml"/><Relationship Id="rId140" Type="http://schemas.openxmlformats.org/officeDocument/2006/relationships/image" Target="media/image60.png"/><Relationship Id="rId14" Type="http://schemas.openxmlformats.org/officeDocument/2006/relationships/footer" Target="footer11.xml"/><Relationship Id="rId139" Type="http://schemas.openxmlformats.org/officeDocument/2006/relationships/footer" Target="footer78.xml"/><Relationship Id="rId138" Type="http://schemas.openxmlformats.org/officeDocument/2006/relationships/image" Target="media/image59.png"/><Relationship Id="rId137" Type="http://schemas.openxmlformats.org/officeDocument/2006/relationships/footer" Target="footer77.xml"/><Relationship Id="rId136" Type="http://schemas.openxmlformats.org/officeDocument/2006/relationships/image" Target="media/image58.png"/><Relationship Id="rId135" Type="http://schemas.openxmlformats.org/officeDocument/2006/relationships/footer" Target="footer76.xml"/><Relationship Id="rId134" Type="http://schemas.openxmlformats.org/officeDocument/2006/relationships/image" Target="media/image57.png"/><Relationship Id="rId133" Type="http://schemas.openxmlformats.org/officeDocument/2006/relationships/footer" Target="footer75.xml"/><Relationship Id="rId132" Type="http://schemas.openxmlformats.org/officeDocument/2006/relationships/image" Target="media/image56.png"/><Relationship Id="rId131" Type="http://schemas.openxmlformats.org/officeDocument/2006/relationships/footer" Target="footer74.xml"/><Relationship Id="rId130" Type="http://schemas.openxmlformats.org/officeDocument/2006/relationships/image" Target="media/image55.png"/><Relationship Id="rId13" Type="http://schemas.openxmlformats.org/officeDocument/2006/relationships/footer" Target="footer10.xml"/><Relationship Id="rId129" Type="http://schemas.openxmlformats.org/officeDocument/2006/relationships/footer" Target="footer73.xml"/><Relationship Id="rId128" Type="http://schemas.openxmlformats.org/officeDocument/2006/relationships/image" Target="media/image54.png"/><Relationship Id="rId127" Type="http://schemas.openxmlformats.org/officeDocument/2006/relationships/footer" Target="footer72.xml"/><Relationship Id="rId126" Type="http://schemas.openxmlformats.org/officeDocument/2006/relationships/image" Target="media/image53.png"/><Relationship Id="rId125" Type="http://schemas.openxmlformats.org/officeDocument/2006/relationships/footer" Target="footer71.xml"/><Relationship Id="rId124" Type="http://schemas.openxmlformats.org/officeDocument/2006/relationships/image" Target="media/image52.png"/><Relationship Id="rId123" Type="http://schemas.openxmlformats.org/officeDocument/2006/relationships/footer" Target="footer70.xml"/><Relationship Id="rId122" Type="http://schemas.openxmlformats.org/officeDocument/2006/relationships/image" Target="media/image51.png"/><Relationship Id="rId121" Type="http://schemas.openxmlformats.org/officeDocument/2006/relationships/footer" Target="footer69.xml"/><Relationship Id="rId120" Type="http://schemas.openxmlformats.org/officeDocument/2006/relationships/image" Target="media/image50.png"/><Relationship Id="rId12" Type="http://schemas.openxmlformats.org/officeDocument/2006/relationships/footer" Target="footer9.xml"/><Relationship Id="rId119" Type="http://schemas.openxmlformats.org/officeDocument/2006/relationships/footer" Target="footer68.xml"/><Relationship Id="rId118" Type="http://schemas.openxmlformats.org/officeDocument/2006/relationships/image" Target="media/image49.png"/><Relationship Id="rId117" Type="http://schemas.openxmlformats.org/officeDocument/2006/relationships/footer" Target="footer67.xml"/><Relationship Id="rId116" Type="http://schemas.openxmlformats.org/officeDocument/2006/relationships/image" Target="media/image48.png"/><Relationship Id="rId115" Type="http://schemas.openxmlformats.org/officeDocument/2006/relationships/footer" Target="footer66.xml"/><Relationship Id="rId114" Type="http://schemas.openxmlformats.org/officeDocument/2006/relationships/image" Target="media/image47.png"/><Relationship Id="rId113" Type="http://schemas.openxmlformats.org/officeDocument/2006/relationships/footer" Target="footer65.xml"/><Relationship Id="rId112" Type="http://schemas.openxmlformats.org/officeDocument/2006/relationships/image" Target="media/image46.png"/><Relationship Id="rId111" Type="http://schemas.openxmlformats.org/officeDocument/2006/relationships/footer" Target="footer64.xml"/><Relationship Id="rId110" Type="http://schemas.openxmlformats.org/officeDocument/2006/relationships/image" Target="media/image45.png"/><Relationship Id="rId11" Type="http://schemas.openxmlformats.org/officeDocument/2006/relationships/footer" Target="footer8.xml"/><Relationship Id="rId109" Type="http://schemas.openxmlformats.org/officeDocument/2006/relationships/footer" Target="footer63.xml"/><Relationship Id="rId108" Type="http://schemas.openxmlformats.org/officeDocument/2006/relationships/image" Target="media/image44.png"/><Relationship Id="rId107" Type="http://schemas.openxmlformats.org/officeDocument/2006/relationships/footer" Target="footer62.xml"/><Relationship Id="rId106" Type="http://schemas.openxmlformats.org/officeDocument/2006/relationships/image" Target="media/image43.png"/><Relationship Id="rId105" Type="http://schemas.openxmlformats.org/officeDocument/2006/relationships/footer" Target="footer61.xml"/><Relationship Id="rId104" Type="http://schemas.openxmlformats.org/officeDocument/2006/relationships/image" Target="media/image42.png"/><Relationship Id="rId103" Type="http://schemas.openxmlformats.org/officeDocument/2006/relationships/footer" Target="footer60.xml"/><Relationship Id="rId102" Type="http://schemas.openxmlformats.org/officeDocument/2006/relationships/image" Target="media/image41.png"/><Relationship Id="rId101" Type="http://schemas.openxmlformats.org/officeDocument/2006/relationships/footer" Target="footer59.xml"/><Relationship Id="rId100" Type="http://schemas.openxmlformats.org/officeDocument/2006/relationships/image" Target="media/image40.png"/><Relationship Id="rId10" Type="http://schemas.openxmlformats.org/officeDocument/2006/relationships/footer" Target="footer7.xml"/><Relationship Id="rId1" Type="http://schemas.openxmlformats.org/officeDocument/2006/relationships/image" Target="media/image1.png"/></Relationships>
</file>

<file path=docProps/app.xml><?xml version="1.0" encoding="utf-8"?>
<ap:Properties xmlns:vt="http://schemas.openxmlformats.org/officeDocument/2006/docPropsVTypes" xmlns:ap="http://schemas.openxmlformats.org/officeDocument/2006/extended-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2025-05-08T10:42:32Z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2025-10-17T15:32:07</vt:filetime>
  </property>
</Properties>
</file>