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CF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 w14:paraId="59D35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 w14:paraId="46243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FF0000"/>
          <w:w w:val="65"/>
          <w:sz w:val="130"/>
          <w:szCs w:val="13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w w:val="65"/>
          <w:sz w:val="130"/>
          <w:szCs w:val="130"/>
          <w:lang w:val="en-US" w:eastAsia="zh-CN"/>
        </w:rPr>
        <w:t>魏家滩镇人民政府文件</w:t>
      </w:r>
    </w:p>
    <w:p w14:paraId="03497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 w14:paraId="1950B4B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6421AE06">
      <w:pPr>
        <w:jc w:val="center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222885</wp:posOffset>
                </wp:positionV>
                <wp:extent cx="2373630" cy="0"/>
                <wp:effectExtent l="0" t="13970" r="7620" b="241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363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4pt;margin-top:17.55pt;height:0pt;width:186.9pt;z-index:251660288;mso-width-relative:page;mso-height-relative:page;" filled="f" stroked="t" coordsize="21600,21600" o:gfxdata="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AM&#10;XGjaAAAACQEAAA8AAAAAAAAAAQAgAAAAIgAAAGRycy9kb3ducmV2LnhtbFBLAQIUABQAAAAIAIdO&#10;4kBJ5c6P6AEAALIDAAAOAAAAAAAAAAEAIAAAACkBAABkcnMvZTJvRG9jLnhtbFBLBQYAAAAABgAG&#10;AFkBAACDBQAAAAA=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216535</wp:posOffset>
                </wp:positionV>
                <wp:extent cx="2373630" cy="0"/>
                <wp:effectExtent l="0" t="13970" r="762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75385" y="4413885"/>
                          <a:ext cx="237363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.3pt;margin-top:17.05pt;height:0pt;width:186.9pt;z-index:251659264;mso-width-relative:page;mso-height-relative:page;" filled="f" stroked="t" coordsize="21600,21600" o:gfxdata="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57DQvYAAAACAEAAA8AAAAAAAAAAQAgAAAAIgAAAGRycy9kb3ducmV2LnhtbFBL&#10;AQIUABQAAAAIAIdO4kCJgYRy9gEAAL4DAAAOAAAAAAAAAAEAIAAAACcBAABkcnMvZTJvRG9jLnht&#10;bFBLBQYAAAAABgAGAFkBAACPBQAAAAA=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★</w:t>
      </w:r>
    </w:p>
    <w:p w14:paraId="512FC86F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29150403">
      <w:pPr>
        <w:jc w:val="center"/>
        <w:rPr>
          <w:rFonts w:hint="eastAsia" w:ascii="宋体" w:hAnsi="宋体" w:eastAsia="宋体" w:cs="Times New Roman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lang w:eastAsia="zh-CN"/>
        </w:rPr>
        <w:t>魏家滩镇人民政府</w:t>
      </w:r>
    </w:p>
    <w:p w14:paraId="781EB02D">
      <w:pPr>
        <w:jc w:val="center"/>
        <w:rPr>
          <w:rFonts w:hint="eastAsia" w:ascii="宋体" w:hAnsi="宋体" w:cs="仿宋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02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年度巩固拓展脱贫攻坚成果同乡村振兴有效衔接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eastAsia="zh-CN"/>
        </w:rPr>
        <w:t>行动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方案</w:t>
      </w:r>
    </w:p>
    <w:p w14:paraId="4074D816">
      <w:pPr>
        <w:rPr>
          <w:rFonts w:hint="eastAsia"/>
        </w:rPr>
      </w:pPr>
    </w:p>
    <w:p w14:paraId="0E745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各村委，镇直各办、站、中心，驻镇各单位：</w:t>
      </w:r>
    </w:p>
    <w:p w14:paraId="0F905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2022年是党的二十大召开之年，是实施“十四五”规划的关键之年，是全面贯彻省、市、县党代会精神的开局之年，持续推进巩固拓展脱贫攻坚成果同乡村振兴有效衔接工作，具有特殊的政治意义。</w:t>
      </w:r>
    </w:p>
    <w:p w14:paraId="62802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总体要求：以习近平新时代中国特色社会主义思想为指导，全面贯彻党的十九大和十九届历次全会精神，持续深入贯彻习近平总书记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</w:rPr>
        <w:t>巩固拓展脱贫攻坚成果同乡村振兴有效衔接重要讲话精神，大力弘扬伟大建党精神和脱贫攻坚精神，按照省、市、县党代会部署要求，认真贯彻落实中央、省、市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、县</w:t>
      </w:r>
      <w:r>
        <w:rPr>
          <w:rFonts w:hint="eastAsia" w:ascii="仿宋" w:hAnsi="仿宋" w:eastAsia="仿宋" w:cs="仿宋"/>
          <w:sz w:val="32"/>
          <w:szCs w:val="32"/>
        </w:rPr>
        <w:t>关于巩固拓展脱贫攻坚成果同乡村振兴有效衔接各项决策部署，坚持“守底线、抓发展、促振兴”主线，紧盯防止返贫监测帮扶、“两不愁三保障”及各项政策落实、易地搬迁后续扶持、扶贫资产和项目资金监管四项重点工作，每季度开展一次专项行动，强化落实与提升，总结经验与典型，常态化推进巩固拓展脱贫攻坚成果工作。抓住深入推进乡村振兴战略的新要求，围绕乡村振兴目标，以乡村建设提质、乡村治理有效、社会事业发展为重点，力促推进乡村全面振兴战略开新局、谋新篇。</w:t>
      </w:r>
    </w:p>
    <w:p w14:paraId="7E446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 一、紧盯重点工作，守住防致贫返贫底线</w:t>
      </w:r>
    </w:p>
    <w:p w14:paraId="56DCC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1.强化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防止返贫致贫监测帮扶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抓牢监测、帮扶、退出三个环节，做到早发现、早干预、早帮扶。一是加强排查监测。重点关注大病户、残疾户、新增低保户、整户低保户，建立农户书面申请、村干部和驻村工作队定期排查、镇审核上报、行业部门数据预警、县级及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申请相关部门</w:t>
      </w:r>
      <w:r>
        <w:rPr>
          <w:rFonts w:hint="eastAsia" w:ascii="仿宋" w:hAnsi="仿宋" w:eastAsia="仿宋" w:cs="仿宋"/>
          <w:sz w:val="32"/>
          <w:szCs w:val="32"/>
        </w:rPr>
        <w:t>比对认定的快速响应机制，及时将符合条件的困难群众纳入监测对象，确保“应纳尽纳”。二是稳定消除风险。加强动态管理，对通过帮扶稳定消除风险的监测对象按程序退出，并在监测系统中标注风险消除。</w:t>
      </w:r>
    </w:p>
    <w:p w14:paraId="72B42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镇乡村振兴办公室</w:t>
      </w:r>
    </w:p>
    <w:p w14:paraId="3C79807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责任人：尹晓力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各村委 各驻村第一书记、工作队长</w:t>
      </w:r>
    </w:p>
    <w:p w14:paraId="42607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sz w:val="32"/>
          <w:szCs w:val="32"/>
        </w:rPr>
        <w:t>强化“两不愁三保障”及各项政策落实。</w:t>
      </w:r>
      <w:r>
        <w:rPr>
          <w:rFonts w:hint="eastAsia" w:ascii="仿宋" w:hAnsi="仿宋" w:eastAsia="仿宋" w:cs="仿宋"/>
          <w:sz w:val="32"/>
          <w:szCs w:val="32"/>
        </w:rPr>
        <w:t>常态化推进落实好巩固拓展脱贫攻坚成果工作，重点解决住房安全保障、饮水安全保障，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按照基层治理网格划分，</w:t>
      </w:r>
      <w:r>
        <w:rPr>
          <w:rFonts w:hint="eastAsia" w:ascii="仿宋" w:hAnsi="仿宋" w:eastAsia="仿宋" w:cs="仿宋"/>
          <w:sz w:val="32"/>
          <w:szCs w:val="32"/>
        </w:rPr>
        <w:t>采取网格化管理，实施每月一排查，及时分析研判是否有新纳对象、帮扶措施是否有效、是否可以消除风险，落实好产业就业、消费帮扶、教育医疗、小额信贷、兜底保障等各项帮扶措施，确保政策落实精准，不漏项、不漏人。</w:t>
      </w:r>
    </w:p>
    <w:p w14:paraId="13787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镇乡村振兴办公室</w:t>
      </w:r>
    </w:p>
    <w:p w14:paraId="2BF140BA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责任人：尹晓力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各村委 </w:t>
      </w:r>
    </w:p>
    <w:p w14:paraId="47D6ED7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3.强化扶贫资产和衔接资金项目管理。</w:t>
      </w:r>
      <w:r>
        <w:rPr>
          <w:rFonts w:hint="eastAsia" w:ascii="仿宋" w:hAnsi="仿宋" w:eastAsia="仿宋" w:cs="仿宋"/>
          <w:sz w:val="32"/>
          <w:szCs w:val="32"/>
        </w:rPr>
        <w:t>一是强化扶贫资产管理。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明确村级</w:t>
      </w:r>
      <w:r>
        <w:rPr>
          <w:rFonts w:hint="eastAsia" w:ascii="仿宋" w:hAnsi="仿宋" w:eastAsia="仿宋" w:cs="仿宋"/>
          <w:sz w:val="32"/>
          <w:szCs w:val="32"/>
        </w:rPr>
        <w:t>管护机制，确保扶贫项目资产能运转、有人管、有效益。常态化抓好衔接资金项目资产管理，做到验收一个、确权登记一个，确保衔接资金项目资产持续发挥效益。二是抓好衔接资金项目建设。保持衔接资金投入总体稳定，及时将各级财政衔接资金匹配到具体项目，提高资金使用效益。规范入库程序和要素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及时将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2022实施项目入库</w:t>
      </w:r>
    </w:p>
    <w:p w14:paraId="13599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镇经济发展办公室</w:t>
      </w:r>
    </w:p>
    <w:p w14:paraId="6B842823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责任人：弓建平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高辉 各村委</w:t>
      </w:r>
    </w:p>
    <w:p w14:paraId="6A6A3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二、开展专项行动，持续巩固脱贫成果</w:t>
      </w:r>
    </w:p>
    <w:p w14:paraId="399A9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4.开展产业、就业和创业提升行动。</w:t>
      </w:r>
      <w:r>
        <w:rPr>
          <w:rFonts w:hint="eastAsia" w:ascii="仿宋" w:hAnsi="仿宋" w:eastAsia="仿宋" w:cs="仿宋"/>
          <w:sz w:val="32"/>
          <w:szCs w:val="32"/>
        </w:rPr>
        <w:t>引导有劳动力的脱贫户、监测对象家庭至少发展一项产业或有一人就业创业，促进持续稳定增收。一是实施产业发展帮扶。培育壮大经营主体，逐步加大产业投入，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在白家沟村新建10000头规模生猪养殖项目及基础配套设施建设，九元坪村新建50座蔬菜温室大棚，西磁新建艾草种植200亩，大力发展传统养殖业，鼓励6户生猪养殖，2户湖羊养殖，</w:t>
      </w:r>
      <w:r>
        <w:rPr>
          <w:rFonts w:hint="eastAsia" w:ascii="仿宋" w:hAnsi="仿宋" w:eastAsia="仿宋" w:cs="仿宋"/>
          <w:sz w:val="32"/>
          <w:szCs w:val="32"/>
        </w:rPr>
        <w:t>围绕重点产业，大力开展产业招商，支持龙头企业、农民合作社、家庭农场、种养基地等经营主体发展，每个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至少培育1个乡村产业振兴示范基地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，特别是目前我镇村集体经济收入在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10万元以下的斜沟、西沟、苏家里三个村要积极结合本村实际谋划产业项目，争取年底集体经济收入破10万元</w:t>
      </w:r>
      <w:r>
        <w:rPr>
          <w:rFonts w:hint="eastAsia" w:ascii="仿宋" w:hAnsi="仿宋" w:eastAsia="仿宋" w:cs="仿宋"/>
          <w:sz w:val="32"/>
          <w:szCs w:val="32"/>
        </w:rPr>
        <w:t>。完善“经营主体带动、小额信贷促动、消费帮扶推动”的紧密利益联结机制，带动脱贫群众增收，逐步提高脱贫人口家庭经营性收入比重。加大小额信贷政策落实力度，强化贷后监管责任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做好村级光伏电站的运维管理和利益分配。二是推进稳岗就业帮扶。多措并举拓宽脱贫劳动力就业渠道，对脱贫劳动力务工情况进行定期回访，强化跟踪服务，提高就业系统信息准确率，让有就业意愿和就业能力的对象都可以申请就业服务和技能培训，并按规定享受就业政策。加强公益性岗位的动态管理，引导群众就地就近就业。</w:t>
      </w:r>
    </w:p>
    <w:p w14:paraId="47E5B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镇经济发展办公室</w:t>
      </w:r>
    </w:p>
    <w:p w14:paraId="3D6E1553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责任人：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高辉 贺晓东 各村委</w:t>
      </w:r>
    </w:p>
    <w:p w14:paraId="6D19A91B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5.开展住房安全保障巩固提升行动。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结合全镇自建房排查、</w:t>
      </w:r>
      <w:r>
        <w:rPr>
          <w:rFonts w:hint="eastAsia" w:ascii="仿宋" w:hAnsi="仿宋" w:eastAsia="仿宋" w:cs="仿宋"/>
          <w:sz w:val="32"/>
          <w:szCs w:val="32"/>
        </w:rPr>
        <w:t>对农村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人口集中区域</w:t>
      </w:r>
      <w:r>
        <w:rPr>
          <w:rFonts w:hint="eastAsia" w:ascii="仿宋" w:hAnsi="仿宋" w:eastAsia="仿宋" w:cs="仿宋"/>
          <w:sz w:val="32"/>
          <w:szCs w:val="32"/>
        </w:rPr>
        <w:t>、搬迁安置房进行排查，若存在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安全隐患立即上报县职能部门进行鉴定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EE31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镇经济发展办公室</w:t>
      </w:r>
    </w:p>
    <w:p w14:paraId="2EA5FF8C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责任人：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白旭东 康军军 各村委</w:t>
      </w:r>
    </w:p>
    <w:p w14:paraId="182F6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6.开展农村安全饮水和农户收入提升行动。</w:t>
      </w:r>
      <w:r>
        <w:rPr>
          <w:rFonts w:hint="eastAsia" w:ascii="仿宋" w:hAnsi="仿宋" w:eastAsia="仿宋" w:cs="仿宋"/>
          <w:sz w:val="32"/>
          <w:szCs w:val="32"/>
        </w:rPr>
        <w:t>稳固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脱贫攻坚</w:t>
      </w:r>
      <w:r>
        <w:rPr>
          <w:rFonts w:hint="eastAsia" w:ascii="仿宋" w:hAnsi="仿宋" w:eastAsia="仿宋" w:cs="仿宋"/>
          <w:sz w:val="32"/>
          <w:szCs w:val="32"/>
        </w:rPr>
        <w:t>饮水安全行动成果，系统性解决存在的季节性以及水质不稳定问题。压实各级管护主体责任，充分发挥管护实施主体效能，确保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村级饮</w:t>
      </w:r>
      <w:r>
        <w:rPr>
          <w:rFonts w:hint="eastAsia" w:ascii="仿宋" w:hAnsi="仿宋" w:eastAsia="仿宋" w:cs="仿宋"/>
          <w:sz w:val="32"/>
          <w:szCs w:val="32"/>
        </w:rPr>
        <w:t>水工程管理服务全面规范落实到位。落实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饮水安全</w:t>
      </w:r>
      <w:r>
        <w:rPr>
          <w:rFonts w:hint="eastAsia" w:ascii="仿宋" w:hAnsi="仿宋" w:eastAsia="仿宋" w:cs="仿宋"/>
          <w:sz w:val="32"/>
          <w:szCs w:val="32"/>
        </w:rPr>
        <w:t>排查机制，及时发现问题、解决问题。</w:t>
      </w:r>
    </w:p>
    <w:p w14:paraId="77CFB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镇经济发展办公室</w:t>
      </w:r>
    </w:p>
    <w:p w14:paraId="1D267CA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责任人：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康军军 各村委</w:t>
      </w:r>
    </w:p>
    <w:p w14:paraId="4F85F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7.开展到户政策落实和农村人居环境整治巩固提升行动。</w:t>
      </w:r>
      <w:r>
        <w:rPr>
          <w:rFonts w:hint="eastAsia" w:ascii="仿宋" w:hAnsi="仿宋" w:eastAsia="仿宋" w:cs="仿宋"/>
          <w:sz w:val="32"/>
          <w:szCs w:val="32"/>
        </w:rPr>
        <w:t>对巩固脱贫成果各类到户帮扶政策落实情况进行全面排查，确保应享尽享；着力改善农村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人居</w:t>
      </w:r>
      <w:r>
        <w:rPr>
          <w:rFonts w:hint="eastAsia" w:ascii="仿宋" w:hAnsi="仿宋" w:eastAsia="仿宋" w:cs="仿宋"/>
          <w:sz w:val="32"/>
          <w:szCs w:val="32"/>
        </w:rPr>
        <w:t>环境，提升村容村貌。一是义务教育方面。全面落实各类教育资助政策；继续开展“双线”控辍保学，不断巩固义务教育保障水平。二是基本医疗方面。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确保</w:t>
      </w:r>
      <w:r>
        <w:rPr>
          <w:rFonts w:hint="eastAsia" w:ascii="仿宋" w:hAnsi="仿宋" w:eastAsia="仿宋" w:cs="仿宋"/>
          <w:sz w:val="32"/>
          <w:szCs w:val="32"/>
        </w:rPr>
        <w:t>脱贫人口和监测对象参加城乡居民基本医疗参保率100%。完善村卫生室管理、家庭医生履约等政策，不断提升农村医疗保障水平。三是兜底保障方面。充分发挥兜底保障作用，及时将符合条件的困难群众纳入社会救助范围，重点关注因病、因灾存在致贫风险的群众，及时落实低保救助、残疾人补贴等帮扶政策，确保应助尽助。四是其他方面。确保危房改造、饮水安全、产业就业奖补、小额信贷贴息、易地搬迁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续扶持</w:t>
      </w:r>
      <w:r>
        <w:rPr>
          <w:rFonts w:hint="eastAsia" w:ascii="仿宋" w:hAnsi="仿宋" w:eastAsia="仿宋" w:cs="仿宋"/>
          <w:sz w:val="32"/>
          <w:szCs w:val="32"/>
        </w:rPr>
        <w:t>等各项到户帮扶政策落实到位。开展户内、户外环境大整治行动，引导和帮助群众搞好家庭卫生，组织搞好乡村环境卫生，确保乡村环境干净整治、美丽宜居。</w:t>
      </w:r>
    </w:p>
    <w:p w14:paraId="5D6A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镇经济发展办公室</w:t>
      </w:r>
    </w:p>
    <w:p w14:paraId="48F49C3B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责任人：康军军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贺晓东 郭永亮 尹晓力 各村委</w:t>
      </w:r>
    </w:p>
    <w:p w14:paraId="4C2C67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提升设施服务，有效衔接乡村振兴</w:t>
      </w:r>
    </w:p>
    <w:p w14:paraId="5FF7B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8.抓好基层治理能力提升。</w:t>
      </w:r>
      <w:r>
        <w:rPr>
          <w:rFonts w:hint="eastAsia" w:ascii="仿宋" w:hAnsi="仿宋" w:eastAsia="仿宋" w:cs="仿宋"/>
          <w:sz w:val="32"/>
          <w:szCs w:val="32"/>
        </w:rPr>
        <w:t>加强乡村基层党组织建设，推进党的基层阵地资源整合，高标准建设新时代文明实践站，建立健全党组织全面领导下的自治、法治、德治相结合的乡村治理体系。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积极</w:t>
      </w:r>
      <w:r>
        <w:rPr>
          <w:rFonts w:hint="eastAsia" w:ascii="仿宋" w:hAnsi="仿宋" w:eastAsia="仿宋" w:cs="仿宋"/>
          <w:sz w:val="32"/>
          <w:szCs w:val="32"/>
        </w:rPr>
        <w:t>开展干部巩固脱贫成果同乡村振兴有效衔接的能力培训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创新平台载体、有效抓手，推广应用积分制、清单制、数字化等做法，激发农民群众和社会力量积极参与乡村治理。组织开展乡村治理体系建设试点示范工作，总结推广“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农民夜校</w:t>
      </w:r>
      <w:r>
        <w:rPr>
          <w:rFonts w:hint="eastAsia" w:ascii="仿宋" w:hAnsi="仿宋" w:eastAsia="仿宋" w:cs="仿宋"/>
          <w:sz w:val="32"/>
          <w:szCs w:val="32"/>
        </w:rPr>
        <w:t>”“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网格化管理</w:t>
      </w:r>
      <w:r>
        <w:rPr>
          <w:rFonts w:hint="eastAsia" w:ascii="仿宋" w:hAnsi="仿宋" w:eastAsia="仿宋" w:cs="仿宋"/>
          <w:sz w:val="32"/>
          <w:szCs w:val="32"/>
        </w:rPr>
        <w:t>”等乡村治理典型案例。</w:t>
      </w:r>
    </w:p>
    <w:p w14:paraId="294C3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镇党群服务中心</w:t>
      </w:r>
    </w:p>
    <w:p w14:paraId="0C79248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责任人：贾建峰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各村委</w:t>
      </w:r>
    </w:p>
    <w:p w14:paraId="15945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9.发展农村社会事业。</w:t>
      </w:r>
      <w:r>
        <w:rPr>
          <w:rFonts w:hint="eastAsia" w:ascii="仿宋" w:hAnsi="仿宋" w:eastAsia="仿宋" w:cs="仿宋"/>
          <w:sz w:val="32"/>
          <w:szCs w:val="32"/>
        </w:rPr>
        <w:t>用好新时代文明实践所、站，创新开展“听党话、感党恩、跟党走”宣讲活动，深入推进农村精神文明建设。深入开展乡风文明行动，大力推进文明村镇创评，持续开展道德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大讲堂</w:t>
      </w:r>
      <w:r>
        <w:rPr>
          <w:rFonts w:hint="eastAsia" w:ascii="仿宋" w:hAnsi="仿宋" w:eastAsia="仿宋" w:cs="仿宋"/>
          <w:sz w:val="32"/>
          <w:szCs w:val="32"/>
        </w:rPr>
        <w:t>活动。建立健全村规民约监督机制，充分发挥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“一约四会”</w:t>
      </w:r>
      <w:r>
        <w:rPr>
          <w:rFonts w:hint="eastAsia" w:ascii="仿宋" w:hAnsi="仿宋" w:eastAsia="仿宋" w:cs="仿宋"/>
          <w:sz w:val="32"/>
          <w:szCs w:val="32"/>
        </w:rPr>
        <w:t>作用，持续开展婚丧礼俗、乱埋乱葬、不孝行为、农村赌博等专项整治，出台推进移风易俗的指导性标准规范，深入推进移风易俗，推动形成文明乡风、良好家风、淳朴民风。推进文化惠民工程，组织开展形式多样的群众性文化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支持有条件的村建设村史馆，</w:t>
      </w:r>
    </w:p>
    <w:p w14:paraId="73888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镇党群服务中心</w:t>
      </w:r>
    </w:p>
    <w:p w14:paraId="65EC39E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责任人：贾建峰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各村委</w:t>
      </w:r>
    </w:p>
    <w:p w14:paraId="4520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四、强化保障措施，推进工作制度化常态化</w:t>
      </w:r>
    </w:p>
    <w:p w14:paraId="11A74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10.强化工作调度。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镇党委每周</w:t>
      </w:r>
      <w:r>
        <w:rPr>
          <w:rFonts w:hint="eastAsia" w:ascii="仿宋" w:hAnsi="仿宋" w:eastAsia="仿宋" w:cs="仿宋"/>
          <w:sz w:val="32"/>
          <w:szCs w:val="32"/>
        </w:rPr>
        <w:t>研究和部署一次巩固拓展脱贫攻坚成果同乡村振兴有效衔接工作。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镇乡村振兴办</w:t>
      </w:r>
      <w:r>
        <w:rPr>
          <w:rFonts w:hint="eastAsia" w:ascii="仿宋" w:hAnsi="仿宋" w:eastAsia="仿宋" w:cs="仿宋"/>
          <w:sz w:val="32"/>
          <w:szCs w:val="32"/>
        </w:rPr>
        <w:t>加强统筹协调，及时发现和解决相关问题。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分管领导每月至少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到村</w:t>
      </w:r>
      <w:r>
        <w:rPr>
          <w:rFonts w:hint="eastAsia" w:ascii="仿宋" w:hAnsi="仿宋" w:eastAsia="仿宋" w:cs="仿宋"/>
          <w:sz w:val="32"/>
          <w:szCs w:val="32"/>
        </w:rPr>
        <w:t>调度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一次</w:t>
      </w:r>
      <w:r>
        <w:rPr>
          <w:rFonts w:hint="eastAsia" w:ascii="仿宋" w:hAnsi="仿宋" w:eastAsia="仿宋" w:cs="仿宋"/>
          <w:sz w:val="32"/>
          <w:szCs w:val="32"/>
        </w:rPr>
        <w:t>巩固脱贫成果工作，推动工作落实落地。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驻村帮扶干部</w:t>
      </w:r>
      <w:r>
        <w:rPr>
          <w:rFonts w:hint="eastAsia" w:ascii="仿宋" w:hAnsi="仿宋" w:eastAsia="仿宋" w:cs="仿宋"/>
          <w:sz w:val="32"/>
          <w:szCs w:val="32"/>
        </w:rPr>
        <w:t>每月至少走访一次监测对象，落实有针对性地帮扶措施，及时帮助解决生活困难。</w:t>
      </w:r>
    </w:p>
    <w:p w14:paraId="09933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镇乡村振兴办公室</w:t>
      </w:r>
    </w:p>
    <w:p w14:paraId="53576F6E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责任人：尹晓力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各村委</w:t>
      </w:r>
    </w:p>
    <w:p w14:paraId="477B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11.强化跟踪问效。</w:t>
      </w:r>
      <w:r>
        <w:rPr>
          <w:rFonts w:hint="eastAsia" w:ascii="仿宋" w:hAnsi="仿宋" w:eastAsia="仿宋" w:cs="仿宋"/>
          <w:sz w:val="32"/>
          <w:szCs w:val="32"/>
        </w:rPr>
        <w:t>对国家、省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、市、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考核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评估</w:t>
      </w:r>
      <w:r>
        <w:rPr>
          <w:rFonts w:hint="eastAsia" w:ascii="仿宋" w:hAnsi="仿宋" w:eastAsia="仿宋" w:cs="仿宋"/>
          <w:sz w:val="32"/>
          <w:szCs w:val="32"/>
        </w:rPr>
        <w:t>反馈问题全面认领，并举一反三全面排查，细化整改措施，抓好问题整改。加强驻村第一书记和工作队日常管理，加强业务培训，不定期抽查在岗履职情况，推动驻村干部履职尽责、发挥作用。坚持全面从严管党治党，持续深入开展有效衔接领域群众身边不正之风和腐败问题专项整治。健全督导调度、挂牌督办机制，对因领导不重视、责任不压实、政策不落实、工作不到位等导致巩固拓展脱贫攻坚成果工作严重滞后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，视情况给予通报批评、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纪律处分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36EC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镇纪委、监委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镇乡村振兴办公室</w:t>
      </w:r>
    </w:p>
    <w:p w14:paraId="24D4BBD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责任人：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贾建峰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马鹏程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尹晓力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各村委</w:t>
      </w:r>
    </w:p>
    <w:p w14:paraId="329FA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330C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魏家滩镇人民政府</w:t>
      </w:r>
    </w:p>
    <w:p w14:paraId="2B10587A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4160" w:firstLineChars="13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2022年5月7日</w:t>
      </w:r>
    </w:p>
    <w:p w14:paraId="20696A7D">
      <w:pPr>
        <w:ind w:firstLine="3840" w:firstLineChars="1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AFA4C">
    <w:pPr>
      <w:spacing w:line="123" w:lineRule="exact"/>
      <w:ind w:firstLine="4094"/>
      <w:rPr>
        <w:rFonts w:ascii="仿宋" w:hAnsi="仿宋" w:eastAsia="仿宋" w:cs="仿宋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D28E9"/>
    <w:multiLevelType w:val="singleLevel"/>
    <w:tmpl w:val="AE5D28E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OTZjMWM4NTQxNmI2MzJjOTY1YzIyMzQ0ZmQzZjYifQ=="/>
  </w:docVars>
  <w:rsids>
    <w:rsidRoot w:val="24B94A63"/>
    <w:rsid w:val="00CE2F93"/>
    <w:rsid w:val="01527EDF"/>
    <w:rsid w:val="01757692"/>
    <w:rsid w:val="019D3EE4"/>
    <w:rsid w:val="02A636C6"/>
    <w:rsid w:val="04AE4255"/>
    <w:rsid w:val="051071E6"/>
    <w:rsid w:val="055C06AF"/>
    <w:rsid w:val="06D750B3"/>
    <w:rsid w:val="071A324D"/>
    <w:rsid w:val="07D351C4"/>
    <w:rsid w:val="07E019C3"/>
    <w:rsid w:val="08E63FAC"/>
    <w:rsid w:val="0A975F97"/>
    <w:rsid w:val="0D52561D"/>
    <w:rsid w:val="0DC323DD"/>
    <w:rsid w:val="0E823D39"/>
    <w:rsid w:val="0EC84E52"/>
    <w:rsid w:val="0F79186F"/>
    <w:rsid w:val="10275E1D"/>
    <w:rsid w:val="10F46561"/>
    <w:rsid w:val="13122152"/>
    <w:rsid w:val="14B50A4D"/>
    <w:rsid w:val="15265A0E"/>
    <w:rsid w:val="153E5085"/>
    <w:rsid w:val="17142CC7"/>
    <w:rsid w:val="17534E13"/>
    <w:rsid w:val="17A8615C"/>
    <w:rsid w:val="18347A17"/>
    <w:rsid w:val="18FD41BF"/>
    <w:rsid w:val="19681261"/>
    <w:rsid w:val="1A2479ED"/>
    <w:rsid w:val="1A977C11"/>
    <w:rsid w:val="1BE61326"/>
    <w:rsid w:val="1F5E4E5A"/>
    <w:rsid w:val="23A74D8D"/>
    <w:rsid w:val="244063EE"/>
    <w:rsid w:val="24B94A63"/>
    <w:rsid w:val="25E626FB"/>
    <w:rsid w:val="27C167AE"/>
    <w:rsid w:val="27CC2F35"/>
    <w:rsid w:val="27D028A6"/>
    <w:rsid w:val="28117813"/>
    <w:rsid w:val="2A432C36"/>
    <w:rsid w:val="2CF07B50"/>
    <w:rsid w:val="2DB651CE"/>
    <w:rsid w:val="30A06D1F"/>
    <w:rsid w:val="32144B38"/>
    <w:rsid w:val="33062E33"/>
    <w:rsid w:val="334C35A9"/>
    <w:rsid w:val="33A5732A"/>
    <w:rsid w:val="34F725BD"/>
    <w:rsid w:val="36075A88"/>
    <w:rsid w:val="37D91340"/>
    <w:rsid w:val="3A7E3CC7"/>
    <w:rsid w:val="3CB0128E"/>
    <w:rsid w:val="3CF344E3"/>
    <w:rsid w:val="40044D5A"/>
    <w:rsid w:val="401E2281"/>
    <w:rsid w:val="41075469"/>
    <w:rsid w:val="4163653B"/>
    <w:rsid w:val="4243764A"/>
    <w:rsid w:val="42C41E60"/>
    <w:rsid w:val="43060921"/>
    <w:rsid w:val="434C2149"/>
    <w:rsid w:val="45B66FE3"/>
    <w:rsid w:val="46056F15"/>
    <w:rsid w:val="47245856"/>
    <w:rsid w:val="47ED208D"/>
    <w:rsid w:val="49264BD7"/>
    <w:rsid w:val="49AA12C0"/>
    <w:rsid w:val="49BB0BA4"/>
    <w:rsid w:val="4A5F6EE2"/>
    <w:rsid w:val="4B422712"/>
    <w:rsid w:val="4BB014C6"/>
    <w:rsid w:val="4C3E3551"/>
    <w:rsid w:val="4C482291"/>
    <w:rsid w:val="4ECA40F2"/>
    <w:rsid w:val="4FE51745"/>
    <w:rsid w:val="516D4605"/>
    <w:rsid w:val="51820D1E"/>
    <w:rsid w:val="521B4AF3"/>
    <w:rsid w:val="524727C5"/>
    <w:rsid w:val="5324413E"/>
    <w:rsid w:val="549519ED"/>
    <w:rsid w:val="551446D0"/>
    <w:rsid w:val="55F2013A"/>
    <w:rsid w:val="573A6F31"/>
    <w:rsid w:val="57C90E71"/>
    <w:rsid w:val="5838705A"/>
    <w:rsid w:val="59986925"/>
    <w:rsid w:val="5A894C8D"/>
    <w:rsid w:val="5DBF4E4B"/>
    <w:rsid w:val="5F20205A"/>
    <w:rsid w:val="5FBE11F9"/>
    <w:rsid w:val="5FE375E3"/>
    <w:rsid w:val="600A76E8"/>
    <w:rsid w:val="621104A1"/>
    <w:rsid w:val="6256532F"/>
    <w:rsid w:val="632300A8"/>
    <w:rsid w:val="65216830"/>
    <w:rsid w:val="66D23022"/>
    <w:rsid w:val="68071224"/>
    <w:rsid w:val="68134C8C"/>
    <w:rsid w:val="6B9F6C33"/>
    <w:rsid w:val="6DEB5AD1"/>
    <w:rsid w:val="6E3B5274"/>
    <w:rsid w:val="6F262E81"/>
    <w:rsid w:val="701120DC"/>
    <w:rsid w:val="705B077D"/>
    <w:rsid w:val="70A527FD"/>
    <w:rsid w:val="71E81491"/>
    <w:rsid w:val="729B026B"/>
    <w:rsid w:val="74726BA6"/>
    <w:rsid w:val="74756CF6"/>
    <w:rsid w:val="763803C3"/>
    <w:rsid w:val="7735636A"/>
    <w:rsid w:val="78066947"/>
    <w:rsid w:val="79D95A26"/>
    <w:rsid w:val="79E1361F"/>
    <w:rsid w:val="7A322341"/>
    <w:rsid w:val="7A9970CE"/>
    <w:rsid w:val="7C477030"/>
    <w:rsid w:val="7C5B0175"/>
    <w:rsid w:val="7DD52391"/>
    <w:rsid w:val="7E011C18"/>
    <w:rsid w:val="7E1B0D6F"/>
    <w:rsid w:val="7E670829"/>
    <w:rsid w:val="7EB2265E"/>
    <w:rsid w:val="7FB6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3"/>
      <w:ind w:left="2812" w:right="2012" w:hanging="881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qFormat/>
    <w:uiPriority w:val="0"/>
    <w:rPr>
      <w:i/>
    </w:rPr>
  </w:style>
  <w:style w:type="paragraph" w:customStyle="1" w:styleId="14">
    <w:name w:val="_Style 1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  <w:style w:type="paragraph" w:customStyle="1" w:styleId="15">
    <w:name w:val="reader-word-layer reader-word-s3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3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3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after="600" w:line="38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TableOfAuthoring"/>
    <w:basedOn w:val="1"/>
    <w:next w:val="1"/>
    <w:qFormat/>
    <w:uiPriority w:val="99"/>
    <w:pPr>
      <w:ind w:left="420" w:leftChars="200"/>
    </w:pPr>
  </w:style>
  <w:style w:type="paragraph" w:customStyle="1" w:styleId="20">
    <w:name w:val="Body Text First Indent 21"/>
    <w:basedOn w:val="2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Body Text Indent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3354</Words>
  <Characters>3395</Characters>
  <Lines>0</Lines>
  <Paragraphs>0</Paragraphs>
  <TotalTime>11</TotalTime>
  <ScaleCrop>false</ScaleCrop>
  <LinksUpToDate>false</LinksUpToDate>
  <CharactersWithSpaces>3423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2019-05-20T01:33:00Z</dcterms:created>
  <dc:creator>君子袒蛋蛋</dc:creator>
  <cp:lastModifiedBy>成</cp:lastModifiedBy>
  <cp:lastPrinted>2022-05-20T07:38:00Z</cp:lastPrinted>
  <dcterms:modified xsi:type="dcterms:W3CDTF">2026-04-01T07:58:29Z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B2034D2C94D84E9D9C2F67A54C49BD9B</vt:lpwstr>
  </property>
  <property fmtid="{D5CDD505-2E9C-101B-9397-08002B2CF9AE}" pid="4" name="commondata">
    <vt:lpwstr>eyJoZGlkIjoiYWUzMWQ2MzliZjI1MjY3MjhmMWVmNmQwMTk5NDdiMTMifQ==</vt:lpwstr>
  </property>
  <property fmtid="{D5CDD505-2E9C-101B-9397-08002B2CF9AE}" pid="5" name="KSOTemplateDocerSaveRecord">
    <vt:lpwstr>eyJoZGlkIjoiYTc4MDJmYTAwOGFiNjJkMTQzNWJhZWY0YjY4ZjA2NjgiLCJ1c2VySWQiOiIxMTQ5OTg3NTc2In0=</vt:lpwstr>
  </property>
</Properties>
</file>